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564026A6" w:rsidR="00A96B21" w:rsidRDefault="00FE0B22" w:rsidP="00A96B21">
      <w:pPr>
        <w:pStyle w:val="Cornernotation-Item"/>
        <w:rPr>
          <w:b w:val="0"/>
          <w:bCs w:val="0"/>
        </w:rPr>
      </w:pPr>
      <w:bookmarkStart w:id="0" w:name="_Hlk137651738"/>
      <w:r>
        <w:rPr>
          <w:b w:val="0"/>
          <w:bCs w:val="0"/>
        </w:rPr>
        <w:t xml:space="preserve">Agenda item </w:t>
      </w:r>
      <w:r w:rsidR="00B13EC1">
        <w:rPr>
          <w:b w:val="0"/>
          <w:bCs w:val="0"/>
        </w:rPr>
        <w:t>12</w:t>
      </w:r>
    </w:p>
    <w:p w14:paraId="30FE6295" w14:textId="746B9A1B" w:rsidR="007118A3" w:rsidRPr="00BE7CCC" w:rsidRDefault="007118A3" w:rsidP="007118A3">
      <w:pPr>
        <w:pStyle w:val="Cornernotation-Item"/>
        <w:ind w:left="0" w:firstLine="0"/>
        <w:rPr>
          <w:b w:val="0"/>
          <w:bCs w:val="0"/>
        </w:rPr>
      </w:pPr>
      <w:r w:rsidRPr="00BE7CCC">
        <w:rPr>
          <w:b w:val="0"/>
          <w:bCs w:val="0"/>
        </w:rPr>
        <w:t xml:space="preserve">Capacity-building and development, technical </w:t>
      </w:r>
      <w:r w:rsidRPr="00BE7CCC">
        <w:rPr>
          <w:b w:val="0"/>
          <w:bCs w:val="0"/>
        </w:rPr>
        <w:br/>
        <w:t xml:space="preserve">and scientific cooperation, clearing-house </w:t>
      </w:r>
      <w:r w:rsidRPr="00BE7CCC">
        <w:rPr>
          <w:b w:val="0"/>
          <w:bCs w:val="0"/>
        </w:rPr>
        <w:br/>
        <w:t>mechanism and knowledge management</w:t>
      </w:r>
    </w:p>
    <w:p w14:paraId="02778C2C" w14:textId="1DC16CDC" w:rsidR="00A96B21" w:rsidRPr="00556361" w:rsidRDefault="0087582D" w:rsidP="00A96B21">
      <w:pPr>
        <w:pStyle w:val="Cornernotation-Item"/>
        <w:rPr>
          <w:b w:val="0"/>
          <w:bCs w:val="0"/>
        </w:rPr>
      </w:pPr>
      <w:r w:rsidRPr="00556361">
        <w:rPr>
          <w:b w:val="0"/>
          <w:bCs w:val="0"/>
        </w:rPr>
        <w:t>Working Group I</w:t>
      </w:r>
    </w:p>
    <w:bookmarkEnd w:id="0"/>
    <w:p w14:paraId="3F49212B" w14:textId="638CDD34" w:rsidR="00A96B21" w:rsidRPr="00B13EC1" w:rsidRDefault="00292D78" w:rsidP="001454DA">
      <w:pPr>
        <w:pStyle w:val="CBDTitle"/>
        <w:rPr>
          <w:szCs w:val="28"/>
        </w:rPr>
      </w:pPr>
      <w:sdt>
        <w:sdtPr>
          <w:rPr>
            <w:rFonts w:eastAsia="Times New Roman"/>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B13EC1" w:rsidRPr="00B13EC1">
            <w:rPr>
              <w:rFonts w:eastAsia="Times New Roman"/>
              <w:bCs/>
              <w:szCs w:val="28"/>
            </w:rPr>
            <w:t>Capacity-building and development, technical and scientific cooperation and technology transfer</w:t>
          </w:r>
        </w:sdtContent>
      </w:sdt>
    </w:p>
    <w:p w14:paraId="738A3667" w14:textId="08748796" w:rsidR="00A96B21" w:rsidRPr="0006734C" w:rsidRDefault="00BE7CCC" w:rsidP="001454DA">
      <w:pPr>
        <w:pStyle w:val="CBDSubTitle"/>
        <w:rPr>
          <w:sz w:val="24"/>
          <w:szCs w:val="24"/>
        </w:rPr>
      </w:pPr>
      <w:r w:rsidRPr="0006734C">
        <w:rPr>
          <w:sz w:val="24"/>
          <w:szCs w:val="24"/>
        </w:rPr>
        <w:t>Non-paper</w:t>
      </w:r>
    </w:p>
    <w:p w14:paraId="471F55D4" w14:textId="77777777" w:rsidR="00626BFD" w:rsidRPr="007E7D90" w:rsidRDefault="00626BFD" w:rsidP="00626BFD">
      <w:pPr>
        <w:keepNext/>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The Conference of the Parties</w:t>
      </w:r>
      <w:r w:rsidRPr="007E7D90">
        <w:rPr>
          <w:rFonts w:eastAsia="Times New Roman"/>
          <w:szCs w:val="24"/>
          <w:lang w:val="en-GB"/>
        </w:rPr>
        <w:t>,</w:t>
      </w:r>
    </w:p>
    <w:p w14:paraId="182C8660"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Recalling</w:t>
      </w:r>
      <w:r w:rsidRPr="007E7D90">
        <w:rPr>
          <w:rFonts w:eastAsia="Times New Roman"/>
          <w:szCs w:val="24"/>
          <w:lang w:val="en-GB"/>
        </w:rPr>
        <w:t xml:space="preserve"> decisions XIII/23 of 17 December 2016, </w:t>
      </w:r>
      <w:proofErr w:type="gramStart"/>
      <w:r w:rsidRPr="007E7D90">
        <w:rPr>
          <w:rFonts w:eastAsia="Times New Roman"/>
          <w:szCs w:val="24"/>
          <w:lang w:val="en-GB"/>
        </w:rPr>
        <w:t>14/23</w:t>
      </w:r>
      <w:proofErr w:type="gramEnd"/>
      <w:r w:rsidRPr="007E7D90">
        <w:rPr>
          <w:rFonts w:eastAsia="Times New Roman"/>
          <w:szCs w:val="24"/>
          <w:lang w:val="en-GB"/>
        </w:rPr>
        <w:t xml:space="preserve"> of 29 November 2018 and 15/8 of 19 December 2022,</w:t>
      </w:r>
    </w:p>
    <w:p w14:paraId="7F2BDAFA"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Taking note</w:t>
      </w:r>
      <w:r w:rsidRPr="007E7D90">
        <w:rPr>
          <w:rFonts w:eastAsia="Times New Roman"/>
          <w:szCs w:val="24"/>
          <w:lang w:val="en-GB"/>
        </w:rPr>
        <w:t xml:space="preserve"> of the progress report of the Secretariat of the Convention on Biological Diversity</w:t>
      </w:r>
      <w:r w:rsidRPr="007E7D90">
        <w:rPr>
          <w:rFonts w:eastAsia="Times New Roman"/>
          <w:szCs w:val="24"/>
          <w:vertAlign w:val="superscript"/>
          <w:lang w:val="en-GB"/>
        </w:rPr>
        <w:footnoteReference w:id="2"/>
      </w:r>
      <w:r w:rsidRPr="007E7D90">
        <w:rPr>
          <w:rFonts w:eastAsia="Times New Roman"/>
          <w:szCs w:val="24"/>
          <w:lang w:val="en-GB"/>
        </w:rPr>
        <w:t xml:space="preserve"> on the implementation of previous decisions on capacity-building and development, technical and scientific cooperation, the clearing-house mechanism and knowledge management,</w:t>
      </w:r>
      <w:r w:rsidRPr="007E7D90">
        <w:rPr>
          <w:rFonts w:eastAsia="Times New Roman"/>
          <w:szCs w:val="24"/>
          <w:vertAlign w:val="superscript"/>
          <w:lang w:val="en-GB"/>
        </w:rPr>
        <w:footnoteReference w:id="3"/>
      </w:r>
    </w:p>
    <w:p w14:paraId="507C9B4F"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Recognizing</w:t>
      </w:r>
      <w:r w:rsidRPr="007E7D90">
        <w:rPr>
          <w:rFonts w:eastAsia="Times New Roman"/>
          <w:szCs w:val="24"/>
          <w:lang w:val="en-GB"/>
        </w:rPr>
        <w:t xml:space="preserve"> the importance of coordinated action on capacity-building and development, technical and scientific cooperation, technology transfer, the clearing-house mechanism and knowledge management in supporting the implementation of the Kunming-Montreal Global Biodiversity Framework,</w:t>
      </w:r>
      <w:r w:rsidRPr="007E7D90">
        <w:rPr>
          <w:rFonts w:eastAsia="Times New Roman"/>
          <w:szCs w:val="24"/>
          <w:vertAlign w:val="superscript"/>
          <w:lang w:val="en-GB"/>
        </w:rPr>
        <w:footnoteReference w:id="4"/>
      </w:r>
    </w:p>
    <w:p w14:paraId="575F1484" w14:textId="77777777" w:rsidR="00626BFD" w:rsidRPr="007E7D90" w:rsidRDefault="00626BFD" w:rsidP="00626BFD">
      <w:pPr>
        <w:tabs>
          <w:tab w:val="clear" w:pos="567"/>
          <w:tab w:val="clear" w:pos="1134"/>
          <w:tab w:val="clear" w:pos="1701"/>
        </w:tabs>
        <w:spacing w:before="120" w:after="120"/>
        <w:ind w:left="567" w:firstLine="567"/>
        <w:rPr>
          <w:rFonts w:eastAsia="Times New Roman"/>
          <w:szCs w:val="24"/>
          <w:lang w:val="en-GB"/>
        </w:rPr>
      </w:pPr>
      <w:r w:rsidRPr="007E7D90">
        <w:rPr>
          <w:rFonts w:eastAsia="Times New Roman"/>
          <w:i/>
          <w:iCs/>
          <w:szCs w:val="24"/>
          <w:lang w:val="en-GB"/>
        </w:rPr>
        <w:t xml:space="preserve">Stressing </w:t>
      </w:r>
      <w:r w:rsidRPr="007E7D90">
        <w:rPr>
          <w:rFonts w:eastAsia="Times New Roman"/>
          <w:szCs w:val="24"/>
          <w:lang w:val="en-GB"/>
        </w:rPr>
        <w:t>the need to operationalize the technical and scientific cooperation mechanism as soon as possible to support the implementation of the Framework,</w:t>
      </w:r>
    </w:p>
    <w:p w14:paraId="75A2FE97" w14:textId="77777777" w:rsidR="00626BFD" w:rsidRPr="007E7D90" w:rsidRDefault="00626BFD" w:rsidP="00626BFD">
      <w:pPr>
        <w:tabs>
          <w:tab w:val="clear" w:pos="567"/>
          <w:tab w:val="clear" w:pos="1134"/>
          <w:tab w:val="clear" w:pos="1701"/>
        </w:tabs>
        <w:spacing w:before="120" w:after="120"/>
        <w:ind w:left="567" w:firstLine="567"/>
        <w:rPr>
          <w:rFonts w:eastAsiaTheme="majorEastAsia"/>
          <w:lang w:val="en-GB"/>
        </w:rPr>
      </w:pPr>
      <w:r w:rsidRPr="007E7D90">
        <w:rPr>
          <w:rFonts w:eastAsiaTheme="majorEastAsia"/>
          <w:i/>
          <w:lang w:val="en-GB"/>
        </w:rPr>
        <w:t>Noting with appreciation</w:t>
      </w:r>
      <w:r w:rsidRPr="007E7D90">
        <w:rPr>
          <w:rFonts w:eastAsiaTheme="majorEastAsia"/>
          <w:lang w:val="en-GB"/>
        </w:rPr>
        <w:t xml:space="preserve"> the work undertaken by the Informal Advisory Group on Technical and Scientific Cooperation during the intersessional period,</w:t>
      </w:r>
    </w:p>
    <w:p w14:paraId="090DE39D" w14:textId="77777777" w:rsidR="00626BFD" w:rsidRPr="007E7D90" w:rsidRDefault="00626BFD" w:rsidP="00626BFD">
      <w:pPr>
        <w:tabs>
          <w:tab w:val="clear" w:pos="567"/>
          <w:tab w:val="clear" w:pos="1134"/>
          <w:tab w:val="clear" w:pos="1701"/>
        </w:tabs>
        <w:spacing w:before="120" w:after="120"/>
        <w:ind w:left="567" w:firstLine="567"/>
        <w:rPr>
          <w:rFonts w:eastAsiaTheme="majorEastAsia"/>
          <w:szCs w:val="24"/>
          <w:lang w:val="en-GB"/>
        </w:rPr>
      </w:pPr>
      <w:r w:rsidRPr="007E7D90">
        <w:rPr>
          <w:rFonts w:eastAsiaTheme="majorEastAsia"/>
          <w:i/>
          <w:lang w:val="en-GB"/>
        </w:rPr>
        <w:t>Noting</w:t>
      </w:r>
      <w:r w:rsidRPr="007E7D90">
        <w:rPr>
          <w:rFonts w:eastAsiaTheme="majorEastAsia"/>
          <w:iCs/>
          <w:lang w:val="en-GB"/>
        </w:rPr>
        <w:t xml:space="preserve"> the progress made on the operationalization of the technical and scientific cooperation mechanism,</w:t>
      </w:r>
    </w:p>
    <w:p w14:paraId="74E1C224" w14:textId="77777777" w:rsidR="00626BFD" w:rsidRPr="007E7D90" w:rsidRDefault="00626BFD" w:rsidP="00626BFD">
      <w:pPr>
        <w:tabs>
          <w:tab w:val="clear" w:pos="567"/>
          <w:tab w:val="clear" w:pos="1134"/>
          <w:tab w:val="clear" w:pos="1701"/>
        </w:tabs>
        <w:spacing w:before="120" w:after="120"/>
        <w:ind w:left="567" w:firstLine="567"/>
        <w:rPr>
          <w:rFonts w:eastAsia="Times New Roman"/>
          <w:lang w:val="en-GB"/>
        </w:rPr>
      </w:pPr>
      <w:r w:rsidRPr="007E7D90">
        <w:rPr>
          <w:rFonts w:eastAsia="Times New Roman"/>
          <w:i/>
          <w:iCs/>
          <w:lang w:val="en-GB"/>
        </w:rPr>
        <w:t xml:space="preserve">Emphasizing </w:t>
      </w:r>
      <w:r w:rsidRPr="007E7D90">
        <w:rPr>
          <w:rFonts w:eastAsia="Times New Roman"/>
          <w:lang w:val="en-GB"/>
        </w:rPr>
        <w:t>that the effective implementation of the Framework and of the national biodiversity strategies and action plans relies on the facilitation of technical and scientific cooperation and access to and transfer of technology, including from developed country Parties to developing country Parties,</w:t>
      </w:r>
    </w:p>
    <w:p w14:paraId="13E1E38E" w14:textId="77777777" w:rsidR="00626BFD" w:rsidRPr="007E7D90" w:rsidRDefault="00626BFD" w:rsidP="00626BFD">
      <w:pPr>
        <w:tabs>
          <w:tab w:val="clear" w:pos="567"/>
          <w:tab w:val="clear" w:pos="1134"/>
          <w:tab w:val="clear" w:pos="1701"/>
        </w:tabs>
        <w:spacing w:before="120" w:after="120"/>
        <w:ind w:left="567" w:firstLine="567"/>
        <w:rPr>
          <w:rFonts w:eastAsia="Times New Roman"/>
          <w:lang w:val="en-GB"/>
        </w:rPr>
      </w:pPr>
      <w:r w:rsidRPr="007E7D90">
        <w:rPr>
          <w:rFonts w:eastAsia="Times New Roman"/>
          <w:i/>
          <w:iCs/>
          <w:lang w:val="en-GB"/>
        </w:rPr>
        <w:t>Recognizing</w:t>
      </w:r>
      <w:r w:rsidRPr="007E7D90">
        <w:rPr>
          <w:rFonts w:eastAsia="Times New Roman"/>
          <w:lang w:val="en-GB"/>
        </w:rPr>
        <w:t xml:space="preserve"> the urgent need to address scientific, technological and innovation capability gaps identified</w:t>
      </w:r>
      <w:proofErr w:type="gramStart"/>
      <w:r w:rsidRPr="007E7D90">
        <w:rPr>
          <w:rFonts w:eastAsia="Times New Roman"/>
          <w:lang w:val="en-GB"/>
        </w:rPr>
        <w:t>, in particular, in</w:t>
      </w:r>
      <w:proofErr w:type="gramEnd"/>
      <w:r w:rsidRPr="007E7D90">
        <w:rPr>
          <w:rFonts w:eastAsia="Times New Roman"/>
          <w:lang w:val="en-GB"/>
        </w:rPr>
        <w:t xml:space="preserve"> developing country Parties,</w:t>
      </w:r>
    </w:p>
    <w:p w14:paraId="5BE37775" w14:textId="77777777" w:rsidR="00626BFD" w:rsidRPr="007E7D90" w:rsidRDefault="00626BFD" w:rsidP="00626BFD">
      <w:pPr>
        <w:keepNext/>
        <w:tabs>
          <w:tab w:val="clear" w:pos="567"/>
          <w:tab w:val="clear" w:pos="1134"/>
          <w:tab w:val="clear" w:pos="1701"/>
        </w:tabs>
        <w:spacing w:before="120" w:after="120"/>
        <w:ind w:left="567" w:hanging="567"/>
        <w:rPr>
          <w:rFonts w:eastAsia="Times New Roman"/>
          <w:b/>
          <w:bCs/>
          <w:sz w:val="24"/>
          <w:szCs w:val="24"/>
          <w:lang w:val="en-GB"/>
        </w:rPr>
      </w:pPr>
      <w:r w:rsidRPr="007E7D90">
        <w:rPr>
          <w:rFonts w:eastAsia="Times New Roman"/>
          <w:b/>
          <w:bCs/>
          <w:sz w:val="24"/>
          <w:szCs w:val="24"/>
          <w:lang w:val="en-GB"/>
        </w:rPr>
        <w:t>I.</w:t>
      </w:r>
      <w:r w:rsidRPr="007E7D90">
        <w:rPr>
          <w:rFonts w:eastAsia="Times New Roman"/>
          <w:b/>
          <w:bCs/>
          <w:sz w:val="24"/>
          <w:szCs w:val="24"/>
          <w:lang w:val="en-GB"/>
        </w:rPr>
        <w:tab/>
        <w:t>Capacity-building and development</w:t>
      </w:r>
    </w:p>
    <w:p w14:paraId="406A982C"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p w14:paraId="545CB39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w:t>
      </w:r>
      <w:r w:rsidRPr="007E7D90">
        <w:rPr>
          <w:rFonts w:eastAsia="Times New Roman"/>
          <w:szCs w:val="24"/>
          <w:lang w:val="en-GB"/>
        </w:rPr>
        <w:tab/>
      </w:r>
      <w:r w:rsidRPr="007E7D90">
        <w:rPr>
          <w:rFonts w:eastAsia="Times New Roman"/>
          <w:i/>
          <w:szCs w:val="24"/>
          <w:lang w:val="en-GB"/>
        </w:rPr>
        <w:t>Invites</w:t>
      </w:r>
      <w:r w:rsidRPr="007E7D90">
        <w:rPr>
          <w:rFonts w:eastAsia="Times New Roman"/>
          <w:szCs w:val="24"/>
          <w:lang w:val="en-GB"/>
        </w:rPr>
        <w:t xml:space="preserve"> Parties and other Governments, in partnership with indigenous peoples and local communities, women and youth representatives and other relevant stakeholders, to continue to </w:t>
      </w:r>
      <w:r w:rsidRPr="007E7D90">
        <w:rPr>
          <w:rFonts w:eastAsia="Times New Roman"/>
          <w:szCs w:val="24"/>
          <w:lang w:val="en-GB"/>
        </w:rPr>
        <w:lastRenderedPageBreak/>
        <w:t>identify and share their biodiversity-related capacity-building and development needs, including for technology assessment, through the central portal of the clearing-house mechanism, and invites</w:t>
      </w:r>
      <w:r w:rsidRPr="007E7D90">
        <w:rPr>
          <w:rFonts w:eastAsia="Times New Roman"/>
          <w:i/>
          <w:iCs/>
          <w:szCs w:val="24"/>
          <w:lang w:val="en-GB"/>
        </w:rPr>
        <w:t xml:space="preserve"> </w:t>
      </w:r>
      <w:r w:rsidRPr="007E7D90">
        <w:rPr>
          <w:rFonts w:eastAsia="Times New Roman"/>
          <w:szCs w:val="24"/>
          <w:lang w:val="en-GB"/>
        </w:rPr>
        <w:t>Parties, other Governments and relevant organizations to offer support to address the capacity needs thus identified;</w:t>
      </w:r>
    </w:p>
    <w:p w14:paraId="03618484"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3.</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according to their needs, circumstances and local contexts, other Governments and relevant organizations to continue to implement the long-term strategic framework for capacity-building and development,</w:t>
      </w:r>
      <w:r w:rsidRPr="007E7D90">
        <w:rPr>
          <w:rFonts w:eastAsia="Times New Roman"/>
          <w:szCs w:val="24"/>
          <w:vertAlign w:val="superscript"/>
          <w:lang w:val="en-GB"/>
        </w:rPr>
        <w:footnoteReference w:id="5"/>
      </w:r>
      <w:r w:rsidRPr="007E7D90">
        <w:rPr>
          <w:rFonts w:eastAsia="Times New Roman"/>
          <w:szCs w:val="24"/>
          <w:lang w:val="en-GB"/>
        </w:rPr>
        <w:t xml:space="preserve"> including through the development of dedicated biodiversity capacity-building and development action plans and programmes, as appropriate;</w:t>
      </w:r>
    </w:p>
    <w:p w14:paraId="4F257054" w14:textId="77777777" w:rsidR="00626BFD" w:rsidRPr="007E7D90" w:rsidRDefault="00626BFD" w:rsidP="00626BFD">
      <w:pPr>
        <w:tabs>
          <w:tab w:val="clear" w:pos="567"/>
          <w:tab w:val="clear" w:pos="1134"/>
        </w:tabs>
        <w:spacing w:before="120" w:after="120"/>
        <w:ind w:left="567" w:firstLine="594"/>
        <w:rPr>
          <w:rFonts w:eastAsia="Times New Roman"/>
          <w:lang w:val="en-GB"/>
        </w:rPr>
      </w:pPr>
      <w:r w:rsidRPr="007E7D90">
        <w:rPr>
          <w:rFonts w:eastAsia="Times New Roman"/>
          <w:szCs w:val="24"/>
          <w:lang w:val="en-GB"/>
        </w:rPr>
        <w:t>4.</w:t>
      </w:r>
      <w:r w:rsidRPr="007E7D90">
        <w:rPr>
          <w:rFonts w:eastAsia="Times New Roman"/>
          <w:szCs w:val="24"/>
          <w:lang w:val="en-GB"/>
        </w:rPr>
        <w:tab/>
      </w:r>
      <w:r w:rsidRPr="007E7D90">
        <w:rPr>
          <w:rFonts w:eastAsia="Times New Roman"/>
          <w:i/>
          <w:iCs/>
          <w:szCs w:val="24"/>
          <w:lang w:val="en-GB"/>
        </w:rPr>
        <w:t>Welcomes</w:t>
      </w:r>
      <w:r w:rsidRPr="007E7D90">
        <w:rPr>
          <w:rFonts w:eastAsia="Times New Roman"/>
          <w:szCs w:val="24"/>
          <w:lang w:val="en-GB"/>
        </w:rPr>
        <w:t xml:space="preserve"> the indicators proposed by the Informal Advisory Group </w:t>
      </w:r>
      <w:r w:rsidRPr="007E7D90">
        <w:rPr>
          <w:rFonts w:eastAsiaTheme="majorEastAsia"/>
          <w:lang w:val="en-GB"/>
        </w:rPr>
        <w:t xml:space="preserve">on Technical and Scientific Cooperation </w:t>
      </w:r>
      <w:r w:rsidRPr="007E7D90">
        <w:rPr>
          <w:rFonts w:eastAsia="Times New Roman"/>
          <w:szCs w:val="24"/>
          <w:lang w:val="en-GB"/>
        </w:rPr>
        <w:t xml:space="preserve">in document CBD/TSC/IAG/2024/1/2 to be </w:t>
      </w:r>
      <w:r w:rsidRPr="007E7D90">
        <w:rPr>
          <w:rFonts w:eastAsia="Times New Roman"/>
          <w:lang w:val="en-GB"/>
        </w:rPr>
        <w:t>used by the Group in monitoring progress in the implementation of the long-term strategic framework for capacity-building and development and the technical and scientific cooperation mechanism [and reflected in the online reporting tool for the national reports];</w:t>
      </w:r>
    </w:p>
    <w:p w14:paraId="6A531F14"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5.</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that the monitoring and reporting of progress </w:t>
      </w:r>
      <w:r w:rsidRPr="007E7D90">
        <w:rPr>
          <w:rFonts w:eastAsia="Times New Roman"/>
          <w:lang w:val="en-GB"/>
        </w:rPr>
        <w:t xml:space="preserve">in the implementation </w:t>
      </w:r>
      <w:r w:rsidRPr="007E7D90">
        <w:rPr>
          <w:rFonts w:eastAsia="Times New Roman"/>
          <w:szCs w:val="24"/>
          <w:lang w:val="en-GB"/>
        </w:rPr>
        <w:t>of the long-term strategic framework for capacity-building and development and the technical and scientific cooperation mechanism will be conducted as part of the process for monitoring and reporting of progress in the implementation of the Kunming-Montreal Global Biodiversity Framework, in line with decisions 15/6 of 19 December 2022 and 16/-- of [DATE],</w:t>
      </w:r>
      <w:r w:rsidRPr="007E7D90">
        <w:rPr>
          <w:rFonts w:eastAsia="Times New Roman"/>
          <w:szCs w:val="24"/>
          <w:vertAlign w:val="superscript"/>
          <w:lang w:val="en-GB"/>
        </w:rPr>
        <w:footnoteReference w:id="6"/>
      </w:r>
      <w:r w:rsidRPr="007E7D90">
        <w:rPr>
          <w:rFonts w:eastAsia="Times New Roman"/>
          <w:szCs w:val="24"/>
          <w:lang w:val="en-GB"/>
        </w:rPr>
        <w:t xml:space="preserve"> making use of information contained in the progress reports prepared by the global coordination entity and the regional and subregional support centres, national reports submitted by Parties [and reports submitted by non-State actors];</w:t>
      </w:r>
    </w:p>
    <w:p w14:paraId="11DC36EF"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[6.</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Informal Advisory Group to identify suitable options to further address the technological, technical and institutional capability gaps identified, in particular by developing country Parties, with a focus on the targets of the Framework, especially those related to the Protocols of the Convention, for consideration by the Subsidiary Body on Implementation at a meeting held before the seventeenth meeting of the Conference of the Parties and by the Conference of the Parties at its seventeenth meeting;]</w:t>
      </w:r>
    </w:p>
    <w:p w14:paraId="48341B2E"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7.</w:t>
      </w:r>
      <w:r w:rsidRPr="007E7D90">
        <w:rPr>
          <w:rFonts w:eastAsia="Times New Roman"/>
          <w:szCs w:val="24"/>
          <w:lang w:val="en-GB"/>
        </w:rPr>
        <w:tab/>
      </w:r>
      <w:r w:rsidRPr="007E7D90">
        <w:rPr>
          <w:rFonts w:eastAsia="Times New Roman"/>
          <w:i/>
          <w:iCs/>
          <w:szCs w:val="24"/>
          <w:lang w:val="en-GB"/>
        </w:rPr>
        <w:t>Also</w:t>
      </w:r>
      <w:r w:rsidRPr="007E7D90">
        <w:rPr>
          <w:rFonts w:eastAsia="Times New Roman"/>
          <w:szCs w:val="24"/>
          <w:lang w:val="en-GB"/>
        </w:rPr>
        <w:t xml:space="preserve"> </w:t>
      </w:r>
      <w:r w:rsidRPr="007E7D90">
        <w:rPr>
          <w:rFonts w:eastAsia="Times New Roman"/>
          <w:i/>
          <w:iCs/>
          <w:szCs w:val="24"/>
          <w:lang w:val="en-GB"/>
        </w:rPr>
        <w:t>requests</w:t>
      </w:r>
      <w:r w:rsidRPr="007E7D90">
        <w:rPr>
          <w:rFonts w:eastAsia="Times New Roman"/>
          <w:szCs w:val="24"/>
          <w:lang w:val="en-GB"/>
        </w:rPr>
        <w:t xml:space="preserve">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using, among other things, the relevant indicators of the monitoring framework for the Kunming-Montreal Global Biodiversity Framework, including those for Target 20, for consideration by the Subsidiary Body on Implementation at a meeting held before the seventeenth meeting of the Conference of the Parties and by the Conference of the Parties at its seventeenth meeting;</w:t>
      </w:r>
    </w:p>
    <w:p w14:paraId="1203A1EF"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8.</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Executive Secretary, with the support of the Informal Advisory Group, and subject to the availability of resources: </w:t>
      </w:r>
    </w:p>
    <w:p w14:paraId="306808B8"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(a)</w:t>
      </w:r>
      <w:r w:rsidRPr="007E7D90">
        <w:rPr>
          <w:rFonts w:eastAsia="Times New Roman"/>
          <w:szCs w:val="24"/>
          <w:lang w:val="en-GB"/>
        </w:rPr>
        <w:tab/>
        <w:t>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technical and scientific cooperation support centres and relevant organizations;</w:t>
      </w:r>
    </w:p>
    <w:p w14:paraId="22234BD8"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(b)</w:t>
      </w:r>
      <w:r w:rsidRPr="007E7D90">
        <w:rPr>
          <w:rFonts w:eastAsia="Times New Roman"/>
          <w:szCs w:val="24"/>
          <w:lang w:val="en-GB"/>
        </w:rPr>
        <w:tab/>
        <w:t xml:space="preserve">To further identify and map, in collaboration with the regional and subregional technical and scientific cooperation support centres and the [global knowledge support service for </w:t>
      </w:r>
      <w:r w:rsidRPr="007E7D90">
        <w:rPr>
          <w:rFonts w:eastAsia="Times New Roman"/>
          <w:szCs w:val="24"/>
          <w:lang w:val="en-GB"/>
        </w:rPr>
        <w:lastRenderedPageBreak/>
        <w:t>biodiversity], initiatives and partnerships supporting capacity-building and development for the implementation of the Kunming-Montreal Global Biodiversity Framework in order to provide a global overview of their coverage, identify gaps, minimize the duplication of efforts and foster coordination and collaboration;</w:t>
      </w:r>
    </w:p>
    <w:p w14:paraId="3F215E82"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(c)</w:t>
      </w:r>
      <w:r w:rsidRPr="007E7D90">
        <w:rPr>
          <w:rFonts w:eastAsia="Times New Roman"/>
          <w:szCs w:val="24"/>
          <w:lang w:val="en-GB"/>
        </w:rPr>
        <w:tab/>
        <w:t>To share the information collected through the process referred to in subparagraph (b) above through the central portal of the clearing-house mechanism;</w:t>
      </w:r>
    </w:p>
    <w:p w14:paraId="7E336E2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(d)</w:t>
      </w:r>
      <w:r w:rsidRPr="007E7D90">
        <w:rPr>
          <w:rFonts w:eastAsia="Times New Roman"/>
          <w:szCs w:val="24"/>
          <w:lang w:val="en-GB"/>
        </w:rPr>
        <w:tab/>
        <w:t>To continue to develop and implement joint capacity-building activities and programmes with the Secretariats of the United Nations Framework Convention on Climate Change,</w:t>
      </w:r>
      <w:r w:rsidRPr="007E7D90">
        <w:rPr>
          <w:rFonts w:eastAsia="Times New Roman"/>
          <w:szCs w:val="24"/>
          <w:vertAlign w:val="superscript"/>
          <w:lang w:val="en-GB"/>
        </w:rPr>
        <w:footnoteReference w:id="7"/>
      </w:r>
      <w:r w:rsidRPr="007E7D90">
        <w:rPr>
          <w:rFonts w:eastAsia="Times New Roman"/>
          <w:szCs w:val="24"/>
          <w:lang w:val="en-GB"/>
        </w:rPr>
        <w:t xml:space="preserve"> the United Nations Convention to Combat Desertification in Those Countries Experiencing Serious Drought and/or Desertification, Particularly in Africa</w:t>
      </w:r>
      <w:r w:rsidRPr="007E7D90">
        <w:rPr>
          <w:rFonts w:eastAsia="Times New Roman"/>
          <w:szCs w:val="24"/>
          <w:vertAlign w:val="superscript"/>
          <w:lang w:val="en-GB"/>
        </w:rPr>
        <w:footnoteReference w:id="8"/>
      </w:r>
      <w:r w:rsidRPr="007E7D90">
        <w:rPr>
          <w:rFonts w:eastAsia="Times New Roman"/>
          <w:szCs w:val="24"/>
          <w:lang w:val="en-GB"/>
        </w:rPr>
        <w:t xml:space="preserve"> and the biodiversity-related conventions to strengthen cooperation, collaboration and synergies, as appropriate, in the implementation of the respective conventions and the achievement of the 2030 Agenda for Sustainable Development</w:t>
      </w:r>
      <w:r w:rsidRPr="007E7D90">
        <w:rPr>
          <w:rFonts w:eastAsia="Times New Roman"/>
          <w:szCs w:val="24"/>
          <w:vertAlign w:val="superscript"/>
          <w:lang w:val="en-GB"/>
        </w:rPr>
        <w:footnoteReference w:id="9"/>
      </w:r>
      <w:r w:rsidRPr="007E7D90">
        <w:rPr>
          <w:rFonts w:eastAsia="Times New Roman"/>
          <w:szCs w:val="24"/>
          <w:lang w:val="en-GB"/>
        </w:rPr>
        <w:t xml:space="preserve"> at the regional, subregional and national levels,</w:t>
      </w:r>
      <w:r w:rsidRPr="007E7D90">
        <w:rPr>
          <w:rFonts w:eastAsia="Times New Roman"/>
          <w:color w:val="000000"/>
          <w:lang w:val="en-GB"/>
        </w:rPr>
        <w:t xml:space="preserve"> while respecting their specific mandates</w:t>
      </w:r>
      <w:r w:rsidRPr="007E7D90">
        <w:rPr>
          <w:rFonts w:eastAsia="Times New Roman"/>
          <w:szCs w:val="24"/>
          <w:lang w:val="en-GB"/>
        </w:rPr>
        <w:t>;</w:t>
      </w:r>
    </w:p>
    <w:p w14:paraId="1616A318" w14:textId="77777777" w:rsidR="00626BFD" w:rsidRPr="007E7D90" w:rsidRDefault="00626BFD" w:rsidP="00626BFD">
      <w:pPr>
        <w:keepNext/>
        <w:tabs>
          <w:tab w:val="clear" w:pos="567"/>
          <w:tab w:val="clear" w:pos="1701"/>
          <w:tab w:val="clear" w:pos="2268"/>
        </w:tabs>
        <w:spacing w:before="240" w:after="120"/>
        <w:ind w:left="567" w:hanging="567"/>
        <w:rPr>
          <w:rFonts w:eastAsia="Times New Roman"/>
          <w:b/>
          <w:sz w:val="24"/>
          <w:szCs w:val="24"/>
          <w:lang w:val="en-GB"/>
        </w:rPr>
      </w:pPr>
      <w:r w:rsidRPr="007E7D90">
        <w:rPr>
          <w:rFonts w:eastAsia="Times New Roman"/>
          <w:b/>
          <w:bCs/>
          <w:iCs/>
          <w:sz w:val="24"/>
          <w:szCs w:val="24"/>
          <w:lang w:val="en-GB"/>
        </w:rPr>
        <w:t>II.</w:t>
      </w:r>
      <w:r w:rsidRPr="007E7D90">
        <w:rPr>
          <w:rFonts w:eastAsia="Times New Roman"/>
          <w:b/>
          <w:bCs/>
          <w:iCs/>
          <w:sz w:val="24"/>
          <w:szCs w:val="24"/>
          <w:lang w:val="en-GB"/>
        </w:rPr>
        <w:tab/>
      </w:r>
      <w:r w:rsidRPr="007E7D90">
        <w:rPr>
          <w:rFonts w:eastAsia="Times New Roman"/>
          <w:b/>
          <w:sz w:val="24"/>
          <w:szCs w:val="24"/>
          <w:lang w:val="en-GB"/>
        </w:rPr>
        <w:t>Technical and scientific cooperation and technology transfer</w:t>
      </w:r>
    </w:p>
    <w:p w14:paraId="7D7B952D" w14:textId="5956B9B3"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9.</w:t>
      </w:r>
      <w:r w:rsidRPr="007E7D90">
        <w:rPr>
          <w:rFonts w:eastAsia="Times New Roman"/>
          <w:szCs w:val="24"/>
          <w:lang w:val="en-GB"/>
        </w:rPr>
        <w:tab/>
      </w:r>
      <w:r w:rsidRPr="007E7D90">
        <w:rPr>
          <w:rFonts w:eastAsia="Times New Roman"/>
          <w:i/>
          <w:iCs/>
          <w:szCs w:val="24"/>
          <w:lang w:val="en-GB"/>
        </w:rPr>
        <w:t>Welcomes</w:t>
      </w:r>
      <w:r w:rsidRPr="007E7D90">
        <w:rPr>
          <w:rFonts w:eastAsia="Times New Roman"/>
          <w:szCs w:val="24"/>
          <w:lang w:val="en-GB"/>
        </w:rPr>
        <w:t xml:space="preserve"> the entities and organizations selected by the Bureau of the Conference of the Parties to host the regional and subregional technical and scientific cooperation support centres, as listed in annex I to the present decision;</w:t>
      </w:r>
      <w:r w:rsidRPr="007E7D90">
        <w:rPr>
          <w:rFonts w:eastAsiaTheme="majorEastAsia"/>
          <w:szCs w:val="24"/>
          <w:vertAlign w:val="superscript"/>
          <w:lang w:val="en-GB"/>
        </w:rPr>
        <w:footnoteReference w:id="10"/>
      </w:r>
    </w:p>
    <w:p w14:paraId="0916C7CD" w14:textId="1E3BD5BA"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10.</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that the global coordination entity of the technical and scientific cooperation mechanism will be hosted by the Secretariat of the Convention on Biological Diversity</w:t>
      </w:r>
      <w:r w:rsidR="001F2C02">
        <w:rPr>
          <w:rFonts w:eastAsia="Times New Roman"/>
          <w:szCs w:val="24"/>
          <w:lang w:val="en-GB"/>
        </w:rPr>
        <w:t>.</w:t>
      </w:r>
      <w:r w:rsidR="009E4120">
        <w:rPr>
          <w:rFonts w:eastAsia="Times New Roman"/>
          <w:szCs w:val="24"/>
          <w:lang w:val="en-GB"/>
        </w:rPr>
        <w:t xml:space="preserve"> </w:t>
      </w:r>
    </w:p>
    <w:p w14:paraId="49FBBF0A" w14:textId="54A24D78"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11.</w:t>
      </w:r>
      <w:r w:rsidRPr="007E7D90">
        <w:rPr>
          <w:rFonts w:eastAsia="Times New Roman"/>
          <w:szCs w:val="24"/>
          <w:lang w:val="en-GB"/>
        </w:rPr>
        <w:tab/>
        <w:t>[</w:t>
      </w:r>
      <w:r w:rsidRPr="007E7D90">
        <w:rPr>
          <w:rFonts w:eastAsia="Times New Roman"/>
          <w:i/>
          <w:szCs w:val="24"/>
          <w:lang w:val="en-GB"/>
        </w:rPr>
        <w:t>Adopts</w:t>
      </w:r>
      <w:r w:rsidRPr="007E7D90">
        <w:rPr>
          <w:rFonts w:eastAsia="Times New Roman"/>
          <w:iCs/>
          <w:szCs w:val="24"/>
          <w:lang w:val="en-GB"/>
        </w:rPr>
        <w:t>]</w:t>
      </w:r>
      <w:r w:rsidRPr="007E7D90">
        <w:rPr>
          <w:rFonts w:eastAsia="Times New Roman"/>
          <w:szCs w:val="24"/>
          <w:lang w:val="en-GB"/>
        </w:rPr>
        <w:t xml:space="preserve"> the modalities for operationalizing the global coordination entity of the technical and scientific cooperation mechanism, as contained in annex II to the present decision;</w:t>
      </w:r>
    </w:p>
    <w:p w14:paraId="59DCCBFB"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[12.</w:t>
      </w:r>
      <w:r w:rsidRPr="007E7D90">
        <w:rPr>
          <w:rFonts w:eastAsia="Times New Roman"/>
          <w:szCs w:val="24"/>
          <w:lang w:val="en-GB"/>
        </w:rPr>
        <w:tab/>
      </w:r>
      <w:r w:rsidRPr="007E7D90">
        <w:rPr>
          <w:rFonts w:eastAsia="Times New Roman"/>
          <w:i/>
          <w:iCs/>
          <w:szCs w:val="24"/>
          <w:lang w:val="en-GB"/>
        </w:rPr>
        <w:t xml:space="preserve">Requests </w:t>
      </w:r>
      <w:r w:rsidRPr="007E7D90">
        <w:rPr>
          <w:rFonts w:eastAsia="Times New Roman"/>
          <w:szCs w:val="24"/>
          <w:lang w:val="en-GB"/>
        </w:rPr>
        <w:t>the global coordination entity to apply the operational modalities and procedures outlined in section III of annex II to the present decision;]</w:t>
      </w:r>
    </w:p>
    <w:p w14:paraId="068A44D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13.</w:t>
      </w:r>
      <w:r w:rsidRPr="007E7D90">
        <w:rPr>
          <w:rFonts w:eastAsia="Times New Roman"/>
          <w:szCs w:val="24"/>
          <w:lang w:val="en-GB"/>
        </w:rPr>
        <w:tab/>
      </w:r>
      <w:r w:rsidRPr="007E7D90">
        <w:rPr>
          <w:rFonts w:eastAsia="Times New Roman"/>
          <w:i/>
          <w:szCs w:val="24"/>
          <w:lang w:val="en-GB"/>
        </w:rPr>
        <w:t>Decides</w:t>
      </w:r>
      <w:r w:rsidRPr="007E7D90">
        <w:rPr>
          <w:rFonts w:eastAsia="Times New Roman"/>
          <w:szCs w:val="24"/>
          <w:lang w:val="en-GB"/>
        </w:rPr>
        <w:t xml:space="preserve"> that, in the interim, and taking paragraph 28 of decision 15/8 into account, the Bio-Bridge Initiative will continue to provide coordination support until the global coordination entity is established and fully operationalized;</w:t>
      </w:r>
    </w:p>
    <w:p w14:paraId="01807C4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14.</w:t>
      </w:r>
      <w:r w:rsidRPr="007E7D90">
        <w:rPr>
          <w:rFonts w:eastAsia="Times New Roman"/>
          <w:szCs w:val="24"/>
          <w:lang w:val="en-GB"/>
        </w:rPr>
        <w:tab/>
      </w:r>
      <w:r w:rsidRPr="007E7D90">
        <w:rPr>
          <w:rFonts w:eastAsia="Times New Roman"/>
          <w:i/>
          <w:iCs/>
          <w:szCs w:val="24"/>
          <w:lang w:val="en-GB"/>
        </w:rPr>
        <w:t>Encourages</w:t>
      </w:r>
      <w:r w:rsidRPr="007E7D90">
        <w:rPr>
          <w:rFonts w:eastAsia="Times New Roman"/>
          <w:szCs w:val="24"/>
          <w:lang w:val="en-GB"/>
        </w:rPr>
        <w:t xml:space="preserve"> the global coordination entity and the regional and subregional support centres to mobilize the necessary funding from various sources, including international and domestic, public and private sources, as well as the financial and in-kind contributions of the entities and organizations selected to host the centres, to support the operationalization and activities of the technical and scientific cooperation mechanism; </w:t>
      </w:r>
    </w:p>
    <w:p w14:paraId="392B4BF0" w14:textId="00C89272" w:rsidR="00626BFD"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15.</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selected regional and subregional support centres to develop, with the support of the global coordination entity and the Informal Advisory Group, a biennial workplan for the period 2025–2026, in line with the mandate specified in paragraph 26 of decision 15/8 and the guidance provided in</w:t>
      </w:r>
      <w:r w:rsidR="008178CC">
        <w:rPr>
          <w:rFonts w:eastAsia="Times New Roman"/>
          <w:szCs w:val="24"/>
          <w:lang w:val="en-GB"/>
        </w:rPr>
        <w:t xml:space="preserve"> document</w:t>
      </w:r>
      <w:r w:rsidRPr="007E7D90">
        <w:rPr>
          <w:rFonts w:eastAsia="Times New Roman"/>
          <w:szCs w:val="24"/>
          <w:lang w:val="en-GB"/>
        </w:rPr>
        <w:t xml:space="preserve"> </w:t>
      </w:r>
      <w:r w:rsidR="001F2C02">
        <w:rPr>
          <w:rFonts w:eastAsia="Times New Roman"/>
          <w:szCs w:val="24"/>
          <w:lang w:val="en-GB"/>
        </w:rPr>
        <w:t>CBD</w:t>
      </w:r>
      <w:r w:rsidR="00296284">
        <w:rPr>
          <w:rFonts w:eastAsia="Times New Roman"/>
          <w:szCs w:val="24"/>
          <w:lang w:val="en-GB"/>
        </w:rPr>
        <w:t>/COP/16/INF/</w:t>
      </w:r>
      <w:r w:rsidR="001F2C02">
        <w:rPr>
          <w:rFonts w:eastAsia="Times New Roman"/>
          <w:szCs w:val="24"/>
          <w:lang w:val="en-GB"/>
        </w:rPr>
        <w:t>24 s</w:t>
      </w:r>
      <w:r w:rsidRPr="007E7D90">
        <w:rPr>
          <w:rFonts w:eastAsia="Times New Roman"/>
          <w:szCs w:val="24"/>
          <w:lang w:val="en-GB"/>
        </w:rPr>
        <w:t>;</w:t>
      </w:r>
    </w:p>
    <w:p w14:paraId="03AE89D5" w14:textId="594696CB" w:rsidR="00BA4007" w:rsidRPr="007E7D90" w:rsidRDefault="0057318A" w:rsidP="00E53950">
      <w:pPr>
        <w:tabs>
          <w:tab w:val="clear" w:pos="567"/>
          <w:tab w:val="clear" w:pos="1134"/>
        </w:tabs>
        <w:spacing w:before="120" w:after="120"/>
        <w:ind w:left="567" w:firstLine="567"/>
        <w:rPr>
          <w:rFonts w:eastAsia="Times New Roman"/>
          <w:szCs w:val="24"/>
          <w:lang w:val="en-GB"/>
        </w:rPr>
      </w:pPr>
      <w:r>
        <w:rPr>
          <w:rFonts w:eastAsia="Times New Roman"/>
          <w:szCs w:val="24"/>
          <w:lang w:val="en-GB"/>
        </w:rPr>
        <w:t xml:space="preserve">15 bis </w:t>
      </w:r>
      <w:r w:rsidRPr="008B1D51">
        <w:rPr>
          <w:rFonts w:eastAsia="Times New Roman"/>
          <w:i/>
          <w:iCs/>
          <w:szCs w:val="24"/>
          <w:lang w:val="en-GB"/>
        </w:rPr>
        <w:t>Requests</w:t>
      </w:r>
      <w:r>
        <w:rPr>
          <w:rFonts w:eastAsia="Times New Roman"/>
          <w:szCs w:val="24"/>
          <w:lang w:val="en-GB"/>
        </w:rPr>
        <w:t xml:space="preserve"> </w:t>
      </w:r>
      <w:r w:rsidR="008545C7">
        <w:rPr>
          <w:rFonts w:eastAsia="Times New Roman"/>
          <w:szCs w:val="24"/>
          <w:lang w:val="en-GB"/>
        </w:rPr>
        <w:t>the Bureau of the Conference of the Parties to consider</w:t>
      </w:r>
      <w:r w:rsidR="00A02404">
        <w:rPr>
          <w:rFonts w:eastAsia="Times New Roman"/>
          <w:szCs w:val="24"/>
          <w:lang w:val="en-GB"/>
        </w:rPr>
        <w:t xml:space="preserve"> and approve</w:t>
      </w:r>
      <w:r w:rsidR="00C9729D">
        <w:rPr>
          <w:rFonts w:eastAsia="Times New Roman"/>
          <w:szCs w:val="24"/>
          <w:lang w:val="en-GB"/>
        </w:rPr>
        <w:t>,</w:t>
      </w:r>
      <w:r w:rsidR="008545C7">
        <w:rPr>
          <w:rFonts w:eastAsia="Times New Roman"/>
          <w:szCs w:val="24"/>
          <w:lang w:val="en-GB"/>
        </w:rPr>
        <w:t xml:space="preserve"> </w:t>
      </w:r>
      <w:r w:rsidR="00C9729D">
        <w:rPr>
          <w:rFonts w:eastAsia="Times New Roman"/>
          <w:szCs w:val="24"/>
          <w:lang w:val="en-GB"/>
        </w:rPr>
        <w:t>on an interim basis</w:t>
      </w:r>
      <w:r w:rsidR="00E53950">
        <w:rPr>
          <w:rFonts w:eastAsia="Times New Roman"/>
          <w:szCs w:val="24"/>
          <w:lang w:val="en-GB"/>
        </w:rPr>
        <w:t>,</w:t>
      </w:r>
      <w:r w:rsidR="00C9729D">
        <w:rPr>
          <w:rFonts w:eastAsia="Times New Roman"/>
          <w:szCs w:val="24"/>
          <w:lang w:val="en-GB"/>
        </w:rPr>
        <w:t xml:space="preserve"> </w:t>
      </w:r>
      <w:r w:rsidR="008545C7">
        <w:rPr>
          <w:rFonts w:eastAsiaTheme="majorEastAsia"/>
          <w:szCs w:val="24"/>
          <w:lang w:val="en-GB"/>
        </w:rPr>
        <w:t>the first program</w:t>
      </w:r>
      <w:r w:rsidR="00397E5E">
        <w:rPr>
          <w:rFonts w:eastAsiaTheme="majorEastAsia"/>
          <w:szCs w:val="24"/>
          <w:lang w:val="en-GB"/>
        </w:rPr>
        <w:t>me</w:t>
      </w:r>
      <w:r w:rsidR="008545C7">
        <w:rPr>
          <w:rFonts w:eastAsiaTheme="majorEastAsia"/>
          <w:szCs w:val="24"/>
          <w:lang w:val="en-GB"/>
        </w:rPr>
        <w:t xml:space="preserve"> priorities</w:t>
      </w:r>
      <w:r w:rsidR="00C9729D">
        <w:rPr>
          <w:rFonts w:eastAsiaTheme="majorEastAsia"/>
          <w:szCs w:val="24"/>
          <w:lang w:val="en-GB"/>
        </w:rPr>
        <w:t xml:space="preserve"> and </w:t>
      </w:r>
      <w:proofErr w:type="gramStart"/>
      <w:r w:rsidR="008545C7">
        <w:rPr>
          <w:rFonts w:eastAsiaTheme="majorEastAsia"/>
          <w:szCs w:val="24"/>
          <w:lang w:val="en-GB"/>
        </w:rPr>
        <w:t>workplan ,</w:t>
      </w:r>
      <w:proofErr w:type="gramEnd"/>
      <w:r w:rsidR="008545C7">
        <w:rPr>
          <w:rFonts w:eastAsiaTheme="majorEastAsia"/>
          <w:szCs w:val="24"/>
          <w:lang w:val="en-GB"/>
        </w:rPr>
        <w:t xml:space="preserve"> </w:t>
      </w:r>
      <w:r w:rsidR="002A04B4">
        <w:rPr>
          <w:rFonts w:eastAsiaTheme="majorEastAsia"/>
          <w:szCs w:val="24"/>
          <w:lang w:val="en-GB"/>
        </w:rPr>
        <w:t xml:space="preserve">of the global coordination entity following its </w:t>
      </w:r>
      <w:r w:rsidR="006915DF">
        <w:rPr>
          <w:rFonts w:eastAsiaTheme="majorEastAsia"/>
          <w:szCs w:val="24"/>
          <w:lang w:val="en-GB"/>
        </w:rPr>
        <w:t>establishment</w:t>
      </w:r>
      <w:r w:rsidR="009E7F5B">
        <w:rPr>
          <w:rFonts w:eastAsiaTheme="majorEastAsia"/>
          <w:szCs w:val="24"/>
          <w:lang w:val="en-GB"/>
        </w:rPr>
        <w:t>.</w:t>
      </w:r>
      <w:r w:rsidR="008545C7">
        <w:rPr>
          <w:rFonts w:eastAsiaTheme="majorEastAsia"/>
          <w:szCs w:val="24"/>
          <w:lang w:val="en-GB"/>
        </w:rPr>
        <w:t xml:space="preserve"> </w:t>
      </w:r>
    </w:p>
    <w:p w14:paraId="4D0D01DE"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16.</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and, as appropriate, indigenous peoples and local communities, women and youth organizations and other relevant stakeholders to make full use of the regional and subregional support centres to strengthen their capacities and to cooperate with one another to foster </w:t>
      </w:r>
      <w:r w:rsidRPr="007E7D90">
        <w:rPr>
          <w:rFonts w:eastAsia="Times New Roman"/>
          <w:szCs w:val="24"/>
          <w:lang w:val="en-GB"/>
        </w:rPr>
        <w:lastRenderedPageBreak/>
        <w:t>the effective use of science, various sources of knowledge, technologies and innovations, including the traditional knowledge, innovations and practices of indigenous peoples and local communities, with their free, prior and informed consent,</w:t>
      </w:r>
      <w:r w:rsidRPr="007E7D90">
        <w:rPr>
          <w:rFonts w:eastAsia="Times New Roman"/>
          <w:szCs w:val="24"/>
          <w:vertAlign w:val="superscript"/>
          <w:lang w:val="en-GB"/>
        </w:rPr>
        <w:footnoteReference w:id="11"/>
      </w:r>
      <w:r w:rsidRPr="007E7D90">
        <w:rPr>
          <w:rFonts w:eastAsia="Times New Roman"/>
          <w:szCs w:val="24"/>
          <w:lang w:val="en-GB"/>
        </w:rPr>
        <w:t xml:space="preserve"> to support the implementation of the Convention and its Protocols and the Kunming-Montreal Global Biodiversity Framework;</w:t>
      </w:r>
    </w:p>
    <w:p w14:paraId="070D722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17.</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regional and subregional support centres to collaborate among themselves and with Parties, relevant organizations, the Consortium of Scientific Partners on Biodiversity and development cooperation agencies in the delivery of support to Parties in the respective regions and subregions to consider filling gaps in geographical and thematic coverage and foster programmatic coordination, complementarity and synergy, including through the establishment of memorandums of understanding, as appropriate;</w:t>
      </w:r>
    </w:p>
    <w:p w14:paraId="29DFEC40" w14:textId="77777777" w:rsidR="00626BFD" w:rsidRPr="007E7D90" w:rsidRDefault="00626BFD" w:rsidP="00626BFD">
      <w:pPr>
        <w:tabs>
          <w:tab w:val="clear" w:pos="567"/>
          <w:tab w:val="clear" w:pos="1134"/>
        </w:tabs>
        <w:spacing w:before="120" w:after="120"/>
        <w:ind w:left="567" w:firstLine="567"/>
        <w:rPr>
          <w:rFonts w:eastAsia="Times New Roman"/>
          <w:szCs w:val="24"/>
        </w:rPr>
      </w:pPr>
      <w:r w:rsidRPr="007E7D90">
        <w:rPr>
          <w:rFonts w:eastAsia="Times New Roman"/>
          <w:szCs w:val="24"/>
          <w:lang w:val="en-GB"/>
        </w:rPr>
        <w:t>18.</w:t>
      </w:r>
      <w:r w:rsidRPr="007E7D90">
        <w:rPr>
          <w:rFonts w:eastAsia="Times New Roman"/>
          <w:szCs w:val="24"/>
          <w:lang w:val="en-GB"/>
        </w:rPr>
        <w:tab/>
      </w:r>
      <w:r w:rsidRPr="007E7D90">
        <w:rPr>
          <w:rFonts w:eastAsia="Times New Roman"/>
          <w:i/>
          <w:iCs/>
          <w:szCs w:val="24"/>
          <w:lang w:val="en-GB"/>
        </w:rPr>
        <w:t>Also</w:t>
      </w:r>
      <w:r w:rsidRPr="007E7D90">
        <w:rPr>
          <w:rFonts w:eastAsia="Times New Roman"/>
          <w:szCs w:val="24"/>
          <w:lang w:val="en-GB"/>
        </w:rPr>
        <w:t xml:space="preserve"> </w:t>
      </w:r>
      <w:r w:rsidRPr="007E7D90">
        <w:rPr>
          <w:rFonts w:eastAsia="Times New Roman"/>
          <w:i/>
          <w:iCs/>
          <w:szCs w:val="24"/>
          <w:lang w:val="en-GB"/>
        </w:rPr>
        <w:t>requests</w:t>
      </w:r>
      <w:r w:rsidRPr="007E7D90">
        <w:rPr>
          <w:rFonts w:eastAsia="Times New Roman"/>
          <w:szCs w:val="24"/>
          <w:lang w:val="en-GB"/>
        </w:rPr>
        <w:t xml:space="preserve"> the regional and subregional support centres to submit to the global coordination entity their activity reports for the period 2025–2026 for review by the Subsidiary Body on Implementation at a meeting held before the seventeenth meeting of the Conference of the Parties </w:t>
      </w:r>
      <w:r w:rsidRPr="007E7D90">
        <w:rPr>
          <w:rFonts w:eastAsia="Times New Roman"/>
          <w:szCs w:val="24"/>
        </w:rPr>
        <w:t xml:space="preserve">so that it may identify possible gaps and solutions for improving the delivery of technical and scientific cooperation </w:t>
      </w:r>
      <w:r w:rsidRPr="007E7D90">
        <w:rPr>
          <w:rFonts w:eastAsia="Times New Roman"/>
          <w:szCs w:val="24"/>
          <w:lang w:val="en-GB"/>
        </w:rPr>
        <w:t>for consideration by the Conference of the Parties at its seventeenth meeting;</w:t>
      </w:r>
    </w:p>
    <w:p w14:paraId="0E7716B0"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19.</w:t>
      </w:r>
      <w:r w:rsidRPr="007E7D90">
        <w:rPr>
          <w:rFonts w:eastAsia="Times New Roman"/>
          <w:szCs w:val="24"/>
          <w:lang w:val="en-GB"/>
        </w:rPr>
        <w:tab/>
      </w:r>
      <w:r w:rsidRPr="007E7D90">
        <w:rPr>
          <w:rFonts w:eastAsia="Times New Roman"/>
          <w:i/>
          <w:szCs w:val="24"/>
          <w:lang w:val="en-GB"/>
        </w:rPr>
        <w:t xml:space="preserve">Invites </w:t>
      </w:r>
      <w:r w:rsidRPr="007E7D90">
        <w:rPr>
          <w:rFonts w:eastAsia="Times New Roman"/>
          <w:iCs/>
          <w:szCs w:val="24"/>
          <w:lang w:val="en-GB"/>
        </w:rPr>
        <w:t xml:space="preserve">the global coordination entity </w:t>
      </w:r>
      <w:r w:rsidRPr="007E7D90">
        <w:rPr>
          <w:rFonts w:eastAsia="Times New Roman"/>
          <w:szCs w:val="24"/>
          <w:lang w:val="en-GB"/>
        </w:rPr>
        <w:t xml:space="preserve">to work with relevant international organizations, initiatives and partnerships to leverage expertise and resources in facilitating technical and scientific cooperation; </w:t>
      </w:r>
    </w:p>
    <w:p w14:paraId="09AE23B3"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20.</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Parties, other Governments and organizations in a position to do so to provide financial and in-kind contributions and other resources to support the programmes and activities supported by the regional and </w:t>
      </w:r>
      <w:r w:rsidRPr="007E7D90" w:rsidDel="00885282">
        <w:rPr>
          <w:rFonts w:eastAsia="Times New Roman"/>
          <w:szCs w:val="24"/>
          <w:lang w:val="en-GB"/>
        </w:rPr>
        <w:t>subregional support centres</w:t>
      </w:r>
      <w:r w:rsidRPr="007E7D90">
        <w:rPr>
          <w:rFonts w:eastAsia="Times New Roman"/>
          <w:szCs w:val="24"/>
          <w:lang w:val="en-GB"/>
        </w:rPr>
        <w:t xml:space="preserve"> and the global coordination entity;</w:t>
      </w:r>
    </w:p>
    <w:p w14:paraId="789C419F" w14:textId="5C41B1C5" w:rsidR="00626BFD" w:rsidRPr="007E7D90" w:rsidDel="00885282"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21</w:t>
      </w:r>
      <w:r w:rsidRPr="007E7D90" w:rsidDel="00885282">
        <w:rPr>
          <w:rFonts w:eastAsia="Times New Roman"/>
          <w:szCs w:val="24"/>
          <w:lang w:val="en-GB"/>
        </w:rPr>
        <w:t>.</w:t>
      </w:r>
      <w:r w:rsidRPr="007E7D90" w:rsidDel="00885282">
        <w:rPr>
          <w:rFonts w:eastAsia="Times New Roman"/>
          <w:szCs w:val="24"/>
          <w:lang w:val="en-GB"/>
        </w:rPr>
        <w:tab/>
      </w:r>
      <w:r w:rsidRPr="007E7D90" w:rsidDel="00885282">
        <w:rPr>
          <w:rFonts w:eastAsia="Times New Roman"/>
          <w:i/>
          <w:szCs w:val="24"/>
          <w:lang w:val="en-GB"/>
        </w:rPr>
        <w:t>Invites</w:t>
      </w:r>
      <w:r w:rsidRPr="007E7D90" w:rsidDel="00885282">
        <w:rPr>
          <w:rFonts w:eastAsia="Times New Roman"/>
          <w:szCs w:val="24"/>
          <w:lang w:val="en-GB"/>
        </w:rPr>
        <w:t xml:space="preserve"> the Kunming Biodiversity </w:t>
      </w:r>
      <w:proofErr w:type="gramStart"/>
      <w:r w:rsidRPr="007E7D90" w:rsidDel="00885282">
        <w:rPr>
          <w:rFonts w:eastAsia="Times New Roman"/>
          <w:szCs w:val="24"/>
          <w:lang w:val="en-GB"/>
        </w:rPr>
        <w:t xml:space="preserve">Fund </w:t>
      </w:r>
      <w:r w:rsidR="00163B36">
        <w:rPr>
          <w:rFonts w:eastAsia="Times New Roman"/>
          <w:szCs w:val="24"/>
          <w:lang w:val="en-GB"/>
        </w:rPr>
        <w:t xml:space="preserve"> </w:t>
      </w:r>
      <w:r w:rsidRPr="007E7D90">
        <w:rPr>
          <w:rFonts w:eastAsia="Times New Roman"/>
          <w:szCs w:val="24"/>
          <w:lang w:val="en-GB"/>
        </w:rPr>
        <w:t>to</w:t>
      </w:r>
      <w:proofErr w:type="gramEnd"/>
      <w:r w:rsidRPr="007E7D90">
        <w:rPr>
          <w:rFonts w:eastAsia="Times New Roman"/>
          <w:szCs w:val="24"/>
          <w:lang w:val="en-GB"/>
        </w:rPr>
        <w:t xml:space="preserve"> support </w:t>
      </w:r>
      <w:bookmarkStart w:id="1" w:name="_Hlk163492230"/>
      <w:r w:rsidRPr="007E7D90" w:rsidDel="00885282">
        <w:rPr>
          <w:rFonts w:eastAsia="Times New Roman"/>
          <w:szCs w:val="24"/>
          <w:lang w:val="en-GB"/>
        </w:rPr>
        <w:t>the technical and scientific cooperation, technology transfer and capacity</w:t>
      </w:r>
      <w:r w:rsidRPr="007E7D90">
        <w:rPr>
          <w:rFonts w:eastAsia="Times New Roman"/>
          <w:szCs w:val="24"/>
          <w:lang w:val="en-GB"/>
        </w:rPr>
        <w:t>-</w:t>
      </w:r>
      <w:r w:rsidRPr="007E7D90" w:rsidDel="00885282">
        <w:rPr>
          <w:rFonts w:eastAsia="Times New Roman"/>
          <w:szCs w:val="24"/>
          <w:lang w:val="en-GB"/>
        </w:rPr>
        <w:t>building support programmes and activities</w:t>
      </w:r>
      <w:r w:rsidR="00D71D65">
        <w:rPr>
          <w:rFonts w:eastAsia="Times New Roman"/>
          <w:szCs w:val="24"/>
          <w:lang w:val="en-GB"/>
        </w:rPr>
        <w:t xml:space="preserve"> in developing </w:t>
      </w:r>
      <w:r w:rsidR="00296284">
        <w:rPr>
          <w:rFonts w:eastAsia="Times New Roman"/>
          <w:szCs w:val="24"/>
          <w:lang w:val="en-GB"/>
        </w:rPr>
        <w:t>countries</w:t>
      </w:r>
      <w:r w:rsidR="00DA2F9A">
        <w:rPr>
          <w:rFonts w:eastAsia="Times New Roman"/>
          <w:szCs w:val="24"/>
          <w:lang w:val="en-GB"/>
        </w:rPr>
        <w:t>.</w:t>
      </w:r>
      <w:r w:rsidRPr="007E7D90">
        <w:rPr>
          <w:rFonts w:eastAsia="Times New Roman"/>
          <w:szCs w:val="24"/>
          <w:lang w:val="en-GB"/>
        </w:rPr>
        <w:t xml:space="preserve"> [as well as the regional and subregional support centres [in developing countries],] in response to requests made by [developing country] Parties in their respective subregions</w:t>
      </w:r>
      <w:bookmarkEnd w:id="1"/>
      <w:r w:rsidRPr="007E7D90">
        <w:rPr>
          <w:rFonts w:eastAsia="Times New Roman"/>
          <w:szCs w:val="24"/>
          <w:lang w:val="en-GB"/>
        </w:rPr>
        <w:t>;</w:t>
      </w:r>
    </w:p>
    <w:p w14:paraId="1D8E686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22.</w:t>
      </w:r>
      <w:r w:rsidRPr="007E7D90">
        <w:rPr>
          <w:rFonts w:eastAsia="Times New Roman"/>
          <w:szCs w:val="24"/>
          <w:lang w:val="en-GB"/>
        </w:rPr>
        <w:tab/>
      </w:r>
      <w:r w:rsidRPr="007E7D90">
        <w:rPr>
          <w:rFonts w:eastAsia="Times New Roman"/>
          <w:i/>
          <w:iCs/>
          <w:szCs w:val="24"/>
          <w:lang w:val="en-GB"/>
        </w:rPr>
        <w:t>Invites</w:t>
      </w:r>
      <w:r w:rsidRPr="007E7D90">
        <w:rPr>
          <w:rFonts w:eastAsia="Times New Roman"/>
          <w:szCs w:val="24"/>
          <w:lang w:val="en-GB"/>
        </w:rPr>
        <w:t xml:space="preserve"> the Global Environment Facility, including through the Global Biodiversity Framework Fund [in accordance with its mandate], to continue to support country-driven projects that include </w:t>
      </w:r>
      <w:r w:rsidRPr="007E7D90" w:rsidDel="00885282">
        <w:rPr>
          <w:rFonts w:eastAsia="Times New Roman"/>
          <w:szCs w:val="24"/>
          <w:lang w:val="en-GB"/>
        </w:rPr>
        <w:t>technical and scientific cooperation, technology transfer and capacity</w:t>
      </w:r>
      <w:r w:rsidRPr="007E7D90">
        <w:rPr>
          <w:rFonts w:eastAsia="Times New Roman"/>
          <w:szCs w:val="24"/>
          <w:lang w:val="en-GB"/>
        </w:rPr>
        <w:t>-</w:t>
      </w:r>
      <w:r w:rsidRPr="007E7D90" w:rsidDel="00885282">
        <w:rPr>
          <w:rFonts w:eastAsia="Times New Roman"/>
          <w:szCs w:val="24"/>
          <w:lang w:val="en-GB"/>
        </w:rPr>
        <w:t>building</w:t>
      </w:r>
      <w:r w:rsidRPr="007E7D90">
        <w:rPr>
          <w:rFonts w:eastAsia="Times New Roman"/>
          <w:szCs w:val="24"/>
          <w:lang w:val="en-GB"/>
        </w:rPr>
        <w:t xml:space="preserve"> for the implementation of the Kunming-Montreal Global Biodiversity Framework;</w:t>
      </w:r>
    </w:p>
    <w:p w14:paraId="7B48D438" w14:textId="0A1BD6DE" w:rsidR="00626BFD" w:rsidRPr="007E7D90" w:rsidRDefault="00626BFD" w:rsidP="00626BFD">
      <w:pPr>
        <w:tabs>
          <w:tab w:val="clear" w:pos="567"/>
          <w:tab w:val="clear" w:pos="1134"/>
          <w:tab w:val="clear" w:pos="2268"/>
          <w:tab w:val="left" w:pos="2410"/>
        </w:tabs>
        <w:spacing w:before="120" w:after="120"/>
        <w:ind w:left="567" w:firstLine="567"/>
        <w:rPr>
          <w:rFonts w:eastAsia="Times New Roman"/>
          <w:szCs w:val="24"/>
          <w:lang w:val="en-GB"/>
        </w:rPr>
      </w:pPr>
      <w:r w:rsidRPr="007E7D90">
        <w:rPr>
          <w:rFonts w:eastAsia="Times New Roman"/>
          <w:szCs w:val="24"/>
          <w:lang w:val="en-GB"/>
        </w:rPr>
        <w:t>[22 alt.</w:t>
      </w:r>
      <w:r w:rsidRPr="007E7D90">
        <w:rPr>
          <w:rFonts w:eastAsia="Times New Roman"/>
          <w:szCs w:val="24"/>
          <w:lang w:val="en-GB"/>
        </w:rPr>
        <w:tab/>
      </w:r>
      <w:r w:rsidRPr="007E7D90">
        <w:rPr>
          <w:rFonts w:eastAsia="Times New Roman"/>
          <w:i/>
          <w:iCs/>
          <w:szCs w:val="24"/>
          <w:lang w:val="en-GB"/>
        </w:rPr>
        <w:t>Requests</w:t>
      </w:r>
      <w:r w:rsidRPr="007E7D90">
        <w:rPr>
          <w:rFonts w:eastAsia="Times New Roman"/>
          <w:szCs w:val="24"/>
          <w:lang w:val="en-GB"/>
        </w:rPr>
        <w:t xml:space="preserve"> the Global Environment Facility, including through the Global Biodiversity Framework Fund</w:t>
      </w:r>
      <w:r w:rsidR="00B01BC2">
        <w:rPr>
          <w:rFonts w:eastAsia="Times New Roman"/>
          <w:szCs w:val="24"/>
          <w:lang w:val="en-GB"/>
        </w:rPr>
        <w:t xml:space="preserve"> </w:t>
      </w:r>
      <w:r w:rsidR="00F84B1D">
        <w:rPr>
          <w:rFonts w:eastAsia="Times New Roman"/>
          <w:szCs w:val="24"/>
          <w:lang w:val="en-GB"/>
        </w:rPr>
        <w:t>[</w:t>
      </w:r>
      <w:r w:rsidR="00B01BC2" w:rsidRPr="007E7D90">
        <w:rPr>
          <w:rFonts w:eastAsia="Times New Roman"/>
          <w:szCs w:val="24"/>
          <w:lang w:val="en-GB"/>
        </w:rPr>
        <w:t xml:space="preserve">in accordance with </w:t>
      </w:r>
      <w:r w:rsidR="00B01BC2">
        <w:rPr>
          <w:rFonts w:eastAsia="Times New Roman"/>
          <w:szCs w:val="24"/>
          <w:lang w:val="en-GB"/>
        </w:rPr>
        <w:t>their</w:t>
      </w:r>
      <w:r w:rsidR="00B01BC2" w:rsidRPr="007E7D90">
        <w:rPr>
          <w:rFonts w:eastAsia="Times New Roman"/>
          <w:szCs w:val="24"/>
          <w:lang w:val="en-GB"/>
        </w:rPr>
        <w:t xml:space="preserve"> mandate</w:t>
      </w:r>
      <w:r w:rsidR="00B01BC2">
        <w:rPr>
          <w:rFonts w:eastAsia="Times New Roman"/>
          <w:szCs w:val="24"/>
          <w:lang w:val="en-GB"/>
        </w:rPr>
        <w:t>s</w:t>
      </w:r>
      <w:r w:rsidR="00F84B1D">
        <w:rPr>
          <w:rFonts w:eastAsia="Times New Roman"/>
          <w:szCs w:val="24"/>
          <w:lang w:val="en-GB"/>
        </w:rPr>
        <w:t>]</w:t>
      </w:r>
      <w:r w:rsidRPr="007E7D90">
        <w:rPr>
          <w:rFonts w:eastAsia="Times New Roman"/>
          <w:szCs w:val="24"/>
          <w:lang w:val="en-GB"/>
        </w:rPr>
        <w:t>, and invites the Kunming Biodiversity Fund and other biodiversity-relevant funds, to support the operationalization and activities of the regional and subregional technical and scientific support centres</w:t>
      </w:r>
      <w:r w:rsidR="00B01BC2">
        <w:rPr>
          <w:rFonts w:eastAsia="Times New Roman"/>
          <w:szCs w:val="24"/>
          <w:lang w:val="en-GB"/>
        </w:rPr>
        <w:t xml:space="preserve"> </w:t>
      </w:r>
      <w:r w:rsidR="00F84B1D">
        <w:rPr>
          <w:rFonts w:eastAsia="Times New Roman"/>
          <w:szCs w:val="24"/>
          <w:lang w:val="en-GB"/>
        </w:rPr>
        <w:t>[</w:t>
      </w:r>
      <w:r w:rsidR="00B01BC2">
        <w:rPr>
          <w:rFonts w:eastAsia="Times New Roman"/>
          <w:szCs w:val="24"/>
          <w:lang w:val="en-GB"/>
        </w:rPr>
        <w:t>in developing countries</w:t>
      </w:r>
      <w:r w:rsidR="00F84B1D">
        <w:rPr>
          <w:rFonts w:eastAsia="Times New Roman"/>
          <w:szCs w:val="24"/>
          <w:lang w:val="en-GB"/>
        </w:rPr>
        <w:t>]</w:t>
      </w:r>
      <w:r w:rsidRPr="007E7D90">
        <w:rPr>
          <w:rFonts w:eastAsia="Times New Roman"/>
          <w:szCs w:val="24"/>
          <w:lang w:val="en-GB"/>
        </w:rPr>
        <w:t>, as appropriate, in response to requests by Parties in their respective subregions;]</w:t>
      </w:r>
    </w:p>
    <w:p w14:paraId="34025225"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[23.</w:t>
      </w:r>
      <w:r w:rsidRPr="007E7D90">
        <w:rPr>
          <w:rFonts w:eastAsia="Times New Roman"/>
          <w:szCs w:val="24"/>
          <w:lang w:val="en-GB"/>
        </w:rPr>
        <w:tab/>
      </w:r>
      <w:r w:rsidRPr="007E7D90">
        <w:rPr>
          <w:rFonts w:eastAsia="Times New Roman"/>
          <w:i/>
          <w:iCs/>
          <w:szCs w:val="24"/>
          <w:lang w:val="en-GB"/>
        </w:rPr>
        <w:t>Decides</w:t>
      </w:r>
      <w:r w:rsidRPr="007E7D90">
        <w:rPr>
          <w:rFonts w:eastAsia="Times New Roman"/>
          <w:szCs w:val="24"/>
          <w:lang w:val="en-GB"/>
        </w:rPr>
        <w:t xml:space="preserve"> to issue a second call for additional centres of excellence from institutions at the global level, with priority given to underrepresented regions </w:t>
      </w:r>
      <w:proofErr w:type="gramStart"/>
      <w:r w:rsidRPr="007E7D90">
        <w:rPr>
          <w:rFonts w:eastAsia="Times New Roman"/>
          <w:szCs w:val="24"/>
          <w:lang w:val="en-GB"/>
        </w:rPr>
        <w:t>in order to</w:t>
      </w:r>
      <w:proofErr w:type="gramEnd"/>
      <w:r w:rsidRPr="007E7D90">
        <w:rPr>
          <w:rFonts w:eastAsia="Times New Roman"/>
          <w:szCs w:val="24"/>
          <w:lang w:val="en-GB"/>
        </w:rPr>
        <w:t xml:space="preserve"> ensure the equitable geographical distribution of centres and a balance of focus among the centres of excellence on all objectives of the Convention and its Protocols;]</w:t>
      </w:r>
    </w:p>
    <w:p w14:paraId="58161B33" w14:textId="77777777" w:rsidR="00626BFD" w:rsidRPr="007E7D90" w:rsidRDefault="00626BFD" w:rsidP="00626BFD">
      <w:pPr>
        <w:tabs>
          <w:tab w:val="clear" w:pos="567"/>
          <w:tab w:val="clear" w:pos="1134"/>
        </w:tabs>
        <w:spacing w:before="120" w:after="120"/>
        <w:ind w:left="567" w:firstLine="594"/>
        <w:rPr>
          <w:rFonts w:eastAsia="Times New Roman"/>
          <w:szCs w:val="24"/>
          <w:lang w:val="en-GB"/>
        </w:rPr>
      </w:pPr>
      <w:r w:rsidRPr="007E7D90">
        <w:rPr>
          <w:rFonts w:eastAsia="Times New Roman"/>
          <w:szCs w:val="24"/>
          <w:lang w:val="en-GB"/>
        </w:rPr>
        <w:t>24.</w:t>
      </w:r>
      <w:r w:rsidRPr="007E7D90">
        <w:rPr>
          <w:rFonts w:eastAsia="Times New Roman"/>
          <w:szCs w:val="24"/>
          <w:lang w:val="en-GB"/>
        </w:rPr>
        <w:tab/>
      </w:r>
      <w:r w:rsidRPr="007E7D90">
        <w:rPr>
          <w:rFonts w:eastAsia="Times New Roman"/>
          <w:i/>
          <w:szCs w:val="24"/>
          <w:lang w:val="en-GB"/>
        </w:rPr>
        <w:t>Requests</w:t>
      </w:r>
      <w:r w:rsidRPr="007E7D90">
        <w:rPr>
          <w:rFonts w:eastAsia="Times New Roman"/>
          <w:szCs w:val="24"/>
          <w:lang w:val="en-GB"/>
        </w:rPr>
        <w:t xml:space="preserve"> the Executive Secretary, subject to the availability of resources:</w:t>
      </w:r>
    </w:p>
    <w:p w14:paraId="631E517C" w14:textId="355ADEB3"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(a)</w:t>
      </w:r>
      <w:r w:rsidRPr="007E7D90">
        <w:rPr>
          <w:rFonts w:eastAsia="Times New Roman"/>
          <w:szCs w:val="24"/>
          <w:lang w:val="en-GB"/>
        </w:rPr>
        <w:tab/>
        <w:t>To initiate operations of the global coordination entity as soon as possible, in accordance with the modalities set out in annex II;</w:t>
      </w:r>
    </w:p>
    <w:p w14:paraId="480071AA"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(c)</w:t>
      </w:r>
      <w:r w:rsidRPr="007E7D90">
        <w:rPr>
          <w:rFonts w:eastAsia="Times New Roman"/>
          <w:szCs w:val="24"/>
          <w:lang w:val="en-GB"/>
        </w:rPr>
        <w:tab/>
        <w:t xml:space="preserve">To identify and facilitate the mobilization of additional financial resources and technical assistance to enable the regional and subregional support centres to initiate support programmes and </w:t>
      </w:r>
      <w:r w:rsidRPr="007E7D90">
        <w:rPr>
          <w:rFonts w:eastAsia="Times New Roman"/>
          <w:szCs w:val="24"/>
          <w:lang w:val="en-GB"/>
        </w:rPr>
        <w:lastRenderedPageBreak/>
        <w:t>activities in their respective subregions as soon as possible, in response to the capacity needs and priorities identified by Parties;</w:t>
      </w:r>
    </w:p>
    <w:p w14:paraId="6316FCE1" w14:textId="795EA06E"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(f)</w:t>
      </w:r>
      <w:r w:rsidRPr="007E7D90">
        <w:rPr>
          <w:rFonts w:eastAsia="Times New Roman"/>
          <w:szCs w:val="24"/>
          <w:lang w:val="en-GB"/>
        </w:rPr>
        <w:tab/>
        <w:t xml:space="preserve">To </w:t>
      </w:r>
      <w:r w:rsidR="00D41E71">
        <w:rPr>
          <w:rFonts w:eastAsia="Times New Roman"/>
          <w:szCs w:val="24"/>
          <w:lang w:val="en-GB"/>
        </w:rPr>
        <w:t xml:space="preserve">update </w:t>
      </w:r>
      <w:r w:rsidR="001C78AB">
        <w:rPr>
          <w:rFonts w:eastAsia="Times New Roman"/>
          <w:szCs w:val="24"/>
          <w:lang w:val="en-GB"/>
        </w:rPr>
        <w:t>document CBD/COP/16/</w:t>
      </w:r>
      <w:r w:rsidR="00E6716B">
        <w:rPr>
          <w:rFonts w:eastAsia="Times New Roman"/>
          <w:szCs w:val="24"/>
          <w:lang w:val="en-GB"/>
        </w:rPr>
        <w:t>INF/24</w:t>
      </w:r>
      <w:r w:rsidR="00D41E71">
        <w:rPr>
          <w:rFonts w:eastAsia="Times New Roman"/>
          <w:szCs w:val="24"/>
          <w:lang w:val="en-GB"/>
        </w:rPr>
        <w:t xml:space="preserve"> with the</w:t>
      </w:r>
      <w:r w:rsidRPr="007E7D90">
        <w:rPr>
          <w:rFonts w:eastAsia="Times New Roman"/>
          <w:szCs w:val="24"/>
          <w:lang w:val="en-GB"/>
        </w:rPr>
        <w:t xml:space="preserve"> relevant requests for capacity-building and development activities</w:t>
      </w:r>
      <w:r w:rsidR="00D41E71">
        <w:rPr>
          <w:rFonts w:eastAsia="Times New Roman"/>
          <w:szCs w:val="24"/>
          <w:lang w:val="en-GB"/>
        </w:rPr>
        <w:t>, technical and scientific cooperation and technology transfer support from</w:t>
      </w:r>
      <w:r w:rsidRPr="007E7D90">
        <w:rPr>
          <w:rFonts w:eastAsia="Times New Roman"/>
          <w:szCs w:val="24"/>
          <w:lang w:val="en-GB"/>
        </w:rPr>
        <w:t xml:space="preserve"> decisions of the Conference of the Parties and the Conference of the Parties serving as the meeting of the Parties to the Protocols, and to communicate those to the regional and subregional support centres and the global coordination entity</w:t>
      </w:r>
      <w:r w:rsidR="00D41E71">
        <w:rPr>
          <w:rFonts w:eastAsia="Times New Roman"/>
          <w:szCs w:val="24"/>
          <w:lang w:val="en-GB"/>
        </w:rPr>
        <w:t>.</w:t>
      </w:r>
      <w:r w:rsidRPr="007E7D90">
        <w:rPr>
          <w:rFonts w:eastAsia="Times New Roman"/>
          <w:szCs w:val="24"/>
          <w:lang w:val="en-GB"/>
        </w:rPr>
        <w:t>;</w:t>
      </w:r>
    </w:p>
    <w:p w14:paraId="03F03EED" w14:textId="77777777" w:rsidR="00626BFD" w:rsidRPr="007E7D90" w:rsidRDefault="00626BFD" w:rsidP="00626BFD">
      <w:pPr>
        <w:tabs>
          <w:tab w:val="clear" w:pos="567"/>
          <w:tab w:val="clear" w:pos="1134"/>
        </w:tabs>
        <w:spacing w:before="120" w:after="120"/>
        <w:ind w:left="567" w:firstLine="567"/>
        <w:rPr>
          <w:rFonts w:eastAsia="Times New Roman"/>
          <w:szCs w:val="24"/>
          <w:lang w:val="en-GB"/>
        </w:rPr>
      </w:pPr>
      <w:r w:rsidRPr="007E7D90">
        <w:rPr>
          <w:rFonts w:eastAsia="Times New Roman"/>
          <w:szCs w:val="24"/>
          <w:lang w:val="en-GB"/>
        </w:rPr>
        <w:t>(g)</w:t>
      </w:r>
      <w:r w:rsidRPr="007E7D90">
        <w:rPr>
          <w:rFonts w:eastAsia="Times New Roman"/>
          <w:szCs w:val="24"/>
          <w:lang w:val="en-GB"/>
        </w:rPr>
        <w:tab/>
        <w:t xml:space="preserve">To develop, in collaboration with the Informal Advisory Group and in line with the indicators </w:t>
      </w:r>
      <w:r w:rsidRPr="007E7D90">
        <w:rPr>
          <w:rFonts w:eastAsiaTheme="majorEastAsia"/>
          <w:color w:val="000000"/>
          <w:lang w:val="en-GB"/>
        </w:rPr>
        <w:t xml:space="preserve">outlined </w:t>
      </w:r>
      <w:r w:rsidRPr="007E7D90">
        <w:rPr>
          <w:rFonts w:eastAsia="Times New Roman"/>
          <w:szCs w:val="24"/>
          <w:lang w:val="en-GB"/>
        </w:rPr>
        <w:t>in document CBD/TSC/IAG/2024/1/2, the criteria for evaluating the performance of the regional and subregional centres and of the global coordination entity;</w:t>
      </w:r>
    </w:p>
    <w:p w14:paraId="32AAAEE3" w14:textId="77777777" w:rsidR="00626BFD" w:rsidRPr="007E7D90" w:rsidRDefault="00626BFD" w:rsidP="00626BFD">
      <w:pPr>
        <w:tabs>
          <w:tab w:val="clear" w:pos="567"/>
          <w:tab w:val="clear" w:pos="1134"/>
        </w:tabs>
        <w:ind w:left="567" w:firstLine="567"/>
        <w:rPr>
          <w:rFonts w:eastAsia="Times New Roman"/>
          <w:szCs w:val="24"/>
          <w:lang w:val="en-GB"/>
        </w:rPr>
      </w:pPr>
      <w:r w:rsidRPr="007E7D90">
        <w:rPr>
          <w:rFonts w:eastAsia="Times New Roman"/>
          <w:szCs w:val="24"/>
          <w:lang w:val="en-GB"/>
        </w:rPr>
        <w:t>(h)</w:t>
      </w:r>
      <w:r w:rsidRPr="007E7D90">
        <w:rPr>
          <w:rFonts w:eastAsia="Times New Roman"/>
          <w:szCs w:val="24"/>
          <w:lang w:val="en-GB"/>
        </w:rPr>
        <w:tab/>
        <w:t>To prepare a progress report on the technical and scientific cooperation mechanism, including operations of the regional and subregional support centres, based on their annual activity reports and those of the global coordination entity, for consideration by the Subsidiary Body on Implementation at its sixth meeting and by the Conference of the Parties at its seventeenth meeting.</w:t>
      </w:r>
    </w:p>
    <w:p w14:paraId="59041B6C" w14:textId="77777777" w:rsidR="00626BFD" w:rsidRPr="007E7D90" w:rsidRDefault="00626BFD" w:rsidP="00626BFD">
      <w:pPr>
        <w:keepNext/>
        <w:tabs>
          <w:tab w:val="clear" w:pos="567"/>
          <w:tab w:val="clear" w:pos="1134"/>
          <w:tab w:val="clear" w:pos="1701"/>
          <w:tab w:val="clear" w:pos="2268"/>
        </w:tabs>
        <w:spacing w:before="240"/>
        <w:ind w:left="567"/>
        <w:jc w:val="left"/>
        <w:rPr>
          <w:rFonts w:eastAsia="Times New Roman"/>
          <w:b/>
          <w:sz w:val="24"/>
          <w:szCs w:val="24"/>
          <w:lang w:val="en-GB"/>
        </w:rPr>
      </w:pPr>
      <w:r w:rsidRPr="007E7D90">
        <w:rPr>
          <w:rFonts w:eastAsia="Times New Roman"/>
          <w:b/>
          <w:sz w:val="24"/>
          <w:szCs w:val="24"/>
          <w:lang w:val="en-GB"/>
        </w:rPr>
        <w:t>Annex I</w:t>
      </w:r>
      <w:r w:rsidRPr="007E7D90">
        <w:rPr>
          <w:rFonts w:eastAsia="Times New Roman"/>
          <w:b/>
          <w:sz w:val="24"/>
          <w:szCs w:val="24"/>
          <w:lang w:val="en-GB"/>
        </w:rPr>
        <w:br/>
      </w:r>
      <w:r w:rsidRPr="007E7D90">
        <w:rPr>
          <w:rFonts w:ascii="Times New Roman Bold" w:eastAsiaTheme="majorEastAsia" w:hAnsi="Times New Roman Bold"/>
          <w:b/>
          <w:bCs/>
          <w:spacing w:val="5"/>
          <w:kern w:val="28"/>
          <w:sz w:val="24"/>
          <w:szCs w:val="24"/>
          <w:lang w:val="en-GB"/>
          <w14:ligatures w14:val="standardContextual"/>
        </w:rPr>
        <w:t xml:space="preserve">Entities and organizations selected to host the regional </w:t>
      </w:r>
      <w:r w:rsidRPr="007E7D90">
        <w:rPr>
          <w:rFonts w:ascii="Times New Roman Bold" w:eastAsiaTheme="majorEastAsia" w:hAnsi="Times New Roman Bold"/>
          <w:b/>
          <w:bCs/>
          <w:spacing w:val="5"/>
          <w:kern w:val="28"/>
          <w:sz w:val="24"/>
          <w:szCs w:val="28"/>
          <w:lang w:val="en-GB"/>
          <w14:ligatures w14:val="standardContextual"/>
        </w:rPr>
        <w:t>and</w:t>
      </w:r>
      <w:r w:rsidRPr="007E7D90">
        <w:rPr>
          <w:rFonts w:ascii="Times New Roman Bold" w:eastAsiaTheme="majorEastAsia" w:hAnsi="Times New Roman Bold"/>
          <w:b/>
          <w:bCs/>
          <w:spacing w:val="5"/>
          <w:kern w:val="28"/>
          <w:sz w:val="24"/>
          <w:szCs w:val="24"/>
          <w:lang w:val="en-GB"/>
          <w14:ligatures w14:val="standardContextual"/>
        </w:rPr>
        <w:t xml:space="preserve"> subregional technical and scientific cooperation support centres</w:t>
      </w:r>
    </w:p>
    <w:p w14:paraId="0D9CD9BA"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Africa</w:t>
      </w:r>
    </w:p>
    <w:p w14:paraId="55595FBA"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Central African Forest Commission</w:t>
      </w:r>
    </w:p>
    <w:p w14:paraId="60BA5462"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Ecological Monitoring Centre</w:t>
      </w:r>
    </w:p>
    <w:p w14:paraId="6744306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Regional Centre for Mapping of Resources for Development</w:t>
      </w:r>
    </w:p>
    <w:p w14:paraId="3E02DD54"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Sahara and Sahel Observatory</w:t>
      </w:r>
    </w:p>
    <w:p w14:paraId="0EF1B28A"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South African National Biodiversity Institute</w:t>
      </w:r>
    </w:p>
    <w:p w14:paraId="695B157F"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Americas</w:t>
      </w:r>
    </w:p>
    <w:p w14:paraId="6654A045"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Alexander von Humboldt Biological Resources Research Institute</w:t>
      </w:r>
    </w:p>
    <w:p w14:paraId="57956FED"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Caribbean Community</w:t>
      </w:r>
    </w:p>
    <w:p w14:paraId="1AF3B06A"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Central American Commission on Environment and Development</w:t>
      </w:r>
    </w:p>
    <w:p w14:paraId="11C399C5"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Asia</w:t>
      </w:r>
    </w:p>
    <w:p w14:paraId="17EEC414"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 xml:space="preserve">ASEAN Centre for Biodiversity </w:t>
      </w:r>
    </w:p>
    <w:p w14:paraId="3DE4FED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 Asia Regional Office</w:t>
      </w:r>
    </w:p>
    <w:p w14:paraId="15126F0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Regional Office for West Asia</w:t>
      </w:r>
    </w:p>
    <w:p w14:paraId="7F3B2ED8"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Nanjing Institute of Environmental Sciences</w:t>
      </w:r>
    </w:p>
    <w:p w14:paraId="1C810E9B"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Regional Environmental Centre for Central Asia</w:t>
      </w:r>
    </w:p>
    <w:p w14:paraId="1E1A06C9"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Europe</w:t>
      </w:r>
    </w:p>
    <w:p w14:paraId="67830284"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European Commission Joint Research Centre</w:t>
      </w:r>
    </w:p>
    <w:p w14:paraId="28047652"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Centre for Mediterranean Cooperation</w:t>
      </w:r>
    </w:p>
    <w:p w14:paraId="4E3BDEA3" w14:textId="77777777" w:rsidR="00626BFD" w:rsidRPr="007E7D90" w:rsidRDefault="00626BFD" w:rsidP="00626BFD">
      <w:pPr>
        <w:tabs>
          <w:tab w:val="clear" w:pos="567"/>
          <w:tab w:val="clear" w:pos="1134"/>
          <w:tab w:val="clear" w:pos="1701"/>
          <w:tab w:val="clear" w:pos="2268"/>
        </w:tabs>
        <w:ind w:left="1429" w:hanging="720"/>
        <w:rPr>
          <w:rFonts w:eastAsia="Times New Roman"/>
          <w:szCs w:val="24"/>
          <w:lang w:val="en-GB"/>
        </w:rPr>
      </w:pPr>
      <w:r w:rsidRPr="007E7D90">
        <w:rPr>
          <w:rFonts w:eastAsia="Times New Roman"/>
          <w:szCs w:val="24"/>
          <w:lang w:val="en-GB"/>
        </w:rPr>
        <w:t>•</w:t>
      </w:r>
      <w:r w:rsidRPr="007E7D90">
        <w:rPr>
          <w:rFonts w:eastAsia="Times New Roman"/>
          <w:szCs w:val="24"/>
          <w:lang w:val="en-GB"/>
        </w:rPr>
        <w:tab/>
        <w:t>International Union for Conservation of Nature Regional Office for Eastern Europe and Central Asia</w:t>
      </w:r>
    </w:p>
    <w:p w14:paraId="69D8EB8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Royal Belgian Institute for Natural Sciences</w:t>
      </w:r>
    </w:p>
    <w:p w14:paraId="41D18658" w14:textId="77777777" w:rsidR="00626BFD" w:rsidRPr="007E7D90" w:rsidRDefault="00626BFD" w:rsidP="00626BFD">
      <w:pPr>
        <w:tabs>
          <w:tab w:val="clear" w:pos="567"/>
          <w:tab w:val="clear" w:pos="1134"/>
          <w:tab w:val="clear" w:pos="1701"/>
          <w:tab w:val="clear" w:pos="2268"/>
        </w:tabs>
        <w:spacing w:before="120"/>
        <w:ind w:left="567"/>
        <w:rPr>
          <w:rFonts w:eastAsia="Times New Roman"/>
          <w:b/>
          <w:bCs/>
          <w:szCs w:val="24"/>
          <w:lang w:val="en-GB"/>
        </w:rPr>
      </w:pPr>
      <w:r w:rsidRPr="007E7D90">
        <w:rPr>
          <w:rFonts w:eastAsia="Times New Roman"/>
          <w:b/>
          <w:bCs/>
          <w:szCs w:val="24"/>
          <w:lang w:val="en-GB"/>
        </w:rPr>
        <w:t>Oceania</w:t>
      </w:r>
    </w:p>
    <w:p w14:paraId="1E1BBD0E" w14:textId="77777777" w:rsidR="00626BFD" w:rsidRPr="007E7D90" w:rsidRDefault="00626BFD" w:rsidP="00626BFD">
      <w:pPr>
        <w:tabs>
          <w:tab w:val="clear" w:pos="567"/>
          <w:tab w:val="clear" w:pos="1134"/>
          <w:tab w:val="clear" w:pos="1701"/>
          <w:tab w:val="clear" w:pos="2268"/>
        </w:tabs>
        <w:ind w:left="720"/>
        <w:rPr>
          <w:rFonts w:eastAsia="Times New Roman"/>
          <w:szCs w:val="24"/>
          <w:lang w:val="en-GB"/>
        </w:rPr>
      </w:pPr>
      <w:r w:rsidRPr="007E7D90">
        <w:rPr>
          <w:rFonts w:eastAsia="Times New Roman"/>
          <w:szCs w:val="24"/>
          <w:lang w:val="en-GB"/>
        </w:rPr>
        <w:t>•</w:t>
      </w:r>
      <w:r w:rsidRPr="007E7D90">
        <w:rPr>
          <w:rFonts w:eastAsia="Times New Roman"/>
          <w:szCs w:val="24"/>
          <w:lang w:val="en-GB"/>
        </w:rPr>
        <w:tab/>
        <w:t>Secretariat of the Pacific Regional Environment Programme</w:t>
      </w:r>
    </w:p>
    <w:p w14:paraId="293088D2" w14:textId="77777777" w:rsidR="00626BFD" w:rsidRPr="007E7D90" w:rsidRDefault="00626BFD" w:rsidP="00626BFD">
      <w:pPr>
        <w:keepNext/>
        <w:tabs>
          <w:tab w:val="clear" w:pos="567"/>
          <w:tab w:val="clear" w:pos="1134"/>
          <w:tab w:val="clear" w:pos="1701"/>
          <w:tab w:val="clear" w:pos="2268"/>
        </w:tabs>
        <w:spacing w:before="120"/>
        <w:ind w:left="567"/>
        <w:rPr>
          <w:rFonts w:eastAsia="Times New Roman"/>
          <w:b/>
          <w:sz w:val="24"/>
          <w:szCs w:val="24"/>
          <w:lang w:val="en-GB"/>
        </w:rPr>
      </w:pPr>
      <w:r w:rsidRPr="007E7D90">
        <w:rPr>
          <w:rFonts w:eastAsia="Times New Roman"/>
          <w:b/>
          <w:sz w:val="24"/>
          <w:szCs w:val="24"/>
          <w:lang w:val="en-GB"/>
        </w:rPr>
        <w:t>Annex II</w:t>
      </w:r>
    </w:p>
    <w:p w14:paraId="45FDA5BF" w14:textId="77777777" w:rsidR="00626BFD" w:rsidRPr="007E7D90" w:rsidRDefault="00626BFD" w:rsidP="00626BFD">
      <w:pPr>
        <w:keepNext/>
        <w:tabs>
          <w:tab w:val="clear" w:pos="567"/>
          <w:tab w:val="clear" w:pos="1134"/>
          <w:tab w:val="clear" w:pos="1701"/>
          <w:tab w:val="clear" w:pos="2268"/>
        </w:tabs>
        <w:spacing w:after="120"/>
        <w:ind w:left="562"/>
        <w:jc w:val="left"/>
        <w:rPr>
          <w:rFonts w:ascii="Times New Roman Bold" w:eastAsiaTheme="majorEastAsia" w:hAnsi="Times New Roman Bold" w:hint="eastAsia"/>
          <w:b/>
          <w:bCs/>
          <w:spacing w:val="5"/>
          <w:kern w:val="28"/>
          <w:sz w:val="24"/>
          <w:szCs w:val="24"/>
          <w:lang w:val="en-GB"/>
          <w14:ligatures w14:val="standardContextual"/>
        </w:rPr>
      </w:pPr>
      <w:r w:rsidRPr="007E7D90">
        <w:rPr>
          <w:rFonts w:eastAsia="Times New Roman"/>
          <w:b/>
          <w:sz w:val="24"/>
          <w:szCs w:val="24"/>
          <w:lang w:val="en-GB"/>
        </w:rPr>
        <w:t>Modalities for operationalizing the global coordination entity</w:t>
      </w:r>
      <w:r w:rsidRPr="007E7D90">
        <w:rPr>
          <w:rFonts w:ascii="Times New Roman Bold" w:eastAsiaTheme="majorEastAsia" w:hAnsi="Times New Roman Bold"/>
          <w:b/>
          <w:bCs/>
          <w:spacing w:val="5"/>
          <w:kern w:val="28"/>
          <w:sz w:val="24"/>
          <w:szCs w:val="24"/>
          <w:lang w:val="en-GB"/>
          <w14:ligatures w14:val="standardContextual"/>
        </w:rPr>
        <w:t xml:space="preserve"> </w:t>
      </w:r>
      <w:r w:rsidRPr="007E7D90">
        <w:rPr>
          <w:rFonts w:eastAsia="Times New Roman"/>
          <w:b/>
          <w:sz w:val="24"/>
          <w:szCs w:val="24"/>
          <w:lang w:val="en-GB"/>
        </w:rPr>
        <w:t>of the technical and scientific cooperation mechanism</w:t>
      </w:r>
    </w:p>
    <w:p w14:paraId="2ECC78D7" w14:textId="3E3D9785" w:rsidR="00626BFD" w:rsidRPr="007E7D90" w:rsidRDefault="00626BFD" w:rsidP="00626BFD">
      <w:pPr>
        <w:tabs>
          <w:tab w:val="clear" w:pos="567"/>
          <w:tab w:val="clear" w:pos="1701"/>
          <w:tab w:val="clear" w:pos="2268"/>
        </w:tabs>
        <w:spacing w:before="120" w:after="120"/>
        <w:ind w:left="540" w:firstLine="27"/>
        <w:rPr>
          <w:rFonts w:eastAsia="Times New Roman"/>
          <w:szCs w:val="24"/>
          <w:lang w:val="en-GB"/>
        </w:rPr>
      </w:pPr>
      <w:r w:rsidRPr="007E7D90">
        <w:rPr>
          <w:rFonts w:eastAsia="Times New Roman"/>
          <w:szCs w:val="24"/>
          <w:lang w:val="en-GB"/>
        </w:rPr>
        <w:t>1.</w:t>
      </w:r>
      <w:r w:rsidRPr="007E7D90">
        <w:rPr>
          <w:rFonts w:eastAsia="Times New Roman"/>
          <w:szCs w:val="24"/>
          <w:lang w:val="en-GB"/>
        </w:rPr>
        <w:tab/>
        <w:t xml:space="preserve">Pursuant to paragraph 27 of decision 15/8, the global coordination entity of the technical and scientific cooperation mechanism will be operationalized in accordance with the modalities set out </w:t>
      </w:r>
      <w:r w:rsidRPr="007E7D90">
        <w:rPr>
          <w:rFonts w:eastAsia="Times New Roman"/>
          <w:szCs w:val="24"/>
          <w:lang w:val="en-GB"/>
        </w:rPr>
        <w:lastRenderedPageBreak/>
        <w:t xml:space="preserve">below and in line with its core functions, as outlined in that decision. The entity will support the identification of science, technology and innovation capability gaps, </w:t>
      </w:r>
      <w:proofErr w:type="gramStart"/>
      <w:r w:rsidRPr="007E7D90">
        <w:rPr>
          <w:rFonts w:eastAsia="Times New Roman"/>
          <w:szCs w:val="24"/>
          <w:lang w:val="en-GB"/>
        </w:rPr>
        <w:t>in particular for</w:t>
      </w:r>
      <w:proofErr w:type="gramEnd"/>
      <w:r w:rsidRPr="007E7D90">
        <w:rPr>
          <w:rFonts w:eastAsia="Times New Roman"/>
          <w:szCs w:val="24"/>
          <w:lang w:val="en-GB"/>
        </w:rPr>
        <w:t xml:space="preserve"> developing country Parties, in a transparent and inclusive manner, taking various regional perspectives into account. It will also facilitate, on a demand-driven basis, technical and scientific cooperation and technology transfer among Parties, </w:t>
      </w:r>
      <w:proofErr w:type="gramStart"/>
      <w:r w:rsidRPr="007E7D90">
        <w:rPr>
          <w:rFonts w:eastAsia="Times New Roman"/>
          <w:szCs w:val="24"/>
          <w:lang w:val="en-GB"/>
        </w:rPr>
        <w:t>in particular to</w:t>
      </w:r>
      <w:proofErr w:type="gramEnd"/>
      <w:r w:rsidRPr="007E7D90">
        <w:rPr>
          <w:rFonts w:eastAsia="Times New Roman"/>
          <w:szCs w:val="24"/>
          <w:lang w:val="en-GB"/>
        </w:rPr>
        <w:t xml:space="preserve"> developing country Parties, to support the implementation of the Convention and its Protocols and the Kunming-Montreal Global Biodiversity Framework, including through joint research programmes and joint ventures for the development of technologies.</w:t>
      </w:r>
    </w:p>
    <w:p w14:paraId="75448B85"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w:t>
      </w:r>
      <w:r w:rsidRPr="007E7D90">
        <w:rPr>
          <w:rFonts w:eastAsiaTheme="majorEastAsia"/>
          <w:b/>
          <w:bCs/>
          <w:sz w:val="24"/>
          <w:szCs w:val="24"/>
          <w:lang w:val="en-GB" w:eastAsia="zh-CN"/>
        </w:rPr>
        <w:tab/>
        <w:t>Organizational structure</w:t>
      </w:r>
    </w:p>
    <w:p w14:paraId="61A96F17" w14:textId="77777777" w:rsidR="00626BFD" w:rsidRPr="007E7D90" w:rsidRDefault="00626BFD" w:rsidP="00626BFD">
      <w:pPr>
        <w:tabs>
          <w:tab w:val="clear" w:pos="567"/>
          <w:tab w:val="clear" w:pos="1701"/>
          <w:tab w:val="clear" w:pos="2268"/>
        </w:tabs>
        <w:spacing w:before="120" w:after="120"/>
        <w:ind w:left="540" w:firstLine="27"/>
        <w:rPr>
          <w:rFonts w:eastAsia="Times New Roman"/>
          <w:szCs w:val="24"/>
          <w:lang w:val="en-GB"/>
        </w:rPr>
      </w:pPr>
      <w:r w:rsidRPr="007E7D90">
        <w:rPr>
          <w:rFonts w:eastAsia="Times New Roman"/>
          <w:szCs w:val="24"/>
          <w:lang w:val="en-GB"/>
        </w:rPr>
        <w:t>2.</w:t>
      </w:r>
      <w:r w:rsidRPr="007E7D90">
        <w:rPr>
          <w:rFonts w:eastAsia="Times New Roman"/>
          <w:szCs w:val="24"/>
          <w:lang w:val="en-GB"/>
        </w:rPr>
        <w:tab/>
        <w:t>The global coordination entity will have a lean and agile team of professional and administrative staff, which will be responsible for the day-to-day administration and management of activities and operations, in line with the core functions outlined in paragraph 27 of decision 15/8.</w:t>
      </w:r>
    </w:p>
    <w:p w14:paraId="3C17B646" w14:textId="77777777" w:rsidR="00626BFD" w:rsidRPr="007E7D90" w:rsidRDefault="00626BFD" w:rsidP="00626BFD">
      <w:pPr>
        <w:tabs>
          <w:tab w:val="clear" w:pos="567"/>
          <w:tab w:val="clear" w:pos="1701"/>
          <w:tab w:val="clear" w:pos="2268"/>
        </w:tabs>
        <w:spacing w:before="120" w:after="120"/>
        <w:ind w:left="567"/>
        <w:rPr>
          <w:rFonts w:eastAsia="Times New Roman"/>
          <w:lang w:val="en-GB"/>
        </w:rPr>
      </w:pPr>
      <w:r w:rsidRPr="007E7D90">
        <w:rPr>
          <w:rFonts w:eastAsia="Times New Roman"/>
          <w:lang w:val="en-GB"/>
        </w:rPr>
        <w:t>3.</w:t>
      </w:r>
      <w:r w:rsidRPr="007E7D90">
        <w:rPr>
          <w:rFonts w:eastAsia="Times New Roman"/>
          <w:lang w:val="en-GB"/>
        </w:rPr>
        <w:tab/>
      </w:r>
      <w:r w:rsidRPr="007E7D90">
        <w:rPr>
          <w:rFonts w:eastAsia="Times New Roman"/>
          <w:szCs w:val="24"/>
          <w:lang w:val="en-GB"/>
        </w:rPr>
        <w:t xml:space="preserve">The global coordination entity </w:t>
      </w:r>
      <w:r w:rsidRPr="007E7D90">
        <w:rPr>
          <w:rFonts w:eastAsiaTheme="majorEastAsia"/>
          <w:szCs w:val="24"/>
          <w:lang w:val="en-GB"/>
        </w:rPr>
        <w:t xml:space="preserve">will </w:t>
      </w:r>
      <w:r w:rsidRPr="007E7D90">
        <w:rPr>
          <w:rFonts w:eastAsia="Times New Roman"/>
          <w:szCs w:val="24"/>
          <w:lang w:val="en-GB"/>
        </w:rPr>
        <w:t>establish partnerships</w:t>
      </w:r>
      <w:r w:rsidRPr="007E7D90">
        <w:rPr>
          <w:rFonts w:eastAsiaTheme="majorEastAsia"/>
          <w:szCs w:val="24"/>
          <w:lang w:val="en-GB"/>
        </w:rPr>
        <w:t xml:space="preserve"> </w:t>
      </w:r>
      <w:r w:rsidRPr="007E7D90">
        <w:rPr>
          <w:rFonts w:eastAsia="Times New Roman"/>
          <w:szCs w:val="24"/>
          <w:lang w:val="en-GB"/>
        </w:rPr>
        <w:t xml:space="preserve">with international organizations that have specialized expertise in areas related to biodiversity, such as the Consortium of Scientific Partners on Biodiversity, </w:t>
      </w:r>
      <w:r w:rsidRPr="007E7D90">
        <w:rPr>
          <w:rFonts w:eastAsiaTheme="majorEastAsia"/>
          <w:szCs w:val="24"/>
          <w:lang w:val="en-GB"/>
        </w:rPr>
        <w:t xml:space="preserve">to provide, through the regional and subregional technical and scientific cooperation support centres, support in areas where expertise or capacity is lacking </w:t>
      </w:r>
      <w:proofErr w:type="gramStart"/>
      <w:r w:rsidRPr="007E7D90">
        <w:rPr>
          <w:rFonts w:eastAsiaTheme="majorEastAsia"/>
          <w:szCs w:val="24"/>
          <w:lang w:val="en-GB"/>
        </w:rPr>
        <w:t>in order to</w:t>
      </w:r>
      <w:proofErr w:type="gramEnd"/>
      <w:r w:rsidRPr="007E7D90">
        <w:rPr>
          <w:rFonts w:eastAsiaTheme="majorEastAsia"/>
          <w:szCs w:val="24"/>
          <w:lang w:val="en-GB"/>
        </w:rPr>
        <w:t xml:space="preserve"> respond to all needs identified by Parties.</w:t>
      </w:r>
    </w:p>
    <w:p w14:paraId="74B86B00"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II.</w:t>
      </w:r>
      <w:r w:rsidRPr="007E7D90">
        <w:rPr>
          <w:rFonts w:eastAsiaTheme="majorEastAsia"/>
          <w:b/>
          <w:bCs/>
          <w:sz w:val="24"/>
          <w:szCs w:val="24"/>
          <w:lang w:val="en-GB" w:eastAsia="zh-CN"/>
        </w:rPr>
        <w:tab/>
        <w:t>Governance and oversight</w:t>
      </w:r>
    </w:p>
    <w:p w14:paraId="61EDDB74" w14:textId="7FCB15BC" w:rsidR="00626BFD" w:rsidRDefault="00626BFD" w:rsidP="00626BFD">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4.</w:t>
      </w:r>
      <w:r w:rsidRPr="007E7D90">
        <w:rPr>
          <w:rFonts w:eastAsiaTheme="majorEastAsia"/>
          <w:szCs w:val="24"/>
          <w:lang w:val="en-GB"/>
        </w:rPr>
        <w:tab/>
        <w:t xml:space="preserve">The global coordination entity will be accountable to the Conference of the Parties and will operate under its strategic guidance and direction. The Conference of the Parties will provide guidance to the entity to support the drafting of its biennial workplan, along with a budget. The general programme priorities, the biennial workplan and the delivery approaches will be approved by the Conference of the </w:t>
      </w:r>
      <w:proofErr w:type="gramStart"/>
      <w:r w:rsidRPr="007E7D90">
        <w:rPr>
          <w:rFonts w:eastAsiaTheme="majorEastAsia"/>
          <w:szCs w:val="24"/>
          <w:lang w:val="en-GB"/>
        </w:rPr>
        <w:t xml:space="preserve">Parties </w:t>
      </w:r>
      <w:r w:rsidR="00047B6E">
        <w:rPr>
          <w:rFonts w:eastAsiaTheme="majorEastAsia"/>
          <w:szCs w:val="24"/>
          <w:lang w:val="en-GB"/>
        </w:rPr>
        <w:t xml:space="preserve"> at</w:t>
      </w:r>
      <w:proofErr w:type="gramEnd"/>
      <w:r w:rsidRPr="007E7D90">
        <w:rPr>
          <w:rFonts w:eastAsiaTheme="majorEastAsia"/>
          <w:szCs w:val="24"/>
          <w:lang w:val="en-GB"/>
        </w:rPr>
        <w:t xml:space="preserve"> each ordinary meeting of the Conference of the Parties</w:t>
      </w:r>
      <w:r w:rsidR="00586CFA">
        <w:rPr>
          <w:rFonts w:eastAsiaTheme="majorEastAsia"/>
          <w:szCs w:val="24"/>
          <w:lang w:val="en-GB"/>
        </w:rPr>
        <w:t xml:space="preserve"> following a recommendation from the Subsidiary Body on Implementation</w:t>
      </w:r>
      <w:r w:rsidRPr="007E7D90">
        <w:rPr>
          <w:rFonts w:eastAsiaTheme="majorEastAsia"/>
          <w:szCs w:val="24"/>
          <w:lang w:val="en-GB"/>
        </w:rPr>
        <w:t>. The entity will report to the Conference of the Parties, through the Subsidiary Body on Implementation, on the progress of its work and that of the regional and subregional support centres.</w:t>
      </w:r>
    </w:p>
    <w:p w14:paraId="7D08E61A" w14:textId="7104A58D" w:rsidR="00626BFD" w:rsidRPr="007E7D90" w:rsidRDefault="00626BFD" w:rsidP="00626BFD">
      <w:pPr>
        <w:tabs>
          <w:tab w:val="clear" w:pos="567"/>
          <w:tab w:val="clear" w:pos="1701"/>
          <w:tab w:val="clear" w:pos="2268"/>
        </w:tabs>
        <w:spacing w:before="120" w:after="120"/>
        <w:ind w:left="540" w:firstLine="27"/>
        <w:rPr>
          <w:rFonts w:eastAsiaTheme="majorEastAsia"/>
          <w:szCs w:val="24"/>
          <w:lang w:val="en-GB"/>
        </w:rPr>
      </w:pPr>
      <w:r w:rsidRPr="007E7D90">
        <w:rPr>
          <w:rFonts w:eastAsiaTheme="majorEastAsia"/>
          <w:szCs w:val="24"/>
          <w:lang w:val="en-GB"/>
        </w:rPr>
        <w:t>5.</w:t>
      </w:r>
      <w:r w:rsidRPr="007E7D90">
        <w:rPr>
          <w:rFonts w:eastAsiaTheme="majorEastAsia"/>
          <w:szCs w:val="24"/>
          <w:lang w:val="en-GB"/>
        </w:rPr>
        <w:tab/>
        <w:t xml:space="preserve">The Informal Advisory Group on Technical and Scientific Cooperation will provide technical advice to the global coordination entity and the regional and subregional support centres on the effective and timely discharge of their functions. </w:t>
      </w:r>
    </w:p>
    <w:p w14:paraId="3277B009" w14:textId="24B1FDCB" w:rsidR="008C2C04" w:rsidRDefault="00626BFD" w:rsidP="00EA6697">
      <w:pPr>
        <w:tabs>
          <w:tab w:val="clear" w:pos="567"/>
          <w:tab w:val="clear" w:pos="1701"/>
          <w:tab w:val="clear" w:pos="2268"/>
        </w:tabs>
        <w:spacing w:before="120" w:after="120"/>
        <w:ind w:left="540" w:firstLine="27"/>
        <w:rPr>
          <w:rFonts w:eastAsiaTheme="majorEastAsia"/>
          <w:color w:val="000000" w:themeColor="text1"/>
          <w:szCs w:val="24"/>
          <w:lang w:val="en-GB"/>
        </w:rPr>
      </w:pPr>
      <w:r w:rsidRPr="007E7D90">
        <w:rPr>
          <w:rFonts w:eastAsia="Times New Roman"/>
          <w:lang w:val="en-GB"/>
        </w:rPr>
        <w:t>7.</w:t>
      </w:r>
      <w:r w:rsidRPr="007E7D90">
        <w:rPr>
          <w:rFonts w:eastAsia="Times New Roman"/>
          <w:lang w:val="en-GB"/>
        </w:rPr>
        <w:tab/>
      </w:r>
      <w:r w:rsidRPr="007E7D90">
        <w:rPr>
          <w:rFonts w:eastAsiaTheme="majorEastAsia"/>
          <w:szCs w:val="24"/>
          <w:lang w:val="en-GB"/>
        </w:rPr>
        <w:t>The Executive Secretary will</w:t>
      </w:r>
      <w:r w:rsidRPr="007E7D90">
        <w:rPr>
          <w:rFonts w:eastAsiaTheme="majorEastAsia"/>
          <w:lang w:val="en-GB"/>
        </w:rPr>
        <w:t xml:space="preserve"> communicate to the global coordination entity and the regional and subregional support centres the priorities identified by Parties in their national biodiversity</w:t>
      </w:r>
      <w:r w:rsidRPr="007E7D90">
        <w:rPr>
          <w:rFonts w:eastAsiaTheme="majorEastAsia"/>
          <w:color w:val="000000"/>
          <w:lang w:val="en-CA"/>
        </w:rPr>
        <w:t xml:space="preserve"> strategies and action plans and national reports regarding capacity-building and development, technical and scientific cooperation and technology transfer, as well as guidance provided by the Conference of the Parties and requests for capacity-building and development and technical and scientific cooperation in decisions of the Conference of the Parties, and will maintain synergy and collaboration with biodiversity-related conventions and relevant organizations and initiatives</w:t>
      </w:r>
      <w:r w:rsidRPr="007E7D90">
        <w:rPr>
          <w:rFonts w:eastAsiaTheme="majorEastAsia"/>
          <w:lang w:val="en-GB"/>
        </w:rPr>
        <w:t>.</w:t>
      </w:r>
    </w:p>
    <w:p w14:paraId="0AB505DF" w14:textId="7D97C197" w:rsidR="008C2C04" w:rsidRDefault="008C2C04" w:rsidP="00E72531">
      <w:pPr>
        <w:tabs>
          <w:tab w:val="clear" w:pos="567"/>
          <w:tab w:val="clear" w:pos="1701"/>
          <w:tab w:val="clear" w:pos="2268"/>
        </w:tabs>
        <w:spacing w:before="120" w:after="120"/>
        <w:ind w:left="539"/>
        <w:rPr>
          <w:rFonts w:eastAsiaTheme="majorEastAsia"/>
          <w:color w:val="000000" w:themeColor="text1"/>
          <w:szCs w:val="24"/>
          <w:lang w:val="en-GB"/>
        </w:rPr>
      </w:pPr>
      <w:r>
        <w:rPr>
          <w:rFonts w:eastAsiaTheme="majorEastAsia"/>
          <w:color w:val="000000" w:themeColor="text1"/>
          <w:szCs w:val="24"/>
          <w:lang w:val="en-GB"/>
        </w:rPr>
        <w:t>8 alt 2. The initial term of service of the host organization of the global coordination entity will be set until the end of 2030. The performance of the global coordination entity will be evaluated in line with par. 17 of annex II of the present decision. The outcomes of the independent evaluation will be considered by the C</w:t>
      </w:r>
      <w:r w:rsidR="00A92D39">
        <w:rPr>
          <w:rFonts w:eastAsiaTheme="majorEastAsia"/>
          <w:color w:val="000000" w:themeColor="text1"/>
          <w:szCs w:val="24"/>
          <w:lang w:val="en-GB"/>
        </w:rPr>
        <w:t>onference of the Parties</w:t>
      </w:r>
      <w:r>
        <w:rPr>
          <w:rFonts w:eastAsiaTheme="majorEastAsia"/>
          <w:color w:val="000000" w:themeColor="text1"/>
          <w:szCs w:val="24"/>
          <w:lang w:val="en-GB"/>
        </w:rPr>
        <w:t>, wh</w:t>
      </w:r>
      <w:r w:rsidR="00AC55AD">
        <w:rPr>
          <w:rFonts w:eastAsiaTheme="majorEastAsia"/>
          <w:color w:val="000000" w:themeColor="text1"/>
          <w:szCs w:val="24"/>
          <w:lang w:val="en-GB"/>
        </w:rPr>
        <w:t>ich</w:t>
      </w:r>
      <w:r>
        <w:rPr>
          <w:rFonts w:eastAsiaTheme="majorEastAsia"/>
          <w:color w:val="000000" w:themeColor="text1"/>
          <w:szCs w:val="24"/>
          <w:lang w:val="en-GB"/>
        </w:rPr>
        <w:t xml:space="preserve"> will determine the renewal of the term</w:t>
      </w:r>
      <w:r w:rsidR="00AC55AD">
        <w:rPr>
          <w:rFonts w:eastAsiaTheme="majorEastAsia"/>
          <w:color w:val="000000" w:themeColor="text1"/>
          <w:szCs w:val="24"/>
          <w:lang w:val="en-GB"/>
        </w:rPr>
        <w:t>,</w:t>
      </w:r>
      <w:r>
        <w:rPr>
          <w:rFonts w:eastAsiaTheme="majorEastAsia"/>
          <w:color w:val="000000" w:themeColor="text1"/>
          <w:szCs w:val="24"/>
          <w:lang w:val="en-GB"/>
        </w:rPr>
        <w:t xml:space="preserve"> and if required</w:t>
      </w:r>
      <w:r w:rsidR="00AC55AD">
        <w:rPr>
          <w:rFonts w:eastAsiaTheme="majorEastAsia"/>
          <w:color w:val="000000" w:themeColor="text1"/>
          <w:szCs w:val="24"/>
          <w:lang w:val="en-GB"/>
        </w:rPr>
        <w:t>,</w:t>
      </w:r>
      <w:r>
        <w:rPr>
          <w:rFonts w:eastAsiaTheme="majorEastAsia"/>
          <w:color w:val="000000" w:themeColor="text1"/>
          <w:szCs w:val="24"/>
          <w:lang w:val="en-GB"/>
        </w:rPr>
        <w:t xml:space="preserve"> ways to improve</w:t>
      </w:r>
      <w:r w:rsidR="009767D3">
        <w:rPr>
          <w:rFonts w:eastAsiaTheme="majorEastAsia"/>
          <w:color w:val="000000" w:themeColor="text1"/>
          <w:szCs w:val="24"/>
          <w:lang w:val="en-GB"/>
        </w:rPr>
        <w:t xml:space="preserve"> the</w:t>
      </w:r>
      <w:r>
        <w:rPr>
          <w:rFonts w:eastAsiaTheme="majorEastAsia"/>
          <w:color w:val="000000" w:themeColor="text1"/>
          <w:szCs w:val="24"/>
          <w:lang w:val="en-GB"/>
        </w:rPr>
        <w:t xml:space="preserve"> performance of the entity</w:t>
      </w:r>
      <w:r w:rsidR="00AC55AD">
        <w:rPr>
          <w:rFonts w:eastAsiaTheme="majorEastAsia"/>
          <w:color w:val="000000" w:themeColor="text1"/>
          <w:szCs w:val="24"/>
          <w:lang w:val="en-GB"/>
        </w:rPr>
        <w:t xml:space="preserve"> or a strategy for its succession</w:t>
      </w:r>
      <w:r>
        <w:rPr>
          <w:rFonts w:eastAsiaTheme="majorEastAsia"/>
          <w:color w:val="000000" w:themeColor="text1"/>
          <w:szCs w:val="24"/>
          <w:lang w:val="en-GB"/>
        </w:rPr>
        <w:t xml:space="preserve">. </w:t>
      </w:r>
    </w:p>
    <w:p w14:paraId="25C4CF82" w14:textId="34A9249C" w:rsidR="00626BFD" w:rsidRPr="007E7D90" w:rsidRDefault="00626BFD" w:rsidP="00EA6697">
      <w:pPr>
        <w:tabs>
          <w:tab w:val="clear" w:pos="567"/>
          <w:tab w:val="clear" w:pos="1701"/>
          <w:tab w:val="clear" w:pos="2268"/>
        </w:tabs>
        <w:spacing w:before="120" w:after="120"/>
        <w:ind w:left="539"/>
        <w:rPr>
          <w:rFonts w:eastAsia="Times New Roman"/>
          <w:sz w:val="24"/>
          <w:szCs w:val="24"/>
          <w:lang w:eastAsia="zh-CN"/>
        </w:rPr>
      </w:pPr>
      <w:r w:rsidRPr="007E7D90">
        <w:rPr>
          <w:rFonts w:eastAsiaTheme="majorEastAsia"/>
          <w:b/>
          <w:bCs/>
          <w:sz w:val="24"/>
          <w:szCs w:val="24"/>
          <w:lang w:val="en-GB" w:eastAsia="zh-CN"/>
        </w:rPr>
        <w:t>III.</w:t>
      </w:r>
      <w:r w:rsidRPr="007E7D90">
        <w:rPr>
          <w:rFonts w:eastAsiaTheme="majorEastAsia"/>
          <w:b/>
          <w:bCs/>
          <w:sz w:val="24"/>
          <w:szCs w:val="24"/>
          <w:lang w:val="en-GB" w:eastAsia="zh-CN"/>
        </w:rPr>
        <w:tab/>
        <w:t>Operational modalities and procedures</w:t>
      </w:r>
    </w:p>
    <w:p w14:paraId="0A5982AD" w14:textId="09C4E4D1" w:rsidR="00626BFD" w:rsidRPr="007E7D90" w:rsidRDefault="00626BFD" w:rsidP="00626BFD">
      <w:pPr>
        <w:tabs>
          <w:tab w:val="clear" w:pos="567"/>
          <w:tab w:val="clear" w:pos="1701"/>
          <w:tab w:val="clear" w:pos="2268"/>
        </w:tabs>
        <w:spacing w:before="120" w:after="120"/>
        <w:ind w:left="539"/>
        <w:rPr>
          <w:rFonts w:eastAsia="Times New Roman"/>
          <w:lang w:val="en-GB"/>
        </w:rPr>
      </w:pPr>
      <w:r w:rsidRPr="007E7D90">
        <w:rPr>
          <w:rFonts w:eastAsia="Times New Roman"/>
          <w:lang w:val="en-GB"/>
        </w:rPr>
        <w:t>9.</w:t>
      </w:r>
      <w:r w:rsidRPr="007E7D90">
        <w:rPr>
          <w:rFonts w:eastAsia="Times New Roman"/>
          <w:lang w:val="en-GB"/>
        </w:rPr>
        <w:tab/>
      </w:r>
      <w:r w:rsidRPr="007E7D90">
        <w:rPr>
          <w:rFonts w:eastAsiaTheme="majorEastAsia"/>
          <w:lang w:val="en-GB"/>
        </w:rPr>
        <w:t>The</w:t>
      </w:r>
      <w:r w:rsidRPr="007E7D90">
        <w:rPr>
          <w:rFonts w:eastAsiaTheme="majorEastAsia"/>
          <w:color w:val="000000"/>
          <w:lang w:val="en-GB"/>
        </w:rPr>
        <w:t xml:space="preserve"> global coordination entity will implement fit-for-purpose operational modalities, procedures, criteria and guidelines related to its </w:t>
      </w:r>
      <w:r w:rsidRPr="007E7D90">
        <w:rPr>
          <w:rFonts w:eastAsiaTheme="majorEastAsia"/>
          <w:szCs w:val="24"/>
          <w:lang w:val="en-GB"/>
        </w:rPr>
        <w:t>functions</w:t>
      </w:r>
      <w:r w:rsidRPr="007E7D90">
        <w:rPr>
          <w:rFonts w:eastAsiaTheme="majorEastAsia"/>
          <w:color w:val="000000"/>
          <w:lang w:val="en-GB"/>
        </w:rPr>
        <w:t xml:space="preserve"> developed with input from the Informal Advisory Group. Those modalities and procedures will be developed </w:t>
      </w:r>
      <w:proofErr w:type="gramStart"/>
      <w:r w:rsidRPr="007E7D90">
        <w:rPr>
          <w:rFonts w:eastAsiaTheme="majorEastAsia"/>
          <w:color w:val="000000"/>
          <w:lang w:val="en-GB"/>
        </w:rPr>
        <w:t>taking into account</w:t>
      </w:r>
      <w:proofErr w:type="gramEnd"/>
      <w:r w:rsidRPr="007E7D90">
        <w:rPr>
          <w:rFonts w:eastAsiaTheme="majorEastAsia"/>
          <w:color w:val="000000"/>
          <w:lang w:val="en-GB"/>
        </w:rPr>
        <w:t xml:space="preserve"> the guiding principles of the technical and scientific cooperation mechanism, as outlined in annex II to decision 15/8, and will be refined over time on the basis of experience and lessons learned</w:t>
      </w:r>
      <w:r w:rsidRPr="007E7D90">
        <w:rPr>
          <w:rFonts w:eastAsiaTheme="majorEastAsia"/>
          <w:lang w:val="en-GB"/>
        </w:rPr>
        <w:t xml:space="preserve"> </w:t>
      </w:r>
      <w:r w:rsidRPr="007E7D90">
        <w:rPr>
          <w:rFonts w:eastAsia="Times New Roman"/>
          <w:lang w:val="en-GB"/>
        </w:rPr>
        <w:t>and revised by the Subsidiary Body on Implementation, as appropriate</w:t>
      </w:r>
      <w:r w:rsidRPr="007E7D90">
        <w:rPr>
          <w:rFonts w:eastAsiaTheme="majorEastAsia"/>
          <w:lang w:val="en-GB"/>
        </w:rPr>
        <w:t>.</w:t>
      </w:r>
      <w:r w:rsidRPr="007E7D90">
        <w:rPr>
          <w:rFonts w:eastAsiaTheme="majorEastAsia"/>
          <w:szCs w:val="24"/>
          <w:lang w:val="en-GB"/>
        </w:rPr>
        <w:t xml:space="preserve"> </w:t>
      </w:r>
      <w:r w:rsidRPr="007E7D90">
        <w:rPr>
          <w:rFonts w:eastAsiaTheme="majorEastAsia"/>
          <w:color w:val="000000"/>
          <w:lang w:val="en-GB"/>
        </w:rPr>
        <w:t>The core modalities and procedures may include the following:</w:t>
      </w:r>
    </w:p>
    <w:p w14:paraId="26F6E62A"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imes New Roman"/>
          <w:lang w:eastAsia="zh-CN"/>
        </w:rPr>
      </w:pPr>
      <w:r w:rsidRPr="007E7D90">
        <w:rPr>
          <w:rFonts w:eastAsiaTheme="majorEastAsia"/>
          <w:lang w:eastAsia="zh-CN"/>
        </w:rPr>
        <w:t>(a)</w:t>
      </w:r>
      <w:r w:rsidRPr="007E7D90">
        <w:rPr>
          <w:rFonts w:eastAsiaTheme="majorEastAsia"/>
          <w:lang w:eastAsia="zh-CN"/>
        </w:rPr>
        <w:tab/>
      </w:r>
      <w:r w:rsidRPr="007E7D90">
        <w:rPr>
          <w:rFonts w:eastAsiaTheme="majorEastAsia"/>
          <w:lang w:val="en-GB" w:eastAsia="zh-CN"/>
        </w:rPr>
        <w:t>Modalities for promoting and maintaining coordination, collaboration and synergies among the regional and subregional support centres;</w:t>
      </w:r>
    </w:p>
    <w:p w14:paraId="68E89F63" w14:textId="259263CD"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eastAsia="zh-CN"/>
        </w:rPr>
        <w:t>(b)</w:t>
      </w:r>
      <w:r w:rsidRPr="007E7D90">
        <w:rPr>
          <w:rFonts w:eastAsiaTheme="majorEastAsia"/>
          <w:lang w:eastAsia="zh-CN"/>
        </w:rPr>
        <w:tab/>
      </w:r>
      <w:r w:rsidRPr="007E7D90">
        <w:rPr>
          <w:rFonts w:eastAsiaTheme="majorEastAsia"/>
          <w:lang w:val="en-GB" w:eastAsia="zh-CN"/>
        </w:rPr>
        <w:t>Criteria for priority setting and programming, including guidelines for the delivery of support tools</w:t>
      </w:r>
      <w:r w:rsidR="00A966F1">
        <w:rPr>
          <w:rFonts w:eastAsiaTheme="majorEastAsia"/>
          <w:lang w:val="en-GB" w:eastAsia="zh-CN"/>
        </w:rPr>
        <w:t>.</w:t>
      </w:r>
      <w:r w:rsidRPr="007E7D90">
        <w:rPr>
          <w:rFonts w:eastAsiaTheme="majorEastAsia"/>
          <w:lang w:val="en-GB" w:eastAsia="zh-CN"/>
        </w:rPr>
        <w:t>;</w:t>
      </w:r>
    </w:p>
    <w:p w14:paraId="3F3799C4"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 w:val="24"/>
          <w:szCs w:val="24"/>
          <w:lang w:val="en-GB" w:eastAsia="zh-CN"/>
        </w:rPr>
      </w:pPr>
      <w:r w:rsidRPr="007E7D90">
        <w:rPr>
          <w:rFonts w:eastAsiaTheme="majorEastAsia"/>
          <w:lang w:val="en-GB" w:eastAsia="zh-CN"/>
        </w:rPr>
        <w:t>(c)</w:t>
      </w:r>
      <w:r w:rsidRPr="007E7D90">
        <w:rPr>
          <w:rFonts w:eastAsiaTheme="majorEastAsia"/>
          <w:lang w:val="en-GB" w:eastAsia="zh-CN"/>
        </w:rPr>
        <w:tab/>
        <w:t>Modalities to ensure balance and equity among regions in the delivery of support to Parties, indigenous peoples and local communities, women and youth, including in terms of access to information on opportunities for technical and scientific cooperation;</w:t>
      </w:r>
    </w:p>
    <w:p w14:paraId="5312D742" w14:textId="5E07BD1E"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(d)</w:t>
      </w:r>
      <w:r w:rsidRPr="007E7D90">
        <w:rPr>
          <w:rFonts w:eastAsiaTheme="majorEastAsia"/>
          <w:lang w:val="en-GB" w:eastAsia="zh-CN"/>
        </w:rPr>
        <w:tab/>
        <w:t>Guidelines and modalities to enable the regional and subregional support centres to align their work with the Convention and its Protocols and the Framework, and with the capacity needs and priorities identified by Parties, in particular developing country Parties, including guidelines to ensure a gender-responsive approach;</w:t>
      </w:r>
    </w:p>
    <w:p w14:paraId="14D8DDC4"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 w:val="24"/>
          <w:szCs w:val="24"/>
          <w:lang w:val="en-GB" w:eastAsia="zh-CN"/>
        </w:rPr>
      </w:pPr>
      <w:r w:rsidRPr="007E7D90">
        <w:rPr>
          <w:rFonts w:eastAsiaTheme="majorEastAsia"/>
          <w:lang w:val="en-GB" w:eastAsia="zh-CN"/>
        </w:rPr>
        <w:t>(e)</w:t>
      </w:r>
      <w:r w:rsidRPr="007E7D90">
        <w:rPr>
          <w:rFonts w:eastAsiaTheme="majorEastAsia"/>
          <w:lang w:val="en-GB" w:eastAsia="zh-CN"/>
        </w:rPr>
        <w:tab/>
        <w:t>Criteria for the identification of organizations and experts that can be mobilized to assist the regional and subregional support centres at their request;</w:t>
      </w:r>
    </w:p>
    <w:p w14:paraId="5EC05310" w14:textId="77777777"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(f)</w:t>
      </w:r>
      <w:r w:rsidRPr="007E7D90">
        <w:rPr>
          <w:rFonts w:eastAsiaTheme="majorEastAsia"/>
          <w:lang w:val="en-GB" w:eastAsia="zh-CN"/>
        </w:rPr>
        <w:tab/>
        <w:t>Guidelines for ensuring the active engagement of indigenous peoples and local communities, women and youth and other relevant stakeholders;</w:t>
      </w:r>
    </w:p>
    <w:p w14:paraId="01BC6D12" w14:textId="7B839B3E" w:rsidR="00626BFD" w:rsidRPr="007E7D90" w:rsidRDefault="00626BFD" w:rsidP="00626BFD">
      <w:pPr>
        <w:tabs>
          <w:tab w:val="clear" w:pos="567"/>
          <w:tab w:val="clear" w:pos="1134"/>
          <w:tab w:val="clear" w:pos="1701"/>
          <w:tab w:val="clear" w:pos="2268"/>
          <w:tab w:val="left" w:pos="1843"/>
        </w:tabs>
        <w:spacing w:before="120" w:after="120"/>
        <w:ind w:left="567" w:firstLine="567"/>
        <w:textAlignment w:val="baseline"/>
        <w:rPr>
          <w:rFonts w:eastAsiaTheme="majorEastAsia"/>
          <w:lang w:val="en-GB"/>
        </w:rPr>
      </w:pPr>
      <w:r w:rsidRPr="007E7D90">
        <w:rPr>
          <w:rFonts w:eastAsiaTheme="majorEastAsia"/>
          <w:lang w:val="en-GB" w:eastAsia="zh-CN"/>
        </w:rPr>
        <w:t>(</w:t>
      </w:r>
      <w:proofErr w:type="gramStart"/>
      <w:r w:rsidRPr="007E7D90">
        <w:rPr>
          <w:rFonts w:eastAsiaTheme="majorEastAsia"/>
          <w:lang w:val="en-GB" w:eastAsia="zh-CN"/>
        </w:rPr>
        <w:t>g )</w:t>
      </w:r>
      <w:proofErr w:type="gramEnd"/>
      <w:r w:rsidRPr="007E7D90">
        <w:rPr>
          <w:rFonts w:eastAsiaTheme="majorEastAsia"/>
          <w:lang w:val="en-GB" w:eastAsia="zh-CN"/>
        </w:rPr>
        <w:tab/>
        <w:t>Modalities for ensuring that the traditional knowledge,</w:t>
      </w:r>
      <w:r w:rsidR="00AC55AD">
        <w:rPr>
          <w:rFonts w:eastAsiaTheme="majorEastAsia"/>
          <w:lang w:val="en-GB" w:eastAsia="zh-CN"/>
        </w:rPr>
        <w:t xml:space="preserve"> </w:t>
      </w:r>
      <w:r w:rsidRPr="007E7D90">
        <w:rPr>
          <w:rFonts w:eastAsiaTheme="majorEastAsia"/>
          <w:lang w:val="en-GB" w:eastAsia="zh-CN"/>
        </w:rPr>
        <w:t xml:space="preserve">innovation and practices of indigenous peoples and local communities are considered, with their free prior and informed </w:t>
      </w:r>
      <w:r w:rsidRPr="007E7D90">
        <w:rPr>
          <w:rFonts w:eastAsiaTheme="majorEastAsia"/>
          <w:lang w:val="en-GB" w:eastAsia="zh-CN"/>
        </w:rPr>
        <w:lastRenderedPageBreak/>
        <w:t>consent</w:t>
      </w:r>
      <w:r w:rsidRPr="007E7D90">
        <w:rPr>
          <w:rFonts w:eastAsiaTheme="majorEastAsia"/>
          <w:vertAlign w:val="superscript"/>
          <w:lang w:val="en-GB" w:eastAsia="zh-CN"/>
        </w:rPr>
        <w:footnoteReference w:id="12"/>
      </w:r>
      <w:r w:rsidR="000663D9">
        <w:rPr>
          <w:rFonts w:eastAsiaTheme="majorEastAsia"/>
          <w:lang w:val="en-GB" w:eastAsia="zh-CN"/>
        </w:rPr>
        <w:t xml:space="preserve"> [</w:t>
      </w:r>
      <w:r w:rsidR="00E12AFF">
        <w:rPr>
          <w:rFonts w:eastAsiaTheme="majorEastAsia"/>
          <w:lang w:val="en-GB" w:eastAsia="zh-CN"/>
        </w:rPr>
        <w:t xml:space="preserve">to enable the regional and subregional support centres to act </w:t>
      </w:r>
      <w:r w:rsidR="000663D9">
        <w:rPr>
          <w:rFonts w:eastAsiaTheme="majorEastAsia"/>
          <w:lang w:val="en-GB" w:eastAsia="zh-CN"/>
        </w:rPr>
        <w:t>in accordance with relevant national legislation</w:t>
      </w:r>
      <w:r w:rsidR="00E12AFF">
        <w:rPr>
          <w:rFonts w:eastAsiaTheme="majorEastAsia"/>
          <w:lang w:val="en-GB" w:eastAsia="zh-CN"/>
        </w:rPr>
        <w:t xml:space="preserve"> and international instruments and treaties</w:t>
      </w:r>
      <w:r w:rsidR="000663D9">
        <w:rPr>
          <w:rFonts w:eastAsiaTheme="majorEastAsia"/>
          <w:lang w:val="en-GB" w:eastAsia="zh-CN"/>
        </w:rPr>
        <w:t>]</w:t>
      </w:r>
      <w:r w:rsidRPr="007E7D90">
        <w:rPr>
          <w:rFonts w:eastAsiaTheme="majorEastAsia"/>
          <w:lang w:val="en-GB" w:eastAsia="zh-CN"/>
        </w:rPr>
        <w:t>;</w:t>
      </w:r>
    </w:p>
    <w:p w14:paraId="34B0EEAE" w14:textId="70421A04" w:rsidR="00626BFD" w:rsidRPr="007E7D90" w:rsidRDefault="00626BFD" w:rsidP="00626BFD">
      <w:pPr>
        <w:tabs>
          <w:tab w:val="clear" w:pos="567"/>
          <w:tab w:val="clear" w:pos="1134"/>
          <w:tab w:val="clear" w:pos="2268"/>
        </w:tabs>
        <w:spacing w:before="120" w:after="120"/>
        <w:ind w:left="567" w:firstLine="567"/>
        <w:textAlignment w:val="baseline"/>
        <w:rPr>
          <w:rFonts w:eastAsiaTheme="majorEastAsia"/>
          <w:szCs w:val="24"/>
          <w:lang w:val="en-GB" w:eastAsia="zh-CN"/>
        </w:rPr>
      </w:pPr>
      <w:r w:rsidRPr="007E7D90">
        <w:rPr>
          <w:rFonts w:eastAsiaTheme="majorEastAsia"/>
          <w:lang w:val="en-GB" w:eastAsia="zh-CN"/>
        </w:rPr>
        <w:t>(h)</w:t>
      </w:r>
      <w:r w:rsidRPr="007E7D90">
        <w:rPr>
          <w:rFonts w:eastAsiaTheme="majorEastAsia"/>
          <w:lang w:val="en-GB" w:eastAsia="zh-CN"/>
        </w:rPr>
        <w:tab/>
        <w:t xml:space="preserve">Modalities for </w:t>
      </w:r>
      <w:proofErr w:type="gramStart"/>
      <w:r w:rsidRPr="007E7D90">
        <w:rPr>
          <w:rFonts w:eastAsiaTheme="majorEastAsia"/>
          <w:lang w:val="en-GB" w:eastAsia="zh-CN"/>
        </w:rPr>
        <w:t>operationalizing</w:t>
      </w:r>
      <w:r w:rsidR="00AC55AD">
        <w:rPr>
          <w:rFonts w:eastAsiaTheme="majorEastAsia"/>
          <w:lang w:val="en-GB" w:eastAsia="zh-CN"/>
        </w:rPr>
        <w:t xml:space="preserve"> </w:t>
      </w:r>
      <w:r w:rsidRPr="007E7D90">
        <w:rPr>
          <w:rFonts w:eastAsiaTheme="majorEastAsia"/>
          <w:lang w:val="en-GB" w:eastAsia="zh-CN"/>
        </w:rPr>
        <w:t xml:space="preserve"> with</w:t>
      </w:r>
      <w:proofErr w:type="gramEnd"/>
      <w:r w:rsidRPr="007E7D90">
        <w:rPr>
          <w:rFonts w:eastAsiaTheme="majorEastAsia"/>
          <w:lang w:val="en-GB" w:eastAsia="zh-CN"/>
        </w:rPr>
        <w:t xml:space="preserve"> the assistance of </w:t>
      </w:r>
      <w:r w:rsidR="00496910">
        <w:rPr>
          <w:rFonts w:eastAsiaTheme="majorEastAsia"/>
          <w:lang w:val="en-GB" w:eastAsia="zh-CN"/>
        </w:rPr>
        <w:t xml:space="preserve">relevant organizations </w:t>
      </w:r>
      <w:r w:rsidRPr="007E7D90">
        <w:rPr>
          <w:rFonts w:eastAsiaTheme="majorEastAsia"/>
          <w:lang w:val="en-GB" w:eastAsia="zh-CN"/>
        </w:rPr>
        <w:t>a help desk to provide information, advice and technical support at the request of the regional and subregional support centres;</w:t>
      </w:r>
    </w:p>
    <w:p w14:paraId="02C16A53" w14:textId="77777777" w:rsidR="00626BFD" w:rsidRPr="007E7D90" w:rsidRDefault="00626BFD" w:rsidP="00626BFD">
      <w:pPr>
        <w:tabs>
          <w:tab w:val="clear" w:pos="567"/>
          <w:tab w:val="clear" w:pos="1134"/>
          <w:tab w:val="clear" w:pos="2268"/>
        </w:tabs>
        <w:spacing w:after="120"/>
        <w:ind w:left="567" w:firstLine="567"/>
        <w:textAlignment w:val="baseline"/>
        <w:rPr>
          <w:rFonts w:eastAsiaTheme="majorEastAsia"/>
          <w:sz w:val="24"/>
          <w:szCs w:val="24"/>
          <w:lang w:val="en-GB" w:eastAsia="zh-CN"/>
        </w:rPr>
      </w:pPr>
      <w:r w:rsidRPr="007E7D90">
        <w:rPr>
          <w:rFonts w:eastAsiaTheme="majorEastAsia"/>
          <w:lang w:eastAsia="zh-CN"/>
        </w:rPr>
        <w:t>(</w:t>
      </w:r>
      <w:proofErr w:type="spellStart"/>
      <w:r w:rsidRPr="007E7D90">
        <w:rPr>
          <w:rFonts w:eastAsiaTheme="majorEastAsia"/>
          <w:lang w:eastAsia="zh-CN"/>
        </w:rPr>
        <w:t>i</w:t>
      </w:r>
      <w:proofErr w:type="spellEnd"/>
      <w:r w:rsidRPr="007E7D90">
        <w:rPr>
          <w:rFonts w:eastAsiaTheme="majorEastAsia"/>
          <w:lang w:eastAsia="zh-CN"/>
        </w:rPr>
        <w:t>)</w:t>
      </w:r>
      <w:r w:rsidRPr="007E7D90">
        <w:rPr>
          <w:rFonts w:eastAsiaTheme="majorEastAsia"/>
          <w:lang w:eastAsia="zh-CN"/>
        </w:rPr>
        <w:tab/>
      </w:r>
      <w:r w:rsidRPr="007E7D90">
        <w:rPr>
          <w:rFonts w:eastAsiaTheme="majorEastAsia"/>
          <w:lang w:val="en-GB" w:eastAsia="zh-CN"/>
        </w:rPr>
        <w:t>Guidelines, templates and procedures to assist the regional and subregional support centres with reporting on their work to the Conference of the Parties through the Subsidiary Body on Implementation;</w:t>
      </w:r>
    </w:p>
    <w:p w14:paraId="399F82C6" w14:textId="51B663C7" w:rsidR="00626BFD" w:rsidRPr="007E7D90" w:rsidRDefault="00626BFD" w:rsidP="00626BFD">
      <w:pPr>
        <w:tabs>
          <w:tab w:val="clear" w:pos="567"/>
          <w:tab w:val="clear" w:pos="1134"/>
          <w:tab w:val="clear" w:pos="2268"/>
        </w:tabs>
        <w:spacing w:after="120"/>
        <w:ind w:left="567" w:firstLine="567"/>
        <w:textAlignment w:val="baseline"/>
        <w:rPr>
          <w:rFonts w:eastAsia="Times New Roman"/>
          <w:lang w:eastAsia="zh-CN"/>
        </w:rPr>
      </w:pPr>
      <w:r w:rsidRPr="007E7D90">
        <w:rPr>
          <w:rFonts w:eastAsia="Times New Roman"/>
          <w:lang w:eastAsia="zh-CN"/>
        </w:rPr>
        <w:t>(</w:t>
      </w:r>
      <w:r w:rsidR="004073CF">
        <w:rPr>
          <w:rFonts w:eastAsia="Times New Roman"/>
          <w:lang w:eastAsia="zh-CN"/>
        </w:rPr>
        <w:t>j</w:t>
      </w:r>
      <w:r w:rsidRPr="007E7D90">
        <w:rPr>
          <w:rFonts w:eastAsia="Times New Roman"/>
          <w:lang w:eastAsia="zh-CN"/>
        </w:rPr>
        <w:t>)</w:t>
      </w:r>
      <w:r w:rsidRPr="007E7D90">
        <w:rPr>
          <w:rFonts w:eastAsia="Times New Roman"/>
          <w:lang w:eastAsia="zh-CN"/>
        </w:rPr>
        <w:tab/>
      </w:r>
      <w:r w:rsidR="00496910">
        <w:rPr>
          <w:rFonts w:eastAsia="Times New Roman"/>
          <w:lang w:eastAsia="zh-CN"/>
        </w:rPr>
        <w:t>P</w:t>
      </w:r>
      <w:r w:rsidRPr="007E7D90">
        <w:rPr>
          <w:rFonts w:eastAsia="Times New Roman"/>
          <w:lang w:eastAsia="zh-CN"/>
        </w:rPr>
        <w:t>romotion of research cooperation</w:t>
      </w:r>
      <w:r w:rsidR="002B1E36">
        <w:rPr>
          <w:rFonts w:eastAsia="Times New Roman"/>
          <w:lang w:eastAsia="zh-CN"/>
        </w:rPr>
        <w:t>.</w:t>
      </w:r>
    </w:p>
    <w:p w14:paraId="3768C9F6" w14:textId="77777777" w:rsidR="00626BFD" w:rsidRPr="007E7D90" w:rsidRDefault="00626BFD" w:rsidP="00626BFD">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10.</w:t>
      </w:r>
      <w:r w:rsidRPr="007E7D90">
        <w:rPr>
          <w:rFonts w:eastAsiaTheme="majorEastAsia"/>
          <w:szCs w:val="24"/>
          <w:lang w:val="en-GB"/>
        </w:rPr>
        <w:tab/>
      </w:r>
      <w:r w:rsidRPr="007E7D90">
        <w:rPr>
          <w:rFonts w:eastAsiaTheme="majorEastAsia"/>
          <w:lang w:val="en-GB"/>
        </w:rPr>
        <w:t xml:space="preserve">The global coordination entity will work with the regional and subregional support centres to connect those Parties seeking specialized technical assistance with organizations, initiatives, networks and experts that can and are best suited to </w:t>
      </w:r>
      <w:r w:rsidRPr="007E7D90">
        <w:rPr>
          <w:rFonts w:eastAsiaTheme="majorEastAsia"/>
          <w:szCs w:val="24"/>
          <w:lang w:val="en-GB"/>
        </w:rPr>
        <w:t>provide the support required.</w:t>
      </w:r>
    </w:p>
    <w:p w14:paraId="4A18A8A6"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IV.</w:t>
      </w:r>
      <w:r w:rsidRPr="007E7D90">
        <w:rPr>
          <w:rFonts w:eastAsiaTheme="majorEastAsia"/>
          <w:b/>
          <w:bCs/>
          <w:sz w:val="24"/>
          <w:szCs w:val="24"/>
          <w:lang w:val="en-GB" w:eastAsia="zh-CN"/>
        </w:rPr>
        <w:tab/>
      </w:r>
      <w:r w:rsidRPr="007E7D90">
        <w:rPr>
          <w:rFonts w:eastAsiaTheme="majorEastAsia"/>
          <w:b/>
          <w:sz w:val="24"/>
          <w:szCs w:val="24"/>
          <w:lang w:eastAsia="zh-CN"/>
        </w:rPr>
        <w:t>Characteristics of the host</w:t>
      </w:r>
      <w:r w:rsidRPr="007E7D90">
        <w:rPr>
          <w:rFonts w:eastAsia="Times New Roman"/>
          <w:sz w:val="24"/>
          <w:szCs w:val="24"/>
          <w:lang w:eastAsia="zh-CN"/>
        </w:rPr>
        <w:t xml:space="preserve"> </w:t>
      </w:r>
      <w:r w:rsidRPr="007E7D90">
        <w:rPr>
          <w:rFonts w:eastAsiaTheme="majorEastAsia"/>
          <w:b/>
          <w:sz w:val="24"/>
          <w:szCs w:val="24"/>
          <w:lang w:eastAsia="zh-CN"/>
        </w:rPr>
        <w:t>organization of the global coordination entity</w:t>
      </w:r>
    </w:p>
    <w:p w14:paraId="2F0AD0AE" w14:textId="77777777" w:rsidR="00626BFD" w:rsidRPr="007E7D90" w:rsidRDefault="00626BFD" w:rsidP="00626BFD">
      <w:pPr>
        <w:tabs>
          <w:tab w:val="clear" w:pos="567"/>
          <w:tab w:val="clear" w:pos="1701"/>
          <w:tab w:val="clear" w:pos="2268"/>
        </w:tabs>
        <w:spacing w:before="120" w:after="120"/>
        <w:ind w:left="540" w:firstLine="27"/>
        <w:rPr>
          <w:rFonts w:eastAsia="Times New Roman"/>
          <w:kern w:val="22"/>
          <w:szCs w:val="24"/>
          <w:lang w:val="en-GB"/>
        </w:rPr>
      </w:pPr>
      <w:r w:rsidRPr="007E7D90">
        <w:rPr>
          <w:rFonts w:eastAsia="Times New Roman"/>
          <w:kern w:val="22"/>
          <w:szCs w:val="24"/>
          <w:lang w:val="en-GB"/>
        </w:rPr>
        <w:t>11.</w:t>
      </w:r>
      <w:r w:rsidRPr="007E7D90">
        <w:rPr>
          <w:rFonts w:eastAsia="Times New Roman"/>
          <w:kern w:val="22"/>
          <w:szCs w:val="24"/>
          <w:lang w:val="en-GB"/>
        </w:rPr>
        <w:tab/>
      </w:r>
      <w:r w:rsidRPr="007E7D90">
        <w:rPr>
          <w:rFonts w:eastAsia="Times New Roman"/>
          <w:szCs w:val="24"/>
          <w:lang w:val="en-GB"/>
        </w:rPr>
        <w:t xml:space="preserve">The host </w:t>
      </w:r>
      <w:r w:rsidRPr="007E7D90">
        <w:rPr>
          <w:rFonts w:eastAsiaTheme="majorEastAsia"/>
          <w:szCs w:val="24"/>
          <w:lang w:val="en-GB"/>
        </w:rPr>
        <w:t xml:space="preserve">organization </w:t>
      </w:r>
      <w:r w:rsidRPr="007E7D90">
        <w:rPr>
          <w:rFonts w:eastAsia="Times New Roman"/>
          <w:szCs w:val="24"/>
          <w:lang w:val="en-GB"/>
        </w:rPr>
        <w:t>of the global coordination entity will possess the following characteristics</w:t>
      </w:r>
      <w:r w:rsidRPr="007E7D90">
        <w:rPr>
          <w:rFonts w:eastAsia="Times New Roman"/>
          <w:kern w:val="22"/>
          <w:szCs w:val="24"/>
          <w:lang w:val="en-GB"/>
        </w:rPr>
        <w:t>:</w:t>
      </w:r>
    </w:p>
    <w:p w14:paraId="4CF47E06"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(a)</w:t>
      </w:r>
      <w:r w:rsidRPr="007E7D90">
        <w:rPr>
          <w:rFonts w:eastAsia="Times New Roman"/>
          <w:kern w:val="22"/>
          <w:lang w:val="en-GB"/>
        </w:rPr>
        <w:tab/>
        <w:t>Ability to mobilize resources from diverse sources;</w:t>
      </w:r>
    </w:p>
    <w:p w14:paraId="5A938BB6"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(b)</w:t>
      </w:r>
      <w:r w:rsidRPr="007E7D90">
        <w:rPr>
          <w:rFonts w:eastAsia="Times New Roman"/>
          <w:kern w:val="22"/>
          <w:lang w:val="en-GB"/>
        </w:rPr>
        <w:tab/>
        <w:t>Familiarity and experience with processes under the Convention and its Protocols;</w:t>
      </w:r>
    </w:p>
    <w:p w14:paraId="6963B5A8"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(c)</w:t>
      </w:r>
      <w:r w:rsidRPr="007E7D90">
        <w:rPr>
          <w:rFonts w:eastAsia="Times New Roman"/>
          <w:kern w:val="22"/>
          <w:lang w:val="en-GB"/>
        </w:rPr>
        <w:tab/>
        <w:t>Ability to leverage expertise from external contacts and networks;</w:t>
      </w:r>
    </w:p>
    <w:p w14:paraId="313CE77E"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(d)</w:t>
      </w:r>
      <w:r w:rsidRPr="007E7D90">
        <w:rPr>
          <w:rFonts w:eastAsia="Times New Roman"/>
          <w:kern w:val="22"/>
          <w:lang w:val="en-GB"/>
        </w:rPr>
        <w:tab/>
        <w:t>Expertise on issues related to biodiversity;</w:t>
      </w:r>
    </w:p>
    <w:p w14:paraId="0889911D"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(e)</w:t>
      </w:r>
      <w:r w:rsidRPr="007E7D90">
        <w:rPr>
          <w:rFonts w:eastAsia="Times New Roman"/>
          <w:kern w:val="22"/>
          <w:lang w:val="en-GB"/>
        </w:rPr>
        <w:tab/>
        <w:t>Strong convening power;</w:t>
      </w:r>
    </w:p>
    <w:p w14:paraId="2090ABD3"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kern w:val="22"/>
          <w:lang w:val="en-GB"/>
        </w:rPr>
      </w:pPr>
      <w:r w:rsidRPr="007E7D90">
        <w:rPr>
          <w:rFonts w:eastAsia="Times New Roman"/>
          <w:kern w:val="22"/>
          <w:lang w:val="en-GB"/>
        </w:rPr>
        <w:t>(f)</w:t>
      </w:r>
      <w:r w:rsidRPr="007E7D90">
        <w:rPr>
          <w:rFonts w:eastAsia="Times New Roman"/>
          <w:kern w:val="22"/>
          <w:lang w:val="en-GB"/>
        </w:rPr>
        <w:tab/>
        <w:t>Recognition as a neutral convener;</w:t>
      </w:r>
    </w:p>
    <w:p w14:paraId="691C9085" w14:textId="77777777" w:rsidR="00626BFD" w:rsidRPr="007E7D90" w:rsidRDefault="00626BFD" w:rsidP="00626BFD">
      <w:pPr>
        <w:suppressLineNumbers/>
        <w:tabs>
          <w:tab w:val="clear" w:pos="567"/>
          <w:tab w:val="clear" w:pos="1134"/>
          <w:tab w:val="clear" w:pos="2268"/>
        </w:tabs>
        <w:suppressAutoHyphens/>
        <w:spacing w:after="120"/>
        <w:ind w:left="567" w:firstLine="567"/>
        <w:rPr>
          <w:rFonts w:eastAsia="Times New Roman"/>
          <w:iCs/>
          <w:kern w:val="22"/>
          <w:lang w:val="en-GB"/>
        </w:rPr>
      </w:pPr>
      <w:r w:rsidRPr="007E7D90">
        <w:rPr>
          <w:rFonts w:eastAsia="Times New Roman"/>
          <w:kern w:val="22"/>
          <w:lang w:val="en-GB"/>
        </w:rPr>
        <w:t>(g)</w:t>
      </w:r>
      <w:r w:rsidRPr="007E7D90">
        <w:rPr>
          <w:rFonts w:eastAsia="Times New Roman"/>
          <w:kern w:val="22"/>
          <w:lang w:val="en-GB"/>
        </w:rPr>
        <w:tab/>
        <w:t>Demonstrated experience in engaging with multiple stakeholders,</w:t>
      </w:r>
      <w:r w:rsidRPr="007E7D90">
        <w:rPr>
          <w:rFonts w:eastAsia="Times New Roman"/>
        </w:rPr>
        <w:t xml:space="preserve"> </w:t>
      </w:r>
      <w:r w:rsidRPr="007E7D90">
        <w:rPr>
          <w:rFonts w:eastAsia="Times New Roman"/>
          <w:iCs/>
          <w:kern w:val="22"/>
          <w:lang w:val="en-GB"/>
        </w:rPr>
        <w:t>indigenous peoples and local communities, women and youth;</w:t>
      </w:r>
    </w:p>
    <w:p w14:paraId="07E13A7A" w14:textId="5B7FFC2A" w:rsidR="007932BE" w:rsidRDefault="00626BFD" w:rsidP="00626BFD">
      <w:pPr>
        <w:suppressLineNumbers/>
        <w:tabs>
          <w:tab w:val="clear" w:pos="567"/>
          <w:tab w:val="clear" w:pos="1134"/>
          <w:tab w:val="clear" w:pos="2268"/>
        </w:tabs>
        <w:suppressAutoHyphens/>
        <w:spacing w:after="120"/>
        <w:ind w:left="567" w:firstLine="567"/>
        <w:rPr>
          <w:rFonts w:eastAsia="Times New Roman"/>
          <w:iCs/>
          <w:kern w:val="22"/>
        </w:rPr>
      </w:pPr>
      <w:r w:rsidRPr="007E7D90">
        <w:rPr>
          <w:rFonts w:eastAsia="Times New Roman"/>
          <w:kern w:val="22"/>
        </w:rPr>
        <w:t>(h)</w:t>
      </w:r>
      <w:r w:rsidRPr="007E7D90">
        <w:rPr>
          <w:rFonts w:eastAsia="Times New Roman"/>
          <w:kern w:val="22"/>
        </w:rPr>
        <w:tab/>
        <w:t xml:space="preserve">Experience in </w:t>
      </w:r>
      <w:proofErr w:type="spellStart"/>
      <w:r w:rsidRPr="007E7D90">
        <w:rPr>
          <w:rFonts w:eastAsia="Times New Roman"/>
          <w:kern w:val="22"/>
        </w:rPr>
        <w:t>programme</w:t>
      </w:r>
      <w:proofErr w:type="spellEnd"/>
      <w:r w:rsidRPr="007E7D90">
        <w:rPr>
          <w:rFonts w:eastAsia="Times New Roman"/>
          <w:kern w:val="22"/>
        </w:rPr>
        <w:t xml:space="preserve"> and project manageme</w:t>
      </w:r>
      <w:r w:rsidRPr="007E7D90">
        <w:rPr>
          <w:rFonts w:eastAsia="Times New Roman"/>
          <w:iCs/>
          <w:kern w:val="22"/>
        </w:rPr>
        <w:t>nt.</w:t>
      </w:r>
    </w:p>
    <w:p w14:paraId="668D0CF8" w14:textId="77777777" w:rsidR="00626BFD" w:rsidRPr="007E7D90" w:rsidRDefault="00626BFD" w:rsidP="00626BFD">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V.</w:t>
      </w:r>
      <w:r w:rsidRPr="007E7D90">
        <w:rPr>
          <w:rFonts w:eastAsiaTheme="majorEastAsia"/>
          <w:b/>
          <w:bCs/>
          <w:sz w:val="24"/>
          <w:szCs w:val="24"/>
          <w:lang w:val="en-GB" w:eastAsia="zh-CN"/>
        </w:rPr>
        <w:tab/>
        <w:t>Coordination and collaboration</w:t>
      </w:r>
    </w:p>
    <w:p w14:paraId="6DF6D493" w14:textId="65A3CE12" w:rsidR="007932BE" w:rsidRPr="007E7D90" w:rsidRDefault="00626BFD" w:rsidP="00695226">
      <w:pPr>
        <w:tabs>
          <w:tab w:val="clear" w:pos="567"/>
          <w:tab w:val="clear" w:pos="1701"/>
          <w:tab w:val="clear" w:pos="2268"/>
        </w:tabs>
        <w:spacing w:before="120" w:after="120"/>
        <w:ind w:left="567"/>
        <w:rPr>
          <w:rFonts w:eastAsiaTheme="majorEastAsia"/>
          <w:szCs w:val="24"/>
          <w:lang w:val="en-GB"/>
        </w:rPr>
      </w:pPr>
      <w:r w:rsidRPr="007E7D90">
        <w:rPr>
          <w:rFonts w:eastAsiaTheme="majorEastAsia"/>
          <w:szCs w:val="24"/>
          <w:lang w:val="en-GB"/>
        </w:rPr>
        <w:t>12.</w:t>
      </w:r>
      <w:r w:rsidRPr="007E7D90">
        <w:rPr>
          <w:rFonts w:eastAsiaTheme="majorEastAsia"/>
          <w:szCs w:val="24"/>
          <w:lang w:val="en-GB"/>
        </w:rPr>
        <w:tab/>
      </w:r>
      <w:r w:rsidRPr="007E7D90">
        <w:rPr>
          <w:rFonts w:eastAsiaTheme="majorEastAsia"/>
          <w:lang w:val="en-GB"/>
        </w:rPr>
        <w:t xml:space="preserve">The global coordination entity will facilitate coordination and collaboration among the regional and </w:t>
      </w:r>
      <w:r w:rsidRPr="007E7D90">
        <w:rPr>
          <w:rFonts w:eastAsiaTheme="majorEastAsia"/>
          <w:szCs w:val="24"/>
          <w:lang w:val="en-GB"/>
        </w:rPr>
        <w:t xml:space="preserve">subregional </w:t>
      </w:r>
      <w:r w:rsidRPr="007E7D90">
        <w:rPr>
          <w:rFonts w:eastAsiaTheme="majorEastAsia"/>
          <w:lang w:val="en-GB"/>
        </w:rPr>
        <w:t>support centres through various means, including by organizing annual meetings with the coordinators of the centres and maintaining a collaborative platform with a view to promoting synergies among them</w:t>
      </w:r>
      <w:r w:rsidR="007C5A97">
        <w:rPr>
          <w:rFonts w:eastAsiaTheme="majorEastAsia"/>
          <w:lang w:val="en-GB"/>
        </w:rPr>
        <w:t xml:space="preserve"> in the delivery of support to Parties</w:t>
      </w:r>
      <w:r w:rsidR="00B63673">
        <w:rPr>
          <w:rFonts w:eastAsiaTheme="majorEastAsia"/>
          <w:lang w:val="en-GB"/>
        </w:rPr>
        <w:t xml:space="preserve"> </w:t>
      </w:r>
      <w:r w:rsidR="00B63673" w:rsidRPr="007E7D90">
        <w:rPr>
          <w:rFonts w:eastAsia="Times New Roman"/>
          <w:szCs w:val="24"/>
          <w:lang w:val="en-GB"/>
        </w:rPr>
        <w:t>and the sharing of experiences, best practices and lessons learned</w:t>
      </w:r>
      <w:r w:rsidRPr="007E7D90">
        <w:rPr>
          <w:rFonts w:eastAsiaTheme="majorEastAsia"/>
          <w:lang w:val="en-GB"/>
        </w:rPr>
        <w:t xml:space="preserve">. This will also enable the centres to leverage and maximize the expertise and resources available within other </w:t>
      </w:r>
      <w:r w:rsidRPr="007E7D90">
        <w:rPr>
          <w:rFonts w:eastAsiaTheme="majorEastAsia"/>
          <w:szCs w:val="24"/>
          <w:lang w:val="en-GB"/>
        </w:rPr>
        <w:t>support centres and foster the sharing of experiences, best practices and lessons learned. The collaborative online platform will be accessible through the central portal of the clearing-house mechanism.</w:t>
      </w:r>
    </w:p>
    <w:p w14:paraId="07F17141" w14:textId="4CB6C0FD" w:rsidR="00626BFD" w:rsidRPr="009E2802" w:rsidRDefault="00626BFD" w:rsidP="001F545E">
      <w:pPr>
        <w:tabs>
          <w:tab w:val="clear" w:pos="567"/>
          <w:tab w:val="clear" w:pos="1701"/>
          <w:tab w:val="clear" w:pos="2268"/>
        </w:tabs>
        <w:spacing w:before="120" w:after="120"/>
        <w:ind w:left="540" w:firstLine="27"/>
        <w:rPr>
          <w:rFonts w:eastAsiaTheme="majorEastAsia"/>
          <w:szCs w:val="24"/>
          <w:lang w:val="en-GB"/>
        </w:rPr>
      </w:pPr>
      <w:r w:rsidRPr="007E7D90">
        <w:rPr>
          <w:rFonts w:eastAsia="Times New Roman"/>
          <w:lang w:val="en-GB"/>
        </w:rPr>
        <w:t>13.</w:t>
      </w:r>
      <w:r w:rsidRPr="007E7D90">
        <w:rPr>
          <w:rFonts w:eastAsia="Times New Roman"/>
          <w:lang w:val="en-GB"/>
        </w:rPr>
        <w:tab/>
      </w:r>
      <w:r w:rsidRPr="007E7D90">
        <w:rPr>
          <w:rFonts w:eastAsiaTheme="majorEastAsia"/>
          <w:szCs w:val="24"/>
          <w:lang w:val="en-GB"/>
        </w:rPr>
        <w:t>The global coordination entity will</w:t>
      </w:r>
      <w:r w:rsidR="00E11E13" w:rsidRPr="00E11E13">
        <w:rPr>
          <w:rFonts w:eastAsiaTheme="majorEastAsia"/>
          <w:szCs w:val="24"/>
          <w:lang w:val="en-GB"/>
        </w:rPr>
        <w:t xml:space="preserve"> organize, as appropriate, meetings of the selected regional and subregional support centres to orientate them on their mandate and operational procedures and provide them with guidance</w:t>
      </w:r>
      <w:r w:rsidR="001F545E">
        <w:rPr>
          <w:rFonts w:eastAsiaTheme="majorEastAsia"/>
          <w:szCs w:val="24"/>
          <w:lang w:val="en-GB"/>
        </w:rPr>
        <w:t xml:space="preserve">. It will also </w:t>
      </w:r>
      <w:r w:rsidR="00E11E13">
        <w:rPr>
          <w:rFonts w:eastAsiaTheme="majorEastAsia"/>
          <w:szCs w:val="24"/>
          <w:lang w:val="en-GB"/>
        </w:rPr>
        <w:t xml:space="preserve">facilitate meetings and other activities </w:t>
      </w:r>
      <w:r w:rsidRPr="007E7D90">
        <w:rPr>
          <w:rFonts w:eastAsiaTheme="majorEastAsia"/>
          <w:szCs w:val="24"/>
          <w:lang w:val="en-GB"/>
        </w:rPr>
        <w:t>promote, as appropriate, cooperation with relevant initiatives</w:t>
      </w:r>
      <w:r w:rsidR="0048440A">
        <w:rPr>
          <w:rFonts w:eastAsiaTheme="majorEastAsia"/>
          <w:szCs w:val="24"/>
          <w:lang w:val="en-GB"/>
        </w:rPr>
        <w:t xml:space="preserve"> and partnerships</w:t>
      </w:r>
      <w:r w:rsidRPr="007E7D90">
        <w:rPr>
          <w:rFonts w:eastAsiaTheme="majorEastAsia"/>
          <w:szCs w:val="24"/>
          <w:lang w:val="en-GB"/>
        </w:rPr>
        <w:t xml:space="preserve"> supporting the implementation of the </w:t>
      </w:r>
      <w:r w:rsidRPr="007E7D90">
        <w:rPr>
          <w:rFonts w:eastAsiaTheme="majorEastAsia"/>
          <w:lang w:val="en-GB"/>
        </w:rPr>
        <w:t>Framework and with relevant technical cooperation mechanisms led by other multilateral environmental agreements and relevant organizations</w:t>
      </w:r>
      <w:r w:rsidR="006078C9">
        <w:rPr>
          <w:rFonts w:eastAsiaTheme="majorEastAsia"/>
          <w:lang w:val="en-GB"/>
        </w:rPr>
        <w:t xml:space="preserve"> </w:t>
      </w:r>
      <w:r w:rsidR="006078C9" w:rsidRPr="007E7D90">
        <w:rPr>
          <w:rFonts w:eastAsia="Times New Roman"/>
          <w:szCs w:val="24"/>
          <w:lang w:val="en-GB"/>
        </w:rPr>
        <w:t>to foster coordination and synergies</w:t>
      </w:r>
    </w:p>
    <w:p w14:paraId="54926E5A" w14:textId="77777777" w:rsidR="00626BFD" w:rsidRPr="007E7D90" w:rsidRDefault="00626BFD" w:rsidP="00626BFD">
      <w:pPr>
        <w:keepNext/>
        <w:tabs>
          <w:tab w:val="clear" w:pos="567"/>
          <w:tab w:val="clear" w:pos="1134"/>
          <w:tab w:val="clear" w:pos="1701"/>
          <w:tab w:val="clear" w:pos="2268"/>
        </w:tabs>
        <w:ind w:left="567" w:hanging="567"/>
        <w:jc w:val="left"/>
        <w:textAlignment w:val="baseline"/>
        <w:rPr>
          <w:rFonts w:eastAsia="Times New Roman"/>
          <w:szCs w:val="24"/>
          <w:lang w:val="en-GB"/>
        </w:rPr>
      </w:pPr>
      <w:r w:rsidRPr="007E7D90">
        <w:rPr>
          <w:rFonts w:eastAsiaTheme="majorEastAsia"/>
          <w:b/>
          <w:bCs/>
          <w:sz w:val="24"/>
          <w:szCs w:val="24"/>
          <w:lang w:val="en-GB" w:eastAsia="zh-CN"/>
        </w:rPr>
        <w:lastRenderedPageBreak/>
        <w:t>VI.</w:t>
      </w:r>
      <w:r w:rsidRPr="007E7D90">
        <w:rPr>
          <w:rFonts w:eastAsiaTheme="majorEastAsia"/>
          <w:b/>
          <w:bCs/>
          <w:sz w:val="24"/>
          <w:szCs w:val="24"/>
          <w:lang w:val="en-GB" w:eastAsia="zh-CN"/>
        </w:rPr>
        <w:tab/>
        <w:t>Financial arrangements</w:t>
      </w:r>
    </w:p>
    <w:p w14:paraId="10A06530" w14:textId="77777777" w:rsidR="00626BFD" w:rsidRPr="007E7D90" w:rsidRDefault="00626BFD" w:rsidP="00626BFD">
      <w:pPr>
        <w:tabs>
          <w:tab w:val="clear" w:pos="567"/>
          <w:tab w:val="clear" w:pos="1701"/>
          <w:tab w:val="clear" w:pos="2268"/>
        </w:tabs>
        <w:spacing w:before="120" w:after="120"/>
        <w:ind w:left="539"/>
        <w:rPr>
          <w:rFonts w:eastAsiaTheme="majorEastAsia"/>
          <w:szCs w:val="24"/>
          <w:lang w:val="en-GB"/>
        </w:rPr>
      </w:pPr>
      <w:r w:rsidRPr="007E7D90">
        <w:rPr>
          <w:rFonts w:eastAsiaTheme="majorEastAsia"/>
          <w:szCs w:val="24"/>
          <w:lang w:val="en-GB"/>
        </w:rPr>
        <w:t>[14.</w:t>
      </w:r>
      <w:r w:rsidRPr="007E7D90">
        <w:rPr>
          <w:rFonts w:eastAsiaTheme="majorEastAsia"/>
          <w:szCs w:val="24"/>
          <w:lang w:val="en-GB"/>
        </w:rPr>
        <w:tab/>
      </w:r>
      <w:r w:rsidRPr="007E7D90">
        <w:rPr>
          <w:rFonts w:eastAsiaTheme="majorEastAsia"/>
          <w:lang w:val="en-GB"/>
        </w:rPr>
        <w:t>The Conference of the Parties will consider, if appropriate and necessary, a minimum supplementary budget</w:t>
      </w:r>
      <w:r w:rsidRPr="007E7D90">
        <w:rPr>
          <w:rFonts w:eastAsiaTheme="majorEastAsia"/>
          <w:szCs w:val="24"/>
          <w:lang w:val="en-GB"/>
        </w:rPr>
        <w:t xml:space="preserve"> to cover the basic operational costs of the global coordination entity.]</w:t>
      </w:r>
    </w:p>
    <w:p w14:paraId="7456AAE4" w14:textId="77777777" w:rsidR="00626BFD" w:rsidRPr="007E7D90" w:rsidRDefault="00626BFD" w:rsidP="00626BFD">
      <w:pPr>
        <w:tabs>
          <w:tab w:val="clear" w:pos="567"/>
          <w:tab w:val="clear" w:pos="1701"/>
          <w:tab w:val="clear" w:pos="2268"/>
        </w:tabs>
        <w:spacing w:before="120" w:after="120"/>
        <w:ind w:left="539"/>
        <w:rPr>
          <w:rFonts w:eastAsia="Times New Roman"/>
          <w:lang w:val="en-GB"/>
        </w:rPr>
      </w:pPr>
      <w:r w:rsidRPr="007E7D90">
        <w:rPr>
          <w:rFonts w:eastAsia="Times New Roman"/>
          <w:lang w:val="en-GB"/>
        </w:rPr>
        <w:t>15.</w:t>
      </w:r>
      <w:r w:rsidRPr="007E7D90">
        <w:rPr>
          <w:rFonts w:eastAsia="Times New Roman"/>
          <w:lang w:val="en-GB"/>
        </w:rPr>
        <w:tab/>
      </w:r>
      <w:r w:rsidRPr="007E7D90">
        <w:rPr>
          <w:rFonts w:eastAsiaTheme="majorEastAsia"/>
          <w:szCs w:val="24"/>
          <w:lang w:val="en-GB"/>
        </w:rPr>
        <w:t>The global coordination entity will mobilize additional resources from a wide variety of sources, including from public</w:t>
      </w:r>
      <w:r w:rsidRPr="007E7D90">
        <w:rPr>
          <w:rFonts w:eastAsiaTheme="majorEastAsia"/>
          <w:lang w:val="en-GB"/>
        </w:rPr>
        <w:t xml:space="preserve"> and private grants and innovative financing instruments, as appropriate, and channel those resources to finance the technical and scientific cooperation support programmes of the regional and subregional support centres.</w:t>
      </w:r>
    </w:p>
    <w:p w14:paraId="3BE6DF78" w14:textId="77777777" w:rsidR="00626BFD" w:rsidRPr="007E7D90" w:rsidRDefault="00626BFD" w:rsidP="00626BFD">
      <w:pPr>
        <w:keepNext/>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7E7D90">
        <w:rPr>
          <w:rFonts w:eastAsiaTheme="majorEastAsia"/>
          <w:b/>
          <w:bCs/>
          <w:sz w:val="24"/>
          <w:szCs w:val="24"/>
          <w:lang w:val="en-GB" w:eastAsia="zh-CN"/>
        </w:rPr>
        <w:t>VII.</w:t>
      </w:r>
      <w:r w:rsidRPr="007E7D90">
        <w:rPr>
          <w:rFonts w:eastAsiaTheme="majorEastAsia"/>
          <w:b/>
          <w:bCs/>
          <w:sz w:val="24"/>
          <w:szCs w:val="24"/>
          <w:lang w:val="en-GB" w:eastAsia="zh-CN"/>
        </w:rPr>
        <w:tab/>
        <w:t>Monitoring and review</w:t>
      </w:r>
    </w:p>
    <w:p w14:paraId="7896A0CC" w14:textId="769B4291" w:rsidR="00205E21" w:rsidRPr="007E7D90" w:rsidRDefault="00626BFD" w:rsidP="00626BFD">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16.</w:t>
      </w:r>
      <w:r w:rsidRPr="007E7D90">
        <w:rPr>
          <w:rFonts w:eastAsia="Times New Roman"/>
          <w:szCs w:val="24"/>
          <w:lang w:val="en-GB"/>
        </w:rPr>
        <w:tab/>
      </w:r>
      <w:r w:rsidRPr="007E7D90">
        <w:rPr>
          <w:rFonts w:eastAsiaTheme="majorEastAsia"/>
          <w:color w:val="000000" w:themeColor="text1"/>
          <w:szCs w:val="24"/>
          <w:lang w:val="en-GB"/>
        </w:rPr>
        <w:t xml:space="preserve">The Subsidiary Body on Implementation, with the support of the </w:t>
      </w:r>
      <w:r w:rsidRPr="007E7D90">
        <w:rPr>
          <w:rFonts w:eastAsiaTheme="majorEastAsia"/>
          <w:szCs w:val="24"/>
          <w:lang w:val="en-GB"/>
        </w:rPr>
        <w:t>Informal</w:t>
      </w:r>
      <w:r w:rsidRPr="007E7D90">
        <w:rPr>
          <w:rFonts w:eastAsiaTheme="majorEastAsia"/>
          <w:color w:val="000000" w:themeColor="text1"/>
          <w:szCs w:val="24"/>
          <w:lang w:val="en-GB"/>
        </w:rPr>
        <w:t xml:space="preserve"> Advisory Group, will periodically review </w:t>
      </w:r>
      <w:r w:rsidRPr="007E7D90">
        <w:rPr>
          <w:rFonts w:eastAsiaTheme="majorEastAsia"/>
          <w:szCs w:val="24"/>
          <w:lang w:val="en-GB"/>
        </w:rPr>
        <w:t>the operations of the global coordination entity and of the regional and</w:t>
      </w:r>
      <w:r w:rsidRPr="007E7D90">
        <w:rPr>
          <w:rFonts w:eastAsiaTheme="majorEastAsia"/>
          <w:color w:val="000000" w:themeColor="text1"/>
          <w:szCs w:val="24"/>
          <w:lang w:val="en-GB"/>
        </w:rPr>
        <w:t xml:space="preserve"> subregional support centres</w:t>
      </w:r>
      <w:r w:rsidRPr="007E7D90">
        <w:rPr>
          <w:rFonts w:eastAsiaTheme="majorEastAsia"/>
          <w:szCs w:val="24"/>
          <w:lang w:val="en-GB"/>
        </w:rPr>
        <w:t>, including by conducting analyses of their periodic reports</w:t>
      </w:r>
      <w:r w:rsidRPr="007E7D90">
        <w:rPr>
          <w:rFonts w:eastAsiaTheme="majorEastAsia"/>
          <w:color w:val="000000" w:themeColor="text1"/>
          <w:szCs w:val="24"/>
          <w:lang w:val="en-GB"/>
        </w:rPr>
        <w:t>. A first review will be carried out for consideration by the Conference of the Parties at its seventeenth meeting. The results-based workplans and reports of the entities to the Conference of the Parties will be the primary source of information for monitoring and evaluating the mechanism</w:t>
      </w:r>
      <w:r w:rsidR="008F4E09">
        <w:rPr>
          <w:rFonts w:eastAsiaTheme="majorEastAsia"/>
          <w:color w:val="000000" w:themeColor="text1"/>
          <w:szCs w:val="24"/>
          <w:lang w:val="en-GB"/>
        </w:rPr>
        <w:t>.</w:t>
      </w:r>
    </w:p>
    <w:p w14:paraId="645871AF" w14:textId="77777777" w:rsidR="00626BFD" w:rsidRPr="00B67C84" w:rsidRDefault="00626BFD" w:rsidP="00626BFD">
      <w:pPr>
        <w:tabs>
          <w:tab w:val="clear" w:pos="567"/>
          <w:tab w:val="clear" w:pos="1701"/>
          <w:tab w:val="clear" w:pos="2268"/>
        </w:tabs>
        <w:spacing w:before="120" w:after="120"/>
        <w:ind w:left="539"/>
        <w:rPr>
          <w:rFonts w:eastAsiaTheme="majorEastAsia"/>
          <w:color w:val="000000" w:themeColor="text1"/>
          <w:szCs w:val="24"/>
          <w:lang w:val="en-GB"/>
        </w:rPr>
      </w:pPr>
      <w:r w:rsidRPr="007E7D90">
        <w:rPr>
          <w:rFonts w:eastAsiaTheme="majorEastAsia"/>
          <w:color w:val="000000" w:themeColor="text1"/>
          <w:szCs w:val="24"/>
          <w:lang w:val="en-GB"/>
        </w:rPr>
        <w:t>17.</w:t>
      </w:r>
      <w:r w:rsidRPr="007E7D90">
        <w:rPr>
          <w:rFonts w:eastAsia="Times New Roman"/>
          <w:szCs w:val="24"/>
          <w:lang w:val="en-GB"/>
        </w:rPr>
        <w:tab/>
      </w:r>
      <w:r w:rsidRPr="007E7D90">
        <w:rPr>
          <w:rFonts w:eastAsiaTheme="majorEastAsia"/>
          <w:color w:val="000000" w:themeColor="text1"/>
          <w:szCs w:val="24"/>
          <w:lang w:val="en-GB"/>
        </w:rPr>
        <w:t>The Executive Secretary will commission an independent evaluation of the global coordination entity and the regional and subregional support centres in line with decision 15/8. The report will be considered by the Subsidiary Body on Implementation at a meeting held before the nineteenth meeting of the Conference of the Parties and, subsequently, by the Conference of the Parties at its nineteenth meeting.</w:t>
      </w:r>
    </w:p>
    <w:p w14:paraId="708CBA56" w14:textId="77777777" w:rsidR="00537248" w:rsidRPr="00626BFD" w:rsidRDefault="00537248" w:rsidP="005C0058">
      <w:pPr>
        <w:pStyle w:val="Para2"/>
        <w:rPr>
          <w:lang w:val="en-GB"/>
        </w:rPr>
      </w:pPr>
    </w:p>
    <w:p w14:paraId="61D564E2" w14:textId="77777777" w:rsidR="002B559C" w:rsidRPr="004701EE" w:rsidRDefault="00ED3849" w:rsidP="00B150BA">
      <w:pPr>
        <w:pStyle w:val="Para1"/>
        <w:numPr>
          <w:ilvl w:val="0"/>
          <w:numId w:val="0"/>
        </w:numPr>
        <w:ind w:left="567"/>
        <w:jc w:val="center"/>
      </w:pPr>
      <w:r>
        <w:t>__________</w:t>
      </w:r>
    </w:p>
    <w:sectPr w:rsidR="002B559C" w:rsidRPr="004701EE" w:rsidSect="00626BFD">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AC3E2" w14:textId="77777777" w:rsidR="009A2B60" w:rsidRDefault="009A2B60" w:rsidP="00A96B21">
      <w:r>
        <w:separator/>
      </w:r>
    </w:p>
  </w:endnote>
  <w:endnote w:type="continuationSeparator" w:id="0">
    <w:p w14:paraId="4D468201" w14:textId="77777777" w:rsidR="009A2B60" w:rsidRDefault="009A2B60" w:rsidP="00A96B21">
      <w:r>
        <w:continuationSeparator/>
      </w:r>
    </w:p>
  </w:endnote>
  <w:endnote w:type="continuationNotice" w:id="1">
    <w:p w14:paraId="36BEE458" w14:textId="77777777" w:rsidR="003E32E1" w:rsidRDefault="003E32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C72A5" w14:textId="77777777" w:rsidR="009A2B60" w:rsidRDefault="009A2B60" w:rsidP="00A96B21">
      <w:r>
        <w:separator/>
      </w:r>
    </w:p>
  </w:footnote>
  <w:footnote w:type="continuationSeparator" w:id="0">
    <w:p w14:paraId="5F7739FF" w14:textId="77777777" w:rsidR="009A2B60" w:rsidRDefault="009A2B60" w:rsidP="00A96B21">
      <w:r>
        <w:continuationSeparator/>
      </w:r>
    </w:p>
  </w:footnote>
  <w:footnote w:type="continuationNotice" w:id="1">
    <w:p w14:paraId="26C0695C" w14:textId="77777777" w:rsidR="003E32E1" w:rsidRDefault="003E32E1"/>
  </w:footnote>
  <w:footnote w:id="2">
    <w:p w14:paraId="300E3BD7" w14:textId="77777777" w:rsidR="00626BFD" w:rsidRPr="00F853CD" w:rsidRDefault="00626BFD" w:rsidP="00626BFD">
      <w:pPr>
        <w:pStyle w:val="FootnoteText"/>
        <w:rPr>
          <w:szCs w:val="18"/>
        </w:rPr>
      </w:pPr>
      <w:r w:rsidRPr="00F74BCD">
        <w:rPr>
          <w:szCs w:val="18"/>
          <w:vertAlign w:val="superscript"/>
        </w:rPr>
        <w:footnoteRef/>
      </w:r>
      <w:r w:rsidRPr="00F74BCD">
        <w:rPr>
          <w:szCs w:val="18"/>
          <w:vertAlign w:val="superscript"/>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1760, No. 30619.</w:t>
      </w:r>
    </w:p>
  </w:footnote>
  <w:footnote w:id="3">
    <w:p w14:paraId="2D1A64D9" w14:textId="77777777" w:rsidR="00626BFD" w:rsidRPr="00F853CD" w:rsidRDefault="00626BFD" w:rsidP="00626BFD">
      <w:pPr>
        <w:pStyle w:val="FootnoteText"/>
        <w:rPr>
          <w:szCs w:val="18"/>
        </w:rPr>
      </w:pPr>
      <w:r w:rsidRPr="00F74BCD">
        <w:rPr>
          <w:szCs w:val="18"/>
          <w:vertAlign w:val="superscript"/>
        </w:rPr>
        <w:footnoteRef/>
      </w:r>
      <w:r w:rsidRPr="00F74BCD">
        <w:rPr>
          <w:szCs w:val="18"/>
          <w:vertAlign w:val="superscript"/>
        </w:rPr>
        <w:t xml:space="preserve"> </w:t>
      </w:r>
      <w:r w:rsidRPr="003E3453">
        <w:rPr>
          <w:szCs w:val="18"/>
        </w:rPr>
        <w:t>CBD</w:t>
      </w:r>
      <w:r w:rsidRPr="00F853CD">
        <w:rPr>
          <w:szCs w:val="18"/>
        </w:rPr>
        <w:t>/</w:t>
      </w:r>
      <w:r w:rsidRPr="003E3453">
        <w:rPr>
          <w:szCs w:val="18"/>
        </w:rPr>
        <w:t>SBI</w:t>
      </w:r>
      <w:r w:rsidRPr="00F853CD">
        <w:rPr>
          <w:szCs w:val="18"/>
        </w:rPr>
        <w:t>/4/7/Add.3.</w:t>
      </w:r>
    </w:p>
  </w:footnote>
  <w:footnote w:id="4">
    <w:p w14:paraId="689BA615" w14:textId="77777777" w:rsidR="00626BFD" w:rsidRPr="00F853CD" w:rsidRDefault="00626BFD" w:rsidP="00626BFD">
      <w:pPr>
        <w:pStyle w:val="FootnoteText"/>
        <w:rPr>
          <w:szCs w:val="18"/>
        </w:rPr>
      </w:pPr>
      <w:r w:rsidRPr="00F74BCD">
        <w:rPr>
          <w:szCs w:val="18"/>
          <w:vertAlign w:val="superscript"/>
        </w:rPr>
        <w:footnoteRef/>
      </w:r>
      <w:r w:rsidRPr="00F853CD">
        <w:rPr>
          <w:szCs w:val="18"/>
        </w:rPr>
        <w:t xml:space="preserve"> Decision 15/4, annex.</w:t>
      </w:r>
    </w:p>
  </w:footnote>
  <w:footnote w:id="5">
    <w:p w14:paraId="363F57E2" w14:textId="77777777" w:rsidR="00626BFD" w:rsidRPr="00F853CD" w:rsidRDefault="00626BFD" w:rsidP="00626BFD">
      <w:pPr>
        <w:pStyle w:val="FootnoteText"/>
        <w:rPr>
          <w:szCs w:val="18"/>
        </w:rPr>
      </w:pPr>
      <w:r w:rsidRPr="009355B4">
        <w:rPr>
          <w:szCs w:val="18"/>
          <w:vertAlign w:val="superscript"/>
        </w:rPr>
        <w:footnoteRef/>
      </w:r>
      <w:r w:rsidRPr="00F853CD">
        <w:rPr>
          <w:szCs w:val="18"/>
        </w:rPr>
        <w:t xml:space="preserve"> Decision 15/8, annex I.</w:t>
      </w:r>
    </w:p>
  </w:footnote>
  <w:footnote w:id="6">
    <w:p w14:paraId="371B544A" w14:textId="77777777" w:rsidR="00626BFD" w:rsidRPr="00F853CD" w:rsidRDefault="00626BFD" w:rsidP="00626BFD">
      <w:pPr>
        <w:pStyle w:val="FootnoteText"/>
        <w:rPr>
          <w:szCs w:val="18"/>
        </w:rPr>
      </w:pPr>
      <w:r w:rsidRPr="009355B4">
        <w:rPr>
          <w:szCs w:val="18"/>
          <w:vertAlign w:val="superscript"/>
        </w:rPr>
        <w:footnoteRef/>
      </w:r>
      <w:r w:rsidRPr="00F853CD">
        <w:rPr>
          <w:szCs w:val="18"/>
        </w:rPr>
        <w:t xml:space="preserve"> Decision on the monitoring framework for the </w:t>
      </w:r>
      <w:r w:rsidRPr="003E3453">
        <w:rPr>
          <w:szCs w:val="18"/>
        </w:rPr>
        <w:t>Kunming-Montreal Global Biodiversity Framework</w:t>
      </w:r>
      <w:r w:rsidRPr="00F853CD">
        <w:rPr>
          <w:szCs w:val="18"/>
        </w:rPr>
        <w:t xml:space="preserve"> to be </w:t>
      </w:r>
      <w:r>
        <w:rPr>
          <w:szCs w:val="18"/>
        </w:rPr>
        <w:t>adopted by</w:t>
      </w:r>
      <w:r w:rsidRPr="00F853CD">
        <w:rPr>
          <w:szCs w:val="18"/>
        </w:rPr>
        <w:t xml:space="preserve"> the Conference of the Parties at its sixteenth meeting.</w:t>
      </w:r>
    </w:p>
  </w:footnote>
  <w:footnote w:id="7">
    <w:p w14:paraId="2E7D76E5"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1771, No. 30822.</w:t>
      </w:r>
    </w:p>
  </w:footnote>
  <w:footnote w:id="8">
    <w:p w14:paraId="1E470B21"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w:t>
      </w:r>
      <w:r w:rsidRPr="00F853CD">
        <w:rPr>
          <w:color w:val="000000"/>
          <w:szCs w:val="18"/>
        </w:rPr>
        <w:t xml:space="preserve">United Nations, </w:t>
      </w:r>
      <w:r w:rsidRPr="00F853CD">
        <w:rPr>
          <w:i/>
          <w:iCs/>
          <w:color w:val="000000"/>
          <w:szCs w:val="18"/>
        </w:rPr>
        <w:t>Treaty Series</w:t>
      </w:r>
      <w:r w:rsidRPr="00F853CD">
        <w:rPr>
          <w:iCs/>
          <w:color w:val="000000"/>
          <w:szCs w:val="18"/>
        </w:rPr>
        <w:t>,</w:t>
      </w:r>
      <w:r w:rsidRPr="00F853CD">
        <w:rPr>
          <w:i/>
          <w:iCs/>
          <w:color w:val="000000"/>
          <w:szCs w:val="18"/>
        </w:rPr>
        <w:t xml:space="preserve"> </w:t>
      </w:r>
      <w:r w:rsidRPr="00F853CD">
        <w:rPr>
          <w:color w:val="000000"/>
          <w:szCs w:val="18"/>
        </w:rPr>
        <w:t>vol. 1954, No. 33480.</w:t>
      </w:r>
    </w:p>
  </w:footnote>
  <w:footnote w:id="9">
    <w:p w14:paraId="2682C5F5"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w:t>
      </w:r>
      <w:r w:rsidRPr="003E3453">
        <w:rPr>
          <w:kern w:val="14"/>
          <w:szCs w:val="18"/>
        </w:rPr>
        <w:t>General Assembly</w:t>
      </w:r>
      <w:r w:rsidRPr="00F853CD">
        <w:rPr>
          <w:kern w:val="14"/>
          <w:szCs w:val="18"/>
        </w:rPr>
        <w:t xml:space="preserve"> resolution 70/1.</w:t>
      </w:r>
    </w:p>
  </w:footnote>
  <w:footnote w:id="10">
    <w:p w14:paraId="01F12119"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The list of the selected entities and organizations would be annexed to the decision.</w:t>
      </w:r>
    </w:p>
  </w:footnote>
  <w:footnote w:id="11">
    <w:p w14:paraId="1A8F6E70" w14:textId="77777777" w:rsidR="00626BFD" w:rsidRPr="00F853CD" w:rsidRDefault="00626BFD" w:rsidP="00626BFD">
      <w:pPr>
        <w:pStyle w:val="FootnoteText"/>
        <w:rPr>
          <w:szCs w:val="18"/>
        </w:rPr>
      </w:pPr>
      <w:r w:rsidRPr="00500D6E">
        <w:rPr>
          <w:szCs w:val="18"/>
          <w:vertAlign w:val="superscript"/>
        </w:rPr>
        <w:footnoteRef/>
      </w:r>
      <w:r w:rsidRPr="00F853CD">
        <w:rPr>
          <w:szCs w:val="18"/>
        </w:rPr>
        <w:t xml:space="preserve"> All references to “free, prior and informed consent” refer to the tripartite terminology of “prior and informed consent”, “free, prior and informed consent” and “approval and involvement”.</w:t>
      </w:r>
    </w:p>
  </w:footnote>
  <w:footnote w:id="12">
    <w:p w14:paraId="266099CC" w14:textId="77777777" w:rsidR="00626BFD" w:rsidRDefault="00626BFD" w:rsidP="00626BFD">
      <w:r w:rsidRPr="00500D6E">
        <w:rPr>
          <w:sz w:val="18"/>
          <w:szCs w:val="18"/>
          <w:vertAlign w:val="superscript"/>
        </w:rPr>
        <w:footnoteRef/>
      </w:r>
      <w:r w:rsidRPr="00F853CD">
        <w:rPr>
          <w:sz w:val="18"/>
          <w:szCs w:val="18"/>
        </w:rPr>
        <w:t xml:space="preserve"> All references to “free, prior and informed consent” refer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3A59E" w14:textId="19206EE9" w:rsidR="00BE7CCC" w:rsidRDefault="00437DD2" w:rsidP="00437DD2">
    <w:pPr>
      <w:pStyle w:val="Header"/>
      <w:spacing w:after="240"/>
    </w:pPr>
    <w:r>
      <w:t xml:space="preserve">Non-paper on item 12 – capacity-building and development, technical and scientific cooperation and technology transfer – version </w:t>
    </w:r>
    <w:r w:rsidR="001E0FDE">
      <w:t>2</w:t>
    </w:r>
    <w:r>
      <w:t xml:space="preserve"> – 2</w:t>
    </w:r>
    <w:r w:rsidR="006922AA">
      <w:t>4</w:t>
    </w:r>
    <w:r>
      <w:t xml:space="preserve">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EDC76" w14:textId="0C4B8CDB" w:rsidR="00BE7CCC" w:rsidRDefault="00437DD2" w:rsidP="00437DD2">
    <w:pPr>
      <w:pStyle w:val="Header"/>
      <w:spacing w:after="240"/>
    </w:pPr>
    <w:r>
      <w:t>Non-paper on item 12 – capacity-building and development, technical and scientific cooperation and technology transfer – version 1 – 2</w:t>
    </w:r>
    <w:r w:rsidR="008F4E09">
      <w:t>4</w:t>
    </w:r>
    <w:r>
      <w:t xml:space="preserve">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183986EF" w:rsidR="001662BF" w:rsidRDefault="00BE7CCC" w:rsidP="00437DD2">
    <w:pPr>
      <w:pStyle w:val="Header"/>
      <w:spacing w:after="240"/>
    </w:pPr>
    <w:r>
      <w:t xml:space="preserve">Non-paper on item 12 </w:t>
    </w:r>
    <w:r w:rsidR="00437DD2">
      <w:t>–</w:t>
    </w:r>
    <w:r>
      <w:t xml:space="preserve"> </w:t>
    </w:r>
    <w:r w:rsidR="00437DD2">
      <w:t xml:space="preserve">capacity-building and development, technical and scientific cooperation and technology transfer – version </w:t>
    </w:r>
    <w:r w:rsidR="001E0FDE">
      <w:t>2</w:t>
    </w:r>
    <w:r w:rsidR="00437DD2">
      <w:t xml:space="preserve"> – 2</w:t>
    </w:r>
    <w:r w:rsidR="00292D78">
      <w:t>4</w:t>
    </w:r>
    <w:r w:rsidR="00437DD2">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6116685">
    <w:abstractNumId w:val="4"/>
  </w:num>
  <w:num w:numId="2" w16cid:durableId="614756732">
    <w:abstractNumId w:val="12"/>
  </w:num>
  <w:num w:numId="3" w16cid:durableId="1503156264">
    <w:abstractNumId w:val="15"/>
  </w:num>
  <w:num w:numId="4" w16cid:durableId="1262837150">
    <w:abstractNumId w:val="0"/>
  </w:num>
  <w:num w:numId="5" w16cid:durableId="217013993">
    <w:abstractNumId w:val="1"/>
  </w:num>
  <w:num w:numId="6" w16cid:durableId="2006468285">
    <w:abstractNumId w:val="1"/>
  </w:num>
  <w:num w:numId="7" w16cid:durableId="2100052551">
    <w:abstractNumId w:val="3"/>
  </w:num>
  <w:num w:numId="8" w16cid:durableId="1552493586">
    <w:abstractNumId w:val="7"/>
  </w:num>
  <w:num w:numId="9" w16cid:durableId="1689986612">
    <w:abstractNumId w:val="11"/>
  </w:num>
  <w:num w:numId="10" w16cid:durableId="773793684">
    <w:abstractNumId w:val="10"/>
  </w:num>
  <w:num w:numId="11" w16cid:durableId="487599457">
    <w:abstractNumId w:val="6"/>
  </w:num>
  <w:num w:numId="12" w16cid:durableId="1486896548">
    <w:abstractNumId w:val="2"/>
  </w:num>
  <w:num w:numId="13" w16cid:durableId="876891778">
    <w:abstractNumId w:val="2"/>
    <w:lvlOverride w:ilvl="0">
      <w:startOverride w:val="1"/>
    </w:lvlOverride>
  </w:num>
  <w:num w:numId="14" w16cid:durableId="1076051750">
    <w:abstractNumId w:val="9"/>
  </w:num>
  <w:num w:numId="15" w16cid:durableId="1774207747">
    <w:abstractNumId w:val="9"/>
    <w:lvlOverride w:ilvl="0">
      <w:startOverride w:val="1"/>
    </w:lvlOverride>
  </w:num>
  <w:num w:numId="16" w16cid:durableId="1000742185">
    <w:abstractNumId w:val="12"/>
    <w:lvlOverride w:ilvl="0">
      <w:startOverride w:val="1"/>
    </w:lvlOverride>
  </w:num>
  <w:num w:numId="17" w16cid:durableId="1593468317">
    <w:abstractNumId w:val="9"/>
    <w:lvlOverride w:ilvl="0">
      <w:startOverride w:val="1"/>
    </w:lvlOverride>
  </w:num>
  <w:num w:numId="18" w16cid:durableId="600920392">
    <w:abstractNumId w:val="16"/>
  </w:num>
  <w:num w:numId="19" w16cid:durableId="1915973932">
    <w:abstractNumId w:val="12"/>
    <w:lvlOverride w:ilvl="0">
      <w:startOverride w:val="1"/>
    </w:lvlOverride>
  </w:num>
  <w:num w:numId="20" w16cid:durableId="78412391">
    <w:abstractNumId w:val="12"/>
    <w:lvlOverride w:ilvl="0">
      <w:startOverride w:val="1"/>
    </w:lvlOverride>
  </w:num>
  <w:num w:numId="21" w16cid:durableId="1020860913">
    <w:abstractNumId w:val="8"/>
  </w:num>
  <w:num w:numId="22" w16cid:durableId="421341222">
    <w:abstractNumId w:val="5"/>
  </w:num>
  <w:num w:numId="23" w16cid:durableId="1481649322">
    <w:abstractNumId w:val="13"/>
  </w:num>
  <w:num w:numId="24" w16cid:durableId="644744687">
    <w:abstractNumId w:val="13"/>
  </w:num>
  <w:num w:numId="25" w16cid:durableId="1060516252">
    <w:abstractNumId w:val="13"/>
  </w:num>
  <w:num w:numId="26" w16cid:durableId="485709153">
    <w:abstractNumId w:val="13"/>
  </w:num>
  <w:num w:numId="27" w16cid:durableId="2060586668">
    <w:abstractNumId w:val="13"/>
  </w:num>
  <w:num w:numId="28" w16cid:durableId="55247783">
    <w:abstractNumId w:val="13"/>
  </w:num>
  <w:num w:numId="29" w16cid:durableId="2029520434">
    <w:abstractNumId w:val="14"/>
  </w:num>
  <w:num w:numId="30" w16cid:durableId="281111470">
    <w:abstractNumId w:val="14"/>
  </w:num>
  <w:num w:numId="31" w16cid:durableId="1572616268">
    <w:abstractNumId w:val="14"/>
  </w:num>
  <w:num w:numId="32" w16cid:durableId="841507666">
    <w:abstractNumId w:val="14"/>
  </w:num>
  <w:num w:numId="33" w16cid:durableId="245305621">
    <w:abstractNumId w:val="5"/>
  </w:num>
  <w:num w:numId="34" w16cid:durableId="494880820">
    <w:abstractNumId w:val="5"/>
  </w:num>
  <w:num w:numId="35" w16cid:durableId="1471829088">
    <w:abstractNumId w:val="5"/>
  </w:num>
  <w:num w:numId="36" w16cid:durableId="692924587">
    <w:abstractNumId w:val="5"/>
  </w:num>
  <w:num w:numId="37" w16cid:durableId="976640641">
    <w:abstractNumId w:val="5"/>
  </w:num>
  <w:num w:numId="38" w16cid:durableId="1369991540">
    <w:abstractNumId w:val="5"/>
  </w:num>
  <w:num w:numId="39" w16cid:durableId="2033410814">
    <w:abstractNumId w:val="5"/>
  </w:num>
  <w:num w:numId="40" w16cid:durableId="21247618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7B6E"/>
    <w:rsid w:val="000663D9"/>
    <w:rsid w:val="0006734C"/>
    <w:rsid w:val="0006764E"/>
    <w:rsid w:val="00086FF2"/>
    <w:rsid w:val="00091FB3"/>
    <w:rsid w:val="00092FA5"/>
    <w:rsid w:val="000B1E29"/>
    <w:rsid w:val="000C41B7"/>
    <w:rsid w:val="00132581"/>
    <w:rsid w:val="001454DA"/>
    <w:rsid w:val="00163B36"/>
    <w:rsid w:val="001662BF"/>
    <w:rsid w:val="00174F20"/>
    <w:rsid w:val="00176EA7"/>
    <w:rsid w:val="00184909"/>
    <w:rsid w:val="00196352"/>
    <w:rsid w:val="001A2527"/>
    <w:rsid w:val="001B5C91"/>
    <w:rsid w:val="001C78AB"/>
    <w:rsid w:val="001D7501"/>
    <w:rsid w:val="001E0FDE"/>
    <w:rsid w:val="001E4E16"/>
    <w:rsid w:val="001F2C02"/>
    <w:rsid w:val="001F545E"/>
    <w:rsid w:val="00205E21"/>
    <w:rsid w:val="0024477F"/>
    <w:rsid w:val="00292D78"/>
    <w:rsid w:val="00296284"/>
    <w:rsid w:val="002A04B4"/>
    <w:rsid w:val="002B00CA"/>
    <w:rsid w:val="002B17A1"/>
    <w:rsid w:val="002B1E36"/>
    <w:rsid w:val="002B559C"/>
    <w:rsid w:val="002E623C"/>
    <w:rsid w:val="00302AD9"/>
    <w:rsid w:val="00303F0B"/>
    <w:rsid w:val="00310608"/>
    <w:rsid w:val="00323F22"/>
    <w:rsid w:val="00326BC5"/>
    <w:rsid w:val="003476A9"/>
    <w:rsid w:val="003603BE"/>
    <w:rsid w:val="00375BF2"/>
    <w:rsid w:val="00380F42"/>
    <w:rsid w:val="00380FCF"/>
    <w:rsid w:val="00397E5E"/>
    <w:rsid w:val="003C3310"/>
    <w:rsid w:val="003C6F10"/>
    <w:rsid w:val="003E32E1"/>
    <w:rsid w:val="004073CF"/>
    <w:rsid w:val="00437DD2"/>
    <w:rsid w:val="00441498"/>
    <w:rsid w:val="004701EE"/>
    <w:rsid w:val="00480A8D"/>
    <w:rsid w:val="0048440A"/>
    <w:rsid w:val="00496910"/>
    <w:rsid w:val="004A2A2D"/>
    <w:rsid w:val="004A4893"/>
    <w:rsid w:val="004A6CE7"/>
    <w:rsid w:val="004C6544"/>
    <w:rsid w:val="004E7BA2"/>
    <w:rsid w:val="00537248"/>
    <w:rsid w:val="00540144"/>
    <w:rsid w:val="00543E17"/>
    <w:rsid w:val="00556361"/>
    <w:rsid w:val="0057318A"/>
    <w:rsid w:val="00586CFA"/>
    <w:rsid w:val="00595A79"/>
    <w:rsid w:val="005A206E"/>
    <w:rsid w:val="005C0058"/>
    <w:rsid w:val="005D09CA"/>
    <w:rsid w:val="005E06B0"/>
    <w:rsid w:val="005E2605"/>
    <w:rsid w:val="006078C9"/>
    <w:rsid w:val="00626BFD"/>
    <w:rsid w:val="00652733"/>
    <w:rsid w:val="00657ED6"/>
    <w:rsid w:val="00661564"/>
    <w:rsid w:val="0068517C"/>
    <w:rsid w:val="006915DF"/>
    <w:rsid w:val="006922AA"/>
    <w:rsid w:val="00695226"/>
    <w:rsid w:val="006B293D"/>
    <w:rsid w:val="006E1445"/>
    <w:rsid w:val="006F7287"/>
    <w:rsid w:val="0070143F"/>
    <w:rsid w:val="007118A3"/>
    <w:rsid w:val="007256B3"/>
    <w:rsid w:val="0073176E"/>
    <w:rsid w:val="0075018F"/>
    <w:rsid w:val="0075778F"/>
    <w:rsid w:val="00757C5C"/>
    <w:rsid w:val="00757D02"/>
    <w:rsid w:val="0076622F"/>
    <w:rsid w:val="007932BE"/>
    <w:rsid w:val="007A023F"/>
    <w:rsid w:val="007C5A97"/>
    <w:rsid w:val="007C77BC"/>
    <w:rsid w:val="007E03B4"/>
    <w:rsid w:val="008178CC"/>
    <w:rsid w:val="008545C7"/>
    <w:rsid w:val="00874541"/>
    <w:rsid w:val="0087582D"/>
    <w:rsid w:val="00880330"/>
    <w:rsid w:val="0089612C"/>
    <w:rsid w:val="008B1D51"/>
    <w:rsid w:val="008C2C04"/>
    <w:rsid w:val="008E0581"/>
    <w:rsid w:val="008F4E09"/>
    <w:rsid w:val="00930A03"/>
    <w:rsid w:val="00935461"/>
    <w:rsid w:val="009459E3"/>
    <w:rsid w:val="0095082F"/>
    <w:rsid w:val="009729C3"/>
    <w:rsid w:val="0097411F"/>
    <w:rsid w:val="009767D3"/>
    <w:rsid w:val="00995DDC"/>
    <w:rsid w:val="009A1DB3"/>
    <w:rsid w:val="009A2B60"/>
    <w:rsid w:val="009C1114"/>
    <w:rsid w:val="009D2B72"/>
    <w:rsid w:val="009E2802"/>
    <w:rsid w:val="009E4120"/>
    <w:rsid w:val="009E7F5B"/>
    <w:rsid w:val="00A00234"/>
    <w:rsid w:val="00A02404"/>
    <w:rsid w:val="00A17109"/>
    <w:rsid w:val="00A24647"/>
    <w:rsid w:val="00A31A77"/>
    <w:rsid w:val="00A50299"/>
    <w:rsid w:val="00A54FA0"/>
    <w:rsid w:val="00A92D39"/>
    <w:rsid w:val="00A966F1"/>
    <w:rsid w:val="00A96B21"/>
    <w:rsid w:val="00AC55AD"/>
    <w:rsid w:val="00AD7133"/>
    <w:rsid w:val="00AE1A95"/>
    <w:rsid w:val="00AE6B4C"/>
    <w:rsid w:val="00B01BC2"/>
    <w:rsid w:val="00B106E7"/>
    <w:rsid w:val="00B13EC1"/>
    <w:rsid w:val="00B150BA"/>
    <w:rsid w:val="00B22FA9"/>
    <w:rsid w:val="00B36EA9"/>
    <w:rsid w:val="00B41BF6"/>
    <w:rsid w:val="00B47BB1"/>
    <w:rsid w:val="00B57649"/>
    <w:rsid w:val="00B61582"/>
    <w:rsid w:val="00B63673"/>
    <w:rsid w:val="00B93533"/>
    <w:rsid w:val="00BA0C38"/>
    <w:rsid w:val="00BA4007"/>
    <w:rsid w:val="00BA492D"/>
    <w:rsid w:val="00BB60F0"/>
    <w:rsid w:val="00BE7CCC"/>
    <w:rsid w:val="00BF1E4C"/>
    <w:rsid w:val="00C07FE8"/>
    <w:rsid w:val="00C2354A"/>
    <w:rsid w:val="00C322B9"/>
    <w:rsid w:val="00C424A9"/>
    <w:rsid w:val="00C9729D"/>
    <w:rsid w:val="00CD1590"/>
    <w:rsid w:val="00CF2036"/>
    <w:rsid w:val="00CF70AB"/>
    <w:rsid w:val="00D15369"/>
    <w:rsid w:val="00D154E8"/>
    <w:rsid w:val="00D3059B"/>
    <w:rsid w:val="00D34BFF"/>
    <w:rsid w:val="00D41E71"/>
    <w:rsid w:val="00D60046"/>
    <w:rsid w:val="00D64F28"/>
    <w:rsid w:val="00D71D65"/>
    <w:rsid w:val="00D71FFB"/>
    <w:rsid w:val="00DA2F9A"/>
    <w:rsid w:val="00DE15C7"/>
    <w:rsid w:val="00DE5AF6"/>
    <w:rsid w:val="00E11E13"/>
    <w:rsid w:val="00E12AFF"/>
    <w:rsid w:val="00E1597C"/>
    <w:rsid w:val="00E177D1"/>
    <w:rsid w:val="00E27E82"/>
    <w:rsid w:val="00E35715"/>
    <w:rsid w:val="00E53950"/>
    <w:rsid w:val="00E65F3D"/>
    <w:rsid w:val="00E6716B"/>
    <w:rsid w:val="00E72531"/>
    <w:rsid w:val="00E740AC"/>
    <w:rsid w:val="00E77BDD"/>
    <w:rsid w:val="00E8583B"/>
    <w:rsid w:val="00E971BA"/>
    <w:rsid w:val="00EA6697"/>
    <w:rsid w:val="00EC0713"/>
    <w:rsid w:val="00ED1964"/>
    <w:rsid w:val="00ED3849"/>
    <w:rsid w:val="00ED7C57"/>
    <w:rsid w:val="00EE20E8"/>
    <w:rsid w:val="00EF7CE0"/>
    <w:rsid w:val="00F0122F"/>
    <w:rsid w:val="00F154FF"/>
    <w:rsid w:val="00F17A3E"/>
    <w:rsid w:val="00F258FB"/>
    <w:rsid w:val="00F30EF7"/>
    <w:rsid w:val="00F50B34"/>
    <w:rsid w:val="00F75C50"/>
    <w:rsid w:val="00F75F90"/>
    <w:rsid w:val="00F84B1D"/>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296284"/>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32232"/>
    <w:rsid w:val="000C03F8"/>
    <w:rsid w:val="00303F0B"/>
    <w:rsid w:val="00380FCF"/>
    <w:rsid w:val="00764DF4"/>
    <w:rsid w:val="00811444"/>
    <w:rsid w:val="00950A9C"/>
    <w:rsid w:val="00961832"/>
    <w:rsid w:val="00B41BF6"/>
    <w:rsid w:val="00BA492D"/>
    <w:rsid w:val="00C322B9"/>
    <w:rsid w:val="00D154E8"/>
    <w:rsid w:val="00DE29C8"/>
    <w:rsid w:val="00EC0713"/>
    <w:rsid w:val="00ED1964"/>
    <w:rsid w:val="00F50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6142E-940F-4FCE-85FA-9D85227B4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CE31C20-4012-4B95-808F-090D4EBC1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119</TotalTime>
  <Pages>8</Pages>
  <Words>3798</Words>
  <Characters>22793</Characters>
  <Application>Microsoft Office Word</Application>
  <DocSecurity>0</DocSecurity>
  <Lines>350</Lines>
  <Paragraphs>130</Paragraphs>
  <ScaleCrop>false</ScaleCrop>
  <HeadingPairs>
    <vt:vector size="2" baseType="variant">
      <vt:variant>
        <vt:lpstr>Title</vt:lpstr>
      </vt:variant>
      <vt:variant>
        <vt:i4>1</vt:i4>
      </vt:variant>
    </vt:vector>
  </HeadingPairs>
  <TitlesOfParts>
    <vt:vector size="1" baseType="lpstr">
      <vt:lpstr>Capacity-building and development, technical and scientific cooperation and technology transfer</vt:lpstr>
    </vt:vector>
  </TitlesOfParts>
  <Company/>
  <LinksUpToDate>false</LinksUpToDate>
  <CharactersWithSpaces>26461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technical and scientific cooperation and technology transfer</dc:title>
  <dc:subject>CBD/COP/16/WG.I/CRP.xx</dc:subject>
  <dc:creator>Secretariat of the Convention on Biological Diversity</dc:creator>
  <cp:keywords>Sixteenth meeting of the Conference of the Parties to the Convention on Biological Diversity</cp:keywords>
  <dc:description/>
  <cp:lastModifiedBy>Veronique Lefebvre</cp:lastModifiedBy>
  <cp:revision>10</cp:revision>
  <dcterms:created xsi:type="dcterms:W3CDTF">2024-10-24T14:51:00Z</dcterms:created>
  <dcterms:modified xsi:type="dcterms:W3CDTF">2024-10-24T22:57:00Z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