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008D" w:rsidRPr="00C50338" w:rsidTr="0084008D">
        <w:trPr>
          <w:cantSplit/>
          <w:trHeight w:val="1080"/>
        </w:trPr>
        <w:tc>
          <w:tcPr>
            <w:tcW w:w="6588" w:type="dxa"/>
            <w:gridSpan w:val="2"/>
            <w:tcBorders>
              <w:top w:val="nil"/>
              <w:left w:val="nil"/>
              <w:bottom w:val="single" w:sz="12" w:space="0" w:color="auto"/>
              <w:right w:val="nil"/>
            </w:tcBorders>
          </w:tcPr>
          <w:p w:rsidR="0084008D" w:rsidRPr="00C50338" w:rsidRDefault="0084008D" w:rsidP="00152FDC">
            <w:pPr>
              <w:pStyle w:val="Heading2"/>
              <w:tabs>
                <w:tab w:val="left" w:pos="1795"/>
              </w:tabs>
              <w:bidi w:val="0"/>
              <w:spacing w:before="120" w:after="0"/>
              <w:jc w:val="left"/>
              <w:rPr>
                <w:rFonts w:ascii="Univers" w:hAnsi="Univers"/>
                <w:bCs w:val="0"/>
                <w:sz w:val="32"/>
                <w:szCs w:val="32"/>
                <w:lang w:val="en-CA"/>
              </w:rPr>
            </w:pPr>
            <w:r w:rsidRPr="00C50338">
              <w:rPr>
                <w:rFonts w:ascii="Univers" w:hAnsi="Univers"/>
                <w:bCs w:val="0"/>
                <w:iCs/>
                <w:sz w:val="32"/>
                <w:szCs w:val="32"/>
              </w:rPr>
              <w:t>CBD</w:t>
            </w:r>
            <w:r w:rsidR="00152FDC" w:rsidRPr="00C50338">
              <w:rPr>
                <w:rFonts w:ascii="Univers" w:hAnsi="Univers"/>
                <w:bCs w:val="0"/>
                <w:iCs/>
                <w:sz w:val="32"/>
                <w:szCs w:val="32"/>
                <w:rtl/>
              </w:rPr>
              <w:tab/>
            </w:r>
          </w:p>
        </w:tc>
        <w:tc>
          <w:tcPr>
            <w:tcW w:w="1440" w:type="dxa"/>
            <w:tcBorders>
              <w:top w:val="nil"/>
              <w:left w:val="nil"/>
              <w:bottom w:val="single" w:sz="12" w:space="0" w:color="auto"/>
              <w:right w:val="nil"/>
            </w:tcBorders>
          </w:tcPr>
          <w:p w:rsidR="0084008D" w:rsidRPr="00C50338" w:rsidRDefault="000C7332" w:rsidP="0084008D">
            <w:pPr>
              <w:tabs>
                <w:tab w:val="left" w:pos="-720"/>
              </w:tabs>
              <w:suppressAutoHyphens/>
              <w:jc w:val="center"/>
              <w:rPr>
                <w:b/>
                <w:bCs/>
                <w:lang w:bidi="ar-EG"/>
              </w:rPr>
            </w:pPr>
            <w:r>
              <w:rPr>
                <w:b/>
                <w:noProof/>
                <w:lang w:val="en-CA" w:eastAsia="en-CA"/>
              </w:rPr>
              <w:drawing>
                <wp:inline distT="0" distB="0" distL="0" distR="0">
                  <wp:extent cx="685800" cy="558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l="4395" r="4395"/>
                          <a:stretch>
                            <a:fillRect/>
                          </a:stretch>
                        </pic:blipFill>
                        <pic:spPr bwMode="auto">
                          <a:xfrm>
                            <a:off x="0" y="0"/>
                            <a:ext cx="685800" cy="558800"/>
                          </a:xfrm>
                          <a:prstGeom prst="rect">
                            <a:avLst/>
                          </a:prstGeom>
                          <a:noFill/>
                          <a:ln>
                            <a:noFill/>
                          </a:ln>
                        </pic:spPr>
                      </pic:pic>
                    </a:graphicData>
                  </a:graphic>
                </wp:inline>
              </w:drawing>
            </w:r>
          </w:p>
        </w:tc>
        <w:tc>
          <w:tcPr>
            <w:tcW w:w="1620" w:type="dxa"/>
            <w:tcBorders>
              <w:top w:val="nil"/>
              <w:left w:val="nil"/>
              <w:bottom w:val="single" w:sz="12" w:space="0" w:color="auto"/>
              <w:right w:val="nil"/>
            </w:tcBorders>
          </w:tcPr>
          <w:p w:rsidR="0084008D" w:rsidRPr="00C50338" w:rsidRDefault="000C7332" w:rsidP="0084008D">
            <w:pPr>
              <w:tabs>
                <w:tab w:val="left" w:pos="-720"/>
              </w:tabs>
              <w:suppressAutoHyphens/>
              <w:spacing w:before="120"/>
              <w:jc w:val="center"/>
            </w:pPr>
            <w:r>
              <w:rPr>
                <w:noProof/>
                <w:lang w:val="en-CA" w:eastAsia="en-CA"/>
              </w:rPr>
              <w:drawing>
                <wp:inline distT="0" distB="0" distL="0" distR="0">
                  <wp:extent cx="495300" cy="584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84200"/>
                          </a:xfrm>
                          <a:prstGeom prst="rect">
                            <a:avLst/>
                          </a:prstGeom>
                          <a:noFill/>
                          <a:ln>
                            <a:noFill/>
                          </a:ln>
                        </pic:spPr>
                      </pic:pic>
                    </a:graphicData>
                  </a:graphic>
                </wp:inline>
              </w:drawing>
            </w:r>
          </w:p>
          <w:p w:rsidR="0084008D" w:rsidRPr="00C50338" w:rsidRDefault="0084008D" w:rsidP="0084008D">
            <w:pPr>
              <w:tabs>
                <w:tab w:val="left" w:pos="-720"/>
              </w:tabs>
              <w:suppressAutoHyphens/>
              <w:spacing w:line="120" w:lineRule="auto"/>
            </w:pPr>
          </w:p>
        </w:tc>
      </w:tr>
      <w:tr w:rsidR="0084008D" w:rsidRPr="00C50338" w:rsidTr="0084008D">
        <w:trPr>
          <w:cantSplit/>
          <w:trHeight w:val="1770"/>
        </w:trPr>
        <w:tc>
          <w:tcPr>
            <w:tcW w:w="4428" w:type="dxa"/>
            <w:tcBorders>
              <w:top w:val="nil"/>
              <w:left w:val="nil"/>
              <w:bottom w:val="single" w:sz="24" w:space="0" w:color="auto"/>
              <w:right w:val="nil"/>
            </w:tcBorders>
          </w:tcPr>
          <w:p w:rsidR="0084008D" w:rsidRPr="00C50338" w:rsidRDefault="0084008D" w:rsidP="0084008D">
            <w:pPr>
              <w:bidi w:val="0"/>
              <w:spacing w:before="60"/>
              <w:rPr>
                <w:sz w:val="22"/>
                <w:szCs w:val="22"/>
              </w:rPr>
            </w:pPr>
            <w:r w:rsidRPr="00C50338">
              <w:rPr>
                <w:sz w:val="22"/>
                <w:szCs w:val="22"/>
              </w:rPr>
              <w:t>Distr.</w:t>
            </w:r>
          </w:p>
          <w:p w:rsidR="0084008D" w:rsidRPr="00C50338" w:rsidRDefault="0084008D" w:rsidP="0084008D">
            <w:pPr>
              <w:bidi w:val="0"/>
              <w:rPr>
                <w:sz w:val="22"/>
                <w:szCs w:val="22"/>
              </w:rPr>
            </w:pPr>
            <w:r w:rsidRPr="00C50338">
              <w:rPr>
                <w:sz w:val="22"/>
                <w:szCs w:val="22"/>
              </w:rPr>
              <w:t>GENERAL</w:t>
            </w:r>
            <w:r w:rsidR="00003EE9" w:rsidRPr="00C50338">
              <w:rPr>
                <w:sz w:val="22"/>
                <w:szCs w:val="22"/>
              </w:rPr>
              <w:t xml:space="preserve"> </w:t>
            </w:r>
          </w:p>
          <w:p w:rsidR="0084008D" w:rsidRPr="00C50338" w:rsidRDefault="0084008D" w:rsidP="0084008D">
            <w:pPr>
              <w:pStyle w:val="Heading3"/>
              <w:bidi w:val="0"/>
              <w:spacing w:before="0" w:after="0" w:line="240" w:lineRule="auto"/>
              <w:jc w:val="left"/>
              <w:rPr>
                <w:sz w:val="22"/>
                <w:szCs w:val="22"/>
                <w:lang w:val="en-US"/>
              </w:rPr>
            </w:pPr>
          </w:p>
          <w:p w:rsidR="0084008D" w:rsidRPr="00C50338" w:rsidRDefault="0084008D" w:rsidP="002A39AC">
            <w:pPr>
              <w:bidi w:val="0"/>
              <w:rPr>
                <w:sz w:val="22"/>
                <w:szCs w:val="22"/>
                <w:lang w:val="en-CA" w:bidi="ar-EG"/>
              </w:rPr>
            </w:pPr>
            <w:r w:rsidRPr="00C50338">
              <w:rPr>
                <w:sz w:val="22"/>
                <w:szCs w:val="22"/>
              </w:rPr>
              <w:t>CBD/</w:t>
            </w:r>
            <w:r w:rsidR="00525C9C" w:rsidRPr="00C50338">
              <w:rPr>
                <w:sz w:val="22"/>
                <w:szCs w:val="22"/>
              </w:rPr>
              <w:t>SBI</w:t>
            </w:r>
            <w:r w:rsidRPr="00C50338">
              <w:rPr>
                <w:rFonts w:cs="Times New Roman"/>
                <w:sz w:val="22"/>
                <w:szCs w:val="22"/>
                <w:lang w:bidi="ar-EG"/>
              </w:rPr>
              <w:t>/</w:t>
            </w:r>
            <w:r w:rsidR="00525C9C" w:rsidRPr="00C50338">
              <w:rPr>
                <w:rFonts w:cs="Times New Roman"/>
                <w:sz w:val="22"/>
                <w:szCs w:val="22"/>
                <w:lang w:bidi="ar-EG"/>
              </w:rPr>
              <w:t>2/</w:t>
            </w:r>
            <w:r w:rsidR="002A39AC">
              <w:rPr>
                <w:rFonts w:cs="Times New Roman"/>
                <w:sz w:val="22"/>
                <w:szCs w:val="22"/>
                <w:lang w:bidi="ar-EG"/>
              </w:rPr>
              <w:t>16/</w:t>
            </w:r>
            <w:r w:rsidR="00525C9C" w:rsidRPr="00C50338">
              <w:rPr>
                <w:rFonts w:cs="Times New Roman"/>
                <w:sz w:val="22"/>
                <w:szCs w:val="22"/>
                <w:lang w:bidi="ar-EG"/>
              </w:rPr>
              <w:t>Add.</w:t>
            </w:r>
            <w:r w:rsidR="002A39AC">
              <w:rPr>
                <w:rFonts w:cs="Times New Roman"/>
                <w:sz w:val="22"/>
                <w:szCs w:val="22"/>
                <w:lang w:bidi="ar-EG"/>
              </w:rPr>
              <w:t>1</w:t>
            </w:r>
          </w:p>
          <w:p w:rsidR="00D67361" w:rsidRPr="00C50338" w:rsidRDefault="00D94B6D" w:rsidP="00D94B6D">
            <w:pPr>
              <w:bidi w:val="0"/>
              <w:jc w:val="left"/>
              <w:rPr>
                <w:rFonts w:eastAsia="MS Mincho"/>
                <w:sz w:val="22"/>
                <w:szCs w:val="28"/>
                <w:lang w:eastAsia="ja-JP"/>
              </w:rPr>
            </w:pPr>
            <w:r>
              <w:rPr>
                <w:sz w:val="22"/>
                <w:szCs w:val="28"/>
              </w:rPr>
              <w:t>12 February</w:t>
            </w:r>
            <w:r w:rsidR="004F5EA7" w:rsidRPr="00C50338">
              <w:rPr>
                <w:sz w:val="22"/>
                <w:szCs w:val="28"/>
              </w:rPr>
              <w:t xml:space="preserve"> </w:t>
            </w:r>
            <w:r>
              <w:rPr>
                <w:sz w:val="22"/>
                <w:szCs w:val="28"/>
              </w:rPr>
              <w:t>2018</w:t>
            </w:r>
          </w:p>
          <w:p w:rsidR="0084008D" w:rsidRPr="00C50338"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p>
          <w:p w:rsidR="0084008D" w:rsidRPr="00C50338"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r w:rsidRPr="00C50338">
              <w:rPr>
                <w:rFonts w:ascii="Times New Roman" w:hAnsi="Times New Roman" w:cs="Times New Roman"/>
                <w:b w:val="0"/>
                <w:bCs w:val="0"/>
                <w:szCs w:val="22"/>
                <w:lang w:eastAsia="en-US"/>
              </w:rPr>
              <w:t>ARABIC</w:t>
            </w:r>
          </w:p>
          <w:p w:rsidR="0084008D" w:rsidRPr="00C50338" w:rsidRDefault="0084008D" w:rsidP="0084008D">
            <w:pPr>
              <w:tabs>
                <w:tab w:val="left" w:pos="-720"/>
              </w:tabs>
              <w:suppressAutoHyphens/>
              <w:bidi w:val="0"/>
              <w:spacing w:after="40"/>
              <w:rPr>
                <w:sz w:val="22"/>
                <w:szCs w:val="22"/>
              </w:rPr>
            </w:pPr>
            <w:r w:rsidRPr="00C50338">
              <w:rPr>
                <w:sz w:val="22"/>
                <w:szCs w:val="22"/>
              </w:rPr>
              <w:t xml:space="preserve">ORIGINAL: ENGLISH </w:t>
            </w:r>
          </w:p>
        </w:tc>
        <w:tc>
          <w:tcPr>
            <w:tcW w:w="5220" w:type="dxa"/>
            <w:gridSpan w:val="3"/>
            <w:tcBorders>
              <w:top w:val="nil"/>
              <w:left w:val="nil"/>
              <w:bottom w:val="single" w:sz="24" w:space="0" w:color="auto"/>
              <w:right w:val="nil"/>
            </w:tcBorders>
          </w:tcPr>
          <w:p w:rsidR="0084008D" w:rsidRPr="00C50338" w:rsidRDefault="000C7332" w:rsidP="0084008D">
            <w:pPr>
              <w:tabs>
                <w:tab w:val="left" w:pos="-720"/>
              </w:tabs>
              <w:suppressAutoHyphens/>
              <w:spacing w:before="120"/>
              <w:jc w:val="both"/>
              <w:rPr>
                <w:rtl/>
                <w:lang w:bidi="ar-EG"/>
              </w:rPr>
            </w:pPr>
            <w:r>
              <w:rPr>
                <w:b/>
                <w:bCs/>
                <w:noProof/>
                <w:sz w:val="36"/>
                <w:szCs w:val="36"/>
                <w:rtl/>
                <w:lang w:val="en-CA" w:eastAsia="en-CA"/>
              </w:rPr>
              <w:drawing>
                <wp:inline distT="0" distB="0" distL="0" distR="0">
                  <wp:extent cx="2565400" cy="1028700"/>
                  <wp:effectExtent l="0" t="0" r="6350"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5400" cy="1028700"/>
                          </a:xfrm>
                          <a:prstGeom prst="rect">
                            <a:avLst/>
                          </a:prstGeom>
                          <a:noFill/>
                          <a:ln>
                            <a:noFill/>
                          </a:ln>
                        </pic:spPr>
                      </pic:pic>
                    </a:graphicData>
                  </a:graphic>
                </wp:inline>
              </w:drawing>
            </w:r>
          </w:p>
        </w:tc>
      </w:tr>
    </w:tbl>
    <w:p w:rsidR="0008758D" w:rsidRPr="00C50338" w:rsidRDefault="0008758D" w:rsidP="00525C9C">
      <w:pPr>
        <w:spacing w:before="60"/>
        <w:rPr>
          <w:b/>
          <w:bCs/>
          <w:sz w:val="26"/>
          <w:szCs w:val="26"/>
          <w:rtl/>
          <w:lang w:bidi="ar-EG"/>
        </w:rPr>
      </w:pPr>
      <w:r w:rsidRPr="00C50338">
        <w:rPr>
          <w:rFonts w:hint="cs"/>
          <w:b/>
          <w:bCs/>
          <w:sz w:val="26"/>
          <w:szCs w:val="26"/>
          <w:rtl/>
        </w:rPr>
        <w:t xml:space="preserve">الهيئة الفرعية </w:t>
      </w:r>
      <w:r w:rsidR="00525C9C" w:rsidRPr="00C50338">
        <w:rPr>
          <w:rFonts w:hint="cs"/>
          <w:b/>
          <w:bCs/>
          <w:sz w:val="26"/>
          <w:szCs w:val="26"/>
          <w:rtl/>
        </w:rPr>
        <w:t>للتنفيذ</w:t>
      </w:r>
    </w:p>
    <w:p w:rsidR="0008758D" w:rsidRPr="00C50338" w:rsidRDefault="0008758D" w:rsidP="00334A81">
      <w:pPr>
        <w:rPr>
          <w:sz w:val="26"/>
          <w:szCs w:val="26"/>
          <w:lang w:val="en-CA"/>
        </w:rPr>
      </w:pPr>
      <w:r w:rsidRPr="00C50338">
        <w:rPr>
          <w:rFonts w:hint="cs"/>
          <w:sz w:val="26"/>
          <w:szCs w:val="26"/>
          <w:rtl/>
        </w:rPr>
        <w:t xml:space="preserve">الاجتماع </w:t>
      </w:r>
      <w:r w:rsidR="00334A81">
        <w:rPr>
          <w:rFonts w:hint="cs"/>
          <w:sz w:val="26"/>
          <w:szCs w:val="26"/>
          <w:rtl/>
        </w:rPr>
        <w:t>الثاني</w:t>
      </w:r>
    </w:p>
    <w:p w:rsidR="0008758D" w:rsidRPr="00C50338" w:rsidRDefault="000E409E" w:rsidP="00866CBA">
      <w:pPr>
        <w:rPr>
          <w:sz w:val="26"/>
          <w:szCs w:val="26"/>
          <w:rtl/>
          <w:lang w:bidi="ar-EG"/>
        </w:rPr>
      </w:pPr>
      <w:r w:rsidRPr="00C50338">
        <w:rPr>
          <w:rFonts w:ascii="Arial" w:hAnsi="Arial" w:cs="Arial"/>
          <w:sz w:val="26"/>
          <w:szCs w:val="26"/>
          <w:rtl/>
          <w:lang w:bidi="ar-EG"/>
        </w:rPr>
        <w:t>مونتريال</w:t>
      </w:r>
      <w:r w:rsidRPr="00C50338">
        <w:rPr>
          <w:rFonts w:hint="cs"/>
          <w:sz w:val="26"/>
          <w:szCs w:val="26"/>
          <w:rtl/>
          <w:lang w:bidi="ar-EG"/>
        </w:rPr>
        <w:t xml:space="preserve">، </w:t>
      </w:r>
      <w:r w:rsidR="00334A81">
        <w:rPr>
          <w:rFonts w:hint="cs"/>
          <w:sz w:val="26"/>
          <w:szCs w:val="26"/>
          <w:rtl/>
          <w:lang w:bidi="ar-EG"/>
        </w:rPr>
        <w:t>9</w:t>
      </w:r>
      <w:r w:rsidR="00114E21" w:rsidRPr="00C50338">
        <w:rPr>
          <w:rFonts w:hint="cs"/>
          <w:sz w:val="26"/>
          <w:szCs w:val="26"/>
          <w:rtl/>
          <w:lang w:bidi="ar-EG"/>
        </w:rPr>
        <w:t>-</w:t>
      </w:r>
      <w:r w:rsidR="00334A81">
        <w:rPr>
          <w:rFonts w:hint="cs"/>
          <w:sz w:val="26"/>
          <w:szCs w:val="26"/>
          <w:rtl/>
          <w:lang w:bidi="ar-EG"/>
        </w:rPr>
        <w:t>13</w:t>
      </w:r>
      <w:r w:rsidR="009F4373" w:rsidRPr="00C50338">
        <w:rPr>
          <w:rFonts w:hint="cs"/>
          <w:sz w:val="26"/>
          <w:szCs w:val="26"/>
          <w:rtl/>
          <w:lang w:bidi="ar-EG"/>
        </w:rPr>
        <w:t xml:space="preserve"> </w:t>
      </w:r>
      <w:r w:rsidR="00334A81">
        <w:rPr>
          <w:rFonts w:hint="cs"/>
          <w:sz w:val="26"/>
          <w:szCs w:val="26"/>
          <w:rtl/>
          <w:lang w:bidi="ar-EG"/>
        </w:rPr>
        <w:t>يولي</w:t>
      </w:r>
      <w:r w:rsidR="00866CBA">
        <w:rPr>
          <w:rFonts w:hint="cs"/>
          <w:sz w:val="26"/>
          <w:szCs w:val="26"/>
          <w:rtl/>
          <w:lang w:bidi="ar-EG"/>
        </w:rPr>
        <w:t>ه</w:t>
      </w:r>
      <w:r w:rsidR="00114E21" w:rsidRPr="00C50338">
        <w:rPr>
          <w:rFonts w:hint="cs"/>
          <w:sz w:val="26"/>
          <w:szCs w:val="26"/>
          <w:rtl/>
          <w:lang w:bidi="ar-EG"/>
        </w:rPr>
        <w:t>/</w:t>
      </w:r>
      <w:r w:rsidR="00334A81">
        <w:rPr>
          <w:rFonts w:hint="cs"/>
          <w:sz w:val="26"/>
          <w:szCs w:val="26"/>
          <w:rtl/>
          <w:lang w:bidi="ar-EG"/>
        </w:rPr>
        <w:t>تموز</w:t>
      </w:r>
      <w:r w:rsidR="00EB207E" w:rsidRPr="00C50338">
        <w:rPr>
          <w:rFonts w:hint="cs"/>
          <w:sz w:val="26"/>
          <w:szCs w:val="26"/>
          <w:rtl/>
          <w:lang w:bidi="ar-EG"/>
        </w:rPr>
        <w:t xml:space="preserve"> 201</w:t>
      </w:r>
      <w:r w:rsidR="00334A81">
        <w:rPr>
          <w:rFonts w:hint="cs"/>
          <w:sz w:val="26"/>
          <w:szCs w:val="26"/>
          <w:rtl/>
          <w:lang w:bidi="ar-EG"/>
        </w:rPr>
        <w:t>8</w:t>
      </w:r>
    </w:p>
    <w:p w:rsidR="004F5EA7" w:rsidRPr="00C50338" w:rsidRDefault="004F5EA7" w:rsidP="00334A81">
      <w:pPr>
        <w:rPr>
          <w:sz w:val="26"/>
          <w:szCs w:val="26"/>
          <w:rtl/>
          <w:lang w:bidi="ar-EG"/>
        </w:rPr>
      </w:pPr>
      <w:r w:rsidRPr="00C50338">
        <w:rPr>
          <w:rFonts w:hint="cs"/>
          <w:sz w:val="26"/>
          <w:szCs w:val="26"/>
          <w:rtl/>
          <w:lang w:bidi="ar-EG"/>
        </w:rPr>
        <w:t xml:space="preserve">البند </w:t>
      </w:r>
      <w:r w:rsidR="00334A81">
        <w:rPr>
          <w:rFonts w:hint="cs"/>
          <w:sz w:val="26"/>
          <w:szCs w:val="26"/>
          <w:rtl/>
          <w:lang w:bidi="ar-EG"/>
        </w:rPr>
        <w:t>15</w:t>
      </w:r>
      <w:r w:rsidRPr="00C50338">
        <w:rPr>
          <w:rFonts w:hint="cs"/>
          <w:sz w:val="26"/>
          <w:szCs w:val="26"/>
          <w:rtl/>
          <w:lang w:bidi="ar-EG"/>
        </w:rPr>
        <w:t xml:space="preserve"> من جدول الأعمال المؤقت</w:t>
      </w:r>
      <w:bookmarkStart w:id="0" w:name="_Ref507089081"/>
      <w:r w:rsidR="00641275" w:rsidRPr="00C50338">
        <w:rPr>
          <w:rStyle w:val="FootnoteReference"/>
          <w:sz w:val="26"/>
          <w:rtl/>
        </w:rPr>
        <w:footnoteReference w:customMarkFollows="1" w:id="1"/>
        <w:t>*</w:t>
      </w:r>
      <w:bookmarkEnd w:id="0"/>
    </w:p>
    <w:p w:rsidR="0008758D" w:rsidRPr="00F15D69" w:rsidRDefault="0008758D" w:rsidP="000E409E">
      <w:pPr>
        <w:spacing w:line="120" w:lineRule="auto"/>
        <w:rPr>
          <w:lang w:val="en-CA" w:bidi="ar-EG"/>
        </w:rPr>
      </w:pPr>
    </w:p>
    <w:p w:rsidR="000C2F26" w:rsidRPr="00C50338" w:rsidRDefault="00334A81" w:rsidP="002A39AC">
      <w:pPr>
        <w:spacing w:after="120" w:line="192" w:lineRule="auto"/>
        <w:jc w:val="center"/>
        <w:rPr>
          <w:b/>
          <w:bCs/>
          <w:sz w:val="28"/>
          <w:szCs w:val="28"/>
          <w:lang w:bidi="ar-EG"/>
        </w:rPr>
      </w:pPr>
      <w:r>
        <w:rPr>
          <w:rFonts w:hint="cs"/>
          <w:b/>
          <w:bCs/>
          <w:sz w:val="28"/>
          <w:szCs w:val="28"/>
          <w:rtl/>
          <w:lang w:bidi="ar-EG"/>
        </w:rPr>
        <w:t xml:space="preserve">استعراض تجربة عقد اجتماعات متزامنة لمؤتمر الأطراف في الاتفاقية واجتماعات الأطراف في </w:t>
      </w:r>
      <w:r w:rsidR="002A39AC">
        <w:rPr>
          <w:rFonts w:hint="cs"/>
          <w:b/>
          <w:bCs/>
          <w:sz w:val="28"/>
          <w:szCs w:val="28"/>
          <w:rtl/>
          <w:lang w:bidi="ar-EG"/>
        </w:rPr>
        <w:t>البروتوكولين</w:t>
      </w:r>
    </w:p>
    <w:p w:rsidR="00FB1D5F" w:rsidRPr="00C50338" w:rsidRDefault="00FB1D5F" w:rsidP="00334A81">
      <w:pPr>
        <w:spacing w:after="120" w:line="192" w:lineRule="auto"/>
        <w:jc w:val="center"/>
        <w:rPr>
          <w:i/>
          <w:iCs/>
          <w:sz w:val="22"/>
          <w:rtl/>
          <w:lang w:bidi="ar-EG"/>
        </w:rPr>
      </w:pPr>
      <w:r w:rsidRPr="00C50338">
        <w:rPr>
          <w:i/>
          <w:iCs/>
          <w:sz w:val="22"/>
          <w:rtl/>
          <w:lang w:bidi="ar-EG"/>
        </w:rPr>
        <w:t>مذكرة من الأمين</w:t>
      </w:r>
      <w:r w:rsidR="00866CBA">
        <w:rPr>
          <w:rFonts w:hint="cs"/>
          <w:i/>
          <w:iCs/>
          <w:sz w:val="22"/>
          <w:rtl/>
          <w:lang w:bidi="ar-EG"/>
        </w:rPr>
        <w:t>ة</w:t>
      </w:r>
      <w:r w:rsidRPr="00C50338">
        <w:rPr>
          <w:i/>
          <w:iCs/>
          <w:sz w:val="22"/>
          <w:rtl/>
          <w:lang w:bidi="ar-EG"/>
        </w:rPr>
        <w:t xml:space="preserve"> التنفيذي</w:t>
      </w:r>
      <w:r w:rsidR="00866CBA">
        <w:rPr>
          <w:rFonts w:hint="cs"/>
          <w:i/>
          <w:iCs/>
          <w:sz w:val="22"/>
          <w:rtl/>
          <w:lang w:bidi="ar-EG"/>
        </w:rPr>
        <w:t>ة</w:t>
      </w:r>
    </w:p>
    <w:p w:rsidR="00FB1D5F" w:rsidRPr="007B358B" w:rsidRDefault="007B358B" w:rsidP="004516E0">
      <w:pPr>
        <w:keepNext/>
        <w:spacing w:after="120" w:line="192" w:lineRule="auto"/>
        <w:ind w:left="360"/>
        <w:jc w:val="center"/>
        <w:rPr>
          <w:b/>
          <w:bCs/>
          <w:sz w:val="24"/>
          <w:szCs w:val="28"/>
          <w:rtl/>
          <w:lang w:bidi="ar-EG"/>
        </w:rPr>
      </w:pPr>
      <w:r>
        <w:rPr>
          <w:rFonts w:hint="cs"/>
          <w:b/>
          <w:bCs/>
          <w:sz w:val="24"/>
          <w:szCs w:val="28"/>
          <w:rtl/>
          <w:lang w:bidi="ar-EG"/>
        </w:rPr>
        <w:t>أولا-</w:t>
      </w:r>
      <w:r w:rsidR="004516E0">
        <w:rPr>
          <w:rFonts w:hint="cs"/>
          <w:b/>
          <w:bCs/>
          <w:sz w:val="24"/>
          <w:szCs w:val="28"/>
          <w:rtl/>
          <w:lang w:bidi="ar-EG"/>
        </w:rPr>
        <w:tab/>
      </w:r>
      <w:r w:rsidR="00334A81" w:rsidRPr="007B358B">
        <w:rPr>
          <w:rFonts w:hint="cs"/>
          <w:b/>
          <w:bCs/>
          <w:sz w:val="24"/>
          <w:szCs w:val="28"/>
          <w:rtl/>
          <w:lang w:bidi="ar-EG"/>
        </w:rPr>
        <w:t>الخلفية</w:t>
      </w:r>
    </w:p>
    <w:p w:rsidR="00323F16" w:rsidRPr="00C50338" w:rsidRDefault="00334A81" w:rsidP="00A06F9A">
      <w:pPr>
        <w:numPr>
          <w:ilvl w:val="0"/>
          <w:numId w:val="11"/>
        </w:numPr>
        <w:spacing w:after="120"/>
        <w:ind w:left="0" w:firstLine="0"/>
        <w:rPr>
          <w:sz w:val="22"/>
          <w:rtl/>
          <w:lang w:bidi="ar-EG"/>
        </w:rPr>
      </w:pPr>
      <w:r w:rsidRPr="00334A81">
        <w:rPr>
          <w:rFonts w:ascii="Simplified Arabic" w:eastAsiaTheme="minorHAnsi" w:hAnsi="Simplified Arabic"/>
          <w:kern w:val="0"/>
          <w:sz w:val="24"/>
          <w:rtl/>
          <w:lang w:val="en-CA"/>
        </w:rPr>
        <w:t>في عام 2016، عقد الاجتماع الثالث عشر لمؤتمر الأطراف في اتفاقية التنوع البيولوجي، والاجتماع الثامن لمؤتمر الأطراف العامل كاجتماع للأطراف في بروتوكول قرطاجنة للسلامة الأحيائية، والاجتماع الثاني لمؤتمر الأطراف العامل كاجتماع للأطراف في بروتوكول ناغويا بشأن الحصول على الموارد الجينية والتقاسم العادل والمنصف للمنافع الناشئة عن استخدامها</w:t>
      </w:r>
      <w:r w:rsidR="00A06F9A">
        <w:rPr>
          <w:rStyle w:val="FootnoteReference"/>
          <w:rFonts w:ascii="Simplified Arabic" w:eastAsiaTheme="minorHAnsi" w:hAnsi="Simplified Arabic"/>
          <w:kern w:val="0"/>
          <w:sz w:val="24"/>
          <w:rtl/>
          <w:lang w:val="en-CA"/>
        </w:rPr>
        <w:footnoteReference w:id="2"/>
      </w:r>
      <w:r w:rsidRPr="00334A81">
        <w:rPr>
          <w:rFonts w:ascii="Simplified Arabic" w:eastAsiaTheme="minorHAnsi" w:hAnsi="Simplified Arabic"/>
          <w:kern w:val="0"/>
          <w:sz w:val="24"/>
          <w:rtl/>
          <w:lang w:val="en-CA"/>
        </w:rPr>
        <w:t xml:space="preserve"> </w:t>
      </w:r>
      <w:r w:rsidRPr="00334A81">
        <w:rPr>
          <w:rFonts w:ascii="Simplified Arabic" w:eastAsiaTheme="minorHAnsi" w:hAnsi="Simplified Arabic" w:hint="cs"/>
          <w:kern w:val="0"/>
          <w:sz w:val="24"/>
          <w:rtl/>
          <w:lang w:val="en-CA"/>
        </w:rPr>
        <w:t>بالتزامن</w:t>
      </w:r>
      <w:r w:rsidRPr="00334A81">
        <w:rPr>
          <w:rFonts w:ascii="Simplified Arabic" w:eastAsiaTheme="minorHAnsi" w:hAnsi="Simplified Arabic"/>
          <w:kern w:val="0"/>
          <w:sz w:val="24"/>
          <w:rtl/>
          <w:lang w:val="en-CA"/>
        </w:rPr>
        <w:t xml:space="preserve"> في كانكون</w:t>
      </w:r>
      <w:r w:rsidRPr="00334A81">
        <w:rPr>
          <w:rFonts w:ascii="Simplified Arabic" w:eastAsiaTheme="minorHAnsi" w:hAnsi="Simplified Arabic" w:hint="cs"/>
          <w:kern w:val="0"/>
          <w:sz w:val="24"/>
          <w:rtl/>
          <w:lang w:val="en-CA"/>
        </w:rPr>
        <w:t xml:space="preserve">، </w:t>
      </w:r>
      <w:r w:rsidRPr="00334A81">
        <w:rPr>
          <w:rFonts w:ascii="Simplified Arabic" w:eastAsiaTheme="minorHAnsi" w:hAnsi="Simplified Arabic"/>
          <w:kern w:val="0"/>
          <w:sz w:val="24"/>
          <w:rtl/>
          <w:lang w:val="en-CA"/>
        </w:rPr>
        <w:t xml:space="preserve">المكسيك. </w:t>
      </w:r>
      <w:r w:rsidRPr="00334A81">
        <w:rPr>
          <w:rFonts w:ascii="Simplified Arabic" w:eastAsiaTheme="minorHAnsi" w:hAnsi="Simplified Arabic" w:hint="cs"/>
          <w:kern w:val="0"/>
          <w:sz w:val="24"/>
          <w:rtl/>
          <w:lang w:val="en-CA"/>
        </w:rPr>
        <w:t>و</w:t>
      </w:r>
      <w:r w:rsidRPr="00334A81">
        <w:rPr>
          <w:rFonts w:ascii="Simplified Arabic" w:eastAsiaTheme="minorHAnsi" w:hAnsi="Simplified Arabic"/>
          <w:kern w:val="0"/>
          <w:sz w:val="24"/>
          <w:rtl/>
          <w:lang w:val="en-CA"/>
        </w:rPr>
        <w:t xml:space="preserve">أشير إلى هذه الاجتماعات، </w:t>
      </w:r>
      <w:r w:rsidRPr="00334A81">
        <w:rPr>
          <w:rFonts w:ascii="Simplified Arabic" w:eastAsiaTheme="minorHAnsi" w:hAnsi="Simplified Arabic" w:hint="cs"/>
          <w:kern w:val="0"/>
          <w:sz w:val="24"/>
          <w:rtl/>
          <w:lang w:val="en-CA"/>
        </w:rPr>
        <w:t>إلى جانب</w:t>
      </w:r>
      <w:r w:rsidRPr="00334A81">
        <w:rPr>
          <w:rFonts w:ascii="Simplified Arabic" w:eastAsiaTheme="minorHAnsi" w:hAnsi="Simplified Arabic"/>
          <w:kern w:val="0"/>
          <w:sz w:val="24"/>
          <w:rtl/>
          <w:lang w:val="en-CA"/>
        </w:rPr>
        <w:t xml:space="preserve"> الجزء الرفيع المستوى، باسم "مؤتمر الأمم المتحدة للتنوع البيولوجي، كانكون، المكسيك، 2016" لأغراض </w:t>
      </w:r>
      <w:r w:rsidRPr="00334A81">
        <w:rPr>
          <w:rFonts w:ascii="Simplified Arabic" w:eastAsiaTheme="minorHAnsi" w:hAnsi="Simplified Arabic" w:hint="cs"/>
          <w:kern w:val="0"/>
          <w:sz w:val="24"/>
          <w:rtl/>
          <w:lang w:val="en-CA"/>
        </w:rPr>
        <w:t>التواصل</w:t>
      </w:r>
      <w:r w:rsidRPr="00334A81">
        <w:rPr>
          <w:rFonts w:ascii="Simplified Arabic" w:eastAsiaTheme="minorHAnsi" w:hAnsi="Simplified Arabic"/>
          <w:kern w:val="0"/>
          <w:sz w:val="24"/>
          <w:rtl/>
          <w:lang w:val="en-CA"/>
        </w:rPr>
        <w:t xml:space="preserve">. وفي </w:t>
      </w:r>
      <w:hyperlink r:id="rId12" w:history="1">
        <w:r w:rsidRPr="00334A81">
          <w:rPr>
            <w:rFonts w:ascii="Simplified Arabic" w:eastAsiaTheme="minorHAnsi" w:hAnsi="Simplified Arabic"/>
            <w:color w:val="0000FF" w:themeColor="hyperlink"/>
            <w:kern w:val="0"/>
            <w:sz w:val="24"/>
            <w:u w:val="single"/>
            <w:rtl/>
            <w:lang w:val="en-CA"/>
          </w:rPr>
          <w:t>المقرر 13/26</w:t>
        </w:r>
      </w:hyperlink>
      <w:r w:rsidRPr="00334A81">
        <w:rPr>
          <w:rFonts w:ascii="Simplified Arabic" w:eastAsiaTheme="minorHAnsi" w:hAnsi="Simplified Arabic"/>
          <w:kern w:val="0"/>
          <w:sz w:val="24"/>
          <w:rtl/>
          <w:lang w:val="en-CA"/>
        </w:rPr>
        <w:t xml:space="preserve">، اعتمد مؤتمر الأطراف في الاتفاقية معايير </w:t>
      </w:r>
      <w:r w:rsidRPr="00334A81">
        <w:rPr>
          <w:rFonts w:ascii="Simplified Arabic" w:eastAsiaTheme="minorHAnsi" w:hAnsi="Simplified Arabic" w:hint="cs"/>
          <w:kern w:val="0"/>
          <w:sz w:val="24"/>
          <w:rtl/>
          <w:lang w:val="en-CA"/>
        </w:rPr>
        <w:t>لكي يستعرض</w:t>
      </w:r>
      <w:r w:rsidRPr="00334A81">
        <w:rPr>
          <w:rFonts w:ascii="Simplified Arabic" w:eastAsiaTheme="minorHAnsi" w:hAnsi="Simplified Arabic"/>
          <w:kern w:val="0"/>
          <w:sz w:val="24"/>
          <w:rtl/>
          <w:lang w:val="en-CA"/>
        </w:rPr>
        <w:t xml:space="preserve"> في اجتماعيه الرابع عشر والخامس عشر</w:t>
      </w:r>
      <w:r w:rsidRPr="00334A81">
        <w:rPr>
          <w:rFonts w:ascii="Simplified Arabic" w:eastAsiaTheme="minorHAnsi" w:hAnsi="Simplified Arabic" w:hint="cs"/>
          <w:kern w:val="0"/>
          <w:sz w:val="24"/>
          <w:rtl/>
          <w:lang w:val="en-CA"/>
        </w:rPr>
        <w:t xml:space="preserve"> تجربة</w:t>
      </w:r>
      <w:r w:rsidRPr="00334A81">
        <w:rPr>
          <w:rFonts w:ascii="Simplified Arabic" w:eastAsiaTheme="minorHAnsi" w:hAnsi="Simplified Arabic"/>
          <w:kern w:val="0"/>
          <w:sz w:val="24"/>
          <w:rtl/>
          <w:lang w:val="en-CA"/>
        </w:rPr>
        <w:t xml:space="preserve"> عقد اجتماعات </w:t>
      </w:r>
      <w:r w:rsidRPr="00334A81">
        <w:rPr>
          <w:rFonts w:ascii="Simplified Arabic" w:eastAsiaTheme="minorHAnsi" w:hAnsi="Simplified Arabic" w:hint="cs"/>
          <w:kern w:val="0"/>
          <w:sz w:val="24"/>
          <w:rtl/>
          <w:lang w:val="en-CA"/>
        </w:rPr>
        <w:t>متزامنة</w:t>
      </w:r>
      <w:r w:rsidRPr="00334A81">
        <w:rPr>
          <w:rFonts w:ascii="Simplified Arabic" w:eastAsiaTheme="minorHAnsi" w:hAnsi="Simplified Arabic"/>
          <w:kern w:val="0"/>
          <w:sz w:val="24"/>
          <w:rtl/>
          <w:lang w:val="en-CA"/>
        </w:rPr>
        <w:t xml:space="preserve">، وطلب إلى الأمين التنفيذي أن يعد استعراضا أوليا، باستخدام هذه المعايير، لكي </w:t>
      </w:r>
      <w:r w:rsidRPr="00334A81">
        <w:rPr>
          <w:rFonts w:ascii="Simplified Arabic" w:eastAsiaTheme="minorHAnsi" w:hAnsi="Simplified Arabic" w:hint="cs"/>
          <w:kern w:val="0"/>
          <w:sz w:val="24"/>
          <w:rtl/>
          <w:lang w:val="en-CA"/>
        </w:rPr>
        <w:t>ت</w:t>
      </w:r>
      <w:r w:rsidRPr="00334A81">
        <w:rPr>
          <w:rFonts w:ascii="Simplified Arabic" w:eastAsiaTheme="minorHAnsi" w:hAnsi="Simplified Arabic"/>
          <w:kern w:val="0"/>
          <w:sz w:val="24"/>
          <w:rtl/>
          <w:lang w:val="en-CA"/>
        </w:rPr>
        <w:t>نظر فيه الهيئة الفرعية للتنفيذ في اجتماعها الثاني. وقرر اجتماع الأطراف في بروتوكول</w:t>
      </w:r>
      <w:r w:rsidRPr="00334A81">
        <w:rPr>
          <w:rFonts w:ascii="Simplified Arabic" w:eastAsiaTheme="minorHAnsi" w:hAnsi="Simplified Arabic" w:hint="cs"/>
          <w:kern w:val="0"/>
          <w:sz w:val="24"/>
          <w:rtl/>
          <w:lang w:val="en-CA"/>
        </w:rPr>
        <w:t xml:space="preserve"> </w:t>
      </w:r>
      <w:r w:rsidRPr="00334A81">
        <w:rPr>
          <w:rFonts w:ascii="Simplified Arabic" w:eastAsiaTheme="minorHAnsi" w:hAnsi="Simplified Arabic"/>
          <w:kern w:val="0"/>
          <w:sz w:val="24"/>
          <w:rtl/>
          <w:lang w:val="en-CA"/>
        </w:rPr>
        <w:t>قرطاجنة و</w:t>
      </w:r>
      <w:r w:rsidRPr="00334A81">
        <w:rPr>
          <w:rFonts w:ascii="Simplified Arabic" w:eastAsiaTheme="minorHAnsi" w:hAnsi="Simplified Arabic" w:hint="cs"/>
          <w:kern w:val="0"/>
          <w:sz w:val="24"/>
          <w:rtl/>
          <w:lang w:val="en-CA"/>
        </w:rPr>
        <w:t xml:space="preserve">اجتماع الأطراف في </w:t>
      </w:r>
      <w:r w:rsidRPr="00334A81">
        <w:rPr>
          <w:rFonts w:ascii="Simplified Arabic" w:eastAsiaTheme="minorHAnsi" w:hAnsi="Simplified Arabic"/>
          <w:kern w:val="0"/>
          <w:sz w:val="24"/>
          <w:rtl/>
          <w:lang w:val="en-CA"/>
        </w:rPr>
        <w:t>بروتوكول ناغويا استخدام معايير مماثلة لاستعراض اجتماعاته</w:t>
      </w:r>
      <w:r w:rsidRPr="00334A81">
        <w:rPr>
          <w:rFonts w:ascii="Simplified Arabic" w:eastAsiaTheme="minorHAnsi" w:hAnsi="Simplified Arabic" w:hint="cs"/>
          <w:kern w:val="0"/>
          <w:sz w:val="24"/>
          <w:rtl/>
          <w:lang w:val="en-CA"/>
        </w:rPr>
        <w:t>م</w:t>
      </w:r>
      <w:r w:rsidRPr="00334A81">
        <w:rPr>
          <w:rFonts w:ascii="Simplified Arabic" w:eastAsiaTheme="minorHAnsi" w:hAnsi="Simplified Arabic"/>
          <w:kern w:val="0"/>
          <w:sz w:val="24"/>
          <w:rtl/>
          <w:lang w:val="en-CA"/>
        </w:rPr>
        <w:t xml:space="preserve">ا في المقررين </w:t>
      </w:r>
      <w:hyperlink r:id="rId13" w:history="1">
        <w:r w:rsidRPr="00EE0A08">
          <w:rPr>
            <w:rFonts w:asciiTheme="majorBidi" w:eastAsiaTheme="minorHAnsi" w:hAnsiTheme="majorBidi" w:cstheme="majorBidi"/>
            <w:color w:val="0000FF" w:themeColor="hyperlink"/>
            <w:kern w:val="0"/>
            <w:sz w:val="22"/>
            <w:szCs w:val="22"/>
            <w:u w:val="single"/>
            <w:lang w:val="en-CA"/>
          </w:rPr>
          <w:t>CP VII/12</w:t>
        </w:r>
      </w:hyperlink>
      <w:r w:rsidRPr="00334A81">
        <w:rPr>
          <w:rFonts w:ascii="Simplified Arabic" w:eastAsiaTheme="minorHAnsi" w:hAnsi="Simplified Arabic"/>
          <w:kern w:val="0"/>
          <w:sz w:val="24"/>
          <w:rtl/>
          <w:lang w:val="en-CA"/>
        </w:rPr>
        <w:t xml:space="preserve"> و</w:t>
      </w:r>
      <w:hyperlink r:id="rId14" w:history="1">
        <w:r w:rsidRPr="00EE0A08">
          <w:rPr>
            <w:rFonts w:asciiTheme="majorBidi" w:eastAsiaTheme="minorHAnsi" w:hAnsiTheme="majorBidi" w:cstheme="majorBidi"/>
            <w:color w:val="0000FF" w:themeColor="hyperlink"/>
            <w:kern w:val="0"/>
            <w:sz w:val="22"/>
            <w:szCs w:val="22"/>
            <w:u w:val="single"/>
            <w:lang w:val="en-CA"/>
          </w:rPr>
          <w:t>NP 2/12</w:t>
        </w:r>
      </w:hyperlink>
      <w:r w:rsidRPr="00334A81">
        <w:rPr>
          <w:rFonts w:ascii="Simplified Arabic" w:eastAsiaTheme="minorHAnsi" w:hAnsi="Simplified Arabic"/>
          <w:kern w:val="0"/>
          <w:sz w:val="24"/>
          <w:rtl/>
          <w:lang w:val="en-CA"/>
        </w:rPr>
        <w:t xml:space="preserve"> على التوالي</w:t>
      </w:r>
      <w:r w:rsidRPr="00334A81">
        <w:rPr>
          <w:rFonts w:ascii="Simplified Arabic" w:eastAsiaTheme="minorHAnsi" w:hAnsi="Simplified Arabic"/>
          <w:kern w:val="0"/>
          <w:sz w:val="22"/>
          <w:szCs w:val="22"/>
          <w:lang w:val="en-CA"/>
        </w:rPr>
        <w:t>.</w:t>
      </w:r>
    </w:p>
    <w:p w:rsidR="00323F16" w:rsidRPr="009C7C80" w:rsidRDefault="003D512D" w:rsidP="001C5148">
      <w:pPr>
        <w:numPr>
          <w:ilvl w:val="0"/>
          <w:numId w:val="11"/>
        </w:numPr>
        <w:spacing w:after="120"/>
        <w:ind w:left="0" w:firstLine="0"/>
        <w:rPr>
          <w:sz w:val="22"/>
          <w:rtl/>
          <w:lang w:bidi="ar-EG"/>
        </w:rPr>
      </w:pPr>
      <w:r>
        <w:rPr>
          <w:rFonts w:hint="cs"/>
          <w:sz w:val="22"/>
          <w:rtl/>
          <w:lang w:bidi="ar-EG"/>
        </w:rPr>
        <w:t>واستجابة إلى هذه الطلبات، تم إرسال إخطار</w:t>
      </w:r>
      <w:r w:rsidR="00A06F9A">
        <w:rPr>
          <w:rStyle w:val="FootnoteReference"/>
          <w:sz w:val="22"/>
          <w:rtl/>
        </w:rPr>
        <w:footnoteReference w:id="3"/>
      </w:r>
      <w:r>
        <w:rPr>
          <w:rFonts w:hint="cs"/>
          <w:sz w:val="22"/>
          <w:rtl/>
          <w:lang w:bidi="ar-EG"/>
        </w:rPr>
        <w:t xml:space="preserve"> إلى الأطراف في الاتفاقية وبروتوكوليها يدعوهم إلى تقديم وجهات نظرهم بشأن عقد الاجتماعات المذكورة أعلاه بالتزامن، وذلك باستخدام استبيان يركز على المعايير المحددة في المقررات 13/26 و</w:t>
      </w:r>
      <w:r w:rsidRPr="003D512D">
        <w:rPr>
          <w:sz w:val="24"/>
          <w:lang w:bidi="ar-EG"/>
        </w:rPr>
        <w:t>CP</w:t>
      </w:r>
      <w:r>
        <w:rPr>
          <w:sz w:val="24"/>
          <w:lang w:bidi="ar-EG"/>
        </w:rPr>
        <w:t xml:space="preserve"> 8/10</w:t>
      </w:r>
      <w:r>
        <w:rPr>
          <w:rFonts w:hint="cs"/>
          <w:sz w:val="24"/>
          <w:rtl/>
        </w:rPr>
        <w:t xml:space="preserve"> و</w:t>
      </w:r>
      <w:r>
        <w:rPr>
          <w:sz w:val="24"/>
        </w:rPr>
        <w:t>NP 2/12</w:t>
      </w:r>
      <w:r>
        <w:rPr>
          <w:rFonts w:hint="cs"/>
          <w:sz w:val="24"/>
          <w:rtl/>
        </w:rPr>
        <w:t xml:space="preserve">. وبالإضافة إلى ذلك، تم توزيع </w:t>
      </w:r>
      <w:r w:rsidR="002C0205">
        <w:rPr>
          <w:rFonts w:hint="cs"/>
          <w:sz w:val="24"/>
          <w:rtl/>
        </w:rPr>
        <w:t>استقصاء إلكتروني</w:t>
      </w:r>
      <w:r w:rsidR="002A39AC">
        <w:rPr>
          <w:rFonts w:hint="cs"/>
          <w:sz w:val="24"/>
          <w:rtl/>
        </w:rPr>
        <w:t>ا</w:t>
      </w:r>
      <w:r w:rsidR="00A06F9A">
        <w:rPr>
          <w:rStyle w:val="FootnoteReference"/>
          <w:sz w:val="24"/>
          <w:rtl/>
        </w:rPr>
        <w:footnoteReference w:id="4"/>
      </w:r>
      <w:r w:rsidR="002C0205">
        <w:rPr>
          <w:rFonts w:hint="cs"/>
          <w:sz w:val="24"/>
          <w:rtl/>
        </w:rPr>
        <w:t xml:space="preserve"> </w:t>
      </w:r>
      <w:r w:rsidR="001C5148" w:rsidRPr="009C7C80">
        <w:rPr>
          <w:rFonts w:hint="cs"/>
          <w:sz w:val="24"/>
          <w:rtl/>
        </w:rPr>
        <w:t>على</w:t>
      </w:r>
      <w:r w:rsidR="002C0205" w:rsidRPr="009C7C80">
        <w:rPr>
          <w:rFonts w:hint="cs"/>
          <w:sz w:val="24"/>
          <w:rtl/>
        </w:rPr>
        <w:t xml:space="preserve"> المشاركين في الاجتماعات المتزامنة. وشارك المجيبون على الاستقصاء الإلكتروني بصفتهم الشخصية</w:t>
      </w:r>
      <w:r w:rsidR="00A543DE" w:rsidRPr="009C7C80">
        <w:rPr>
          <w:rFonts w:hint="cs"/>
          <w:sz w:val="24"/>
          <w:rtl/>
        </w:rPr>
        <w:t>،</w:t>
      </w:r>
      <w:r w:rsidR="002C0205" w:rsidRPr="009C7C80">
        <w:rPr>
          <w:rFonts w:hint="cs"/>
          <w:sz w:val="24"/>
          <w:rtl/>
        </w:rPr>
        <w:t xml:space="preserve"> وردودهم لا تعكس بالضرورة الرأي الرسمي للأطراف أو المنظمات التي يمثلونها.</w:t>
      </w:r>
    </w:p>
    <w:p w:rsidR="00323F16" w:rsidRPr="00D600F7" w:rsidRDefault="003430E9" w:rsidP="004B47F5">
      <w:pPr>
        <w:pStyle w:val="ListParagraph"/>
        <w:numPr>
          <w:ilvl w:val="0"/>
          <w:numId w:val="11"/>
        </w:numPr>
        <w:bidi/>
        <w:spacing w:after="120" w:line="216" w:lineRule="auto"/>
        <w:ind w:left="0" w:firstLine="0"/>
        <w:rPr>
          <w:sz w:val="24"/>
          <w:rtl/>
          <w:lang w:val="en-US"/>
        </w:rPr>
      </w:pPr>
      <w:r w:rsidRPr="00E73773">
        <w:rPr>
          <w:rFonts w:ascii="Simplified Arabic" w:hAnsi="Simplified Arabic" w:cs="Simplified Arabic"/>
          <w:rtl/>
          <w:lang w:bidi="ar-EG"/>
        </w:rPr>
        <w:lastRenderedPageBreak/>
        <w:t>وتلخص الأ</w:t>
      </w:r>
      <w:r w:rsidR="00D12CBB" w:rsidRPr="00E73773">
        <w:rPr>
          <w:rFonts w:ascii="Simplified Arabic" w:hAnsi="Simplified Arabic" w:cs="Simplified Arabic"/>
          <w:rtl/>
          <w:lang w:bidi="ar-EG"/>
        </w:rPr>
        <w:t>قسام</w:t>
      </w:r>
      <w:r w:rsidRPr="00E73773">
        <w:rPr>
          <w:rFonts w:ascii="Simplified Arabic" w:hAnsi="Simplified Arabic" w:cs="Simplified Arabic"/>
          <w:rtl/>
          <w:lang w:bidi="ar-EG"/>
        </w:rPr>
        <w:t xml:space="preserve"> التالية من هذه الوثيقة النتائج الرئيسية للاستبيان والاستقصاء </w:t>
      </w:r>
      <w:r w:rsidR="00D12CBB" w:rsidRPr="00E73773">
        <w:rPr>
          <w:rFonts w:ascii="Simplified Arabic" w:hAnsi="Simplified Arabic" w:cs="Simplified Arabic"/>
          <w:rtl/>
          <w:lang w:bidi="ar-EG"/>
        </w:rPr>
        <w:t>المتعلقة</w:t>
      </w:r>
      <w:r w:rsidRPr="00E73773">
        <w:rPr>
          <w:rFonts w:ascii="Simplified Arabic" w:hAnsi="Simplified Arabic" w:cs="Simplified Arabic"/>
          <w:rtl/>
          <w:lang w:bidi="ar-EG"/>
        </w:rPr>
        <w:t xml:space="preserve"> </w:t>
      </w:r>
      <w:r w:rsidR="00D12CBB" w:rsidRPr="00E73773">
        <w:rPr>
          <w:rFonts w:ascii="Simplified Arabic" w:hAnsi="Simplified Arabic" w:cs="Simplified Arabic"/>
          <w:rtl/>
          <w:lang w:bidi="ar-EG"/>
        </w:rPr>
        <w:t>ب</w:t>
      </w:r>
      <w:r w:rsidRPr="00E73773">
        <w:rPr>
          <w:rFonts w:ascii="Simplified Arabic" w:hAnsi="Simplified Arabic" w:cs="Simplified Arabic"/>
          <w:rtl/>
          <w:lang w:bidi="ar-EG"/>
        </w:rPr>
        <w:t xml:space="preserve">تجارب عقد اجتماعات متزامنة لمؤتمر الأطراف في الاتفاقية واجتماعات الأطراف في البروتوكولين. وتقدم الأمانة أيضا ملاحظات بشأن المسائل المتصلة </w:t>
      </w:r>
      <w:r w:rsidR="00D12CBB" w:rsidRPr="00E73773">
        <w:rPr>
          <w:rFonts w:ascii="Simplified Arabic" w:hAnsi="Simplified Arabic" w:cs="Simplified Arabic"/>
          <w:rtl/>
          <w:lang w:bidi="ar-EG"/>
        </w:rPr>
        <w:t>بلوجستيات عقد اجتماعات الاتفاقية والبروتوكول</w:t>
      </w:r>
      <w:r w:rsidR="002A39AC">
        <w:rPr>
          <w:rFonts w:ascii="Simplified Arabic" w:hAnsi="Simplified Arabic" w:cs="Simplified Arabic" w:hint="cs"/>
          <w:rtl/>
          <w:lang w:bidi="ar-EG"/>
        </w:rPr>
        <w:t>ين</w:t>
      </w:r>
      <w:r w:rsidR="00D12CBB" w:rsidRPr="00E73773">
        <w:rPr>
          <w:rFonts w:ascii="Simplified Arabic" w:hAnsi="Simplified Arabic" w:cs="Simplified Arabic"/>
          <w:rtl/>
          <w:lang w:bidi="ar-EG"/>
        </w:rPr>
        <w:t xml:space="preserve"> من أجل إعلام الأطراف عند نظرها في هذه المسألة. وتتضمن المذكرة قسما لكل معيار من المعايير المحددة في المقررات 13/26 و</w:t>
      </w:r>
      <w:r w:rsidR="000C2402" w:rsidRPr="00EE0A08">
        <w:rPr>
          <w:rFonts w:asciiTheme="majorBidi" w:hAnsiTheme="majorBidi" w:cstheme="majorBidi"/>
          <w:szCs w:val="22"/>
          <w:lang w:bidi="ar-EG"/>
        </w:rPr>
        <w:t>CP 8/10</w:t>
      </w:r>
      <w:r w:rsidR="00D12CBB" w:rsidRPr="00E73773">
        <w:rPr>
          <w:rFonts w:ascii="Simplified Arabic" w:hAnsi="Simplified Arabic" w:cs="Simplified Arabic"/>
          <w:rtl/>
          <w:lang w:bidi="ar-EG"/>
        </w:rPr>
        <w:t xml:space="preserve"> </w:t>
      </w:r>
      <w:r w:rsidR="000C2402" w:rsidRPr="00E73773">
        <w:rPr>
          <w:rFonts w:ascii="Simplified Arabic" w:hAnsi="Simplified Arabic" w:cs="Simplified Arabic"/>
          <w:rtl/>
          <w:lang w:bidi="ar-EG"/>
        </w:rPr>
        <w:t>و</w:t>
      </w:r>
      <w:r w:rsidR="000C2402" w:rsidRPr="00EE0A08">
        <w:rPr>
          <w:rFonts w:asciiTheme="majorBidi" w:hAnsiTheme="majorBidi" w:cstheme="majorBidi"/>
          <w:szCs w:val="22"/>
          <w:lang w:bidi="ar-EG"/>
        </w:rPr>
        <w:t>NP 2/12</w:t>
      </w:r>
      <w:r w:rsidR="000C2402" w:rsidRPr="00E73773">
        <w:rPr>
          <w:rFonts w:ascii="Simplified Arabic" w:hAnsi="Simplified Arabic" w:cs="Simplified Arabic"/>
          <w:sz w:val="24"/>
          <w:rtl/>
        </w:rPr>
        <w:t>، فضلا عن قسم يحدد الملاحظات والاستنتاجات العامة. وعلاوة على ذلك، تستكمل هذه الوثيقة بوثيقتين إعلاميتين تستنسخان كافة التعليقات المكتوبة الواردة ردا على الاستبيان والاستقصاء كما أنهما توفران تحليلات إضافية</w:t>
      </w:r>
      <w:r w:rsidR="004B47F5">
        <w:rPr>
          <w:rFonts w:ascii="Simplified Arabic" w:hAnsi="Simplified Arabic" w:cs="Simplified Arabic" w:hint="cs"/>
          <w:sz w:val="24"/>
          <w:rtl/>
        </w:rPr>
        <w:t>.</w:t>
      </w:r>
      <w:r w:rsidR="000C2402" w:rsidRPr="00E73773">
        <w:rPr>
          <w:rStyle w:val="FootnoteReference"/>
          <w:rFonts w:ascii="Simplified Arabic" w:hAnsi="Simplified Arabic"/>
          <w:sz w:val="24"/>
          <w:rtl/>
        </w:rPr>
        <w:footnoteReference w:id="5"/>
      </w:r>
      <w:r w:rsidR="000C2402" w:rsidRPr="00E73773">
        <w:rPr>
          <w:rFonts w:ascii="Simplified Arabic" w:hAnsi="Simplified Arabic" w:cs="Simplified Arabic"/>
          <w:sz w:val="24"/>
          <w:rtl/>
        </w:rPr>
        <w:t xml:space="preserve"> وقد أتيحت نسخة سابقة من هذه المذكرة ليتم استع</w:t>
      </w:r>
      <w:r w:rsidR="005A7194" w:rsidRPr="00E73773">
        <w:rPr>
          <w:rFonts w:ascii="Simplified Arabic" w:hAnsi="Simplified Arabic" w:cs="Simplified Arabic"/>
          <w:sz w:val="24"/>
          <w:rtl/>
        </w:rPr>
        <w:t>ر</w:t>
      </w:r>
      <w:r w:rsidR="000C2402" w:rsidRPr="00E73773">
        <w:rPr>
          <w:rFonts w:ascii="Simplified Arabic" w:hAnsi="Simplified Arabic" w:cs="Simplified Arabic"/>
          <w:sz w:val="24"/>
          <w:rtl/>
        </w:rPr>
        <w:t xml:space="preserve">اضها من قبل </w:t>
      </w:r>
      <w:r w:rsidR="002A39AC">
        <w:rPr>
          <w:rFonts w:ascii="Simplified Arabic" w:hAnsi="Simplified Arabic" w:cs="Simplified Arabic" w:hint="cs"/>
          <w:sz w:val="24"/>
          <w:rtl/>
        </w:rPr>
        <w:t>النظراء</w:t>
      </w:r>
      <w:r w:rsidR="004B47F5">
        <w:rPr>
          <w:rFonts w:ascii="Simplified Arabic" w:hAnsi="Simplified Arabic" w:cs="Simplified Arabic" w:hint="cs"/>
          <w:sz w:val="24"/>
          <w:rtl/>
        </w:rPr>
        <w:t>.</w:t>
      </w:r>
      <w:r w:rsidR="005A7194" w:rsidRPr="00E73773">
        <w:rPr>
          <w:rStyle w:val="FootnoteReference"/>
          <w:rFonts w:ascii="Simplified Arabic" w:hAnsi="Simplified Arabic"/>
          <w:sz w:val="24"/>
          <w:rtl/>
        </w:rPr>
        <w:footnoteReference w:id="6"/>
      </w:r>
    </w:p>
    <w:p w:rsidR="005A7194" w:rsidRPr="002A39AC" w:rsidRDefault="007B358B" w:rsidP="00581881">
      <w:pPr>
        <w:pStyle w:val="ListParagraph"/>
        <w:keepNext/>
        <w:bidi/>
        <w:spacing w:after="120"/>
        <w:jc w:val="center"/>
        <w:rPr>
          <w:rFonts w:ascii="Simplified Arabic" w:hAnsi="Simplified Arabic" w:cs="Simplified Arabic"/>
          <w:sz w:val="28"/>
          <w:szCs w:val="28"/>
          <w:lang w:bidi="ar-EG"/>
        </w:rPr>
      </w:pPr>
      <w:r w:rsidRPr="002A39AC">
        <w:rPr>
          <w:rFonts w:ascii="Simplified Arabic" w:hAnsi="Simplified Arabic" w:cs="Simplified Arabic"/>
          <w:b/>
          <w:bCs/>
          <w:sz w:val="28"/>
          <w:szCs w:val="28"/>
          <w:rtl/>
        </w:rPr>
        <w:t>ثانيا-</w:t>
      </w:r>
      <w:r w:rsidR="004516E0" w:rsidRPr="002A39AC">
        <w:rPr>
          <w:rFonts w:ascii="Simplified Arabic" w:hAnsi="Simplified Arabic" w:cs="Simplified Arabic" w:hint="cs"/>
          <w:b/>
          <w:bCs/>
          <w:sz w:val="28"/>
          <w:szCs w:val="28"/>
          <w:rtl/>
        </w:rPr>
        <w:tab/>
      </w:r>
      <w:r w:rsidR="00090807" w:rsidRPr="002A39AC">
        <w:rPr>
          <w:rFonts w:ascii="Simplified Arabic" w:hAnsi="Simplified Arabic" w:cs="Simplified Arabic"/>
          <w:b/>
          <w:bCs/>
          <w:sz w:val="28"/>
          <w:szCs w:val="28"/>
          <w:rtl/>
        </w:rPr>
        <w:t>المجيبون على الاستقصاءات</w:t>
      </w:r>
    </w:p>
    <w:p w:rsidR="00323F16" w:rsidRPr="00C50338" w:rsidRDefault="00090807" w:rsidP="004B47F5">
      <w:pPr>
        <w:numPr>
          <w:ilvl w:val="0"/>
          <w:numId w:val="11"/>
        </w:numPr>
        <w:spacing w:after="120"/>
        <w:ind w:left="0" w:firstLine="0"/>
        <w:rPr>
          <w:sz w:val="22"/>
          <w:rtl/>
          <w:lang w:bidi="ar-EG"/>
        </w:rPr>
      </w:pPr>
      <w:r w:rsidRPr="009C7C80">
        <w:rPr>
          <w:rFonts w:hint="cs"/>
          <w:sz w:val="22"/>
          <w:rtl/>
          <w:lang w:bidi="ar-EG"/>
        </w:rPr>
        <w:t>أسفر الإخطار الموجه إلى الأطراف عن 71 رد</w:t>
      </w:r>
      <w:r w:rsidR="002A39AC" w:rsidRPr="009C7C80">
        <w:rPr>
          <w:rFonts w:hint="cs"/>
          <w:sz w:val="22"/>
          <w:rtl/>
          <w:lang w:bidi="ar-EG"/>
        </w:rPr>
        <w:t>ا</w:t>
      </w:r>
      <w:r w:rsidRPr="009C7C80">
        <w:rPr>
          <w:rFonts w:hint="cs"/>
          <w:sz w:val="22"/>
          <w:rtl/>
          <w:lang w:bidi="ar-EG"/>
        </w:rPr>
        <w:t xml:space="preserve"> من 64 طرف</w:t>
      </w:r>
      <w:r w:rsidR="002A39AC" w:rsidRPr="009C7C80">
        <w:rPr>
          <w:rFonts w:hint="cs"/>
          <w:sz w:val="22"/>
          <w:rtl/>
          <w:lang w:bidi="ar-EG"/>
        </w:rPr>
        <w:t>ا</w:t>
      </w:r>
      <w:r w:rsidR="004B47F5">
        <w:rPr>
          <w:rFonts w:hint="cs"/>
          <w:sz w:val="22"/>
          <w:rtl/>
          <w:lang w:bidi="ar-EG"/>
        </w:rPr>
        <w:t>.</w:t>
      </w:r>
      <w:r w:rsidR="00D600F7" w:rsidRPr="009C7C80">
        <w:rPr>
          <w:rStyle w:val="FootnoteReference"/>
          <w:sz w:val="22"/>
          <w:rtl/>
        </w:rPr>
        <w:footnoteReference w:id="7"/>
      </w:r>
      <w:r w:rsidRPr="009C7C80">
        <w:rPr>
          <w:rFonts w:hint="cs"/>
          <w:sz w:val="22"/>
          <w:rtl/>
          <w:lang w:bidi="ar-EG"/>
        </w:rPr>
        <w:t xml:space="preserve"> وقدمت بعض الأطراف تقارير منفصلة للاتفاقية وبروتوكول</w:t>
      </w:r>
      <w:r w:rsidR="00A543DE" w:rsidRPr="009C7C80">
        <w:rPr>
          <w:rFonts w:hint="cs"/>
          <w:sz w:val="22"/>
          <w:rtl/>
          <w:lang w:bidi="ar-EG"/>
        </w:rPr>
        <w:t>ي</w:t>
      </w:r>
      <w:r w:rsidRPr="009C7C80">
        <w:rPr>
          <w:rFonts w:hint="cs"/>
          <w:sz w:val="22"/>
          <w:rtl/>
          <w:lang w:bidi="ar-EG"/>
        </w:rPr>
        <w:t>ها ولم ي</w:t>
      </w:r>
      <w:r w:rsidR="00A543DE" w:rsidRPr="009C7C80">
        <w:rPr>
          <w:rFonts w:hint="cs"/>
          <w:sz w:val="22"/>
          <w:rtl/>
          <w:lang w:bidi="ar-EG"/>
        </w:rPr>
        <w:t>ُ</w:t>
      </w:r>
      <w:r w:rsidRPr="009C7C80">
        <w:rPr>
          <w:rFonts w:hint="cs"/>
          <w:sz w:val="22"/>
          <w:rtl/>
          <w:lang w:bidi="ar-EG"/>
        </w:rPr>
        <w:t xml:space="preserve">جب </w:t>
      </w:r>
      <w:r w:rsidR="00491B4B" w:rsidRPr="009C7C80">
        <w:rPr>
          <w:rFonts w:hint="cs"/>
          <w:sz w:val="22"/>
          <w:rtl/>
          <w:lang w:bidi="ar-EG"/>
        </w:rPr>
        <w:t>كل</w:t>
      </w:r>
      <w:r w:rsidRPr="009C7C80">
        <w:rPr>
          <w:rFonts w:hint="cs"/>
          <w:sz w:val="22"/>
          <w:rtl/>
          <w:lang w:bidi="ar-EG"/>
        </w:rPr>
        <w:t xml:space="preserve"> المشاركين </w:t>
      </w:r>
      <w:r w:rsidR="00491B4B" w:rsidRPr="009C7C80">
        <w:rPr>
          <w:rFonts w:hint="cs"/>
          <w:sz w:val="22"/>
          <w:rtl/>
          <w:lang w:bidi="ar-EG"/>
        </w:rPr>
        <w:t xml:space="preserve">على كل الأسئلة الواردة في الاستبيان، أو لم يقدموا تعليقات </w:t>
      </w:r>
      <w:r w:rsidR="00A543DE" w:rsidRPr="009C7C80">
        <w:rPr>
          <w:rFonts w:hint="cs"/>
          <w:sz w:val="22"/>
          <w:rtl/>
          <w:lang w:bidi="ar-EG"/>
        </w:rPr>
        <w:t>كتابية</w:t>
      </w:r>
      <w:r w:rsidR="00491B4B" w:rsidRPr="009C7C80">
        <w:rPr>
          <w:rFonts w:hint="cs"/>
          <w:sz w:val="22"/>
          <w:rtl/>
          <w:lang w:bidi="ar-EG"/>
        </w:rPr>
        <w:t xml:space="preserve">. ومن بين الردود الواردة على الإخطار </w:t>
      </w:r>
      <w:r w:rsidR="00206535" w:rsidRPr="009C7C80">
        <w:rPr>
          <w:rFonts w:hint="cs"/>
          <w:sz w:val="22"/>
          <w:rtl/>
          <w:lang w:bidi="ar-EG"/>
        </w:rPr>
        <w:t>تضمن</w:t>
      </w:r>
      <w:r w:rsidR="00491B4B" w:rsidRPr="009C7C80">
        <w:rPr>
          <w:rFonts w:hint="cs"/>
          <w:sz w:val="22"/>
          <w:rtl/>
          <w:lang w:bidi="ar-EG"/>
        </w:rPr>
        <w:t xml:space="preserve"> 62 منها معلومات تتعلق بالاتفاقية</w:t>
      </w:r>
      <w:r w:rsidR="00A543DE" w:rsidRPr="009C7C80">
        <w:rPr>
          <w:rFonts w:hint="cs"/>
          <w:sz w:val="22"/>
          <w:rtl/>
          <w:lang w:bidi="ar-EG"/>
        </w:rPr>
        <w:t>،</w:t>
      </w:r>
      <w:r w:rsidR="00491B4B" w:rsidRPr="009C7C80">
        <w:rPr>
          <w:rFonts w:hint="cs"/>
          <w:sz w:val="22"/>
          <w:rtl/>
          <w:lang w:bidi="ar-EG"/>
        </w:rPr>
        <w:t xml:space="preserve"> </w:t>
      </w:r>
      <w:r w:rsidR="00206535" w:rsidRPr="009C7C80">
        <w:rPr>
          <w:rFonts w:hint="cs"/>
          <w:sz w:val="22"/>
          <w:rtl/>
          <w:lang w:bidi="ar-EG"/>
        </w:rPr>
        <w:t>وتضمن</w:t>
      </w:r>
      <w:r w:rsidR="00491B4B" w:rsidRPr="009C7C80">
        <w:rPr>
          <w:rFonts w:hint="cs"/>
          <w:sz w:val="22"/>
          <w:rtl/>
          <w:lang w:bidi="ar-EG"/>
        </w:rPr>
        <w:t xml:space="preserve"> 55 منها معلومات تتعلق ببروتوكول قرطاجنة</w:t>
      </w:r>
      <w:r w:rsidR="00A543DE" w:rsidRPr="009C7C80">
        <w:rPr>
          <w:rFonts w:hint="cs"/>
          <w:sz w:val="22"/>
          <w:rtl/>
          <w:lang w:bidi="ar-EG"/>
        </w:rPr>
        <w:t>،</w:t>
      </w:r>
      <w:r w:rsidR="00491B4B" w:rsidRPr="009C7C80">
        <w:rPr>
          <w:rFonts w:hint="cs"/>
          <w:sz w:val="22"/>
          <w:rtl/>
          <w:lang w:bidi="ar-EG"/>
        </w:rPr>
        <w:t xml:space="preserve"> </w:t>
      </w:r>
      <w:r w:rsidR="00206535" w:rsidRPr="009C7C80">
        <w:rPr>
          <w:rFonts w:hint="cs"/>
          <w:sz w:val="22"/>
          <w:rtl/>
          <w:lang w:bidi="ar-EG"/>
        </w:rPr>
        <w:t>وتضمن</w:t>
      </w:r>
      <w:r w:rsidR="00491B4B" w:rsidRPr="009C7C80">
        <w:rPr>
          <w:rFonts w:hint="cs"/>
          <w:sz w:val="22"/>
          <w:rtl/>
          <w:lang w:bidi="ar-EG"/>
        </w:rPr>
        <w:t xml:space="preserve"> 41 منها معلومات تتعلق ببروتوكول ناغويا. </w:t>
      </w:r>
      <w:r w:rsidR="00145D0E" w:rsidRPr="009C7C80">
        <w:rPr>
          <w:rFonts w:hint="cs"/>
          <w:sz w:val="22"/>
          <w:rtl/>
          <w:lang w:bidi="ar-EG"/>
        </w:rPr>
        <w:t xml:space="preserve">ويمثل ذلك معدل </w:t>
      </w:r>
      <w:r w:rsidR="00581881" w:rsidRPr="009C7C80">
        <w:rPr>
          <w:rFonts w:hint="cs"/>
          <w:sz w:val="22"/>
          <w:rtl/>
          <w:lang w:bidi="ar-EG"/>
        </w:rPr>
        <w:t>رد</w:t>
      </w:r>
      <w:r w:rsidR="00145D0E" w:rsidRPr="009C7C80">
        <w:rPr>
          <w:rFonts w:hint="cs"/>
          <w:sz w:val="22"/>
          <w:rtl/>
          <w:lang w:bidi="ar-EG"/>
        </w:rPr>
        <w:t xml:space="preserve"> </w:t>
      </w:r>
      <w:r w:rsidR="00A543DE" w:rsidRPr="009C7C80">
        <w:rPr>
          <w:rFonts w:hint="cs"/>
          <w:sz w:val="22"/>
          <w:rtl/>
          <w:lang w:bidi="ar-EG"/>
        </w:rPr>
        <w:t>يقارب</w:t>
      </w:r>
      <w:r w:rsidR="00145D0E" w:rsidRPr="009C7C80">
        <w:rPr>
          <w:rFonts w:hint="cs"/>
          <w:sz w:val="22"/>
          <w:rtl/>
          <w:lang w:bidi="ar-EG"/>
        </w:rPr>
        <w:t xml:space="preserve"> 32 في المائة من الأطراف في الاتفاقية</w:t>
      </w:r>
      <w:r w:rsidR="00A543DE" w:rsidRPr="009C7C80">
        <w:rPr>
          <w:rFonts w:hint="cs"/>
          <w:sz w:val="22"/>
          <w:rtl/>
          <w:lang w:bidi="ar-EG"/>
        </w:rPr>
        <w:t>،</w:t>
      </w:r>
      <w:r w:rsidR="00145D0E" w:rsidRPr="009C7C80">
        <w:rPr>
          <w:rFonts w:hint="cs"/>
          <w:sz w:val="22"/>
          <w:rtl/>
          <w:lang w:bidi="ar-EG"/>
        </w:rPr>
        <w:t xml:space="preserve"> و32 في المائة من الأطراف في ب</w:t>
      </w:r>
      <w:r w:rsidR="00145D0E">
        <w:rPr>
          <w:rFonts w:hint="cs"/>
          <w:sz w:val="22"/>
          <w:rtl/>
          <w:lang w:bidi="ar-EG"/>
        </w:rPr>
        <w:t>روتوكول قرطاجنة</w:t>
      </w:r>
      <w:r w:rsidR="00A543DE">
        <w:rPr>
          <w:rFonts w:hint="cs"/>
          <w:sz w:val="22"/>
          <w:rtl/>
          <w:lang w:bidi="ar-EG"/>
        </w:rPr>
        <w:t>،</w:t>
      </w:r>
      <w:r w:rsidR="00145D0E">
        <w:rPr>
          <w:rFonts w:hint="cs"/>
          <w:sz w:val="22"/>
          <w:rtl/>
          <w:lang w:bidi="ar-EG"/>
        </w:rPr>
        <w:t xml:space="preserve"> و43 في المائة من الأطراف في بروتوكول ناغويا</w:t>
      </w:r>
      <w:r w:rsidR="00AD5A10">
        <w:rPr>
          <w:rFonts w:hint="cs"/>
          <w:sz w:val="22"/>
          <w:rtl/>
          <w:lang w:bidi="ar-EG"/>
        </w:rPr>
        <w:t xml:space="preserve"> في الوقت الذي قدمت فيه التقارير. </w:t>
      </w:r>
      <w:r w:rsidR="002C1407">
        <w:rPr>
          <w:rFonts w:hint="cs"/>
          <w:sz w:val="22"/>
          <w:rtl/>
          <w:lang w:bidi="ar-EG"/>
        </w:rPr>
        <w:t>وعلى الصعيد الإقليمي، ورد 23 ردا من أفريقيا</w:t>
      </w:r>
      <w:r w:rsidR="00A543DE">
        <w:rPr>
          <w:rFonts w:hint="cs"/>
          <w:sz w:val="22"/>
          <w:rtl/>
          <w:lang w:bidi="ar-EG"/>
        </w:rPr>
        <w:t>،</w:t>
      </w:r>
      <w:r w:rsidR="002C1407">
        <w:rPr>
          <w:rFonts w:hint="cs"/>
          <w:sz w:val="22"/>
          <w:rtl/>
          <w:lang w:bidi="ar-EG"/>
        </w:rPr>
        <w:t xml:space="preserve"> و10 ردود من آسيا والمحيط الهادئ</w:t>
      </w:r>
      <w:r w:rsidR="00A543DE">
        <w:rPr>
          <w:rFonts w:hint="cs"/>
          <w:sz w:val="22"/>
          <w:rtl/>
          <w:lang w:bidi="ar-EG"/>
        </w:rPr>
        <w:t>،</w:t>
      </w:r>
      <w:r w:rsidR="002C1407">
        <w:rPr>
          <w:rFonts w:hint="cs"/>
          <w:sz w:val="22"/>
          <w:rtl/>
          <w:lang w:bidi="ar-EG"/>
        </w:rPr>
        <w:t xml:space="preserve"> و7 ردود من أوروبا الوسطى والشرقية</w:t>
      </w:r>
      <w:r w:rsidR="00A543DE">
        <w:rPr>
          <w:rFonts w:hint="cs"/>
          <w:sz w:val="22"/>
          <w:rtl/>
          <w:lang w:bidi="ar-EG"/>
        </w:rPr>
        <w:t>،</w:t>
      </w:r>
      <w:r w:rsidR="002C1407">
        <w:rPr>
          <w:rFonts w:hint="cs"/>
          <w:sz w:val="22"/>
          <w:rtl/>
          <w:lang w:bidi="ar-EG"/>
        </w:rPr>
        <w:t xml:space="preserve"> و17 ردا من </w:t>
      </w:r>
      <w:r w:rsidR="00D600F7">
        <w:rPr>
          <w:rFonts w:hint="cs"/>
          <w:sz w:val="22"/>
          <w:rtl/>
          <w:lang w:bidi="ar-EG"/>
        </w:rPr>
        <w:t xml:space="preserve">بلدان </w:t>
      </w:r>
      <w:r w:rsidR="002C1407">
        <w:rPr>
          <w:rFonts w:hint="cs"/>
          <w:sz w:val="22"/>
          <w:rtl/>
          <w:lang w:bidi="ar-EG"/>
        </w:rPr>
        <w:t xml:space="preserve">أمريكا اللاتينية </w:t>
      </w:r>
      <w:r w:rsidR="00D600F7">
        <w:rPr>
          <w:rFonts w:hint="cs"/>
          <w:sz w:val="22"/>
          <w:rtl/>
          <w:lang w:bidi="ar-EG"/>
        </w:rPr>
        <w:t>و</w:t>
      </w:r>
      <w:r w:rsidR="002C1407">
        <w:rPr>
          <w:rFonts w:hint="cs"/>
          <w:sz w:val="22"/>
          <w:rtl/>
          <w:lang w:bidi="ar-EG"/>
        </w:rPr>
        <w:t>الكاريبي</w:t>
      </w:r>
      <w:r w:rsidR="00A543DE">
        <w:rPr>
          <w:rFonts w:hint="cs"/>
          <w:sz w:val="22"/>
          <w:rtl/>
          <w:lang w:bidi="ar-EG"/>
        </w:rPr>
        <w:t>،</w:t>
      </w:r>
      <w:r w:rsidR="002C1407">
        <w:rPr>
          <w:rFonts w:hint="cs"/>
          <w:sz w:val="22"/>
          <w:rtl/>
          <w:lang w:bidi="ar-EG"/>
        </w:rPr>
        <w:t xml:space="preserve"> و14 ردا من مجموعة أوروبا الغربية والدول الأخرى</w:t>
      </w:r>
      <w:r w:rsidR="00D600F7">
        <w:rPr>
          <w:rFonts w:hint="cs"/>
          <w:sz w:val="22"/>
          <w:rtl/>
          <w:lang w:bidi="ar-EG"/>
        </w:rPr>
        <w:t xml:space="preserve">. وبلغ مجموع الردود الواردة من </w:t>
      </w:r>
      <w:r w:rsidR="005238CD">
        <w:rPr>
          <w:rFonts w:hint="cs"/>
          <w:sz w:val="22"/>
          <w:rtl/>
          <w:lang w:bidi="ar-EG"/>
        </w:rPr>
        <w:t>البلدان</w:t>
      </w:r>
      <w:r w:rsidR="00D600F7">
        <w:rPr>
          <w:rFonts w:hint="cs"/>
          <w:sz w:val="22"/>
          <w:rtl/>
          <w:lang w:bidi="ar-EG"/>
        </w:rPr>
        <w:t xml:space="preserve"> النامية 53 ردا وورد 18 ردا من </w:t>
      </w:r>
      <w:r w:rsidR="005238CD">
        <w:rPr>
          <w:rFonts w:hint="cs"/>
          <w:sz w:val="22"/>
          <w:rtl/>
          <w:lang w:bidi="ar-EG"/>
        </w:rPr>
        <w:t>البلدان</w:t>
      </w:r>
      <w:r w:rsidR="00D600F7">
        <w:rPr>
          <w:rFonts w:hint="cs"/>
          <w:sz w:val="22"/>
          <w:rtl/>
          <w:lang w:bidi="ar-EG"/>
        </w:rPr>
        <w:t xml:space="preserve"> المتقدمة. ويرد في الشكل 1 موجز لردود الأطراف على الاستبيان ويجري تحليلها بشكل أكبر في الأقسام التالية من هذه الوثيقة.</w:t>
      </w:r>
    </w:p>
    <w:p w:rsidR="00323F16" w:rsidRPr="009C7C80" w:rsidRDefault="00206535" w:rsidP="004B47F5">
      <w:pPr>
        <w:numPr>
          <w:ilvl w:val="0"/>
          <w:numId w:val="11"/>
        </w:numPr>
        <w:spacing w:after="120"/>
        <w:ind w:left="0" w:firstLine="0"/>
        <w:rPr>
          <w:sz w:val="22"/>
          <w:lang w:bidi="ar-EG"/>
        </w:rPr>
      </w:pPr>
      <w:r>
        <w:rPr>
          <w:rFonts w:hint="cs"/>
          <w:sz w:val="22"/>
          <w:rtl/>
          <w:lang w:bidi="ar-EG"/>
        </w:rPr>
        <w:t>وقد تم توزيع الاستقصاء الإلكتروني على 810 2</w:t>
      </w:r>
      <w:r w:rsidR="00E73773">
        <w:rPr>
          <w:rFonts w:hint="cs"/>
          <w:sz w:val="22"/>
          <w:rtl/>
          <w:lang w:bidi="ar-EG"/>
        </w:rPr>
        <w:t xml:space="preserve"> مشارك</w:t>
      </w:r>
      <w:r>
        <w:rPr>
          <w:rFonts w:hint="cs"/>
          <w:sz w:val="22"/>
          <w:rtl/>
          <w:lang w:bidi="ar-EG"/>
        </w:rPr>
        <w:t>ين</w:t>
      </w:r>
      <w:r w:rsidR="00E73773">
        <w:rPr>
          <w:rFonts w:hint="cs"/>
          <w:sz w:val="22"/>
          <w:rtl/>
          <w:lang w:bidi="ar-EG"/>
        </w:rPr>
        <w:t xml:space="preserve"> في </w:t>
      </w:r>
      <w:r w:rsidR="00E73773" w:rsidRPr="00334A81">
        <w:rPr>
          <w:rFonts w:ascii="Simplified Arabic" w:eastAsiaTheme="minorHAnsi" w:hAnsi="Simplified Arabic"/>
          <w:kern w:val="0"/>
          <w:sz w:val="24"/>
          <w:rtl/>
          <w:lang w:val="en-CA"/>
        </w:rPr>
        <w:t>الاجتماع الثالث عشر لمؤتمر الأطراف في اتفاقية التنوع البيولوجي، والاجتماع الثامن لمؤتمر الأطراف العامل كاجت</w:t>
      </w:r>
      <w:r>
        <w:rPr>
          <w:rFonts w:ascii="Simplified Arabic" w:eastAsiaTheme="minorHAnsi" w:hAnsi="Simplified Arabic"/>
          <w:kern w:val="0"/>
          <w:sz w:val="24"/>
          <w:rtl/>
          <w:lang w:val="en-CA"/>
        </w:rPr>
        <w:t>ماع للأطراف في بروتوكول قرطاجنة</w:t>
      </w:r>
      <w:r w:rsidR="00E73773" w:rsidRPr="00334A81">
        <w:rPr>
          <w:rFonts w:ascii="Simplified Arabic" w:eastAsiaTheme="minorHAnsi" w:hAnsi="Simplified Arabic"/>
          <w:kern w:val="0"/>
          <w:sz w:val="24"/>
          <w:rtl/>
          <w:lang w:val="en-CA"/>
        </w:rPr>
        <w:t>، والاجتماع الثاني لمؤتمر الأطراف العامل كاجتماع للأطراف في بروتوكول ناغويا</w:t>
      </w:r>
      <w:r w:rsidR="004B47F5">
        <w:rPr>
          <w:rFonts w:ascii="Simplified Arabic" w:eastAsiaTheme="minorHAnsi" w:hAnsi="Simplified Arabic" w:hint="cs"/>
          <w:kern w:val="0"/>
          <w:sz w:val="24"/>
          <w:rtl/>
          <w:lang w:val="en-CA"/>
        </w:rPr>
        <w:t>.</w:t>
      </w:r>
      <w:r w:rsidR="00860F4B">
        <w:rPr>
          <w:rStyle w:val="FootnoteReference"/>
          <w:rFonts w:ascii="Simplified Arabic" w:eastAsiaTheme="minorHAnsi" w:hAnsi="Simplified Arabic"/>
          <w:kern w:val="0"/>
          <w:sz w:val="24"/>
          <w:rtl/>
          <w:lang w:val="en-CA"/>
        </w:rPr>
        <w:footnoteReference w:id="8"/>
      </w:r>
      <w:r w:rsidR="00E73773">
        <w:rPr>
          <w:rFonts w:ascii="Simplified Arabic" w:eastAsiaTheme="minorHAnsi" w:hAnsi="Simplified Arabic" w:hint="cs"/>
          <w:kern w:val="0"/>
          <w:sz w:val="24"/>
          <w:rtl/>
          <w:lang w:val="en-CA"/>
        </w:rPr>
        <w:t xml:space="preserve"> ويمثل ذلك حوالي 90 في المائة من </w:t>
      </w:r>
      <w:r w:rsidR="00AD66ED">
        <w:rPr>
          <w:rFonts w:ascii="Simplified Arabic" w:eastAsiaTheme="minorHAnsi" w:hAnsi="Simplified Arabic" w:hint="cs"/>
          <w:kern w:val="0"/>
          <w:sz w:val="24"/>
          <w:rtl/>
          <w:lang w:val="en-CA"/>
        </w:rPr>
        <w:t>مجموع</w:t>
      </w:r>
      <w:r w:rsidR="00E73773">
        <w:rPr>
          <w:rFonts w:ascii="Simplified Arabic" w:eastAsiaTheme="minorHAnsi" w:hAnsi="Simplified Arabic" w:hint="cs"/>
          <w:kern w:val="0"/>
          <w:sz w:val="24"/>
          <w:rtl/>
          <w:lang w:val="en-CA"/>
        </w:rPr>
        <w:t xml:space="preserve"> المشاركين </w:t>
      </w:r>
      <w:r w:rsidR="00AD66ED">
        <w:rPr>
          <w:rFonts w:ascii="Simplified Arabic" w:eastAsiaTheme="minorHAnsi" w:hAnsi="Simplified Arabic" w:hint="cs"/>
          <w:kern w:val="0"/>
          <w:sz w:val="24"/>
          <w:rtl/>
          <w:lang w:val="en-CA"/>
        </w:rPr>
        <w:t xml:space="preserve">في </w:t>
      </w:r>
      <w:r>
        <w:rPr>
          <w:rFonts w:ascii="Simplified Arabic" w:eastAsiaTheme="minorHAnsi" w:hAnsi="Simplified Arabic" w:hint="cs"/>
          <w:kern w:val="0"/>
          <w:sz w:val="24"/>
          <w:rtl/>
          <w:lang w:val="en-CA"/>
        </w:rPr>
        <w:t>الاجتماعات</w:t>
      </w:r>
      <w:r w:rsidR="00AD66ED">
        <w:rPr>
          <w:rFonts w:ascii="Simplified Arabic" w:eastAsiaTheme="minorHAnsi" w:hAnsi="Simplified Arabic" w:hint="cs"/>
          <w:kern w:val="0"/>
          <w:sz w:val="24"/>
          <w:rtl/>
          <w:lang w:val="en-CA"/>
        </w:rPr>
        <w:t xml:space="preserve">. ووردت ردود </w:t>
      </w:r>
      <w:r w:rsidR="0006153E" w:rsidRPr="009C7C80">
        <w:rPr>
          <w:rFonts w:ascii="Simplified Arabic" w:eastAsiaTheme="minorHAnsi" w:hAnsi="Simplified Arabic" w:hint="cs"/>
          <w:kern w:val="0"/>
          <w:sz w:val="24"/>
          <w:rtl/>
          <w:lang w:val="en-CA"/>
        </w:rPr>
        <w:t>على الاستقصاء</w:t>
      </w:r>
      <w:r w:rsidR="0006153E">
        <w:rPr>
          <w:rFonts w:ascii="Simplified Arabic" w:eastAsiaTheme="minorHAnsi" w:hAnsi="Simplified Arabic" w:hint="cs"/>
          <w:kern w:val="0"/>
          <w:sz w:val="24"/>
          <w:rtl/>
          <w:lang w:val="en-CA"/>
        </w:rPr>
        <w:t xml:space="preserve"> </w:t>
      </w:r>
      <w:r w:rsidR="00E73773">
        <w:rPr>
          <w:rFonts w:ascii="Simplified Arabic" w:eastAsiaTheme="minorHAnsi" w:hAnsi="Simplified Arabic" w:hint="cs"/>
          <w:kern w:val="0"/>
          <w:sz w:val="24"/>
          <w:rtl/>
          <w:lang w:val="en-CA"/>
        </w:rPr>
        <w:t xml:space="preserve">من </w:t>
      </w:r>
      <w:r w:rsidR="00E73773" w:rsidRPr="009C7C80">
        <w:rPr>
          <w:rFonts w:ascii="Simplified Arabic" w:eastAsiaTheme="minorHAnsi" w:hAnsi="Simplified Arabic" w:hint="cs"/>
          <w:kern w:val="0"/>
          <w:sz w:val="24"/>
          <w:rtl/>
          <w:lang w:val="en-CA"/>
        </w:rPr>
        <w:t>749 مشارك</w:t>
      </w:r>
      <w:r w:rsidR="003F5168" w:rsidRPr="009C7C80">
        <w:rPr>
          <w:rFonts w:ascii="Simplified Arabic" w:eastAsiaTheme="minorHAnsi" w:hAnsi="Simplified Arabic" w:hint="cs"/>
          <w:kern w:val="0"/>
          <w:sz w:val="24"/>
          <w:rtl/>
          <w:lang w:val="en-CA"/>
        </w:rPr>
        <w:t>ا</w:t>
      </w:r>
      <w:r w:rsidR="00E73773" w:rsidRPr="009C7C80">
        <w:rPr>
          <w:rFonts w:ascii="Simplified Arabic" w:eastAsiaTheme="minorHAnsi" w:hAnsi="Simplified Arabic" w:hint="cs"/>
          <w:kern w:val="0"/>
          <w:sz w:val="24"/>
          <w:rtl/>
          <w:lang w:val="en-CA"/>
        </w:rPr>
        <w:t xml:space="preserve">. ويمثل ذلك معدل </w:t>
      </w:r>
      <w:r w:rsidR="00A06387" w:rsidRPr="009C7C80">
        <w:rPr>
          <w:rFonts w:ascii="Simplified Arabic" w:eastAsiaTheme="minorHAnsi" w:hAnsi="Simplified Arabic" w:hint="cs"/>
          <w:kern w:val="0"/>
          <w:sz w:val="24"/>
          <w:rtl/>
          <w:lang w:val="en-CA"/>
        </w:rPr>
        <w:t>استجابة</w:t>
      </w:r>
      <w:r w:rsidR="00E73773">
        <w:rPr>
          <w:rFonts w:ascii="Simplified Arabic" w:eastAsiaTheme="minorHAnsi" w:hAnsi="Simplified Arabic" w:hint="cs"/>
          <w:kern w:val="0"/>
          <w:sz w:val="24"/>
          <w:rtl/>
          <w:lang w:val="en-CA"/>
        </w:rPr>
        <w:t xml:space="preserve"> </w:t>
      </w:r>
      <w:r w:rsidR="00D9707A">
        <w:rPr>
          <w:rFonts w:ascii="Simplified Arabic" w:eastAsiaTheme="minorHAnsi" w:hAnsi="Simplified Arabic" w:hint="cs"/>
          <w:kern w:val="0"/>
          <w:sz w:val="24"/>
          <w:rtl/>
          <w:lang w:val="en-CA"/>
        </w:rPr>
        <w:t xml:space="preserve">يقارب 27 في المائة من </w:t>
      </w:r>
      <w:r w:rsidR="00AD66ED">
        <w:rPr>
          <w:rFonts w:ascii="Simplified Arabic" w:eastAsiaTheme="minorHAnsi" w:hAnsi="Simplified Arabic" w:hint="cs"/>
          <w:kern w:val="0"/>
          <w:sz w:val="24"/>
          <w:rtl/>
          <w:lang w:val="en-CA"/>
        </w:rPr>
        <w:t>المشاركين</w:t>
      </w:r>
      <w:r w:rsidR="00D9707A">
        <w:rPr>
          <w:rFonts w:ascii="Simplified Arabic" w:eastAsiaTheme="minorHAnsi" w:hAnsi="Simplified Arabic" w:hint="cs"/>
          <w:kern w:val="0"/>
          <w:sz w:val="24"/>
          <w:rtl/>
          <w:lang w:val="en-CA"/>
        </w:rPr>
        <w:t xml:space="preserve"> الذين شملهم الاستقصاء</w:t>
      </w:r>
      <w:r w:rsidR="00A543DE">
        <w:rPr>
          <w:rFonts w:ascii="Simplified Arabic" w:eastAsiaTheme="minorHAnsi" w:hAnsi="Simplified Arabic" w:hint="cs"/>
          <w:kern w:val="0"/>
          <w:sz w:val="24"/>
          <w:rtl/>
          <w:lang w:val="en-CA"/>
        </w:rPr>
        <w:t>،</w:t>
      </w:r>
      <w:r w:rsidR="00D9707A">
        <w:rPr>
          <w:rFonts w:ascii="Simplified Arabic" w:eastAsiaTheme="minorHAnsi" w:hAnsi="Simplified Arabic" w:hint="cs"/>
          <w:kern w:val="0"/>
          <w:sz w:val="24"/>
          <w:rtl/>
          <w:lang w:val="en-CA"/>
        </w:rPr>
        <w:t xml:space="preserve"> و24 في المائة من مجموع المشاركين في الاجتماعات المتزامنة. </w:t>
      </w:r>
      <w:r w:rsidR="00C171A2">
        <w:rPr>
          <w:rFonts w:ascii="Simplified Arabic" w:eastAsiaTheme="minorHAnsi" w:hAnsi="Simplified Arabic" w:hint="cs"/>
          <w:kern w:val="0"/>
          <w:sz w:val="24"/>
          <w:rtl/>
          <w:lang w:val="en-CA"/>
        </w:rPr>
        <w:t>ولم ي</w:t>
      </w:r>
      <w:r w:rsidR="00860F4B">
        <w:rPr>
          <w:rFonts w:ascii="Simplified Arabic" w:eastAsiaTheme="minorHAnsi" w:hAnsi="Simplified Arabic" w:hint="cs"/>
          <w:kern w:val="0"/>
          <w:sz w:val="24"/>
          <w:rtl/>
          <w:lang w:val="en-CA"/>
        </w:rPr>
        <w:t>ُ</w:t>
      </w:r>
      <w:r w:rsidR="00C171A2">
        <w:rPr>
          <w:rFonts w:ascii="Simplified Arabic" w:eastAsiaTheme="minorHAnsi" w:hAnsi="Simplified Arabic" w:hint="cs"/>
          <w:kern w:val="0"/>
          <w:sz w:val="24"/>
          <w:rtl/>
          <w:lang w:val="en-CA"/>
        </w:rPr>
        <w:t xml:space="preserve">جب جميع المشاركين على جميع أسئلة الاستقصاء. وعلاوة على ذلك، تباين عدد الردود </w:t>
      </w:r>
      <w:r w:rsidR="00A543DE">
        <w:rPr>
          <w:rFonts w:ascii="Simplified Arabic" w:eastAsiaTheme="minorHAnsi" w:hAnsi="Simplified Arabic" w:hint="cs"/>
          <w:kern w:val="0"/>
          <w:sz w:val="24"/>
          <w:rtl/>
          <w:lang w:val="en-CA"/>
        </w:rPr>
        <w:t>الكتابية</w:t>
      </w:r>
      <w:r w:rsidR="00C171A2">
        <w:rPr>
          <w:rFonts w:ascii="Simplified Arabic" w:eastAsiaTheme="minorHAnsi" w:hAnsi="Simplified Arabic" w:hint="cs"/>
          <w:kern w:val="0"/>
          <w:sz w:val="24"/>
          <w:rtl/>
          <w:lang w:val="en-CA"/>
        </w:rPr>
        <w:t xml:space="preserve"> بشكل كبير ومال إلى كونه أكثر أهمية من الوضع الذي </w:t>
      </w:r>
      <w:r w:rsidR="00A06387" w:rsidRPr="009C7C80">
        <w:rPr>
          <w:rFonts w:ascii="Simplified Arabic" w:eastAsiaTheme="minorHAnsi" w:hAnsi="Simplified Arabic" w:hint="cs"/>
          <w:kern w:val="0"/>
          <w:sz w:val="24"/>
          <w:rtl/>
          <w:lang w:val="en-CA"/>
        </w:rPr>
        <w:lastRenderedPageBreak/>
        <w:t>تشير إليه</w:t>
      </w:r>
      <w:r w:rsidR="00C171A2" w:rsidRPr="009C7C80">
        <w:rPr>
          <w:rFonts w:ascii="Simplified Arabic" w:eastAsiaTheme="minorHAnsi" w:hAnsi="Simplified Arabic" w:hint="cs"/>
          <w:kern w:val="0"/>
          <w:sz w:val="24"/>
          <w:rtl/>
          <w:lang w:val="en-CA"/>
        </w:rPr>
        <w:t xml:space="preserve"> النتائج الكمية. </w:t>
      </w:r>
      <w:r w:rsidR="00A54CB7" w:rsidRPr="009C7C80">
        <w:rPr>
          <w:rFonts w:ascii="Simplified Arabic" w:eastAsiaTheme="minorHAnsi" w:hAnsi="Simplified Arabic" w:hint="cs"/>
          <w:kern w:val="0"/>
          <w:sz w:val="24"/>
          <w:rtl/>
          <w:lang w:val="en-CA"/>
        </w:rPr>
        <w:t xml:space="preserve">وشارك نحو 47 في المائة من المجيبين </w:t>
      </w:r>
      <w:r w:rsidR="00E73773" w:rsidRPr="009C7C80">
        <w:rPr>
          <w:rFonts w:ascii="Simplified Arabic" w:eastAsiaTheme="minorHAnsi" w:hAnsi="Simplified Arabic" w:hint="cs"/>
          <w:kern w:val="0"/>
          <w:sz w:val="24"/>
          <w:rtl/>
          <w:lang w:val="en-CA"/>
        </w:rPr>
        <w:t>في الاجتماعات</w:t>
      </w:r>
      <w:r w:rsidR="00A54CB7" w:rsidRPr="009C7C80">
        <w:rPr>
          <w:rFonts w:ascii="Simplified Arabic" w:eastAsiaTheme="minorHAnsi" w:hAnsi="Simplified Arabic" w:hint="cs"/>
          <w:kern w:val="0"/>
          <w:sz w:val="24"/>
          <w:rtl/>
          <w:lang w:val="en-CA"/>
        </w:rPr>
        <w:t xml:space="preserve"> المتزامنة بصفتهم ممثلين للأطراف</w:t>
      </w:r>
      <w:r w:rsidR="00A543DE" w:rsidRPr="009C7C80">
        <w:rPr>
          <w:rFonts w:ascii="Simplified Arabic" w:eastAsiaTheme="minorHAnsi" w:hAnsi="Simplified Arabic" w:hint="cs"/>
          <w:kern w:val="0"/>
          <w:sz w:val="24"/>
          <w:rtl/>
          <w:lang w:val="en-CA"/>
        </w:rPr>
        <w:t>،</w:t>
      </w:r>
      <w:r w:rsidR="00A54CB7" w:rsidRPr="009C7C80">
        <w:rPr>
          <w:rFonts w:ascii="Simplified Arabic" w:eastAsiaTheme="minorHAnsi" w:hAnsi="Simplified Arabic" w:hint="cs"/>
          <w:kern w:val="0"/>
          <w:sz w:val="24"/>
          <w:rtl/>
          <w:lang w:val="en-CA"/>
        </w:rPr>
        <w:t xml:space="preserve"> وشارك 8 في المائة منهم بصفتهم ممثلين للشعوب الأصلية والمجتمعات المحلية</w:t>
      </w:r>
      <w:r w:rsidR="00A543DE" w:rsidRPr="009C7C80">
        <w:rPr>
          <w:rFonts w:ascii="Simplified Arabic" w:eastAsiaTheme="minorHAnsi" w:hAnsi="Simplified Arabic" w:hint="cs"/>
          <w:kern w:val="0"/>
          <w:sz w:val="24"/>
          <w:rtl/>
          <w:lang w:val="en-CA"/>
        </w:rPr>
        <w:t>،</w:t>
      </w:r>
      <w:r w:rsidR="00A54CB7" w:rsidRPr="009C7C80">
        <w:rPr>
          <w:rFonts w:ascii="Simplified Arabic" w:eastAsiaTheme="minorHAnsi" w:hAnsi="Simplified Arabic" w:hint="cs"/>
          <w:kern w:val="0"/>
          <w:sz w:val="24"/>
          <w:rtl/>
          <w:lang w:val="en-CA"/>
        </w:rPr>
        <w:t xml:space="preserve"> وشارك 38 في المائة منهم كمراقبين آخرين</w:t>
      </w:r>
      <w:r w:rsidR="00E73773" w:rsidRPr="009C7C80">
        <w:rPr>
          <w:rFonts w:ascii="Simplified Arabic" w:eastAsiaTheme="minorHAnsi" w:hAnsi="Simplified Arabic" w:hint="cs"/>
          <w:kern w:val="0"/>
          <w:sz w:val="24"/>
          <w:rtl/>
          <w:lang w:val="en-CA"/>
        </w:rPr>
        <w:t>.</w:t>
      </w:r>
      <w:r w:rsidR="00A54CB7" w:rsidRPr="009C7C80">
        <w:rPr>
          <w:rFonts w:ascii="Simplified Arabic" w:eastAsiaTheme="minorHAnsi" w:hAnsi="Simplified Arabic" w:hint="cs"/>
          <w:kern w:val="0"/>
          <w:sz w:val="24"/>
          <w:rtl/>
          <w:lang w:val="en-CA"/>
        </w:rPr>
        <w:t xml:space="preserve"> ومثلت 6 في المائة أخرى حكومات غير أطراف، بما في ذلك السلطات دون الوطنية.</w:t>
      </w:r>
      <w:r w:rsidR="00E73773" w:rsidRPr="009C7C80">
        <w:rPr>
          <w:rFonts w:ascii="Simplified Arabic" w:eastAsiaTheme="minorHAnsi" w:hAnsi="Simplified Arabic" w:hint="cs"/>
          <w:kern w:val="0"/>
          <w:sz w:val="24"/>
          <w:rtl/>
          <w:lang w:val="en-CA"/>
        </w:rPr>
        <w:t xml:space="preserve"> </w:t>
      </w:r>
      <w:r w:rsidR="00040172" w:rsidRPr="009C7C80">
        <w:rPr>
          <w:rFonts w:ascii="Simplified Arabic" w:eastAsiaTheme="minorHAnsi" w:hAnsi="Simplified Arabic" w:hint="cs"/>
          <w:kern w:val="0"/>
          <w:sz w:val="24"/>
          <w:rtl/>
          <w:lang w:val="en-CA"/>
        </w:rPr>
        <w:t>وبالمقارنة، بلغت نسبة الأطراف 48 في المائة من مجموع المشاركين في الاجتماعات المتزامنة وشكلت الشعوب الأصلية والمجتمعات المحلية 5 في المائة من مجموع المشاركين</w:t>
      </w:r>
      <w:r w:rsidR="00A543DE" w:rsidRPr="009C7C80">
        <w:rPr>
          <w:rFonts w:ascii="Simplified Arabic" w:eastAsiaTheme="minorHAnsi" w:hAnsi="Simplified Arabic" w:hint="cs"/>
          <w:kern w:val="0"/>
          <w:sz w:val="24"/>
          <w:rtl/>
          <w:lang w:val="en-CA"/>
        </w:rPr>
        <w:t>،</w:t>
      </w:r>
      <w:r w:rsidR="00040172" w:rsidRPr="009C7C80">
        <w:rPr>
          <w:rFonts w:ascii="Simplified Arabic" w:eastAsiaTheme="minorHAnsi" w:hAnsi="Simplified Arabic" w:hint="cs"/>
          <w:kern w:val="0"/>
          <w:sz w:val="24"/>
          <w:rtl/>
          <w:lang w:val="en-CA"/>
        </w:rPr>
        <w:t xml:space="preserve"> وشكل المراقبون 45 في المائة من المشاركين. وعلى الصعيد الإقليمي، وردت 17 في المائة من الردود من أفريقيا</w:t>
      </w:r>
      <w:r w:rsidR="00732DF5" w:rsidRPr="009C7C80">
        <w:rPr>
          <w:rFonts w:ascii="Simplified Arabic" w:eastAsiaTheme="minorHAnsi" w:hAnsi="Simplified Arabic" w:hint="cs"/>
          <w:kern w:val="0"/>
          <w:sz w:val="24"/>
          <w:rtl/>
          <w:lang w:val="en-CA"/>
        </w:rPr>
        <w:t>،</w:t>
      </w:r>
      <w:r w:rsidR="00040172" w:rsidRPr="009C7C80">
        <w:rPr>
          <w:rFonts w:ascii="Simplified Arabic" w:eastAsiaTheme="minorHAnsi" w:hAnsi="Simplified Arabic" w:hint="cs"/>
          <w:kern w:val="0"/>
          <w:sz w:val="24"/>
          <w:rtl/>
          <w:lang w:val="en-CA"/>
        </w:rPr>
        <w:t xml:space="preserve"> و21 في المائة من آسيا والمحيط الهادئ</w:t>
      </w:r>
      <w:r w:rsidR="00732DF5" w:rsidRPr="009C7C80">
        <w:rPr>
          <w:rFonts w:ascii="Simplified Arabic" w:eastAsiaTheme="minorHAnsi" w:hAnsi="Simplified Arabic" w:hint="cs"/>
          <w:kern w:val="0"/>
          <w:sz w:val="24"/>
          <w:rtl/>
          <w:lang w:val="en-CA"/>
        </w:rPr>
        <w:t>،</w:t>
      </w:r>
      <w:r w:rsidR="00040172" w:rsidRPr="009C7C80">
        <w:rPr>
          <w:rFonts w:ascii="Simplified Arabic" w:eastAsiaTheme="minorHAnsi" w:hAnsi="Simplified Arabic" w:hint="cs"/>
          <w:kern w:val="0"/>
          <w:sz w:val="24"/>
          <w:rtl/>
          <w:lang w:val="en-CA"/>
        </w:rPr>
        <w:t xml:space="preserve"> و8 في المائة من أوروبا الوسطى والشرقية</w:t>
      </w:r>
      <w:r w:rsidR="00732DF5" w:rsidRPr="009C7C80">
        <w:rPr>
          <w:rFonts w:ascii="Simplified Arabic" w:eastAsiaTheme="minorHAnsi" w:hAnsi="Simplified Arabic" w:hint="cs"/>
          <w:kern w:val="0"/>
          <w:sz w:val="24"/>
          <w:rtl/>
          <w:lang w:val="en-CA"/>
        </w:rPr>
        <w:t>،</w:t>
      </w:r>
      <w:r w:rsidR="00040172" w:rsidRPr="009C7C80">
        <w:rPr>
          <w:rFonts w:ascii="Simplified Arabic" w:eastAsiaTheme="minorHAnsi" w:hAnsi="Simplified Arabic" w:hint="cs"/>
          <w:kern w:val="0"/>
          <w:sz w:val="24"/>
          <w:rtl/>
          <w:lang w:val="en-CA"/>
        </w:rPr>
        <w:t xml:space="preserve"> و25 في المائة من أمريكا اللاتينية والكاريبي</w:t>
      </w:r>
      <w:r w:rsidR="00732DF5" w:rsidRPr="009C7C80">
        <w:rPr>
          <w:rFonts w:ascii="Simplified Arabic" w:eastAsiaTheme="minorHAnsi" w:hAnsi="Simplified Arabic" w:hint="cs"/>
          <w:kern w:val="0"/>
          <w:sz w:val="24"/>
          <w:rtl/>
          <w:lang w:val="en-CA"/>
        </w:rPr>
        <w:t>،</w:t>
      </w:r>
      <w:r w:rsidR="00040172" w:rsidRPr="009C7C80">
        <w:rPr>
          <w:rFonts w:ascii="Simplified Arabic" w:eastAsiaTheme="minorHAnsi" w:hAnsi="Simplified Arabic" w:hint="cs"/>
          <w:kern w:val="0"/>
          <w:sz w:val="24"/>
          <w:rtl/>
          <w:lang w:val="en-CA"/>
        </w:rPr>
        <w:t xml:space="preserve"> و30 في المائة من </w:t>
      </w:r>
      <w:r w:rsidR="00B54BD1" w:rsidRPr="009C7C80">
        <w:rPr>
          <w:rFonts w:ascii="Simplified Arabic" w:eastAsiaTheme="minorHAnsi" w:hAnsi="Simplified Arabic" w:hint="cs"/>
          <w:kern w:val="0"/>
          <w:sz w:val="24"/>
          <w:rtl/>
          <w:lang w:val="en-CA"/>
        </w:rPr>
        <w:t xml:space="preserve">مجموعة </w:t>
      </w:r>
      <w:r w:rsidR="00040172" w:rsidRPr="009C7C80">
        <w:rPr>
          <w:rFonts w:ascii="Simplified Arabic" w:eastAsiaTheme="minorHAnsi" w:hAnsi="Simplified Arabic" w:hint="cs"/>
          <w:kern w:val="0"/>
          <w:sz w:val="24"/>
          <w:rtl/>
          <w:lang w:val="en-CA"/>
        </w:rPr>
        <w:t xml:space="preserve">أوروبا الغربية </w:t>
      </w:r>
      <w:r w:rsidR="00B54BD1" w:rsidRPr="009C7C80">
        <w:rPr>
          <w:rFonts w:ascii="Simplified Arabic" w:eastAsiaTheme="minorHAnsi" w:hAnsi="Simplified Arabic" w:hint="cs"/>
          <w:kern w:val="0"/>
          <w:sz w:val="24"/>
          <w:rtl/>
          <w:lang w:val="en-CA"/>
        </w:rPr>
        <w:t>و</w:t>
      </w:r>
      <w:r w:rsidR="00040172" w:rsidRPr="009C7C80">
        <w:rPr>
          <w:rFonts w:ascii="Simplified Arabic" w:eastAsiaTheme="minorHAnsi" w:hAnsi="Simplified Arabic" w:hint="cs"/>
          <w:kern w:val="0"/>
          <w:sz w:val="24"/>
          <w:rtl/>
          <w:lang w:val="en-CA"/>
        </w:rPr>
        <w:t>الدول الأخرى.</w:t>
      </w:r>
      <w:r w:rsidR="00860F4B" w:rsidRPr="009C7C80">
        <w:rPr>
          <w:rFonts w:ascii="Simplified Arabic" w:eastAsiaTheme="minorHAnsi" w:hAnsi="Simplified Arabic" w:hint="cs"/>
          <w:kern w:val="0"/>
          <w:sz w:val="24"/>
          <w:rtl/>
          <w:lang w:val="en-CA"/>
        </w:rPr>
        <w:t xml:space="preserve"> وهذا التوزيع </w:t>
      </w:r>
      <w:r w:rsidR="00D63D6F" w:rsidRPr="009C7C80">
        <w:rPr>
          <w:rFonts w:ascii="Simplified Arabic" w:eastAsiaTheme="minorHAnsi" w:hAnsi="Simplified Arabic" w:hint="cs"/>
          <w:kern w:val="0"/>
          <w:sz w:val="24"/>
          <w:rtl/>
          <w:lang w:val="en-CA"/>
        </w:rPr>
        <w:t>مماثل ل</w:t>
      </w:r>
      <w:r w:rsidR="00860F4B" w:rsidRPr="009C7C80">
        <w:rPr>
          <w:rFonts w:ascii="Simplified Arabic" w:eastAsiaTheme="minorHAnsi" w:hAnsi="Simplified Arabic" w:hint="cs"/>
          <w:kern w:val="0"/>
          <w:sz w:val="24"/>
          <w:rtl/>
          <w:lang w:val="en-CA"/>
        </w:rPr>
        <w:t>لتوزيع الإقليمي للمشاركين في الاجتماعات المتزامنة. ويرد في الشكل 2 موجز للردود على الاستقصاء ال</w:t>
      </w:r>
      <w:r w:rsidR="0010710C" w:rsidRPr="009C7C80">
        <w:rPr>
          <w:rFonts w:ascii="Simplified Arabic" w:eastAsiaTheme="minorHAnsi" w:hAnsi="Simplified Arabic" w:hint="cs"/>
          <w:kern w:val="0"/>
          <w:sz w:val="24"/>
          <w:rtl/>
          <w:lang w:val="en-CA"/>
        </w:rPr>
        <w:t>ت</w:t>
      </w:r>
      <w:r w:rsidR="00860F4B" w:rsidRPr="009C7C80">
        <w:rPr>
          <w:rFonts w:ascii="Simplified Arabic" w:eastAsiaTheme="minorHAnsi" w:hAnsi="Simplified Arabic" w:hint="cs"/>
          <w:kern w:val="0"/>
          <w:sz w:val="24"/>
          <w:rtl/>
          <w:lang w:val="en-CA"/>
        </w:rPr>
        <w:t xml:space="preserve">ي </w:t>
      </w:r>
      <w:r w:rsidR="00104FDC" w:rsidRPr="009C7C80">
        <w:rPr>
          <w:rFonts w:ascii="Simplified Arabic" w:eastAsiaTheme="minorHAnsi" w:hAnsi="Simplified Arabic" w:hint="cs"/>
          <w:kern w:val="0"/>
          <w:sz w:val="24"/>
          <w:rtl/>
          <w:lang w:val="en-CA"/>
        </w:rPr>
        <w:t>تتناول</w:t>
      </w:r>
      <w:r w:rsidR="00860F4B" w:rsidRPr="009C7C80">
        <w:rPr>
          <w:rFonts w:ascii="Simplified Arabic" w:eastAsiaTheme="minorHAnsi" w:hAnsi="Simplified Arabic" w:hint="cs"/>
          <w:kern w:val="0"/>
          <w:sz w:val="24"/>
          <w:rtl/>
          <w:lang w:val="en-CA"/>
        </w:rPr>
        <w:t xml:space="preserve"> مباشرة المسائل المتعلقة بالمعايير المحددة في المقرر 13/26.</w:t>
      </w:r>
    </w:p>
    <w:p w:rsidR="00167D0C" w:rsidRPr="0010710C" w:rsidRDefault="00B57523" w:rsidP="004C512C">
      <w:pPr>
        <w:keepNext/>
        <w:spacing w:after="120"/>
        <w:rPr>
          <w:b/>
          <w:bCs/>
          <w:sz w:val="22"/>
          <w:rtl/>
          <w:lang w:bidi="ar-EG"/>
        </w:rPr>
      </w:pPr>
      <w:r w:rsidRPr="004C512C">
        <w:rPr>
          <w:b/>
          <w:bCs/>
          <w:noProof/>
          <w:sz w:val="22"/>
          <w:lang w:val="en-CA" w:eastAsia="en-CA"/>
        </w:rPr>
        <w:drawing>
          <wp:anchor distT="0" distB="0" distL="114300" distR="114300" simplePos="0" relativeHeight="251669504" behindDoc="0" locked="0" layoutInCell="1" allowOverlap="1" wp14:anchorId="70B811DA" wp14:editId="6091CF41">
            <wp:simplePos x="0" y="0"/>
            <wp:positionH relativeFrom="column">
              <wp:posOffset>-22225</wp:posOffset>
            </wp:positionH>
            <wp:positionV relativeFrom="paragraph">
              <wp:posOffset>730250</wp:posOffset>
            </wp:positionV>
            <wp:extent cx="5943600" cy="4751705"/>
            <wp:effectExtent l="0" t="0" r="19050" b="10795"/>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167D0C" w:rsidRPr="0010710C">
        <w:rPr>
          <w:rFonts w:hint="cs"/>
          <w:b/>
          <w:bCs/>
          <w:sz w:val="22"/>
          <w:rtl/>
          <w:lang w:bidi="ar-EG"/>
        </w:rPr>
        <w:t>الشكل 1</w:t>
      </w:r>
    </w:p>
    <w:p w:rsidR="0010710C" w:rsidRPr="004C512C" w:rsidRDefault="0010710C" w:rsidP="004C512C">
      <w:pPr>
        <w:keepNext/>
        <w:spacing w:after="120"/>
        <w:jc w:val="center"/>
        <w:rPr>
          <w:b/>
          <w:bCs/>
          <w:sz w:val="22"/>
        </w:rPr>
      </w:pPr>
      <w:r w:rsidRPr="0010710C">
        <w:rPr>
          <w:b/>
          <w:bCs/>
          <w:sz w:val="22"/>
          <w:rtl/>
        </w:rPr>
        <w:t>نسبة ردود الأطراف بشأن تحقيق معايير التقييم</w:t>
      </w:r>
    </w:p>
    <w:p w:rsidR="00991012" w:rsidRDefault="00991012" w:rsidP="00167D0C">
      <w:pPr>
        <w:spacing w:after="120"/>
        <w:rPr>
          <w:sz w:val="22"/>
          <w:rtl/>
          <w:lang w:bidi="ar-EG"/>
        </w:rPr>
      </w:pPr>
    </w:p>
    <w:p w:rsidR="00991012" w:rsidRDefault="00991012" w:rsidP="00167D0C">
      <w:pPr>
        <w:spacing w:after="120"/>
        <w:rPr>
          <w:sz w:val="22"/>
          <w:rtl/>
          <w:lang w:bidi="ar-EG"/>
        </w:rPr>
      </w:pPr>
    </w:p>
    <w:p w:rsidR="00991012" w:rsidRDefault="00991012" w:rsidP="00167D0C">
      <w:pPr>
        <w:spacing w:after="120"/>
        <w:rPr>
          <w:sz w:val="22"/>
          <w:rtl/>
          <w:lang w:bidi="ar-EG"/>
        </w:rPr>
      </w:pPr>
    </w:p>
    <w:p w:rsidR="00991012" w:rsidRPr="004C512C" w:rsidRDefault="00C76E1D" w:rsidP="004C512C">
      <w:pPr>
        <w:keepNext/>
        <w:spacing w:after="120"/>
        <w:rPr>
          <w:b/>
          <w:bCs/>
          <w:sz w:val="22"/>
          <w:rtl/>
          <w:lang w:bidi="ar-EG"/>
        </w:rPr>
      </w:pPr>
      <w:r w:rsidRPr="004C512C">
        <w:rPr>
          <w:b/>
          <w:bCs/>
          <w:noProof/>
          <w:lang w:val="en-CA" w:eastAsia="en-CA"/>
        </w:rPr>
        <w:lastRenderedPageBreak/>
        <w:drawing>
          <wp:anchor distT="0" distB="0" distL="114300" distR="114300" simplePos="0" relativeHeight="251670528" behindDoc="0" locked="0" layoutInCell="1" allowOverlap="1" wp14:anchorId="2097E7D6" wp14:editId="7EA5BAC8">
            <wp:simplePos x="0" y="0"/>
            <wp:positionH relativeFrom="column">
              <wp:posOffset>-22225</wp:posOffset>
            </wp:positionH>
            <wp:positionV relativeFrom="paragraph">
              <wp:posOffset>731520</wp:posOffset>
            </wp:positionV>
            <wp:extent cx="5943600" cy="3669030"/>
            <wp:effectExtent l="0" t="0" r="19050" b="26670"/>
            <wp:wrapTopAndBottom/>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991012" w:rsidRPr="004C512C">
        <w:rPr>
          <w:rFonts w:hint="cs"/>
          <w:b/>
          <w:bCs/>
          <w:sz w:val="22"/>
          <w:rtl/>
          <w:lang w:bidi="ar-EG"/>
        </w:rPr>
        <w:t>الشكل 2</w:t>
      </w:r>
    </w:p>
    <w:p w:rsidR="00C76E1D" w:rsidRPr="00C76E1D" w:rsidRDefault="00C76E1D" w:rsidP="004C512C">
      <w:pPr>
        <w:keepNext/>
        <w:spacing w:after="120"/>
        <w:jc w:val="center"/>
        <w:rPr>
          <w:sz w:val="22"/>
          <w:lang w:val="en-CA" w:bidi="ar-EG"/>
        </w:rPr>
      </w:pPr>
      <w:r w:rsidRPr="00C76E1D">
        <w:rPr>
          <w:b/>
          <w:bCs/>
          <w:sz w:val="22"/>
          <w:rtl/>
        </w:rPr>
        <w:t>وجهات نظر المشاركين بشأن عقد اجتماعات متزامنة</w:t>
      </w:r>
    </w:p>
    <w:p w:rsidR="00C76E1D" w:rsidRPr="00C76E1D" w:rsidRDefault="00C76E1D" w:rsidP="00167D0C">
      <w:pPr>
        <w:spacing w:after="120"/>
        <w:rPr>
          <w:sz w:val="22"/>
          <w:rtl/>
          <w:lang w:val="en-CA" w:bidi="ar-EG"/>
        </w:rPr>
      </w:pPr>
    </w:p>
    <w:p w:rsidR="00323F16" w:rsidRPr="00A42D43" w:rsidRDefault="007B358B" w:rsidP="00887115">
      <w:pPr>
        <w:pStyle w:val="ListParagraph"/>
        <w:bidi/>
        <w:spacing w:after="120"/>
        <w:jc w:val="center"/>
        <w:rPr>
          <w:rFonts w:ascii="Simplified Arabic" w:hAnsi="Simplified Arabic" w:cs="Simplified Arabic"/>
          <w:b/>
          <w:bCs/>
          <w:sz w:val="28"/>
          <w:szCs w:val="28"/>
          <w:rtl/>
          <w:lang w:val="en-US"/>
        </w:rPr>
      </w:pPr>
      <w:r w:rsidRPr="00A42D43">
        <w:rPr>
          <w:rFonts w:ascii="Simplified Arabic" w:hAnsi="Simplified Arabic" w:cs="Simplified Arabic"/>
          <w:b/>
          <w:bCs/>
          <w:sz w:val="28"/>
          <w:szCs w:val="28"/>
          <w:rtl/>
          <w:lang w:val="en-US"/>
        </w:rPr>
        <w:t>ثالثا-</w:t>
      </w:r>
      <w:r w:rsidRPr="00A42D43">
        <w:rPr>
          <w:rFonts w:ascii="Simplified Arabic" w:hAnsi="Simplified Arabic" w:cs="Simplified Arabic"/>
          <w:b/>
          <w:bCs/>
          <w:sz w:val="28"/>
          <w:szCs w:val="28"/>
          <w:rtl/>
          <w:lang w:val="en-US"/>
        </w:rPr>
        <w:tab/>
      </w:r>
      <w:r w:rsidR="00991012" w:rsidRPr="00A42D43">
        <w:rPr>
          <w:rFonts w:ascii="Simplified Arabic" w:hAnsi="Simplified Arabic" w:cs="Simplified Arabic"/>
          <w:b/>
          <w:bCs/>
          <w:sz w:val="28"/>
          <w:szCs w:val="28"/>
          <w:rtl/>
          <w:lang w:val="en-US"/>
        </w:rPr>
        <w:t xml:space="preserve">المشاركة الكاملة والفعالة لممثلي </w:t>
      </w:r>
      <w:r w:rsidR="00D63D6F" w:rsidRPr="00A42D43">
        <w:rPr>
          <w:rFonts w:ascii="Simplified Arabic" w:hAnsi="Simplified Arabic" w:cs="Simplified Arabic"/>
          <w:b/>
          <w:bCs/>
          <w:sz w:val="28"/>
          <w:szCs w:val="28"/>
          <w:rtl/>
          <w:lang w:val="en-US"/>
        </w:rPr>
        <w:t>البلدان</w:t>
      </w:r>
      <w:r w:rsidR="00991012" w:rsidRPr="00A42D43">
        <w:rPr>
          <w:rFonts w:ascii="Simplified Arabic" w:hAnsi="Simplified Arabic" w:cs="Simplified Arabic"/>
          <w:b/>
          <w:bCs/>
          <w:sz w:val="28"/>
          <w:szCs w:val="28"/>
          <w:rtl/>
          <w:lang w:val="en-US"/>
        </w:rPr>
        <w:t xml:space="preserve"> النامية</w:t>
      </w:r>
      <w:r w:rsidR="00887115" w:rsidRPr="00887115">
        <w:rPr>
          <w:rFonts w:ascii="Simplified Arabic" w:hAnsi="Simplified Arabic" w:cs="Simplified Arabic"/>
          <w:b/>
          <w:bCs/>
          <w:sz w:val="28"/>
          <w:szCs w:val="28"/>
          <w:rtl/>
          <w:lang w:val="en-US"/>
        </w:rPr>
        <w:t xml:space="preserve"> </w:t>
      </w:r>
      <w:r w:rsidR="00887115">
        <w:rPr>
          <w:rFonts w:ascii="Simplified Arabic" w:hAnsi="Simplified Arabic" w:cs="Simplified Arabic" w:hint="cs"/>
          <w:b/>
          <w:bCs/>
          <w:sz w:val="28"/>
          <w:szCs w:val="28"/>
          <w:rtl/>
          <w:lang w:val="en-US"/>
        </w:rPr>
        <w:t>ال</w:t>
      </w:r>
      <w:r w:rsidR="00887115" w:rsidRPr="00A42D43">
        <w:rPr>
          <w:rFonts w:ascii="Simplified Arabic" w:hAnsi="Simplified Arabic" w:cs="Simplified Arabic"/>
          <w:b/>
          <w:bCs/>
          <w:sz w:val="28"/>
          <w:szCs w:val="28"/>
          <w:rtl/>
          <w:lang w:val="en-US"/>
        </w:rPr>
        <w:t>أطراف</w:t>
      </w:r>
    </w:p>
    <w:p w:rsidR="00323F16" w:rsidRPr="009C7C80" w:rsidRDefault="00991012" w:rsidP="00B66125">
      <w:pPr>
        <w:numPr>
          <w:ilvl w:val="0"/>
          <w:numId w:val="11"/>
        </w:numPr>
        <w:spacing w:after="120"/>
        <w:ind w:left="0" w:firstLine="0"/>
        <w:rPr>
          <w:sz w:val="22"/>
          <w:lang w:bidi="ar-EG"/>
        </w:rPr>
      </w:pPr>
      <w:r>
        <w:rPr>
          <w:rFonts w:hint="cs"/>
          <w:sz w:val="22"/>
          <w:rtl/>
        </w:rPr>
        <w:t xml:space="preserve">تشير المعلومات التي جمعت من خلال الاستبيان الذي وزع على الأطراف </w:t>
      </w:r>
      <w:r w:rsidR="00B40861" w:rsidRPr="009C7C80">
        <w:rPr>
          <w:rFonts w:hint="cs"/>
          <w:sz w:val="22"/>
          <w:rtl/>
        </w:rPr>
        <w:t>من خلال</w:t>
      </w:r>
      <w:r w:rsidRPr="009C7C80">
        <w:rPr>
          <w:rFonts w:hint="cs"/>
          <w:sz w:val="22"/>
          <w:rtl/>
        </w:rPr>
        <w:t xml:space="preserve"> الإخطار </w:t>
      </w:r>
      <w:r w:rsidR="00DE17D0">
        <w:rPr>
          <w:rFonts w:hint="cs"/>
          <w:sz w:val="22"/>
          <w:rtl/>
        </w:rPr>
        <w:t xml:space="preserve">إلى </w:t>
      </w:r>
      <w:r w:rsidRPr="009C7C80">
        <w:rPr>
          <w:rFonts w:hint="cs"/>
          <w:sz w:val="22"/>
          <w:rtl/>
        </w:rPr>
        <w:t>أن 43 في المائة من المجيبين</w:t>
      </w:r>
      <w:r w:rsidR="00BE49FD" w:rsidRPr="009C7C80">
        <w:rPr>
          <w:rFonts w:hint="cs"/>
          <w:sz w:val="22"/>
          <w:rtl/>
        </w:rPr>
        <w:t xml:space="preserve"> رأوا أن معيار المشاركة الكاملة والفعالة لممثلي البلدان النامية في </w:t>
      </w:r>
      <w:r w:rsidR="00BE49FD" w:rsidRPr="009C7C80">
        <w:rPr>
          <w:rFonts w:ascii="Simplified Arabic" w:eastAsiaTheme="minorHAnsi" w:hAnsi="Simplified Arabic"/>
          <w:kern w:val="0"/>
          <w:sz w:val="24"/>
          <w:rtl/>
          <w:lang w:val="en-CA"/>
        </w:rPr>
        <w:t>الاجتماع الثالث عشر لمؤتمر الأطراف في اتفاقية التنوع البيولوجي</w:t>
      </w:r>
      <w:r w:rsidR="00BE49FD" w:rsidRPr="009C7C80">
        <w:rPr>
          <w:rFonts w:hint="cs"/>
          <w:sz w:val="22"/>
          <w:rtl/>
          <w:lang w:bidi="ar-EG"/>
        </w:rPr>
        <w:t xml:space="preserve"> قد </w:t>
      </w:r>
      <w:r w:rsidR="00B40861" w:rsidRPr="009C7C80">
        <w:rPr>
          <w:rFonts w:hint="cs"/>
          <w:sz w:val="22"/>
          <w:rtl/>
          <w:lang w:bidi="ar-EG"/>
        </w:rPr>
        <w:t>استوفي كليا</w:t>
      </w:r>
      <w:r w:rsidR="00BE49FD" w:rsidRPr="009C7C80">
        <w:rPr>
          <w:rFonts w:hint="cs"/>
          <w:sz w:val="22"/>
          <w:rtl/>
          <w:lang w:bidi="ar-EG"/>
        </w:rPr>
        <w:t>، بينما رأى 49 في المائة من المجيبين أن</w:t>
      </w:r>
      <w:r w:rsidR="00B66125" w:rsidRPr="009C7C80">
        <w:rPr>
          <w:rFonts w:hint="cs"/>
          <w:sz w:val="22"/>
          <w:rtl/>
          <w:lang w:bidi="ar-EG"/>
        </w:rPr>
        <w:t>ه</w:t>
      </w:r>
      <w:r w:rsidR="00BE49FD" w:rsidRPr="009C7C80">
        <w:rPr>
          <w:rFonts w:hint="cs"/>
          <w:sz w:val="22"/>
          <w:rtl/>
          <w:lang w:bidi="ar-EG"/>
        </w:rPr>
        <w:t xml:space="preserve"> </w:t>
      </w:r>
      <w:r w:rsidR="00B66125" w:rsidRPr="009C7C80">
        <w:rPr>
          <w:rFonts w:ascii="Simplified Arabic" w:eastAsiaTheme="minorHAnsi" w:hAnsi="Simplified Arabic" w:hint="cs"/>
          <w:kern w:val="0"/>
          <w:sz w:val="24"/>
          <w:rtl/>
          <w:lang w:val="en-CA"/>
        </w:rPr>
        <w:t xml:space="preserve">قد استوفي </w:t>
      </w:r>
      <w:r w:rsidR="00BE49FD" w:rsidRPr="009C7C80">
        <w:rPr>
          <w:rFonts w:hint="cs"/>
          <w:sz w:val="22"/>
          <w:rtl/>
          <w:lang w:bidi="ar-EG"/>
        </w:rPr>
        <w:t xml:space="preserve">جزئيا، ورأى 8 في المائة أن المعيار </w:t>
      </w:r>
      <w:r w:rsidR="002013AF">
        <w:rPr>
          <w:rFonts w:hint="cs"/>
          <w:sz w:val="22"/>
          <w:rtl/>
          <w:lang w:bidi="ar-EG"/>
        </w:rPr>
        <w:t>لم يستوف</w:t>
      </w:r>
      <w:r w:rsidR="00BE49FD" w:rsidRPr="009C7C80">
        <w:rPr>
          <w:rFonts w:hint="cs"/>
          <w:sz w:val="22"/>
          <w:rtl/>
          <w:lang w:bidi="ar-EG"/>
        </w:rPr>
        <w:t>. وعند تصنيف النتائج،</w:t>
      </w:r>
      <w:r w:rsidR="00A40110" w:rsidRPr="009C7C80">
        <w:rPr>
          <w:rFonts w:hint="cs"/>
          <w:sz w:val="22"/>
          <w:rtl/>
          <w:lang w:bidi="ar-EG"/>
        </w:rPr>
        <w:t xml:space="preserve"> </w:t>
      </w:r>
      <w:r w:rsidR="00BE49FD" w:rsidRPr="009C7C80">
        <w:rPr>
          <w:rFonts w:hint="cs"/>
          <w:sz w:val="22"/>
          <w:rtl/>
          <w:lang w:bidi="ar-EG"/>
        </w:rPr>
        <w:t xml:space="preserve">رأى 43 في المائة من </w:t>
      </w:r>
      <w:r w:rsidR="00732DF5" w:rsidRPr="009C7C80">
        <w:rPr>
          <w:rFonts w:hint="cs"/>
          <w:sz w:val="22"/>
          <w:rtl/>
          <w:lang w:bidi="ar-EG"/>
        </w:rPr>
        <w:t>ال</w:t>
      </w:r>
      <w:r w:rsidR="00BE49FD" w:rsidRPr="009C7C80">
        <w:rPr>
          <w:rFonts w:hint="cs"/>
          <w:sz w:val="22"/>
          <w:rtl/>
          <w:lang w:bidi="ar-EG"/>
        </w:rPr>
        <w:t>مجيبي</w:t>
      </w:r>
      <w:r w:rsidR="00732DF5" w:rsidRPr="009C7C80">
        <w:rPr>
          <w:rFonts w:hint="cs"/>
          <w:sz w:val="22"/>
          <w:rtl/>
          <w:lang w:bidi="ar-EG"/>
        </w:rPr>
        <w:t>ن من</w:t>
      </w:r>
      <w:r w:rsidR="00BE49FD" w:rsidRPr="009C7C80">
        <w:rPr>
          <w:rFonts w:hint="cs"/>
          <w:sz w:val="22"/>
          <w:rtl/>
          <w:lang w:bidi="ar-EG"/>
        </w:rPr>
        <w:t xml:space="preserve"> ال</w:t>
      </w:r>
      <w:r w:rsidR="00A40110" w:rsidRPr="009C7C80">
        <w:rPr>
          <w:rFonts w:hint="cs"/>
          <w:sz w:val="22"/>
          <w:rtl/>
          <w:lang w:bidi="ar-EG"/>
        </w:rPr>
        <w:t>بلدان النامية</w:t>
      </w:r>
      <w:r w:rsidR="00732DF5" w:rsidRPr="009C7C80">
        <w:rPr>
          <w:rFonts w:hint="cs"/>
          <w:sz w:val="22"/>
          <w:rtl/>
          <w:lang w:bidi="ar-EG"/>
        </w:rPr>
        <w:t xml:space="preserve"> الأطراف</w:t>
      </w:r>
      <w:r w:rsidR="00A40110" w:rsidRPr="009C7C80">
        <w:rPr>
          <w:rFonts w:hint="cs"/>
          <w:sz w:val="22"/>
          <w:rtl/>
          <w:lang w:bidi="ar-EG"/>
        </w:rPr>
        <w:t xml:space="preserve"> أن المعيار قد </w:t>
      </w:r>
      <w:r w:rsidR="00B40861" w:rsidRPr="009C7C80">
        <w:rPr>
          <w:rFonts w:hint="cs"/>
          <w:sz w:val="22"/>
          <w:rtl/>
          <w:lang w:bidi="ar-EG"/>
        </w:rPr>
        <w:t>استوفي كليا</w:t>
      </w:r>
      <w:r w:rsidR="00732DF5" w:rsidRPr="009C7C80">
        <w:rPr>
          <w:rFonts w:hint="cs"/>
          <w:sz w:val="22"/>
          <w:rtl/>
          <w:lang w:bidi="ar-EG"/>
        </w:rPr>
        <w:t>،</w:t>
      </w:r>
      <w:r w:rsidR="00A40110" w:rsidRPr="009C7C80">
        <w:rPr>
          <w:rFonts w:hint="cs"/>
          <w:sz w:val="22"/>
          <w:rtl/>
          <w:lang w:bidi="ar-EG"/>
        </w:rPr>
        <w:t xml:space="preserve"> ورأى 47 في المائة منهم أن المعيار قد استوفي جزئيا</w:t>
      </w:r>
      <w:r w:rsidR="00732DF5" w:rsidRPr="009C7C80">
        <w:rPr>
          <w:rFonts w:hint="cs"/>
          <w:sz w:val="22"/>
          <w:rtl/>
          <w:lang w:bidi="ar-EG"/>
        </w:rPr>
        <w:t>،</w:t>
      </w:r>
      <w:r w:rsidR="00A40110" w:rsidRPr="009C7C80">
        <w:rPr>
          <w:rFonts w:hint="cs"/>
          <w:sz w:val="22"/>
          <w:rtl/>
          <w:lang w:bidi="ar-EG"/>
        </w:rPr>
        <w:t xml:space="preserve"> ورأى 10 في المائة منهم أن المعيار </w:t>
      </w:r>
      <w:r w:rsidR="002013AF">
        <w:rPr>
          <w:rFonts w:hint="cs"/>
          <w:sz w:val="22"/>
          <w:rtl/>
          <w:lang w:bidi="ar-EG"/>
        </w:rPr>
        <w:t>لم يستوف</w:t>
      </w:r>
      <w:r w:rsidR="00A40110" w:rsidRPr="009C7C80">
        <w:rPr>
          <w:rFonts w:hint="cs"/>
          <w:sz w:val="22"/>
          <w:rtl/>
          <w:lang w:bidi="ar-EG"/>
        </w:rPr>
        <w:t>.</w:t>
      </w:r>
    </w:p>
    <w:p w:rsidR="00A40110" w:rsidRPr="009E06E0" w:rsidRDefault="00A40110" w:rsidP="00B66125">
      <w:pPr>
        <w:numPr>
          <w:ilvl w:val="0"/>
          <w:numId w:val="11"/>
        </w:numPr>
        <w:spacing w:after="120"/>
        <w:ind w:left="0" w:firstLine="0"/>
        <w:rPr>
          <w:sz w:val="22"/>
          <w:lang w:bidi="ar-EG"/>
        </w:rPr>
      </w:pPr>
      <w:r>
        <w:rPr>
          <w:rFonts w:hint="cs"/>
          <w:sz w:val="22"/>
          <w:rtl/>
          <w:lang w:bidi="ar-EG"/>
        </w:rPr>
        <w:t xml:space="preserve">وفيما يتعلق بمشاركة </w:t>
      </w:r>
      <w:r w:rsidR="005238CD">
        <w:rPr>
          <w:rFonts w:hint="cs"/>
          <w:sz w:val="22"/>
          <w:rtl/>
          <w:lang w:bidi="ar-EG"/>
        </w:rPr>
        <w:t>البلدان</w:t>
      </w:r>
      <w:r>
        <w:rPr>
          <w:rFonts w:hint="cs"/>
          <w:sz w:val="22"/>
          <w:rtl/>
          <w:lang w:bidi="ar-EG"/>
        </w:rPr>
        <w:t xml:space="preserve"> النامية في </w:t>
      </w:r>
      <w:r w:rsidRPr="00334A81">
        <w:rPr>
          <w:rFonts w:ascii="Simplified Arabic" w:eastAsiaTheme="minorHAnsi" w:hAnsi="Simplified Arabic"/>
          <w:kern w:val="0"/>
          <w:sz w:val="24"/>
          <w:rtl/>
          <w:lang w:val="en-CA"/>
        </w:rPr>
        <w:t>الاجتماع الثامن لمؤتمر الأطراف العامل كاجت</w:t>
      </w:r>
      <w:r w:rsidR="00932013">
        <w:rPr>
          <w:rFonts w:ascii="Simplified Arabic" w:eastAsiaTheme="minorHAnsi" w:hAnsi="Simplified Arabic"/>
          <w:kern w:val="0"/>
          <w:sz w:val="24"/>
          <w:rtl/>
          <w:lang w:val="en-CA"/>
        </w:rPr>
        <w:t>ماع للأطراف في بروتوكول قرطاجنة</w:t>
      </w:r>
      <w:r>
        <w:rPr>
          <w:rFonts w:ascii="Simplified Arabic" w:eastAsiaTheme="minorHAnsi" w:hAnsi="Simplified Arabic" w:hint="cs"/>
          <w:kern w:val="0"/>
          <w:sz w:val="24"/>
          <w:rtl/>
          <w:lang w:val="en-CA"/>
        </w:rPr>
        <w:t>، رأى 27 في المائة من المجيبين أن المعيار قد استوفي</w:t>
      </w:r>
      <w:r w:rsidR="00732DF5">
        <w:rPr>
          <w:rFonts w:ascii="Simplified Arabic" w:eastAsiaTheme="minorHAnsi" w:hAnsi="Simplified Arabic" w:hint="cs"/>
          <w:kern w:val="0"/>
          <w:sz w:val="24"/>
          <w:rtl/>
          <w:lang w:val="en-CA"/>
        </w:rPr>
        <w:t>،</w:t>
      </w:r>
      <w:r>
        <w:rPr>
          <w:rFonts w:ascii="Simplified Arabic" w:eastAsiaTheme="minorHAnsi" w:hAnsi="Simplified Arabic" w:hint="cs"/>
          <w:kern w:val="0"/>
          <w:sz w:val="24"/>
          <w:rtl/>
          <w:lang w:val="en-CA"/>
        </w:rPr>
        <w:t xml:space="preserve"> ورأى 62 في المائة أن</w:t>
      </w:r>
      <w:r w:rsidR="00B66125">
        <w:rPr>
          <w:rFonts w:ascii="Simplified Arabic" w:eastAsiaTheme="minorHAnsi" w:hAnsi="Simplified Arabic" w:hint="cs"/>
          <w:kern w:val="0"/>
          <w:sz w:val="24"/>
          <w:rtl/>
          <w:lang w:val="en-CA"/>
        </w:rPr>
        <w:t>ه</w:t>
      </w:r>
      <w:r>
        <w:rPr>
          <w:rFonts w:ascii="Simplified Arabic" w:eastAsiaTheme="minorHAnsi" w:hAnsi="Simplified Arabic" w:hint="cs"/>
          <w:kern w:val="0"/>
          <w:sz w:val="24"/>
          <w:rtl/>
          <w:lang w:val="en-CA"/>
        </w:rPr>
        <w:t xml:space="preserve"> </w:t>
      </w:r>
      <w:r w:rsidR="00B66125">
        <w:rPr>
          <w:rFonts w:ascii="Simplified Arabic" w:eastAsiaTheme="minorHAnsi" w:hAnsi="Simplified Arabic" w:hint="cs"/>
          <w:kern w:val="0"/>
          <w:sz w:val="24"/>
          <w:rtl/>
          <w:lang w:val="en-CA"/>
        </w:rPr>
        <w:t xml:space="preserve">قد استوفي </w:t>
      </w:r>
      <w:r>
        <w:rPr>
          <w:rFonts w:ascii="Simplified Arabic" w:eastAsiaTheme="minorHAnsi" w:hAnsi="Simplified Arabic" w:hint="cs"/>
          <w:kern w:val="0"/>
          <w:sz w:val="24"/>
          <w:rtl/>
          <w:lang w:val="en-CA"/>
        </w:rPr>
        <w:t>جزئيا</w:t>
      </w:r>
      <w:r w:rsidR="00732DF5">
        <w:rPr>
          <w:rFonts w:ascii="Simplified Arabic" w:eastAsiaTheme="minorHAnsi" w:hAnsi="Simplified Arabic" w:hint="cs"/>
          <w:kern w:val="0"/>
          <w:sz w:val="24"/>
          <w:rtl/>
          <w:lang w:val="en-CA"/>
        </w:rPr>
        <w:t>،</w:t>
      </w:r>
      <w:r>
        <w:rPr>
          <w:rFonts w:ascii="Simplified Arabic" w:eastAsiaTheme="minorHAnsi" w:hAnsi="Simplified Arabic" w:hint="cs"/>
          <w:kern w:val="0"/>
          <w:sz w:val="24"/>
          <w:rtl/>
          <w:lang w:val="en-CA"/>
        </w:rPr>
        <w:t xml:space="preserve"> ورأى 11 في المائة أنه </w:t>
      </w:r>
      <w:r w:rsidR="002013AF">
        <w:rPr>
          <w:rFonts w:ascii="Simplified Arabic" w:eastAsiaTheme="minorHAnsi" w:hAnsi="Simplified Arabic" w:hint="cs"/>
          <w:kern w:val="0"/>
          <w:sz w:val="24"/>
          <w:rtl/>
          <w:lang w:val="en-CA"/>
        </w:rPr>
        <w:t>لم يستوف</w:t>
      </w:r>
      <w:r>
        <w:rPr>
          <w:rFonts w:ascii="Simplified Arabic" w:eastAsiaTheme="minorHAnsi" w:hAnsi="Simplified Arabic" w:hint="cs"/>
          <w:kern w:val="0"/>
          <w:sz w:val="24"/>
          <w:rtl/>
          <w:lang w:val="en-CA"/>
        </w:rPr>
        <w:t xml:space="preserve">. وعند تصنيف النتائج، رأى 25 في المائة </w:t>
      </w:r>
      <w:r w:rsidR="009E06E0">
        <w:rPr>
          <w:rFonts w:ascii="Simplified Arabic" w:eastAsiaTheme="minorHAnsi" w:hAnsi="Simplified Arabic" w:hint="cs"/>
          <w:kern w:val="0"/>
          <w:sz w:val="24"/>
          <w:rtl/>
          <w:lang w:val="en-CA"/>
        </w:rPr>
        <w:t xml:space="preserve">من </w:t>
      </w:r>
      <w:r w:rsidR="00732DF5" w:rsidRPr="009C7C80">
        <w:rPr>
          <w:rFonts w:ascii="Simplified Arabic" w:eastAsiaTheme="minorHAnsi" w:hAnsi="Simplified Arabic" w:hint="cs"/>
          <w:kern w:val="0"/>
          <w:sz w:val="24"/>
          <w:rtl/>
          <w:lang w:val="en-CA"/>
        </w:rPr>
        <w:t>ال</w:t>
      </w:r>
      <w:r w:rsidR="009E06E0" w:rsidRPr="009C7C80">
        <w:rPr>
          <w:rFonts w:ascii="Simplified Arabic" w:eastAsiaTheme="minorHAnsi" w:hAnsi="Simplified Arabic" w:hint="cs"/>
          <w:kern w:val="0"/>
          <w:sz w:val="24"/>
          <w:rtl/>
          <w:lang w:val="en-CA"/>
        </w:rPr>
        <w:t>مجيبي</w:t>
      </w:r>
      <w:r w:rsidR="00732DF5" w:rsidRPr="009C7C80">
        <w:rPr>
          <w:rFonts w:ascii="Simplified Arabic" w:eastAsiaTheme="minorHAnsi" w:hAnsi="Simplified Arabic" w:hint="cs"/>
          <w:kern w:val="0"/>
          <w:sz w:val="24"/>
          <w:rtl/>
          <w:lang w:val="en-CA"/>
        </w:rPr>
        <w:t>ن</w:t>
      </w:r>
      <w:r w:rsidR="00B86672" w:rsidRPr="009C7C80">
        <w:rPr>
          <w:rFonts w:ascii="Simplified Arabic" w:eastAsiaTheme="minorHAnsi" w:hAnsi="Simplified Arabic" w:hint="cs"/>
          <w:kern w:val="0"/>
          <w:sz w:val="24"/>
          <w:rtl/>
          <w:lang w:val="en-CA"/>
        </w:rPr>
        <w:t xml:space="preserve"> من</w:t>
      </w:r>
      <w:r w:rsidR="009E06E0" w:rsidRPr="009C7C80">
        <w:rPr>
          <w:rFonts w:ascii="Simplified Arabic" w:eastAsiaTheme="minorHAnsi" w:hAnsi="Simplified Arabic" w:hint="cs"/>
          <w:kern w:val="0"/>
          <w:sz w:val="24"/>
          <w:rtl/>
          <w:lang w:val="en-CA"/>
        </w:rPr>
        <w:t xml:space="preserve"> البلدان</w:t>
      </w:r>
      <w:r w:rsidR="009E06E0">
        <w:rPr>
          <w:rFonts w:ascii="Simplified Arabic" w:eastAsiaTheme="minorHAnsi" w:hAnsi="Simplified Arabic" w:hint="cs"/>
          <w:kern w:val="0"/>
          <w:sz w:val="24"/>
          <w:rtl/>
          <w:lang w:val="en-CA"/>
        </w:rPr>
        <w:t xml:space="preserve"> النامية</w:t>
      </w:r>
      <w:r w:rsidR="00732DF5">
        <w:rPr>
          <w:rFonts w:ascii="Simplified Arabic" w:eastAsiaTheme="minorHAnsi" w:hAnsi="Simplified Arabic" w:hint="cs"/>
          <w:kern w:val="0"/>
          <w:sz w:val="24"/>
          <w:rtl/>
          <w:lang w:val="en-CA"/>
        </w:rPr>
        <w:t xml:space="preserve"> الأطراف</w:t>
      </w:r>
      <w:r w:rsidR="009E06E0">
        <w:rPr>
          <w:rFonts w:ascii="Simplified Arabic" w:eastAsiaTheme="minorHAnsi" w:hAnsi="Simplified Arabic" w:hint="cs"/>
          <w:kern w:val="0"/>
          <w:sz w:val="24"/>
          <w:rtl/>
          <w:lang w:val="en-CA"/>
        </w:rPr>
        <w:t xml:space="preserve"> أن المعيار قد </w:t>
      </w:r>
      <w:r w:rsidR="00B40861">
        <w:rPr>
          <w:rFonts w:ascii="Simplified Arabic" w:eastAsiaTheme="minorHAnsi" w:hAnsi="Simplified Arabic" w:hint="cs"/>
          <w:kern w:val="0"/>
          <w:sz w:val="24"/>
          <w:rtl/>
          <w:lang w:val="en-CA"/>
        </w:rPr>
        <w:t>استوفي كليا</w:t>
      </w:r>
      <w:r w:rsidR="00732DF5">
        <w:rPr>
          <w:rFonts w:ascii="Simplified Arabic" w:eastAsiaTheme="minorHAnsi" w:hAnsi="Simplified Arabic" w:hint="cs"/>
          <w:kern w:val="0"/>
          <w:sz w:val="24"/>
          <w:rtl/>
          <w:lang w:val="en-CA"/>
        </w:rPr>
        <w:t>،</w:t>
      </w:r>
      <w:r w:rsidR="009E06E0">
        <w:rPr>
          <w:rFonts w:ascii="Simplified Arabic" w:eastAsiaTheme="minorHAnsi" w:hAnsi="Simplified Arabic" w:hint="cs"/>
          <w:kern w:val="0"/>
          <w:sz w:val="24"/>
          <w:rtl/>
          <w:lang w:val="en-CA"/>
        </w:rPr>
        <w:t xml:space="preserve"> ورأى 60 في المائة منهم أن</w:t>
      </w:r>
      <w:r w:rsidR="00B66125">
        <w:rPr>
          <w:rFonts w:ascii="Simplified Arabic" w:eastAsiaTheme="minorHAnsi" w:hAnsi="Simplified Arabic" w:hint="cs"/>
          <w:kern w:val="0"/>
          <w:sz w:val="24"/>
          <w:rtl/>
          <w:lang w:val="en-CA"/>
        </w:rPr>
        <w:t>ه</w:t>
      </w:r>
      <w:r w:rsidR="009E06E0">
        <w:rPr>
          <w:rFonts w:ascii="Simplified Arabic" w:eastAsiaTheme="minorHAnsi" w:hAnsi="Simplified Arabic" w:hint="cs"/>
          <w:kern w:val="0"/>
          <w:sz w:val="24"/>
          <w:rtl/>
          <w:lang w:val="en-CA"/>
        </w:rPr>
        <w:t xml:space="preserve"> </w:t>
      </w:r>
      <w:r w:rsidR="00B66125">
        <w:rPr>
          <w:rFonts w:ascii="Simplified Arabic" w:eastAsiaTheme="minorHAnsi" w:hAnsi="Simplified Arabic" w:hint="cs"/>
          <w:kern w:val="0"/>
          <w:sz w:val="24"/>
          <w:rtl/>
          <w:lang w:val="en-CA"/>
        </w:rPr>
        <w:t xml:space="preserve">قد استوفي </w:t>
      </w:r>
      <w:r w:rsidR="009E06E0">
        <w:rPr>
          <w:rFonts w:ascii="Simplified Arabic" w:eastAsiaTheme="minorHAnsi" w:hAnsi="Simplified Arabic" w:hint="cs"/>
          <w:kern w:val="0"/>
          <w:sz w:val="24"/>
          <w:rtl/>
          <w:lang w:val="en-CA"/>
        </w:rPr>
        <w:t>جزئيا</w:t>
      </w:r>
      <w:r w:rsidR="00732DF5">
        <w:rPr>
          <w:rFonts w:ascii="Simplified Arabic" w:eastAsiaTheme="minorHAnsi" w:hAnsi="Simplified Arabic" w:hint="cs"/>
          <w:kern w:val="0"/>
          <w:sz w:val="24"/>
          <w:rtl/>
          <w:lang w:val="en-CA"/>
        </w:rPr>
        <w:t>، ور</w:t>
      </w:r>
      <w:r w:rsidR="009E06E0">
        <w:rPr>
          <w:rFonts w:ascii="Simplified Arabic" w:eastAsiaTheme="minorHAnsi" w:hAnsi="Simplified Arabic" w:hint="cs"/>
          <w:kern w:val="0"/>
          <w:sz w:val="24"/>
          <w:rtl/>
          <w:lang w:val="en-CA"/>
        </w:rPr>
        <w:t xml:space="preserve">أى 15 في المائة منهم أنه </w:t>
      </w:r>
      <w:r w:rsidR="002013AF">
        <w:rPr>
          <w:rFonts w:ascii="Simplified Arabic" w:eastAsiaTheme="minorHAnsi" w:hAnsi="Simplified Arabic" w:hint="cs"/>
          <w:kern w:val="0"/>
          <w:sz w:val="24"/>
          <w:rtl/>
          <w:lang w:val="en-CA"/>
        </w:rPr>
        <w:t>لم يستوف</w:t>
      </w:r>
      <w:r w:rsidR="009E06E0">
        <w:rPr>
          <w:rFonts w:ascii="Simplified Arabic" w:eastAsiaTheme="minorHAnsi" w:hAnsi="Simplified Arabic" w:hint="cs"/>
          <w:kern w:val="0"/>
          <w:sz w:val="24"/>
          <w:rtl/>
          <w:lang w:val="en-CA"/>
        </w:rPr>
        <w:t>.</w:t>
      </w:r>
    </w:p>
    <w:p w:rsidR="009E06E0" w:rsidRPr="009E06E0" w:rsidRDefault="009E06E0" w:rsidP="00B66125">
      <w:pPr>
        <w:numPr>
          <w:ilvl w:val="0"/>
          <w:numId w:val="11"/>
        </w:numPr>
        <w:spacing w:after="120"/>
        <w:ind w:left="0" w:firstLine="0"/>
        <w:rPr>
          <w:sz w:val="22"/>
          <w:lang w:bidi="ar-EG"/>
        </w:rPr>
      </w:pPr>
      <w:r>
        <w:rPr>
          <w:rFonts w:ascii="Simplified Arabic" w:eastAsiaTheme="minorHAnsi" w:hAnsi="Simplified Arabic" w:hint="cs"/>
          <w:kern w:val="0"/>
          <w:sz w:val="24"/>
          <w:rtl/>
        </w:rPr>
        <w:t xml:space="preserve">وفيما يتعلق </w:t>
      </w:r>
      <w:r>
        <w:rPr>
          <w:rFonts w:ascii="Simplified Arabic" w:eastAsiaTheme="minorHAnsi" w:hAnsi="Simplified Arabic" w:hint="cs"/>
          <w:kern w:val="0"/>
          <w:sz w:val="24"/>
          <w:rtl/>
          <w:lang w:val="en-CA"/>
        </w:rPr>
        <w:t>ب</w:t>
      </w:r>
      <w:r w:rsidRPr="00334A81">
        <w:rPr>
          <w:rFonts w:ascii="Simplified Arabic" w:eastAsiaTheme="minorHAnsi" w:hAnsi="Simplified Arabic"/>
          <w:kern w:val="0"/>
          <w:sz w:val="24"/>
          <w:rtl/>
          <w:lang w:val="en-CA"/>
        </w:rPr>
        <w:t>الاجتماع الثاني لمؤتمر الأطراف العامل كاج</w:t>
      </w:r>
      <w:r w:rsidR="00932013">
        <w:rPr>
          <w:rFonts w:ascii="Simplified Arabic" w:eastAsiaTheme="minorHAnsi" w:hAnsi="Simplified Arabic"/>
          <w:kern w:val="0"/>
          <w:sz w:val="24"/>
          <w:rtl/>
          <w:lang w:val="en-CA"/>
        </w:rPr>
        <w:t>تماع للأطراف في بروتوكول ناغويا</w:t>
      </w:r>
      <w:r>
        <w:rPr>
          <w:rFonts w:ascii="Simplified Arabic" w:eastAsiaTheme="minorHAnsi" w:hAnsi="Simplified Arabic" w:hint="cs"/>
          <w:kern w:val="0"/>
          <w:sz w:val="24"/>
          <w:rtl/>
          <w:lang w:val="en-CA"/>
        </w:rPr>
        <w:t>، رأى 27 في المائة من المجيبين أن المعيار قد استوفي</w:t>
      </w:r>
      <w:r w:rsidR="00732DF5">
        <w:rPr>
          <w:rFonts w:ascii="Simplified Arabic" w:eastAsiaTheme="minorHAnsi" w:hAnsi="Simplified Arabic" w:hint="cs"/>
          <w:kern w:val="0"/>
          <w:sz w:val="24"/>
          <w:rtl/>
          <w:lang w:val="en-CA"/>
        </w:rPr>
        <w:t>،</w:t>
      </w:r>
      <w:r>
        <w:rPr>
          <w:rFonts w:ascii="Simplified Arabic" w:eastAsiaTheme="minorHAnsi" w:hAnsi="Simplified Arabic" w:hint="cs"/>
          <w:kern w:val="0"/>
          <w:sz w:val="24"/>
          <w:rtl/>
          <w:lang w:val="en-CA"/>
        </w:rPr>
        <w:t xml:space="preserve"> ورأى 61 في المائة أنه استوفي جزئيا</w:t>
      </w:r>
      <w:r w:rsidR="00732DF5">
        <w:rPr>
          <w:rFonts w:ascii="Simplified Arabic" w:eastAsiaTheme="minorHAnsi" w:hAnsi="Simplified Arabic" w:hint="cs"/>
          <w:kern w:val="0"/>
          <w:sz w:val="24"/>
          <w:rtl/>
          <w:lang w:val="en-CA"/>
        </w:rPr>
        <w:t>،</w:t>
      </w:r>
      <w:r>
        <w:rPr>
          <w:rFonts w:ascii="Simplified Arabic" w:eastAsiaTheme="minorHAnsi" w:hAnsi="Simplified Arabic" w:hint="cs"/>
          <w:kern w:val="0"/>
          <w:sz w:val="24"/>
          <w:rtl/>
          <w:lang w:val="en-CA"/>
        </w:rPr>
        <w:t xml:space="preserve"> ورأى 13 في المائة أنه </w:t>
      </w:r>
      <w:r w:rsidR="002013AF">
        <w:rPr>
          <w:rFonts w:ascii="Simplified Arabic" w:eastAsiaTheme="minorHAnsi" w:hAnsi="Simplified Arabic" w:hint="cs"/>
          <w:kern w:val="0"/>
          <w:sz w:val="24"/>
          <w:rtl/>
          <w:lang w:val="en-CA"/>
        </w:rPr>
        <w:t>لم يستوف</w:t>
      </w:r>
      <w:r>
        <w:rPr>
          <w:rFonts w:ascii="Simplified Arabic" w:eastAsiaTheme="minorHAnsi" w:hAnsi="Simplified Arabic" w:hint="cs"/>
          <w:kern w:val="0"/>
          <w:sz w:val="24"/>
          <w:rtl/>
          <w:lang w:val="en-CA"/>
        </w:rPr>
        <w:t xml:space="preserve">. وعند تصنيف النتائج، رأى 23 في المائة من </w:t>
      </w:r>
      <w:r w:rsidR="00732DF5">
        <w:rPr>
          <w:rFonts w:ascii="Simplified Arabic" w:eastAsiaTheme="minorHAnsi" w:hAnsi="Simplified Arabic" w:hint="cs"/>
          <w:kern w:val="0"/>
          <w:sz w:val="24"/>
          <w:rtl/>
          <w:lang w:val="en-CA"/>
        </w:rPr>
        <w:t>ال</w:t>
      </w:r>
      <w:r>
        <w:rPr>
          <w:rFonts w:ascii="Simplified Arabic" w:eastAsiaTheme="minorHAnsi" w:hAnsi="Simplified Arabic" w:hint="cs"/>
          <w:kern w:val="0"/>
          <w:sz w:val="24"/>
          <w:rtl/>
          <w:lang w:val="en-CA"/>
        </w:rPr>
        <w:t>مجيبي</w:t>
      </w:r>
      <w:r w:rsidR="00732DF5">
        <w:rPr>
          <w:rFonts w:ascii="Simplified Arabic" w:eastAsiaTheme="minorHAnsi" w:hAnsi="Simplified Arabic" w:hint="cs"/>
          <w:kern w:val="0"/>
          <w:sz w:val="24"/>
          <w:rtl/>
          <w:lang w:val="en-CA"/>
        </w:rPr>
        <w:t>ن</w:t>
      </w:r>
      <w:r>
        <w:rPr>
          <w:rFonts w:ascii="Simplified Arabic" w:eastAsiaTheme="minorHAnsi" w:hAnsi="Simplified Arabic" w:hint="cs"/>
          <w:kern w:val="0"/>
          <w:sz w:val="24"/>
          <w:rtl/>
          <w:lang w:val="en-CA"/>
        </w:rPr>
        <w:t xml:space="preserve"> </w:t>
      </w:r>
      <w:r w:rsidR="00732DF5">
        <w:rPr>
          <w:rFonts w:ascii="Simplified Arabic" w:eastAsiaTheme="minorHAnsi" w:hAnsi="Simplified Arabic" w:hint="cs"/>
          <w:kern w:val="0"/>
          <w:sz w:val="24"/>
          <w:rtl/>
          <w:lang w:val="en-CA"/>
        </w:rPr>
        <w:t>من</w:t>
      </w:r>
      <w:r>
        <w:rPr>
          <w:rFonts w:ascii="Simplified Arabic" w:eastAsiaTheme="minorHAnsi" w:hAnsi="Simplified Arabic" w:hint="cs"/>
          <w:kern w:val="0"/>
          <w:sz w:val="24"/>
          <w:rtl/>
          <w:lang w:val="en-CA"/>
        </w:rPr>
        <w:t xml:space="preserve"> البلدان النامية</w:t>
      </w:r>
      <w:r w:rsidR="00732DF5">
        <w:rPr>
          <w:rFonts w:ascii="Simplified Arabic" w:eastAsiaTheme="minorHAnsi" w:hAnsi="Simplified Arabic" w:hint="cs"/>
          <w:kern w:val="0"/>
          <w:sz w:val="24"/>
          <w:rtl/>
          <w:lang w:val="en-CA"/>
        </w:rPr>
        <w:t xml:space="preserve"> الأطراف</w:t>
      </w:r>
      <w:r>
        <w:rPr>
          <w:rFonts w:ascii="Simplified Arabic" w:eastAsiaTheme="minorHAnsi" w:hAnsi="Simplified Arabic" w:hint="cs"/>
          <w:kern w:val="0"/>
          <w:sz w:val="24"/>
          <w:rtl/>
          <w:lang w:val="en-CA"/>
        </w:rPr>
        <w:t xml:space="preserve"> أن المعيار قد </w:t>
      </w:r>
      <w:r w:rsidR="00B40861">
        <w:rPr>
          <w:rFonts w:ascii="Simplified Arabic" w:eastAsiaTheme="minorHAnsi" w:hAnsi="Simplified Arabic" w:hint="cs"/>
          <w:kern w:val="0"/>
          <w:sz w:val="24"/>
          <w:rtl/>
          <w:lang w:val="en-CA"/>
        </w:rPr>
        <w:t>استوفي كليا</w:t>
      </w:r>
      <w:r w:rsidR="00732DF5">
        <w:rPr>
          <w:rFonts w:ascii="Simplified Arabic" w:eastAsiaTheme="minorHAnsi" w:hAnsi="Simplified Arabic" w:hint="cs"/>
          <w:kern w:val="0"/>
          <w:sz w:val="24"/>
          <w:rtl/>
          <w:lang w:val="en-CA"/>
        </w:rPr>
        <w:t>،</w:t>
      </w:r>
      <w:r>
        <w:rPr>
          <w:rFonts w:ascii="Simplified Arabic" w:eastAsiaTheme="minorHAnsi" w:hAnsi="Simplified Arabic" w:hint="cs"/>
          <w:kern w:val="0"/>
          <w:sz w:val="24"/>
          <w:rtl/>
          <w:lang w:val="en-CA"/>
        </w:rPr>
        <w:t xml:space="preserve"> ورأى 60 في المائة منهم أن</w:t>
      </w:r>
      <w:r w:rsidR="00B66125">
        <w:rPr>
          <w:rFonts w:ascii="Simplified Arabic" w:eastAsiaTheme="minorHAnsi" w:hAnsi="Simplified Arabic" w:hint="cs"/>
          <w:kern w:val="0"/>
          <w:sz w:val="24"/>
          <w:rtl/>
          <w:lang w:val="en-CA"/>
        </w:rPr>
        <w:t>ه</w:t>
      </w:r>
      <w:r>
        <w:rPr>
          <w:rFonts w:ascii="Simplified Arabic" w:eastAsiaTheme="minorHAnsi" w:hAnsi="Simplified Arabic" w:hint="cs"/>
          <w:kern w:val="0"/>
          <w:sz w:val="24"/>
          <w:rtl/>
          <w:lang w:val="en-CA"/>
        </w:rPr>
        <w:t xml:space="preserve"> </w:t>
      </w:r>
      <w:r w:rsidR="00B66125">
        <w:rPr>
          <w:rFonts w:ascii="Simplified Arabic" w:eastAsiaTheme="minorHAnsi" w:hAnsi="Simplified Arabic" w:hint="cs"/>
          <w:kern w:val="0"/>
          <w:sz w:val="24"/>
          <w:rtl/>
          <w:lang w:val="en-CA"/>
        </w:rPr>
        <w:t xml:space="preserve">قد استوفي </w:t>
      </w:r>
      <w:r>
        <w:rPr>
          <w:rFonts w:ascii="Simplified Arabic" w:eastAsiaTheme="minorHAnsi" w:hAnsi="Simplified Arabic" w:hint="cs"/>
          <w:kern w:val="0"/>
          <w:sz w:val="24"/>
          <w:rtl/>
          <w:lang w:val="en-CA"/>
        </w:rPr>
        <w:t>جزئيا</w:t>
      </w:r>
      <w:r w:rsidR="00732DF5">
        <w:rPr>
          <w:rFonts w:ascii="Simplified Arabic" w:eastAsiaTheme="minorHAnsi" w:hAnsi="Simplified Arabic" w:hint="cs"/>
          <w:kern w:val="0"/>
          <w:sz w:val="24"/>
          <w:rtl/>
          <w:lang w:val="en-CA"/>
        </w:rPr>
        <w:t>،</w:t>
      </w:r>
      <w:r>
        <w:rPr>
          <w:rFonts w:ascii="Simplified Arabic" w:eastAsiaTheme="minorHAnsi" w:hAnsi="Simplified Arabic" w:hint="cs"/>
          <w:kern w:val="0"/>
          <w:sz w:val="24"/>
          <w:rtl/>
          <w:lang w:val="en-CA"/>
        </w:rPr>
        <w:t xml:space="preserve"> ورأى 16 في المائة منهم أنه </w:t>
      </w:r>
      <w:r w:rsidR="002013AF">
        <w:rPr>
          <w:rFonts w:ascii="Simplified Arabic" w:eastAsiaTheme="minorHAnsi" w:hAnsi="Simplified Arabic" w:hint="cs"/>
          <w:kern w:val="0"/>
          <w:sz w:val="24"/>
          <w:rtl/>
          <w:lang w:val="en-CA"/>
        </w:rPr>
        <w:t>لم يستوف</w:t>
      </w:r>
      <w:r>
        <w:rPr>
          <w:rFonts w:ascii="Simplified Arabic" w:eastAsiaTheme="minorHAnsi" w:hAnsi="Simplified Arabic" w:hint="cs"/>
          <w:kern w:val="0"/>
          <w:sz w:val="24"/>
          <w:rtl/>
          <w:lang w:val="en-CA"/>
        </w:rPr>
        <w:t>.</w:t>
      </w:r>
    </w:p>
    <w:p w:rsidR="006F42FD" w:rsidRPr="006F42FD" w:rsidRDefault="009E06E0" w:rsidP="001164B3">
      <w:pPr>
        <w:numPr>
          <w:ilvl w:val="0"/>
          <w:numId w:val="11"/>
        </w:numPr>
        <w:spacing w:after="120"/>
        <w:ind w:left="0" w:firstLine="0"/>
        <w:rPr>
          <w:sz w:val="22"/>
          <w:lang w:bidi="ar-EG"/>
        </w:rPr>
      </w:pPr>
      <w:r>
        <w:rPr>
          <w:rFonts w:ascii="Simplified Arabic" w:eastAsiaTheme="minorHAnsi" w:hAnsi="Simplified Arabic" w:hint="cs"/>
          <w:kern w:val="0"/>
          <w:sz w:val="24"/>
          <w:rtl/>
          <w:lang w:val="en-CA"/>
        </w:rPr>
        <w:t>وأثارت الأطراف عددا من المسائل في تعليقاتها الكتابية</w:t>
      </w:r>
      <w:r w:rsidR="005F06EE">
        <w:rPr>
          <w:rFonts w:ascii="Simplified Arabic" w:eastAsiaTheme="minorHAnsi" w:hAnsi="Simplified Arabic" w:hint="cs"/>
          <w:kern w:val="0"/>
          <w:sz w:val="24"/>
          <w:rtl/>
          <w:lang w:val="en-CA"/>
        </w:rPr>
        <w:t xml:space="preserve">. وأشارت عدة أطراف إلى أن الاجتماعات المتزامنة تجعل من الصعب على بعض الوفود متابعة </w:t>
      </w:r>
      <w:r w:rsidR="00D63D6F">
        <w:rPr>
          <w:rFonts w:ascii="Simplified Arabic" w:eastAsiaTheme="minorHAnsi" w:hAnsi="Simplified Arabic" w:hint="cs"/>
          <w:kern w:val="0"/>
          <w:sz w:val="24"/>
          <w:rtl/>
          <w:lang w:val="en-CA"/>
        </w:rPr>
        <w:t>مداولات الاجتماع</w:t>
      </w:r>
      <w:r w:rsidR="005F06EE">
        <w:rPr>
          <w:rFonts w:ascii="Simplified Arabic" w:eastAsiaTheme="minorHAnsi" w:hAnsi="Simplified Arabic" w:hint="cs"/>
          <w:kern w:val="0"/>
          <w:sz w:val="24"/>
          <w:rtl/>
          <w:lang w:val="en-CA"/>
        </w:rPr>
        <w:t xml:space="preserve">. وقد لوحظ أن ذلك </w:t>
      </w:r>
      <w:r w:rsidR="00732DF5">
        <w:rPr>
          <w:rFonts w:ascii="Simplified Arabic" w:eastAsiaTheme="minorHAnsi" w:hAnsi="Simplified Arabic" w:hint="cs"/>
          <w:kern w:val="0"/>
          <w:sz w:val="24"/>
          <w:rtl/>
          <w:lang w:val="en-CA"/>
        </w:rPr>
        <w:t>يمثل</w:t>
      </w:r>
      <w:r w:rsidR="005F06EE">
        <w:rPr>
          <w:rFonts w:ascii="Simplified Arabic" w:eastAsiaTheme="minorHAnsi" w:hAnsi="Simplified Arabic" w:hint="cs"/>
          <w:kern w:val="0"/>
          <w:sz w:val="24"/>
          <w:rtl/>
          <w:lang w:val="en-CA"/>
        </w:rPr>
        <w:t xml:space="preserve"> مشكلة للوفود الصغيرة على وجه الخصوص. </w:t>
      </w:r>
      <w:r w:rsidR="005F06EE">
        <w:rPr>
          <w:rFonts w:ascii="Simplified Arabic" w:eastAsiaTheme="minorHAnsi" w:hAnsi="Simplified Arabic" w:hint="cs"/>
          <w:kern w:val="0"/>
          <w:sz w:val="24"/>
          <w:rtl/>
          <w:lang w:val="en-CA"/>
        </w:rPr>
        <w:lastRenderedPageBreak/>
        <w:t xml:space="preserve">وعلاوة على ذلك، لاحظ عدد من الأطراف أن الاجتماعات المتزامنة تتطلب عددا كبيرا من اجتماعات </w:t>
      </w:r>
      <w:r w:rsidR="001164B3">
        <w:rPr>
          <w:rFonts w:ascii="Simplified Arabic" w:eastAsiaTheme="minorHAnsi" w:hAnsi="Simplified Arabic" w:hint="cs"/>
          <w:kern w:val="0"/>
          <w:sz w:val="24"/>
          <w:rtl/>
          <w:lang w:val="en-CA"/>
        </w:rPr>
        <w:t>أفرقة</w:t>
      </w:r>
      <w:r w:rsidR="005F06EE">
        <w:rPr>
          <w:rFonts w:ascii="Simplified Arabic" w:eastAsiaTheme="minorHAnsi" w:hAnsi="Simplified Arabic" w:hint="cs"/>
          <w:kern w:val="0"/>
          <w:sz w:val="24"/>
          <w:rtl/>
          <w:lang w:val="en-CA"/>
        </w:rPr>
        <w:t xml:space="preserve"> الاتصال فضلا عن اجتماعات أصدقاء الرئيس. ولاحظ العديد من الأطراف أيضا أن التمويل المحدود المتاح لدعم مشاركة </w:t>
      </w:r>
      <w:r w:rsidR="006F42FD">
        <w:rPr>
          <w:rFonts w:ascii="Simplified Arabic" w:eastAsiaTheme="minorHAnsi" w:hAnsi="Simplified Arabic" w:hint="cs"/>
          <w:kern w:val="0"/>
          <w:sz w:val="24"/>
          <w:rtl/>
          <w:lang w:val="en-CA"/>
        </w:rPr>
        <w:t xml:space="preserve">ممثلين من </w:t>
      </w:r>
      <w:r w:rsidR="005F06EE">
        <w:rPr>
          <w:rFonts w:ascii="Simplified Arabic" w:eastAsiaTheme="minorHAnsi" w:hAnsi="Simplified Arabic" w:hint="cs"/>
          <w:kern w:val="0"/>
          <w:sz w:val="24"/>
          <w:rtl/>
          <w:lang w:val="en-CA"/>
        </w:rPr>
        <w:t xml:space="preserve">البلدان النامية </w:t>
      </w:r>
      <w:r w:rsidR="006F42FD">
        <w:rPr>
          <w:rFonts w:ascii="Simplified Arabic" w:eastAsiaTheme="minorHAnsi" w:hAnsi="Simplified Arabic" w:hint="cs"/>
          <w:kern w:val="0"/>
          <w:sz w:val="24"/>
          <w:rtl/>
          <w:lang w:val="en-CA"/>
        </w:rPr>
        <w:t xml:space="preserve">يمثل مشكلة من حيث مشاركة البلدان النامية </w:t>
      </w:r>
      <w:r w:rsidR="00732DF5">
        <w:rPr>
          <w:rFonts w:ascii="Simplified Arabic" w:eastAsiaTheme="minorHAnsi" w:hAnsi="Simplified Arabic" w:hint="cs"/>
          <w:kern w:val="0"/>
          <w:sz w:val="24"/>
          <w:rtl/>
          <w:lang w:val="en-CA"/>
        </w:rPr>
        <w:t xml:space="preserve">الأطراف </w:t>
      </w:r>
      <w:r w:rsidR="006F42FD">
        <w:rPr>
          <w:rFonts w:ascii="Simplified Arabic" w:eastAsiaTheme="minorHAnsi" w:hAnsi="Simplified Arabic" w:hint="cs"/>
          <w:kern w:val="0"/>
          <w:sz w:val="24"/>
          <w:rtl/>
          <w:lang w:val="en-CA"/>
        </w:rPr>
        <w:t>بشكل كامل وفعال.</w:t>
      </w:r>
    </w:p>
    <w:p w:rsidR="007402D1" w:rsidRPr="009C7C80" w:rsidRDefault="004467B1" w:rsidP="002448E1">
      <w:pPr>
        <w:numPr>
          <w:ilvl w:val="0"/>
          <w:numId w:val="11"/>
        </w:numPr>
        <w:spacing w:after="120"/>
        <w:ind w:left="0" w:firstLine="0"/>
        <w:rPr>
          <w:sz w:val="22"/>
          <w:lang w:bidi="ar-EG"/>
        </w:rPr>
      </w:pPr>
      <w:r>
        <w:rPr>
          <w:rFonts w:ascii="Simplified Arabic" w:eastAsiaTheme="minorHAnsi" w:hAnsi="Simplified Arabic" w:hint="cs"/>
          <w:kern w:val="0"/>
          <w:sz w:val="24"/>
          <w:rtl/>
          <w:lang w:val="en-CA"/>
        </w:rPr>
        <w:t xml:space="preserve">وتفاوت عدد البلدان النامية </w:t>
      </w:r>
      <w:r w:rsidR="00732DF5">
        <w:rPr>
          <w:rFonts w:ascii="Simplified Arabic" w:eastAsiaTheme="minorHAnsi" w:hAnsi="Simplified Arabic" w:hint="cs"/>
          <w:kern w:val="0"/>
          <w:sz w:val="24"/>
          <w:rtl/>
          <w:lang w:val="en-CA"/>
        </w:rPr>
        <w:t xml:space="preserve">الأطراف </w:t>
      </w:r>
      <w:r>
        <w:rPr>
          <w:rFonts w:ascii="Simplified Arabic" w:eastAsiaTheme="minorHAnsi" w:hAnsi="Simplified Arabic" w:hint="cs"/>
          <w:kern w:val="0"/>
          <w:sz w:val="24"/>
          <w:rtl/>
          <w:lang w:val="en-CA"/>
        </w:rPr>
        <w:t>التي حصلت على تمويل للمشاركة في اجتماعات مؤتمر الأطراف ومؤتمر الأطراف العامل كاجتماع للأطراف في البروتوكول</w:t>
      </w:r>
      <w:r w:rsidR="00D63D6F">
        <w:rPr>
          <w:rFonts w:ascii="Simplified Arabic" w:eastAsiaTheme="minorHAnsi" w:hAnsi="Simplified Arabic" w:hint="cs"/>
          <w:kern w:val="0"/>
          <w:sz w:val="24"/>
          <w:rtl/>
          <w:lang w:val="en-CA"/>
        </w:rPr>
        <w:t>ين</w:t>
      </w:r>
      <w:r>
        <w:rPr>
          <w:rFonts w:ascii="Simplified Arabic" w:eastAsiaTheme="minorHAnsi" w:hAnsi="Simplified Arabic" w:hint="cs"/>
          <w:kern w:val="0"/>
          <w:sz w:val="24"/>
          <w:rtl/>
          <w:lang w:val="en-CA"/>
        </w:rPr>
        <w:t xml:space="preserve"> من اجتماع إلى آخر. </w:t>
      </w:r>
      <w:r w:rsidR="002448E1">
        <w:rPr>
          <w:rFonts w:ascii="Simplified Arabic" w:eastAsiaTheme="minorHAnsi" w:hAnsi="Simplified Arabic" w:hint="cs"/>
          <w:kern w:val="0"/>
          <w:sz w:val="24"/>
          <w:rtl/>
          <w:lang w:val="en-CA"/>
        </w:rPr>
        <w:t>ويعتمد</w:t>
      </w:r>
      <w:r>
        <w:rPr>
          <w:rFonts w:ascii="Simplified Arabic" w:eastAsiaTheme="minorHAnsi" w:hAnsi="Simplified Arabic" w:hint="cs"/>
          <w:kern w:val="0"/>
          <w:sz w:val="24"/>
          <w:rtl/>
          <w:lang w:val="en-CA"/>
        </w:rPr>
        <w:t xml:space="preserve"> عدد الأطراف والمشاركين الذين يمكن دعمهم على المساهمات التي تتلقاها الأمانة ومعدل بدل الإقامة </w:t>
      </w:r>
      <w:r w:rsidR="00C60CEA">
        <w:rPr>
          <w:rFonts w:ascii="Simplified Arabic" w:eastAsiaTheme="minorHAnsi" w:hAnsi="Simplified Arabic" w:hint="cs"/>
          <w:kern w:val="0"/>
          <w:sz w:val="24"/>
          <w:rtl/>
          <w:lang w:val="en-CA"/>
        </w:rPr>
        <w:t xml:space="preserve">اليومي </w:t>
      </w:r>
      <w:r>
        <w:rPr>
          <w:rFonts w:ascii="Simplified Arabic" w:eastAsiaTheme="minorHAnsi" w:hAnsi="Simplified Arabic" w:hint="cs"/>
          <w:kern w:val="0"/>
          <w:sz w:val="24"/>
          <w:rtl/>
          <w:lang w:val="en-CA"/>
        </w:rPr>
        <w:t>الساري</w:t>
      </w:r>
      <w:r w:rsidR="009E06E0">
        <w:rPr>
          <w:rFonts w:ascii="Simplified Arabic" w:eastAsiaTheme="minorHAnsi" w:hAnsi="Simplified Arabic" w:hint="cs"/>
          <w:kern w:val="0"/>
          <w:sz w:val="24"/>
          <w:rtl/>
          <w:lang w:val="en-CA"/>
        </w:rPr>
        <w:t xml:space="preserve"> </w:t>
      </w:r>
      <w:r w:rsidR="00512A03">
        <w:rPr>
          <w:rFonts w:ascii="Simplified Arabic" w:eastAsiaTheme="minorHAnsi" w:hAnsi="Simplified Arabic" w:hint="cs"/>
          <w:kern w:val="0"/>
          <w:sz w:val="24"/>
          <w:rtl/>
          <w:lang w:val="en-CA"/>
        </w:rPr>
        <w:t xml:space="preserve">وتكلفة السفر </w:t>
      </w:r>
      <w:r w:rsidR="00D63D6F">
        <w:rPr>
          <w:rFonts w:ascii="Simplified Arabic" w:eastAsiaTheme="minorHAnsi" w:hAnsi="Simplified Arabic" w:hint="cs"/>
          <w:kern w:val="0"/>
          <w:sz w:val="24"/>
          <w:rtl/>
          <w:lang w:val="en-CA"/>
        </w:rPr>
        <w:t>جوا</w:t>
      </w:r>
      <w:r w:rsidR="00512A03">
        <w:rPr>
          <w:rFonts w:ascii="Simplified Arabic" w:eastAsiaTheme="minorHAnsi" w:hAnsi="Simplified Arabic" w:hint="cs"/>
          <w:kern w:val="0"/>
          <w:sz w:val="24"/>
          <w:rtl/>
          <w:lang w:val="en-CA"/>
        </w:rPr>
        <w:t>. ويجعل ذلك من الصعب إجراء مقارنة مباشرة بين عدد الأطراف والمشاركين الذين تم دعمهم للمشاركة في اجتماعات مؤتمر الأطراف في الاتفاقية واجتماعات البروتوكول</w:t>
      </w:r>
      <w:r w:rsidR="00D63D6F">
        <w:rPr>
          <w:rFonts w:ascii="Simplified Arabic" w:eastAsiaTheme="minorHAnsi" w:hAnsi="Simplified Arabic" w:hint="cs"/>
          <w:kern w:val="0"/>
          <w:sz w:val="24"/>
          <w:rtl/>
          <w:lang w:val="en-CA"/>
        </w:rPr>
        <w:t>ين</w:t>
      </w:r>
      <w:r w:rsidR="00512A03">
        <w:rPr>
          <w:rFonts w:ascii="Simplified Arabic" w:eastAsiaTheme="minorHAnsi" w:hAnsi="Simplified Arabic" w:hint="cs"/>
          <w:kern w:val="0"/>
          <w:sz w:val="24"/>
          <w:rtl/>
          <w:lang w:val="en-CA"/>
        </w:rPr>
        <w:t xml:space="preserve"> نظرا </w:t>
      </w:r>
      <w:r w:rsidR="00F174C0" w:rsidRPr="009C7C80">
        <w:rPr>
          <w:rFonts w:ascii="Simplified Arabic" w:eastAsiaTheme="minorHAnsi" w:hAnsi="Simplified Arabic" w:hint="cs"/>
          <w:kern w:val="0"/>
          <w:sz w:val="24"/>
          <w:rtl/>
          <w:lang w:val="en-CA"/>
        </w:rPr>
        <w:t>لأن</w:t>
      </w:r>
      <w:r w:rsidR="00512A03" w:rsidRPr="009C7C80">
        <w:rPr>
          <w:rFonts w:ascii="Simplified Arabic" w:eastAsiaTheme="minorHAnsi" w:hAnsi="Simplified Arabic" w:hint="cs"/>
          <w:kern w:val="0"/>
          <w:sz w:val="24"/>
          <w:rtl/>
          <w:lang w:val="en-CA"/>
        </w:rPr>
        <w:t xml:space="preserve"> هذه العوامل </w:t>
      </w:r>
      <w:r w:rsidR="00F174C0" w:rsidRPr="009C7C80">
        <w:rPr>
          <w:rFonts w:ascii="Simplified Arabic" w:eastAsiaTheme="minorHAnsi" w:hAnsi="Simplified Arabic" w:hint="cs"/>
          <w:kern w:val="0"/>
          <w:sz w:val="24"/>
          <w:rtl/>
          <w:lang w:val="en-CA"/>
        </w:rPr>
        <w:t xml:space="preserve">اختلفت </w:t>
      </w:r>
      <w:r w:rsidR="00512A03" w:rsidRPr="009C7C80">
        <w:rPr>
          <w:rFonts w:ascii="Simplified Arabic" w:eastAsiaTheme="minorHAnsi" w:hAnsi="Simplified Arabic" w:hint="cs"/>
          <w:kern w:val="0"/>
          <w:sz w:val="24"/>
          <w:rtl/>
          <w:lang w:val="en-CA"/>
        </w:rPr>
        <w:t>بين الاجتماعات. فعلى سبيل المثال، تراوحت الم</w:t>
      </w:r>
      <w:r w:rsidR="00542935" w:rsidRPr="009C7C80">
        <w:rPr>
          <w:rFonts w:ascii="Simplified Arabic" w:eastAsiaTheme="minorHAnsi" w:hAnsi="Simplified Arabic" w:hint="cs"/>
          <w:kern w:val="0"/>
          <w:sz w:val="24"/>
          <w:rtl/>
          <w:lang w:val="en-CA"/>
        </w:rPr>
        <w:t>ساهمات المتلقاة لدعم المشاركة في</w:t>
      </w:r>
      <w:r w:rsidR="00512A03" w:rsidRPr="009C7C80">
        <w:rPr>
          <w:rFonts w:ascii="Simplified Arabic" w:eastAsiaTheme="minorHAnsi" w:hAnsi="Simplified Arabic" w:hint="cs"/>
          <w:kern w:val="0"/>
          <w:sz w:val="24"/>
          <w:rtl/>
          <w:lang w:val="en-CA"/>
        </w:rPr>
        <w:t xml:space="preserve"> الاجتماعات بين </w:t>
      </w:r>
      <w:r w:rsidR="00D63D6F" w:rsidRPr="009C7C80">
        <w:rPr>
          <w:rFonts w:ascii="Simplified Arabic" w:eastAsiaTheme="minorHAnsi" w:hAnsi="Simplified Arabic" w:hint="cs"/>
          <w:kern w:val="0"/>
          <w:sz w:val="24"/>
          <w:rtl/>
          <w:lang w:val="en-CA"/>
        </w:rPr>
        <w:t>370 465</w:t>
      </w:r>
      <w:r w:rsidR="00512A03" w:rsidRPr="009C7C80">
        <w:rPr>
          <w:rFonts w:ascii="Simplified Arabic" w:eastAsiaTheme="minorHAnsi" w:hAnsi="Simplified Arabic" w:hint="cs"/>
          <w:kern w:val="0"/>
          <w:sz w:val="24"/>
          <w:rtl/>
          <w:lang w:val="en-CA"/>
        </w:rPr>
        <w:t xml:space="preserve"> دولارا للاج</w:t>
      </w:r>
      <w:r w:rsidR="00512A03">
        <w:rPr>
          <w:rFonts w:ascii="Simplified Arabic" w:eastAsiaTheme="minorHAnsi" w:hAnsi="Simplified Arabic" w:hint="cs"/>
          <w:kern w:val="0"/>
          <w:sz w:val="24"/>
          <w:rtl/>
          <w:lang w:val="en-CA"/>
        </w:rPr>
        <w:t>تماع الثاني عشر لمؤتمر الأطراف وا</w:t>
      </w:r>
      <w:r w:rsidR="00542935">
        <w:rPr>
          <w:rFonts w:ascii="Simplified Arabic" w:eastAsiaTheme="minorHAnsi" w:hAnsi="Simplified Arabic" w:hint="cs"/>
          <w:kern w:val="0"/>
          <w:sz w:val="24"/>
          <w:rtl/>
          <w:lang w:val="en-CA"/>
        </w:rPr>
        <w:t xml:space="preserve">لاجتماع السابع </w:t>
      </w:r>
      <w:r w:rsidR="00542935" w:rsidRPr="00334A81">
        <w:rPr>
          <w:rFonts w:ascii="Simplified Arabic" w:eastAsiaTheme="minorHAnsi" w:hAnsi="Simplified Arabic"/>
          <w:kern w:val="0"/>
          <w:sz w:val="24"/>
          <w:rtl/>
          <w:lang w:val="en-CA"/>
        </w:rPr>
        <w:t xml:space="preserve">لمؤتمر الأطراف العامل كاجتماع للأطراف في بروتوكول قرطاجنة </w:t>
      </w:r>
      <w:r w:rsidR="00542935">
        <w:rPr>
          <w:rFonts w:ascii="Simplified Arabic" w:eastAsiaTheme="minorHAnsi" w:hAnsi="Simplified Arabic" w:hint="cs"/>
          <w:kern w:val="0"/>
          <w:sz w:val="24"/>
          <w:rtl/>
          <w:lang w:val="en-CA"/>
        </w:rPr>
        <w:t>و</w:t>
      </w:r>
      <w:r w:rsidR="00D63D6F">
        <w:rPr>
          <w:rFonts w:ascii="Simplified Arabic" w:eastAsiaTheme="minorHAnsi" w:hAnsi="Simplified Arabic" w:hint="cs"/>
          <w:kern w:val="0"/>
          <w:sz w:val="24"/>
          <w:rtl/>
          <w:lang w:val="en-CA"/>
        </w:rPr>
        <w:t xml:space="preserve">102 045 </w:t>
      </w:r>
      <w:r w:rsidR="00D63D6F" w:rsidRPr="009C7C80">
        <w:rPr>
          <w:rFonts w:ascii="Simplified Arabic" w:eastAsiaTheme="minorHAnsi" w:hAnsi="Simplified Arabic" w:hint="cs"/>
          <w:kern w:val="0"/>
          <w:sz w:val="24"/>
          <w:rtl/>
          <w:lang w:val="en-CA"/>
        </w:rPr>
        <w:t>1</w:t>
      </w:r>
      <w:r w:rsidR="00542935" w:rsidRPr="009C7C80">
        <w:rPr>
          <w:rFonts w:ascii="Simplified Arabic" w:eastAsiaTheme="minorHAnsi" w:hAnsi="Simplified Arabic" w:hint="cs"/>
          <w:kern w:val="0"/>
          <w:sz w:val="24"/>
          <w:rtl/>
          <w:lang w:val="en-CA"/>
        </w:rPr>
        <w:t xml:space="preserve"> دولار للاجتماع العاشر لمؤتمر الأطراف والاجتماع الخامس </w:t>
      </w:r>
      <w:r w:rsidR="00542935" w:rsidRPr="009C7C80">
        <w:rPr>
          <w:rFonts w:ascii="Simplified Arabic" w:eastAsiaTheme="minorHAnsi" w:hAnsi="Simplified Arabic"/>
          <w:kern w:val="0"/>
          <w:sz w:val="24"/>
          <w:rtl/>
          <w:lang w:val="en-CA"/>
        </w:rPr>
        <w:t>لمؤتمر الأطراف العامل كاجتماع للأطراف في بروتوكول قرطاجنة</w:t>
      </w:r>
      <w:r w:rsidR="00542935" w:rsidRPr="009C7C80">
        <w:rPr>
          <w:rFonts w:ascii="Simplified Arabic" w:eastAsiaTheme="minorHAnsi" w:hAnsi="Simplified Arabic" w:hint="cs"/>
          <w:kern w:val="0"/>
          <w:sz w:val="24"/>
          <w:rtl/>
          <w:lang w:val="en-CA"/>
        </w:rPr>
        <w:t>. و</w:t>
      </w:r>
      <w:r w:rsidR="007402D1" w:rsidRPr="009C7C80">
        <w:rPr>
          <w:rFonts w:ascii="Simplified Arabic" w:eastAsiaTheme="minorHAnsi" w:hAnsi="Simplified Arabic" w:hint="cs"/>
          <w:kern w:val="0"/>
          <w:sz w:val="24"/>
          <w:rtl/>
          <w:lang w:val="en-CA"/>
        </w:rPr>
        <w:t>بلغت المساهمات المتعلقة</w:t>
      </w:r>
      <w:r w:rsidR="00542935" w:rsidRPr="009C7C80">
        <w:rPr>
          <w:rFonts w:ascii="Simplified Arabic" w:eastAsiaTheme="minorHAnsi" w:hAnsi="Simplified Arabic" w:hint="cs"/>
          <w:kern w:val="0"/>
          <w:sz w:val="24"/>
          <w:rtl/>
          <w:lang w:val="en-CA"/>
        </w:rPr>
        <w:t xml:space="preserve"> بالاجتماعات المتزامنة لعام 2016، </w:t>
      </w:r>
      <w:r w:rsidR="007402D1" w:rsidRPr="009C7C80">
        <w:rPr>
          <w:rFonts w:ascii="Simplified Arabic" w:eastAsiaTheme="minorHAnsi" w:hAnsi="Simplified Arabic" w:hint="cs"/>
          <w:kern w:val="0"/>
          <w:sz w:val="24"/>
          <w:rtl/>
          <w:lang w:val="en-CA"/>
        </w:rPr>
        <w:t xml:space="preserve">ما مجموعه </w:t>
      </w:r>
      <w:r w:rsidR="00D63D6F" w:rsidRPr="009C7C80">
        <w:rPr>
          <w:rFonts w:ascii="Simplified Arabic" w:eastAsiaTheme="minorHAnsi" w:hAnsi="Simplified Arabic" w:hint="cs"/>
          <w:kern w:val="0"/>
          <w:sz w:val="24"/>
          <w:rtl/>
          <w:lang w:val="en-CA"/>
        </w:rPr>
        <w:t>000 672 دولار</w:t>
      </w:r>
      <w:r w:rsidR="007402D1" w:rsidRPr="009C7C80">
        <w:rPr>
          <w:rFonts w:ascii="Simplified Arabic" w:eastAsiaTheme="minorHAnsi" w:hAnsi="Simplified Arabic" w:hint="cs"/>
          <w:kern w:val="0"/>
          <w:sz w:val="24"/>
          <w:rtl/>
          <w:lang w:val="en-CA"/>
        </w:rPr>
        <w:t>.</w:t>
      </w:r>
    </w:p>
    <w:p w:rsidR="009E06E0" w:rsidRPr="00DF33EE" w:rsidRDefault="00260288" w:rsidP="004B47F5">
      <w:pPr>
        <w:numPr>
          <w:ilvl w:val="0"/>
          <w:numId w:val="11"/>
        </w:numPr>
        <w:spacing w:after="120"/>
        <w:ind w:left="0" w:firstLine="0"/>
        <w:rPr>
          <w:sz w:val="22"/>
          <w:lang w:bidi="ar-EG"/>
        </w:rPr>
      </w:pPr>
      <w:r>
        <w:rPr>
          <w:rFonts w:ascii="Simplified Arabic" w:eastAsiaTheme="minorHAnsi" w:hAnsi="Simplified Arabic" w:hint="cs"/>
          <w:kern w:val="0"/>
          <w:sz w:val="24"/>
          <w:rtl/>
          <w:lang w:val="en-CA"/>
        </w:rPr>
        <w:t xml:space="preserve">وكان النهج </w:t>
      </w:r>
      <w:r w:rsidR="0018650B">
        <w:rPr>
          <w:rFonts w:ascii="Simplified Arabic" w:eastAsiaTheme="minorHAnsi" w:hAnsi="Simplified Arabic" w:hint="cs"/>
          <w:kern w:val="0"/>
          <w:sz w:val="24"/>
          <w:rtl/>
          <w:lang w:val="en-CA"/>
        </w:rPr>
        <w:t xml:space="preserve">العام </w:t>
      </w:r>
      <w:r>
        <w:rPr>
          <w:rFonts w:ascii="Simplified Arabic" w:eastAsiaTheme="minorHAnsi" w:hAnsi="Simplified Arabic" w:hint="cs"/>
          <w:kern w:val="0"/>
          <w:sz w:val="24"/>
          <w:rtl/>
          <w:lang w:val="en-CA"/>
        </w:rPr>
        <w:t>الذي اتبعته الأمانة في الاجتماعات السابقة هو تزويد كل بلد مؤهل بما يعادل تذكرة طيران ذهابا وإيابا من الدرجة الاقتصادية</w:t>
      </w:r>
      <w:r w:rsidR="00C60CEA">
        <w:rPr>
          <w:rFonts w:ascii="Simplified Arabic" w:eastAsiaTheme="minorHAnsi" w:hAnsi="Simplified Arabic" w:hint="cs"/>
          <w:kern w:val="0"/>
          <w:sz w:val="24"/>
          <w:rtl/>
          <w:lang w:val="en-CA"/>
        </w:rPr>
        <w:t>،</w:t>
      </w:r>
      <w:r>
        <w:rPr>
          <w:rFonts w:ascii="Simplified Arabic" w:eastAsiaTheme="minorHAnsi" w:hAnsi="Simplified Arabic" w:hint="cs"/>
          <w:kern w:val="0"/>
          <w:sz w:val="24"/>
          <w:rtl/>
          <w:lang w:val="en-CA"/>
        </w:rPr>
        <w:t xml:space="preserve"> وما يعادل بدل إقامة يومي لثلاثة أسابيع</w:t>
      </w:r>
      <w:r w:rsidR="00542935">
        <w:rPr>
          <w:rFonts w:ascii="Simplified Arabic" w:eastAsiaTheme="minorHAnsi" w:hAnsi="Simplified Arabic" w:hint="cs"/>
          <w:kern w:val="0"/>
          <w:sz w:val="24"/>
          <w:rtl/>
          <w:lang w:val="en-CA"/>
        </w:rPr>
        <w:t xml:space="preserve"> </w:t>
      </w:r>
      <w:r>
        <w:rPr>
          <w:rFonts w:ascii="Simplified Arabic" w:eastAsiaTheme="minorHAnsi" w:hAnsi="Simplified Arabic" w:hint="cs"/>
          <w:kern w:val="0"/>
          <w:sz w:val="24"/>
          <w:rtl/>
          <w:lang w:val="en-CA"/>
        </w:rPr>
        <w:t>لشخص واحد</w:t>
      </w:r>
      <w:r w:rsidR="004B47F5">
        <w:rPr>
          <w:rFonts w:ascii="Simplified Arabic" w:eastAsiaTheme="minorHAnsi" w:hAnsi="Simplified Arabic" w:hint="cs"/>
          <w:kern w:val="0"/>
          <w:sz w:val="24"/>
          <w:rtl/>
          <w:lang w:val="en-CA"/>
        </w:rPr>
        <w:t>.</w:t>
      </w:r>
      <w:r>
        <w:rPr>
          <w:rStyle w:val="FootnoteReference"/>
          <w:rFonts w:ascii="Simplified Arabic" w:eastAsiaTheme="minorHAnsi" w:hAnsi="Simplified Arabic"/>
          <w:kern w:val="0"/>
          <w:sz w:val="24"/>
          <w:rtl/>
          <w:lang w:val="en-CA"/>
        </w:rPr>
        <w:footnoteReference w:id="9"/>
      </w:r>
      <w:r>
        <w:rPr>
          <w:rFonts w:ascii="Simplified Arabic" w:eastAsiaTheme="minorHAnsi" w:hAnsi="Simplified Arabic" w:hint="cs"/>
          <w:kern w:val="0"/>
          <w:sz w:val="24"/>
          <w:rtl/>
          <w:lang w:val="en-CA"/>
        </w:rPr>
        <w:t xml:space="preserve"> ثم كان على الأطراف تحديد رغبتهم في كيفية الاستفادة من هذه الأموال. وعلى سبيل المثال، اختارت بعض الأطراف </w:t>
      </w:r>
      <w:r w:rsidR="00517861">
        <w:rPr>
          <w:rFonts w:ascii="Simplified Arabic" w:eastAsiaTheme="minorHAnsi" w:hAnsi="Simplified Arabic" w:hint="cs"/>
          <w:kern w:val="0"/>
          <w:sz w:val="24"/>
          <w:rtl/>
          <w:lang w:val="en-CA"/>
        </w:rPr>
        <w:t>إرسال مشارك واحد لتغطية المسائ</w:t>
      </w:r>
      <w:r w:rsidR="0018650B">
        <w:rPr>
          <w:rFonts w:ascii="Simplified Arabic" w:eastAsiaTheme="minorHAnsi" w:hAnsi="Simplified Arabic" w:hint="cs"/>
          <w:kern w:val="0"/>
          <w:sz w:val="24"/>
          <w:rtl/>
          <w:lang w:val="en-CA"/>
        </w:rPr>
        <w:t>ل المتعلقة بالاتفاقية وبروتوكولي</w:t>
      </w:r>
      <w:r w:rsidR="00517861">
        <w:rPr>
          <w:rFonts w:ascii="Simplified Arabic" w:eastAsiaTheme="minorHAnsi" w:hAnsi="Simplified Arabic" w:hint="cs"/>
          <w:kern w:val="0"/>
          <w:sz w:val="24"/>
          <w:rtl/>
          <w:lang w:val="en-CA"/>
        </w:rPr>
        <w:t xml:space="preserve">ها بينما اختارت أطراف أخرى تخصيص تذكرة السفر لأحد المشاركين وتخصيص بدل الإقامة اليومي إلى آخر. وتم اتباع نهج مماثل في الاجتماعات المتزامنة في عام 2016. غير أنه تم خفض بدل الإقامة اليومي المتاح إلى أسبوعين نظرا لقصر مدة الاجتماعات. وقد أسفر عقد اجتماعات متزامنة، بصفة عامة، عن تخفيض أسبوع واحد من بدل الإقامة اليومي </w:t>
      </w:r>
      <w:r w:rsidR="00C60CEA">
        <w:rPr>
          <w:rFonts w:ascii="Simplified Arabic" w:eastAsiaTheme="minorHAnsi" w:hAnsi="Simplified Arabic" w:hint="cs"/>
          <w:kern w:val="0"/>
          <w:sz w:val="24"/>
          <w:rtl/>
          <w:lang w:val="en-CA"/>
        </w:rPr>
        <w:t>ا</w:t>
      </w:r>
      <w:r w:rsidR="00517861">
        <w:rPr>
          <w:rFonts w:ascii="Simplified Arabic" w:eastAsiaTheme="minorHAnsi" w:hAnsi="Simplified Arabic" w:hint="cs"/>
          <w:kern w:val="0"/>
          <w:sz w:val="24"/>
          <w:rtl/>
          <w:lang w:val="en-CA"/>
        </w:rPr>
        <w:t>لذي قدمته الأمانة بمساهمات من المانحين.</w:t>
      </w:r>
      <w:r w:rsidR="000D5725">
        <w:rPr>
          <w:rFonts w:ascii="Simplified Arabic" w:eastAsiaTheme="minorHAnsi" w:hAnsi="Simplified Arabic" w:hint="cs"/>
          <w:kern w:val="0"/>
          <w:sz w:val="24"/>
          <w:rtl/>
          <w:lang w:val="en-CA"/>
        </w:rPr>
        <w:t xml:space="preserve"> ومع ذلك، ونظرا لأن بعض الأطراف قد تلقت أيضا دعما للمشاركة في الجزء الرفيع المستوى للاجتماعات والذي عقد قبل بضعة أيام من الاجتماعات المتزامنة، كان الانخفاض العام في بدل الإقامة اليومي لبعض الأطراف أقل.</w:t>
      </w:r>
      <w:r w:rsidR="00517861">
        <w:rPr>
          <w:rFonts w:ascii="Simplified Arabic" w:eastAsiaTheme="minorHAnsi" w:hAnsi="Simplified Arabic" w:hint="cs"/>
          <w:kern w:val="0"/>
          <w:sz w:val="24"/>
          <w:rtl/>
          <w:lang w:val="en-CA"/>
        </w:rPr>
        <w:t xml:space="preserve"> </w:t>
      </w:r>
      <w:r w:rsidR="0062293F">
        <w:rPr>
          <w:rFonts w:ascii="Simplified Arabic" w:eastAsiaTheme="minorHAnsi" w:hAnsi="Simplified Arabic" w:hint="cs"/>
          <w:kern w:val="0"/>
          <w:sz w:val="24"/>
          <w:rtl/>
          <w:lang w:val="en-CA"/>
        </w:rPr>
        <w:t xml:space="preserve">وعلاوة على ذلك، كان من الصعب تاريخيا تأمين أموال </w:t>
      </w:r>
      <w:r w:rsidR="0062293F" w:rsidRPr="00334A81">
        <w:rPr>
          <w:rFonts w:ascii="Simplified Arabic" w:eastAsiaTheme="minorHAnsi" w:hAnsi="Simplified Arabic"/>
          <w:kern w:val="0"/>
          <w:sz w:val="24"/>
          <w:rtl/>
          <w:lang w:val="en-CA"/>
        </w:rPr>
        <w:t>لمؤتمر الأطراف العامل كاجتماع للأطراف في بروتوكول قرطاجنة</w:t>
      </w:r>
      <w:r w:rsidR="0062293F">
        <w:rPr>
          <w:rFonts w:ascii="Simplified Arabic" w:eastAsiaTheme="minorHAnsi" w:hAnsi="Simplified Arabic" w:hint="cs"/>
          <w:kern w:val="0"/>
          <w:sz w:val="24"/>
          <w:rtl/>
          <w:lang w:val="en-CA"/>
        </w:rPr>
        <w:t xml:space="preserve"> بالمقارنة باجتماعات مؤتمر الأطراف</w:t>
      </w:r>
      <w:r w:rsidR="00C60CEA">
        <w:rPr>
          <w:rFonts w:ascii="Simplified Arabic" w:eastAsiaTheme="minorHAnsi" w:hAnsi="Simplified Arabic" w:hint="cs"/>
          <w:kern w:val="0"/>
          <w:sz w:val="24"/>
          <w:rtl/>
          <w:lang w:val="en-CA"/>
        </w:rPr>
        <w:t xml:space="preserve"> في الاتفاقية</w:t>
      </w:r>
      <w:r w:rsidR="0062293F">
        <w:rPr>
          <w:rFonts w:ascii="Simplified Arabic" w:eastAsiaTheme="minorHAnsi" w:hAnsi="Simplified Arabic" w:hint="cs"/>
          <w:kern w:val="0"/>
          <w:sz w:val="24"/>
          <w:rtl/>
          <w:lang w:val="en-CA"/>
        </w:rPr>
        <w:t>. وقد أدى عقد اجتماعات متزامنة إلى تقليل هذا التباين</w:t>
      </w:r>
      <w:r w:rsidR="00DF33EE">
        <w:rPr>
          <w:rFonts w:ascii="Simplified Arabic" w:eastAsiaTheme="minorHAnsi" w:hAnsi="Simplified Arabic" w:hint="cs"/>
          <w:kern w:val="0"/>
          <w:sz w:val="24"/>
          <w:rtl/>
          <w:lang w:val="en-CA"/>
        </w:rPr>
        <w:t xml:space="preserve"> حيث تم توفير الأموال للاجتماعات المتزامنة بدلا من توفيرها لاجتماع بعينه.</w:t>
      </w:r>
    </w:p>
    <w:p w:rsidR="00DF33EE" w:rsidRPr="00064081" w:rsidRDefault="00DF33EE" w:rsidP="009D582A">
      <w:pPr>
        <w:numPr>
          <w:ilvl w:val="0"/>
          <w:numId w:val="11"/>
        </w:numPr>
        <w:spacing w:after="120"/>
        <w:ind w:left="0" w:firstLine="0"/>
        <w:rPr>
          <w:sz w:val="22"/>
          <w:lang w:bidi="ar-EG"/>
        </w:rPr>
      </w:pPr>
      <w:r>
        <w:rPr>
          <w:rFonts w:ascii="Simplified Arabic" w:eastAsiaTheme="minorHAnsi" w:hAnsi="Simplified Arabic" w:hint="cs"/>
          <w:kern w:val="0"/>
          <w:sz w:val="24"/>
          <w:rtl/>
        </w:rPr>
        <w:t>وقد تراوح عدد الأطراف التي تلق</w:t>
      </w:r>
      <w:r w:rsidR="00034DEB">
        <w:rPr>
          <w:rFonts w:ascii="Simplified Arabic" w:eastAsiaTheme="minorHAnsi" w:hAnsi="Simplified Arabic" w:hint="cs"/>
          <w:kern w:val="0"/>
          <w:sz w:val="24"/>
          <w:rtl/>
        </w:rPr>
        <w:t>ت</w:t>
      </w:r>
      <w:r>
        <w:rPr>
          <w:rFonts w:ascii="Simplified Arabic" w:eastAsiaTheme="minorHAnsi" w:hAnsi="Simplified Arabic" w:hint="cs"/>
          <w:kern w:val="0"/>
          <w:sz w:val="24"/>
          <w:rtl/>
        </w:rPr>
        <w:t xml:space="preserve"> دعما ماليا بين الاجتماع العاشر والاجتماع الثاني عشر لمؤتمر الأطراف من 74 (الاجتماع الثاني عشر لمؤتمر الأطراف) إلى 118 (الاجتماع العاشر لمؤتمر الأطراف)</w:t>
      </w:r>
      <w:r w:rsidR="00C60CEA">
        <w:rPr>
          <w:rFonts w:ascii="Simplified Arabic" w:eastAsiaTheme="minorHAnsi" w:hAnsi="Simplified Arabic" w:hint="cs"/>
          <w:kern w:val="0"/>
          <w:sz w:val="24"/>
          <w:rtl/>
        </w:rPr>
        <w:t>،</w:t>
      </w:r>
      <w:r>
        <w:rPr>
          <w:rFonts w:ascii="Simplified Arabic" w:eastAsiaTheme="minorHAnsi" w:hAnsi="Simplified Arabic" w:hint="cs"/>
          <w:kern w:val="0"/>
          <w:sz w:val="24"/>
          <w:rtl/>
        </w:rPr>
        <w:t xml:space="preserve"> وبلغ 101 طرف</w:t>
      </w:r>
      <w:r w:rsidR="00DA582E" w:rsidRPr="00DA582E">
        <w:rPr>
          <w:rFonts w:ascii="Simplified Arabic" w:eastAsiaTheme="minorHAnsi" w:hAnsi="Simplified Arabic" w:hint="cs"/>
          <w:kern w:val="0"/>
          <w:sz w:val="24"/>
          <w:rtl/>
        </w:rPr>
        <w:t xml:space="preserve"> </w:t>
      </w:r>
      <w:r w:rsidR="00DA582E">
        <w:rPr>
          <w:rFonts w:ascii="Simplified Arabic" w:eastAsiaTheme="minorHAnsi" w:hAnsi="Simplified Arabic" w:hint="cs"/>
          <w:kern w:val="0"/>
          <w:sz w:val="24"/>
          <w:rtl/>
        </w:rPr>
        <w:t>في المتوسط</w:t>
      </w:r>
      <w:r>
        <w:rPr>
          <w:rFonts w:ascii="Simplified Arabic" w:eastAsiaTheme="minorHAnsi" w:hAnsi="Simplified Arabic" w:hint="cs"/>
          <w:kern w:val="0"/>
          <w:sz w:val="24"/>
          <w:rtl/>
        </w:rPr>
        <w:t>.</w:t>
      </w:r>
      <w:r w:rsidR="00C2226E">
        <w:rPr>
          <w:rFonts w:ascii="Simplified Arabic" w:eastAsiaTheme="minorHAnsi" w:hAnsi="Simplified Arabic" w:hint="cs"/>
          <w:kern w:val="0"/>
          <w:sz w:val="24"/>
          <w:rtl/>
        </w:rPr>
        <w:t xml:space="preserve"> وتلقى 108 من الأطراف دعما خلال الاجتماعات المتزامنة في عام 2016. وبالمثل، فقد تباين أيضا عدد المشاركين الذين تلقوا الدعم. وتراوح عدد المشاركين الممولين بين الاجتماع العاشر والاجتماع الثاني عشر لمؤتمر الأطراف من 77 مشاركا (الاجتماع الثاني عشر</w:t>
      </w:r>
      <w:r w:rsidR="00DA582E" w:rsidRPr="00DA582E">
        <w:rPr>
          <w:rFonts w:ascii="Simplified Arabic" w:eastAsiaTheme="minorHAnsi" w:hAnsi="Simplified Arabic" w:hint="cs"/>
          <w:kern w:val="0"/>
          <w:sz w:val="24"/>
          <w:rtl/>
        </w:rPr>
        <w:t xml:space="preserve"> </w:t>
      </w:r>
      <w:r w:rsidR="00DA582E">
        <w:rPr>
          <w:rFonts w:ascii="Simplified Arabic" w:eastAsiaTheme="minorHAnsi" w:hAnsi="Simplified Arabic" w:hint="cs"/>
          <w:kern w:val="0"/>
          <w:sz w:val="24"/>
          <w:rtl/>
        </w:rPr>
        <w:t>لمؤتمر الأطراف</w:t>
      </w:r>
      <w:r w:rsidR="00C2226E">
        <w:rPr>
          <w:rFonts w:ascii="Simplified Arabic" w:eastAsiaTheme="minorHAnsi" w:hAnsi="Simplified Arabic" w:hint="cs"/>
          <w:kern w:val="0"/>
          <w:sz w:val="24"/>
          <w:rtl/>
        </w:rPr>
        <w:t>) إلى 139 مشاركا (الاجتماع العاشر</w:t>
      </w:r>
      <w:r w:rsidR="0018650B">
        <w:rPr>
          <w:rFonts w:ascii="Simplified Arabic" w:eastAsiaTheme="minorHAnsi" w:hAnsi="Simplified Arabic" w:hint="cs"/>
          <w:kern w:val="0"/>
          <w:sz w:val="24"/>
          <w:rtl/>
        </w:rPr>
        <w:t xml:space="preserve"> لمؤتمر الأطراف</w:t>
      </w:r>
      <w:r w:rsidR="00C2226E">
        <w:rPr>
          <w:rFonts w:ascii="Simplified Arabic" w:eastAsiaTheme="minorHAnsi" w:hAnsi="Simplified Arabic" w:hint="cs"/>
          <w:kern w:val="0"/>
          <w:sz w:val="24"/>
          <w:rtl/>
        </w:rPr>
        <w:t>) وبلغ 110 مشارك</w:t>
      </w:r>
      <w:r w:rsidR="00BD3E65">
        <w:rPr>
          <w:rFonts w:ascii="Simplified Arabic" w:eastAsiaTheme="minorHAnsi" w:hAnsi="Simplified Arabic" w:hint="cs"/>
          <w:kern w:val="0"/>
          <w:sz w:val="24"/>
          <w:rtl/>
        </w:rPr>
        <w:t>ين</w:t>
      </w:r>
      <w:r w:rsidR="00DA582E" w:rsidRPr="00DA582E">
        <w:rPr>
          <w:rFonts w:ascii="Simplified Arabic" w:eastAsiaTheme="minorHAnsi" w:hAnsi="Simplified Arabic" w:hint="cs"/>
          <w:kern w:val="0"/>
          <w:sz w:val="24"/>
          <w:rtl/>
        </w:rPr>
        <w:t xml:space="preserve"> </w:t>
      </w:r>
      <w:r w:rsidR="00DA582E">
        <w:rPr>
          <w:rFonts w:ascii="Simplified Arabic" w:eastAsiaTheme="minorHAnsi" w:hAnsi="Simplified Arabic" w:hint="cs"/>
          <w:kern w:val="0"/>
          <w:sz w:val="24"/>
          <w:rtl/>
        </w:rPr>
        <w:t>في المتوسط</w:t>
      </w:r>
      <w:r w:rsidR="00C2226E">
        <w:rPr>
          <w:rFonts w:ascii="Simplified Arabic" w:eastAsiaTheme="minorHAnsi" w:hAnsi="Simplified Arabic" w:hint="cs"/>
          <w:kern w:val="0"/>
          <w:sz w:val="24"/>
          <w:rtl/>
        </w:rPr>
        <w:t>.</w:t>
      </w:r>
      <w:r w:rsidR="00AB2DE2">
        <w:rPr>
          <w:rFonts w:ascii="Simplified Arabic" w:eastAsiaTheme="minorHAnsi" w:hAnsi="Simplified Arabic" w:hint="cs"/>
          <w:kern w:val="0"/>
          <w:sz w:val="24"/>
          <w:rtl/>
        </w:rPr>
        <w:t xml:space="preserve"> </w:t>
      </w:r>
      <w:r w:rsidR="00034DEB">
        <w:rPr>
          <w:rFonts w:ascii="Simplified Arabic" w:eastAsiaTheme="minorHAnsi" w:hAnsi="Simplified Arabic" w:hint="cs"/>
          <w:kern w:val="0"/>
          <w:sz w:val="24"/>
          <w:rtl/>
        </w:rPr>
        <w:t>وخلال الاجتماعات المتزامنة لعام 2016 تم تمويل ما</w:t>
      </w:r>
      <w:r w:rsidR="0018650B">
        <w:rPr>
          <w:rFonts w:ascii="Simplified Arabic" w:eastAsiaTheme="minorHAnsi" w:hAnsi="Simplified Arabic" w:hint="cs"/>
          <w:kern w:val="0"/>
          <w:sz w:val="24"/>
          <w:rtl/>
        </w:rPr>
        <w:t xml:space="preserve"> </w:t>
      </w:r>
      <w:r w:rsidR="00034DEB">
        <w:rPr>
          <w:rFonts w:ascii="Simplified Arabic" w:eastAsiaTheme="minorHAnsi" w:hAnsi="Simplified Arabic" w:hint="cs"/>
          <w:kern w:val="0"/>
          <w:sz w:val="24"/>
          <w:rtl/>
        </w:rPr>
        <w:t xml:space="preserve">مجموعه 119 مشاركا. وبينما كان عدد الأطراف والمشاركين المدعومين للمشاركة في الاجتماعات المتزامنة لعام 2016 أعلى بقليل من المتوسط، فإنه ليس من الواضح ما إذا كان يمكن اعتبار ذلك اتجاها إيجابيا نظرا للمتغيرات الأخرى </w:t>
      </w:r>
      <w:r w:rsidR="0018650B">
        <w:rPr>
          <w:rFonts w:ascii="Simplified Arabic" w:eastAsiaTheme="minorHAnsi" w:hAnsi="Simplified Arabic" w:hint="cs"/>
          <w:kern w:val="0"/>
          <w:sz w:val="24"/>
          <w:rtl/>
        </w:rPr>
        <w:t>المشار إليها أعلاه (ا</w:t>
      </w:r>
      <w:r w:rsidR="0024218B">
        <w:rPr>
          <w:rFonts w:ascii="Simplified Arabic" w:eastAsiaTheme="minorHAnsi" w:hAnsi="Simplified Arabic" w:hint="cs"/>
          <w:kern w:val="0"/>
          <w:sz w:val="24"/>
          <w:rtl/>
        </w:rPr>
        <w:t xml:space="preserve">نظر الشكل 3). وعلاوة على ذلك، فإنه من المهم ملاحظة أن العديد من المشاركين الممولين الذين حضروا اجتماعات مؤتمر الأطراف في اتفاقية التنوع البيولوجي شاركوا أيضا </w:t>
      </w:r>
      <w:r w:rsidR="0024218B" w:rsidRPr="009C7C80">
        <w:rPr>
          <w:rFonts w:ascii="Simplified Arabic" w:eastAsiaTheme="minorHAnsi" w:hAnsi="Simplified Arabic" w:hint="cs"/>
          <w:kern w:val="0"/>
          <w:sz w:val="24"/>
          <w:rtl/>
        </w:rPr>
        <w:t xml:space="preserve">في اجتماعات </w:t>
      </w:r>
      <w:r w:rsidR="0041442C" w:rsidRPr="009C7C80">
        <w:rPr>
          <w:rFonts w:ascii="Simplified Arabic" w:eastAsiaTheme="minorHAnsi" w:hAnsi="Simplified Arabic" w:hint="cs"/>
          <w:kern w:val="0"/>
          <w:sz w:val="24"/>
          <w:rtl/>
        </w:rPr>
        <w:t>مؤتمر الأطراف العامل كاجتماع للأطراف في البروتوكول</w:t>
      </w:r>
      <w:r w:rsidR="009D582A">
        <w:rPr>
          <w:rFonts w:ascii="Simplified Arabic" w:eastAsiaTheme="minorHAnsi" w:hAnsi="Simplified Arabic" w:hint="cs"/>
          <w:kern w:val="0"/>
          <w:sz w:val="24"/>
          <w:rtl/>
        </w:rPr>
        <w:t>ين</w:t>
      </w:r>
      <w:r w:rsidR="0024218B" w:rsidRPr="009C7C80">
        <w:rPr>
          <w:rFonts w:ascii="Simplified Arabic" w:eastAsiaTheme="minorHAnsi" w:hAnsi="Simplified Arabic" w:hint="cs"/>
          <w:kern w:val="0"/>
          <w:sz w:val="24"/>
          <w:rtl/>
        </w:rPr>
        <w:t>. وينطبق ذلك بصفة خاصة على المشاركة في الاجتماعات المتزامنة لعام 2016</w:t>
      </w:r>
      <w:r w:rsidR="00064081" w:rsidRPr="009C7C80">
        <w:rPr>
          <w:rFonts w:ascii="Simplified Arabic" w:eastAsiaTheme="minorHAnsi" w:hAnsi="Simplified Arabic" w:hint="cs"/>
          <w:kern w:val="0"/>
          <w:sz w:val="24"/>
          <w:rtl/>
        </w:rPr>
        <w:t xml:space="preserve"> حيث لم يكن هناك تمييز بين المشاركين في مؤتمر الأطراف والمشاركين في مؤتمر </w:t>
      </w:r>
      <w:r w:rsidR="00064081" w:rsidRPr="009C7C80">
        <w:rPr>
          <w:rFonts w:ascii="Simplified Arabic" w:eastAsiaTheme="minorHAnsi" w:hAnsi="Simplified Arabic" w:hint="cs"/>
          <w:kern w:val="0"/>
          <w:sz w:val="24"/>
          <w:rtl/>
        </w:rPr>
        <w:lastRenderedPageBreak/>
        <w:t>الأطراف العامل كاجتماع للأطراف في البروتوكول</w:t>
      </w:r>
      <w:r w:rsidR="00064081">
        <w:rPr>
          <w:rFonts w:ascii="Simplified Arabic" w:eastAsiaTheme="minorHAnsi" w:hAnsi="Simplified Arabic" w:hint="cs"/>
          <w:kern w:val="0"/>
          <w:sz w:val="24"/>
          <w:rtl/>
        </w:rPr>
        <w:t xml:space="preserve"> من حيث تقديم الدعم. وترك قرار تحديد </w:t>
      </w:r>
      <w:r w:rsidR="00C60CEA">
        <w:rPr>
          <w:rFonts w:ascii="Simplified Arabic" w:eastAsiaTheme="minorHAnsi" w:hAnsi="Simplified Arabic" w:hint="cs"/>
          <w:kern w:val="0"/>
          <w:sz w:val="24"/>
          <w:rtl/>
        </w:rPr>
        <w:t xml:space="preserve">الشخص </w:t>
      </w:r>
      <w:r w:rsidR="00064081">
        <w:rPr>
          <w:rFonts w:ascii="Simplified Arabic" w:eastAsiaTheme="minorHAnsi" w:hAnsi="Simplified Arabic" w:hint="cs"/>
          <w:kern w:val="0"/>
          <w:sz w:val="24"/>
          <w:rtl/>
        </w:rPr>
        <w:t>الذي سيتم إرساله للمشاركة في الاجتماعات إلى تقدير الأطراف المعنية.</w:t>
      </w:r>
    </w:p>
    <w:p w:rsidR="00064081" w:rsidRPr="00360E58" w:rsidRDefault="00710C59" w:rsidP="00237F98">
      <w:pPr>
        <w:numPr>
          <w:ilvl w:val="0"/>
          <w:numId w:val="11"/>
        </w:numPr>
        <w:spacing w:after="120"/>
        <w:ind w:left="0" w:firstLine="0"/>
        <w:rPr>
          <w:sz w:val="22"/>
          <w:lang w:bidi="ar-EG"/>
        </w:rPr>
      </w:pPr>
      <w:r>
        <w:rPr>
          <w:rFonts w:hint="cs"/>
          <w:sz w:val="22"/>
          <w:rtl/>
          <w:lang w:bidi="ar-EG"/>
        </w:rPr>
        <w:t xml:space="preserve">وفيما يتعلق باجتماعات مؤتمر الأطراف العامل كاجتماع للأطراف في بروتوكول قرطاجنة، تراوح عدد الأطراف </w:t>
      </w:r>
      <w:r w:rsidR="00DC1CB5">
        <w:rPr>
          <w:rFonts w:hint="cs"/>
          <w:sz w:val="22"/>
          <w:rtl/>
          <w:lang w:bidi="ar-EG"/>
        </w:rPr>
        <w:t xml:space="preserve">التي تلقت </w:t>
      </w:r>
      <w:r>
        <w:rPr>
          <w:rFonts w:hint="cs"/>
          <w:sz w:val="22"/>
          <w:rtl/>
          <w:lang w:bidi="ar-EG"/>
        </w:rPr>
        <w:t>دعم</w:t>
      </w:r>
      <w:r w:rsidR="00DC1CB5">
        <w:rPr>
          <w:rFonts w:hint="cs"/>
          <w:sz w:val="22"/>
          <w:rtl/>
          <w:lang w:bidi="ar-EG"/>
        </w:rPr>
        <w:t>ا</w:t>
      </w:r>
      <w:r>
        <w:rPr>
          <w:rFonts w:hint="cs"/>
          <w:sz w:val="22"/>
          <w:rtl/>
          <w:lang w:bidi="ar-EG"/>
        </w:rPr>
        <w:t xml:space="preserve"> بين الاجتماعين الخامس والسابع لمؤتمر الأطراف العامل كاجتماع للأطراف من 65 (الاجتماع السابع) إلى 81 (الاجتماع السادس)</w:t>
      </w:r>
      <w:r w:rsidR="00C60CEA">
        <w:rPr>
          <w:rFonts w:hint="cs"/>
          <w:sz w:val="22"/>
          <w:rtl/>
          <w:lang w:bidi="ar-EG"/>
        </w:rPr>
        <w:t>،</w:t>
      </w:r>
      <w:r>
        <w:rPr>
          <w:rFonts w:hint="cs"/>
          <w:sz w:val="22"/>
          <w:rtl/>
          <w:lang w:bidi="ar-EG"/>
        </w:rPr>
        <w:t xml:space="preserve"> وبلغ 74 طرفا</w:t>
      </w:r>
      <w:r w:rsidR="00DC1CB5" w:rsidRPr="00DC1CB5">
        <w:rPr>
          <w:rFonts w:hint="cs"/>
          <w:sz w:val="22"/>
          <w:rtl/>
          <w:lang w:bidi="ar-EG"/>
        </w:rPr>
        <w:t xml:space="preserve"> </w:t>
      </w:r>
      <w:r w:rsidR="00DC1CB5">
        <w:rPr>
          <w:rFonts w:hint="cs"/>
          <w:sz w:val="22"/>
          <w:rtl/>
          <w:lang w:bidi="ar-EG"/>
        </w:rPr>
        <w:t>في المتوسط</w:t>
      </w:r>
      <w:r>
        <w:rPr>
          <w:rFonts w:hint="cs"/>
          <w:sz w:val="22"/>
          <w:rtl/>
          <w:lang w:bidi="ar-EG"/>
        </w:rPr>
        <w:t>، كما أن عدد المشاركين الممولين قد تراوح من 67 (الاجتماع السابع) إلى 91 (الاجتماع السادس)</w:t>
      </w:r>
      <w:r w:rsidR="00C60CEA">
        <w:rPr>
          <w:rFonts w:hint="cs"/>
          <w:sz w:val="22"/>
          <w:rtl/>
          <w:lang w:bidi="ar-EG"/>
        </w:rPr>
        <w:t>،</w:t>
      </w:r>
      <w:r>
        <w:rPr>
          <w:rFonts w:hint="cs"/>
          <w:sz w:val="22"/>
          <w:rtl/>
          <w:lang w:bidi="ar-EG"/>
        </w:rPr>
        <w:t xml:space="preserve"> وبلغ 81 مشاركا</w:t>
      </w:r>
      <w:r w:rsidR="00DC1CB5" w:rsidRPr="00DC1CB5">
        <w:rPr>
          <w:rFonts w:hint="cs"/>
          <w:sz w:val="22"/>
          <w:rtl/>
          <w:lang w:bidi="ar-EG"/>
        </w:rPr>
        <w:t xml:space="preserve"> </w:t>
      </w:r>
      <w:r w:rsidR="00DC1CB5">
        <w:rPr>
          <w:rFonts w:hint="cs"/>
          <w:sz w:val="22"/>
          <w:rtl/>
          <w:lang w:bidi="ar-EG"/>
        </w:rPr>
        <w:t>في المتوسط.</w:t>
      </w:r>
      <w:r w:rsidR="00B174FF">
        <w:rPr>
          <w:rStyle w:val="FootnoteReference"/>
          <w:sz w:val="22"/>
          <w:rtl/>
        </w:rPr>
        <w:footnoteReference w:id="10"/>
      </w:r>
      <w:r w:rsidR="00B174FF">
        <w:rPr>
          <w:rFonts w:hint="cs"/>
          <w:sz w:val="22"/>
          <w:rtl/>
          <w:lang w:bidi="ar-EG"/>
        </w:rPr>
        <w:t xml:space="preserve"> </w:t>
      </w:r>
      <w:r w:rsidR="00813B1B">
        <w:rPr>
          <w:rFonts w:hint="cs"/>
          <w:sz w:val="22"/>
          <w:rtl/>
          <w:lang w:bidi="ar-EG"/>
        </w:rPr>
        <w:t xml:space="preserve">وفي حالة الاجتماعات المتزامنة لعام 2016، تم أيضا تسجيل </w:t>
      </w:r>
      <w:r w:rsidR="00460A01">
        <w:rPr>
          <w:rFonts w:hint="cs"/>
          <w:sz w:val="22"/>
          <w:rtl/>
          <w:lang w:bidi="ar-EG"/>
        </w:rPr>
        <w:t xml:space="preserve">جميع </w:t>
      </w:r>
      <w:r w:rsidR="00B7493D">
        <w:rPr>
          <w:rFonts w:hint="cs"/>
          <w:sz w:val="22"/>
          <w:rtl/>
          <w:lang w:bidi="ar-EG"/>
        </w:rPr>
        <w:t xml:space="preserve">المشاركين الممولين المسجلين في الاجتماع الثامن لمؤتمر الأطراف العامل كاجتماع للأطراف </w:t>
      </w:r>
      <w:r w:rsidR="001A11D0">
        <w:rPr>
          <w:rFonts w:hint="cs"/>
          <w:sz w:val="22"/>
          <w:rtl/>
          <w:lang w:bidi="ar-EG"/>
        </w:rPr>
        <w:t xml:space="preserve">للمشاركة في الاجتماع الثالث عشر لمؤتمر الأطراف. </w:t>
      </w:r>
      <w:r w:rsidR="00D274C9">
        <w:rPr>
          <w:rFonts w:hint="cs"/>
          <w:sz w:val="22"/>
          <w:rtl/>
          <w:lang w:bidi="ar-EG"/>
        </w:rPr>
        <w:t xml:space="preserve">وعلى الرغم من أن العدد الإجمالي </w:t>
      </w:r>
      <w:r w:rsidR="00C60CEA">
        <w:rPr>
          <w:rFonts w:hint="cs"/>
          <w:sz w:val="22"/>
          <w:rtl/>
          <w:lang w:bidi="ar-EG"/>
        </w:rPr>
        <w:t>ل</w:t>
      </w:r>
      <w:r w:rsidR="00D274C9">
        <w:rPr>
          <w:rFonts w:hint="cs"/>
          <w:sz w:val="22"/>
          <w:rtl/>
          <w:lang w:bidi="ar-EG"/>
        </w:rPr>
        <w:t>لأطراف والمشاركين الممولين في الاجتماع الثامن لمؤتمر الأطراف العامل كاجتماع للأطراف كان أعلى مما كان ع</w:t>
      </w:r>
      <w:r w:rsidR="00A66F9F">
        <w:rPr>
          <w:rFonts w:hint="cs"/>
          <w:sz w:val="22"/>
          <w:rtl/>
          <w:lang w:bidi="ar-EG"/>
        </w:rPr>
        <w:t>لي</w:t>
      </w:r>
      <w:r w:rsidR="00D274C9">
        <w:rPr>
          <w:rFonts w:hint="cs"/>
          <w:sz w:val="22"/>
          <w:rtl/>
          <w:lang w:bidi="ar-EG"/>
        </w:rPr>
        <w:t xml:space="preserve">ه في الاجتماعات السابقة لمؤتمر الأطراف العامل كاجتماع للأطراف في بروتوكول قرطاجنة، فإنه من المهم ملاحظة أن العدد </w:t>
      </w:r>
      <w:r w:rsidR="00E0738E">
        <w:rPr>
          <w:rFonts w:hint="cs"/>
          <w:sz w:val="22"/>
          <w:rtl/>
          <w:lang w:bidi="ar-EG"/>
        </w:rPr>
        <w:t xml:space="preserve">الدقيق للمشاركين الخبراء في بروتوكول قرطاجنة غير معروف. </w:t>
      </w:r>
      <w:r w:rsidR="0018650B">
        <w:rPr>
          <w:rFonts w:hint="cs"/>
          <w:sz w:val="22"/>
          <w:rtl/>
          <w:lang w:bidi="ar-EG"/>
        </w:rPr>
        <w:t>وبالإضافة إلى</w:t>
      </w:r>
      <w:r w:rsidR="00E0738E">
        <w:rPr>
          <w:rFonts w:hint="cs"/>
          <w:sz w:val="22"/>
          <w:rtl/>
          <w:lang w:bidi="ar-EG"/>
        </w:rPr>
        <w:t xml:space="preserve"> ذلك، في حين أن المشاركين الذين حضروا الاجتماعات السابقة</w:t>
      </w:r>
      <w:r w:rsidR="00E0738E" w:rsidRPr="00E0738E">
        <w:rPr>
          <w:rFonts w:ascii="Simplified Arabic" w:eastAsiaTheme="minorHAnsi" w:hAnsi="Simplified Arabic"/>
          <w:kern w:val="0"/>
          <w:sz w:val="24"/>
          <w:rtl/>
          <w:lang w:val="en-CA"/>
        </w:rPr>
        <w:t xml:space="preserve"> </w:t>
      </w:r>
      <w:r w:rsidR="00E0738E" w:rsidRPr="00334A81">
        <w:rPr>
          <w:rFonts w:ascii="Simplified Arabic" w:eastAsiaTheme="minorHAnsi" w:hAnsi="Simplified Arabic"/>
          <w:kern w:val="0"/>
          <w:sz w:val="24"/>
          <w:rtl/>
          <w:lang w:val="en-CA"/>
        </w:rPr>
        <w:t xml:space="preserve">لمؤتمر الأطراف العامل كاجتماع للأطراف في بروتوكول قرطاجنة </w:t>
      </w:r>
      <w:r w:rsidR="002815A7">
        <w:rPr>
          <w:rFonts w:ascii="Simplified Arabic" w:eastAsiaTheme="minorHAnsi" w:hAnsi="Simplified Arabic" w:hint="cs"/>
          <w:kern w:val="0"/>
          <w:sz w:val="24"/>
          <w:rtl/>
          <w:lang w:val="en-CA"/>
        </w:rPr>
        <w:t xml:space="preserve">لم </w:t>
      </w:r>
      <w:r w:rsidR="00360E58">
        <w:rPr>
          <w:rFonts w:ascii="Simplified Arabic" w:eastAsiaTheme="minorHAnsi" w:hAnsi="Simplified Arabic" w:hint="cs"/>
          <w:kern w:val="0"/>
          <w:sz w:val="24"/>
          <w:rtl/>
          <w:lang w:val="en-CA"/>
        </w:rPr>
        <w:t>يتابعوا</w:t>
      </w:r>
      <w:r w:rsidR="002815A7">
        <w:rPr>
          <w:rFonts w:ascii="Simplified Arabic" w:eastAsiaTheme="minorHAnsi" w:hAnsi="Simplified Arabic" w:hint="cs"/>
          <w:kern w:val="0"/>
          <w:sz w:val="24"/>
          <w:rtl/>
          <w:lang w:val="en-CA"/>
        </w:rPr>
        <w:t xml:space="preserve"> سوى </w:t>
      </w:r>
      <w:r w:rsidR="00237F98">
        <w:rPr>
          <w:rFonts w:ascii="Simplified Arabic" w:eastAsiaTheme="minorHAnsi" w:hAnsi="Simplified Arabic" w:hint="cs"/>
          <w:kern w:val="0"/>
          <w:sz w:val="24"/>
          <w:rtl/>
          <w:lang w:val="en-CA"/>
        </w:rPr>
        <w:t>المسائل</w:t>
      </w:r>
      <w:r w:rsidR="002815A7">
        <w:rPr>
          <w:rFonts w:ascii="Simplified Arabic" w:eastAsiaTheme="minorHAnsi" w:hAnsi="Simplified Arabic" w:hint="cs"/>
          <w:kern w:val="0"/>
          <w:sz w:val="24"/>
          <w:rtl/>
          <w:lang w:val="en-CA"/>
        </w:rPr>
        <w:t xml:space="preserve"> المتعلقة ببروتوكول قرطاجنة، كان على المشاركين في الاجتماعات المتزامنة </w:t>
      </w:r>
      <w:r w:rsidR="00360E58">
        <w:rPr>
          <w:rFonts w:ascii="Simplified Arabic" w:eastAsiaTheme="minorHAnsi" w:hAnsi="Simplified Arabic" w:hint="cs"/>
          <w:kern w:val="0"/>
          <w:sz w:val="24"/>
          <w:rtl/>
          <w:lang w:val="en-CA"/>
        </w:rPr>
        <w:t>متابعة</w:t>
      </w:r>
      <w:r w:rsidR="002815A7">
        <w:rPr>
          <w:rFonts w:ascii="Simplified Arabic" w:eastAsiaTheme="minorHAnsi" w:hAnsi="Simplified Arabic" w:hint="cs"/>
          <w:kern w:val="0"/>
          <w:sz w:val="24"/>
          <w:rtl/>
          <w:lang w:val="en-CA"/>
        </w:rPr>
        <w:t xml:space="preserve"> </w:t>
      </w:r>
      <w:r w:rsidR="00237F98">
        <w:rPr>
          <w:rFonts w:ascii="Simplified Arabic" w:eastAsiaTheme="minorHAnsi" w:hAnsi="Simplified Arabic" w:hint="cs"/>
          <w:kern w:val="0"/>
          <w:sz w:val="24"/>
          <w:rtl/>
          <w:lang w:val="en-CA"/>
        </w:rPr>
        <w:t>المسائل</w:t>
      </w:r>
      <w:r w:rsidR="00360E58">
        <w:rPr>
          <w:rFonts w:ascii="Simplified Arabic" w:eastAsiaTheme="minorHAnsi" w:hAnsi="Simplified Arabic" w:hint="cs"/>
          <w:kern w:val="0"/>
          <w:sz w:val="24"/>
          <w:rtl/>
          <w:lang w:val="en-CA"/>
        </w:rPr>
        <w:t xml:space="preserve"> المتعلقة بالاتفاقية والبروتوكول الآخر.</w:t>
      </w:r>
    </w:p>
    <w:p w:rsidR="00360E58" w:rsidRPr="00360E58" w:rsidRDefault="00360E58" w:rsidP="004B47F5">
      <w:pPr>
        <w:numPr>
          <w:ilvl w:val="0"/>
          <w:numId w:val="11"/>
        </w:numPr>
        <w:spacing w:after="120"/>
        <w:ind w:left="0" w:firstLine="0"/>
        <w:rPr>
          <w:sz w:val="22"/>
          <w:lang w:bidi="ar-EG"/>
        </w:rPr>
      </w:pPr>
      <w:r>
        <w:rPr>
          <w:rFonts w:ascii="Simplified Arabic" w:eastAsiaTheme="minorHAnsi" w:hAnsi="Simplified Arabic" w:hint="cs"/>
          <w:kern w:val="0"/>
          <w:sz w:val="24"/>
          <w:rtl/>
        </w:rPr>
        <w:t xml:space="preserve">وقد </w:t>
      </w:r>
      <w:r w:rsidRPr="009C7C80">
        <w:rPr>
          <w:rFonts w:ascii="Simplified Arabic" w:eastAsiaTheme="minorHAnsi" w:hAnsi="Simplified Arabic" w:hint="cs"/>
          <w:kern w:val="0"/>
          <w:sz w:val="24"/>
          <w:rtl/>
        </w:rPr>
        <w:t>عقد اجتماع</w:t>
      </w:r>
      <w:r w:rsidR="008D25CB" w:rsidRPr="009C7C80">
        <w:rPr>
          <w:rFonts w:ascii="Simplified Arabic" w:eastAsiaTheme="minorHAnsi" w:hAnsi="Simplified Arabic" w:hint="cs"/>
          <w:kern w:val="0"/>
          <w:sz w:val="24"/>
          <w:rtl/>
        </w:rPr>
        <w:t>ا</w:t>
      </w:r>
      <w:r w:rsidRPr="009C7C80">
        <w:rPr>
          <w:rFonts w:ascii="Simplified Arabic" w:eastAsiaTheme="minorHAnsi" w:hAnsi="Simplified Arabic" w:hint="cs"/>
          <w:kern w:val="0"/>
          <w:sz w:val="24"/>
          <w:rtl/>
        </w:rPr>
        <w:t xml:space="preserve"> مؤتمر</w:t>
      </w:r>
      <w:r>
        <w:rPr>
          <w:rFonts w:ascii="Simplified Arabic" w:eastAsiaTheme="minorHAnsi" w:hAnsi="Simplified Arabic" w:hint="cs"/>
          <w:kern w:val="0"/>
          <w:sz w:val="24"/>
          <w:rtl/>
        </w:rPr>
        <w:t xml:space="preserve"> الأطراف العامل كاجتماع للأطراف في بروتوكول ناغويا بالتزامن مع اجتماعات مؤتمر الأطراف، وبالتالي لا يمكن تحديد أي اتجاهات فيما يتعلق بتمويل الأطراف والمشاركين في هذ</w:t>
      </w:r>
      <w:r w:rsidR="00585122">
        <w:rPr>
          <w:rFonts w:ascii="Simplified Arabic" w:eastAsiaTheme="minorHAnsi" w:hAnsi="Simplified Arabic" w:hint="cs"/>
          <w:kern w:val="0"/>
          <w:sz w:val="24"/>
          <w:rtl/>
        </w:rPr>
        <w:t>ين</w:t>
      </w:r>
      <w:r>
        <w:rPr>
          <w:rFonts w:ascii="Simplified Arabic" w:eastAsiaTheme="minorHAnsi" w:hAnsi="Simplified Arabic" w:hint="cs"/>
          <w:kern w:val="0"/>
          <w:sz w:val="24"/>
          <w:rtl/>
        </w:rPr>
        <w:t xml:space="preserve"> الاجتماع</w:t>
      </w:r>
      <w:r w:rsidR="00585122">
        <w:rPr>
          <w:rFonts w:ascii="Simplified Arabic" w:eastAsiaTheme="minorHAnsi" w:hAnsi="Simplified Arabic" w:hint="cs"/>
          <w:kern w:val="0"/>
          <w:sz w:val="24"/>
          <w:rtl/>
        </w:rPr>
        <w:t>ين</w:t>
      </w:r>
      <w:r w:rsidR="004B47F5">
        <w:rPr>
          <w:rFonts w:ascii="Simplified Arabic" w:eastAsiaTheme="minorHAnsi" w:hAnsi="Simplified Arabic" w:hint="cs"/>
          <w:kern w:val="0"/>
          <w:sz w:val="24"/>
          <w:rtl/>
        </w:rPr>
        <w:t>.</w:t>
      </w:r>
      <w:r>
        <w:rPr>
          <w:rStyle w:val="FootnoteReference"/>
          <w:rFonts w:ascii="Simplified Arabic" w:eastAsiaTheme="minorHAnsi" w:hAnsi="Simplified Arabic"/>
          <w:kern w:val="0"/>
          <w:sz w:val="24"/>
          <w:rtl/>
        </w:rPr>
        <w:footnoteReference w:id="11"/>
      </w:r>
    </w:p>
    <w:p w:rsidR="00360E58" w:rsidRDefault="00360E58" w:rsidP="00360E58">
      <w:pPr>
        <w:spacing w:after="120"/>
        <w:rPr>
          <w:rFonts w:ascii="Simplified Arabic" w:eastAsiaTheme="minorHAnsi" w:hAnsi="Simplified Arabic"/>
          <w:b/>
          <w:bCs/>
          <w:kern w:val="0"/>
          <w:sz w:val="24"/>
          <w:rtl/>
        </w:rPr>
      </w:pPr>
      <w:r>
        <w:rPr>
          <w:rFonts w:ascii="Simplified Arabic" w:eastAsiaTheme="minorHAnsi" w:hAnsi="Simplified Arabic" w:hint="cs"/>
          <w:b/>
          <w:bCs/>
          <w:kern w:val="0"/>
          <w:sz w:val="24"/>
          <w:rtl/>
        </w:rPr>
        <w:t>الشكل 3</w:t>
      </w:r>
    </w:p>
    <w:p w:rsidR="008D25CB" w:rsidRDefault="00D558B5" w:rsidP="00360E58">
      <w:pPr>
        <w:spacing w:after="120"/>
        <w:rPr>
          <w:rFonts w:ascii="Simplified Arabic" w:eastAsiaTheme="minorHAnsi" w:hAnsi="Simplified Arabic"/>
          <w:b/>
          <w:bCs/>
          <w:kern w:val="0"/>
          <w:sz w:val="24"/>
          <w:rtl/>
        </w:rPr>
      </w:pPr>
      <w:r>
        <w:rPr>
          <w:rFonts w:ascii="Simplified Arabic" w:eastAsiaTheme="minorHAnsi" w:hAnsi="Simplified Arabic"/>
          <w:b/>
          <w:bCs/>
          <w:noProof/>
          <w:kern w:val="0"/>
          <w:sz w:val="24"/>
          <w:lang w:val="en-CA" w:eastAsia="en-CA"/>
        </w:rPr>
        <w:drawing>
          <wp:inline distT="0" distB="0" distL="0" distR="0" wp14:anchorId="07EC9402" wp14:editId="19F6CF85">
            <wp:extent cx="6079133" cy="180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79133" cy="1800000"/>
                    </a:xfrm>
                    <a:prstGeom prst="rect">
                      <a:avLst/>
                    </a:prstGeom>
                    <a:noFill/>
                  </pic:spPr>
                </pic:pic>
              </a:graphicData>
            </a:graphic>
          </wp:inline>
        </w:drawing>
      </w:r>
    </w:p>
    <w:p w:rsidR="00360E58" w:rsidRDefault="00360E58" w:rsidP="00BD3E65">
      <w:pPr>
        <w:pStyle w:val="ListParagraph"/>
        <w:numPr>
          <w:ilvl w:val="0"/>
          <w:numId w:val="11"/>
        </w:numPr>
        <w:bidi/>
        <w:spacing w:after="120"/>
        <w:ind w:left="0" w:firstLine="0"/>
        <w:rPr>
          <w:rFonts w:ascii="Simplified Arabic" w:eastAsiaTheme="minorHAnsi" w:hAnsi="Simplified Arabic" w:cs="Simplified Arabic"/>
          <w:sz w:val="24"/>
        </w:rPr>
      </w:pPr>
      <w:r w:rsidRPr="0036629A">
        <w:rPr>
          <w:rFonts w:ascii="Simplified Arabic" w:eastAsiaTheme="minorHAnsi" w:hAnsi="Simplified Arabic" w:cs="Simplified Arabic"/>
          <w:sz w:val="24"/>
          <w:rtl/>
        </w:rPr>
        <w:t xml:space="preserve">وقد تباين عدد </w:t>
      </w:r>
      <w:r w:rsidR="0036629A" w:rsidRPr="0036629A">
        <w:rPr>
          <w:rFonts w:ascii="Simplified Arabic" w:eastAsiaTheme="minorHAnsi" w:hAnsi="Simplified Arabic" w:cs="Simplified Arabic"/>
          <w:sz w:val="24"/>
          <w:rtl/>
        </w:rPr>
        <w:t>البلدان النامية الأطراف</w:t>
      </w:r>
      <w:r w:rsidRPr="0036629A">
        <w:rPr>
          <w:rFonts w:ascii="Simplified Arabic" w:eastAsiaTheme="minorHAnsi" w:hAnsi="Simplified Arabic" w:cs="Simplified Arabic"/>
          <w:sz w:val="24"/>
          <w:rtl/>
        </w:rPr>
        <w:t xml:space="preserve"> الذين يشاركون في اجتماعات مؤتمر الأطراف</w:t>
      </w:r>
      <w:r w:rsidR="0036629A" w:rsidRPr="0036629A">
        <w:rPr>
          <w:rFonts w:ascii="Simplified Arabic" w:eastAsiaTheme="minorHAnsi" w:hAnsi="Simplified Arabic" w:cs="Simplified Arabic"/>
          <w:sz w:val="24"/>
          <w:rtl/>
        </w:rPr>
        <w:t xml:space="preserve"> بمرور الوقت.</w:t>
      </w:r>
      <w:r w:rsidR="0036629A">
        <w:rPr>
          <w:rFonts w:ascii="Simplified Arabic" w:eastAsiaTheme="minorHAnsi" w:hAnsi="Simplified Arabic" w:cs="Simplified Arabic" w:hint="cs"/>
          <w:sz w:val="24"/>
          <w:rtl/>
        </w:rPr>
        <w:t xml:space="preserve"> وتراوح عدد البلدان النامية الأطراف المشاركين من الاجتماع السابع إلى الاجتماع الثاني عشر لمؤتمر الأطراف من 117 (85 في المائة)</w:t>
      </w:r>
      <w:r w:rsidR="00F96518">
        <w:rPr>
          <w:rStyle w:val="FootnoteReference"/>
          <w:rFonts w:ascii="Simplified Arabic" w:eastAsiaTheme="minorHAnsi" w:hAnsi="Simplified Arabic"/>
          <w:sz w:val="24"/>
          <w:rtl/>
        </w:rPr>
        <w:footnoteReference w:id="12"/>
      </w:r>
      <w:r w:rsidR="0036629A">
        <w:rPr>
          <w:rFonts w:ascii="Simplified Arabic" w:eastAsiaTheme="minorHAnsi" w:hAnsi="Simplified Arabic" w:cs="Simplified Arabic" w:hint="cs"/>
          <w:sz w:val="24"/>
          <w:rtl/>
        </w:rPr>
        <w:t xml:space="preserve"> خلال الاجتماع السابع لمؤتمر الأطراف إلى 138 (97 في المائة) خلال الاجتماع العاشر لمؤتمر الأطراف</w:t>
      </w:r>
      <w:r w:rsidR="00DB318B">
        <w:rPr>
          <w:rFonts w:ascii="Simplified Arabic" w:eastAsiaTheme="minorHAnsi" w:hAnsi="Simplified Arabic" w:cs="Simplified Arabic" w:hint="cs"/>
          <w:sz w:val="24"/>
          <w:rtl/>
        </w:rPr>
        <w:t>،</w:t>
      </w:r>
      <w:r w:rsidR="0036629A">
        <w:rPr>
          <w:rFonts w:ascii="Simplified Arabic" w:eastAsiaTheme="minorHAnsi" w:hAnsi="Simplified Arabic" w:cs="Simplified Arabic" w:hint="cs"/>
          <w:sz w:val="24"/>
          <w:rtl/>
        </w:rPr>
        <w:t xml:space="preserve"> وبلغ </w:t>
      </w:r>
      <w:r w:rsidR="00A66F9F">
        <w:rPr>
          <w:rFonts w:ascii="Simplified Arabic" w:eastAsiaTheme="minorHAnsi" w:hAnsi="Simplified Arabic" w:cs="Simplified Arabic" w:hint="cs"/>
          <w:sz w:val="24"/>
          <w:rtl/>
        </w:rPr>
        <w:t>متوسط</w:t>
      </w:r>
      <w:r w:rsidR="0036629A">
        <w:rPr>
          <w:rFonts w:ascii="Simplified Arabic" w:eastAsiaTheme="minorHAnsi" w:hAnsi="Simplified Arabic" w:cs="Simplified Arabic" w:hint="cs"/>
          <w:sz w:val="24"/>
          <w:rtl/>
        </w:rPr>
        <w:t xml:space="preserve"> الأطراف فيها 126 طرفا. وشارك 128 (88 في المائة) من البلدان النامية الأطراف في الاجتماعات المتزامنة في عام 2016. </w:t>
      </w:r>
      <w:r w:rsidR="00BD3E65">
        <w:rPr>
          <w:rFonts w:ascii="Simplified Arabic" w:eastAsiaTheme="minorHAnsi" w:hAnsi="Simplified Arabic" w:cs="Simplified Arabic" w:hint="cs"/>
          <w:sz w:val="24"/>
          <w:rtl/>
        </w:rPr>
        <w:t>وبالإضافة إلى</w:t>
      </w:r>
      <w:r w:rsidR="0036629A">
        <w:rPr>
          <w:rFonts w:ascii="Simplified Arabic" w:eastAsiaTheme="minorHAnsi" w:hAnsi="Simplified Arabic" w:cs="Simplified Arabic" w:hint="cs"/>
          <w:sz w:val="24"/>
          <w:rtl/>
        </w:rPr>
        <w:t xml:space="preserve"> ذلك، تباين أيضا عدد المشاركين من البلدان النامية الأطراف.</w:t>
      </w:r>
      <w:r w:rsidR="00DB318B">
        <w:rPr>
          <w:rFonts w:ascii="Simplified Arabic" w:eastAsiaTheme="minorHAnsi" w:hAnsi="Simplified Arabic" w:cs="Simplified Arabic" w:hint="cs"/>
          <w:sz w:val="24"/>
          <w:rtl/>
        </w:rPr>
        <w:t xml:space="preserve"> وبلغ </w:t>
      </w:r>
      <w:r w:rsidR="00A66F9F">
        <w:rPr>
          <w:rFonts w:ascii="Simplified Arabic" w:eastAsiaTheme="minorHAnsi" w:hAnsi="Simplified Arabic" w:cs="Simplified Arabic" w:hint="cs"/>
          <w:sz w:val="24"/>
          <w:rtl/>
        </w:rPr>
        <w:t>متوسط</w:t>
      </w:r>
      <w:r w:rsidR="00DB318B">
        <w:rPr>
          <w:rFonts w:ascii="Simplified Arabic" w:eastAsiaTheme="minorHAnsi" w:hAnsi="Simplified Arabic" w:cs="Simplified Arabic" w:hint="cs"/>
          <w:sz w:val="24"/>
          <w:rtl/>
        </w:rPr>
        <w:t xml:space="preserve"> عدد المشاركين من البلدان النامية الأطراف بين الاجتماعين السابع والثاني عشر لمؤتمر الأطراف 892 مشاركا وتراوح عددهم من 578 خلال الاجتماع السابع لمؤتمر الأطراف إلى </w:t>
      </w:r>
      <w:r w:rsidR="00BD3E65">
        <w:rPr>
          <w:rFonts w:ascii="Simplified Arabic" w:eastAsiaTheme="minorHAnsi" w:hAnsi="Simplified Arabic" w:cs="Simplified Arabic" w:hint="cs"/>
          <w:sz w:val="24"/>
          <w:rtl/>
        </w:rPr>
        <w:t>168 1</w:t>
      </w:r>
      <w:r w:rsidR="00DB318B">
        <w:rPr>
          <w:rFonts w:ascii="Simplified Arabic" w:eastAsiaTheme="minorHAnsi" w:hAnsi="Simplified Arabic" w:cs="Simplified Arabic" w:hint="cs"/>
          <w:sz w:val="24"/>
          <w:rtl/>
        </w:rPr>
        <w:t xml:space="preserve"> خلال الاجتماع العاشر لمؤتمر الأطراف. وكان هناك 922 مشاركا يمثلون البلدان النامية الأطراف خلال الاجتماعات المتزامنة لعام 2016. وعموما، يبدو أن مسألة عقد اجتماعات متزامنة ليست لها أثر على عدد البلدان النامية الأطراف والمشاركين الذين يحضرون الاجتماعات </w:t>
      </w:r>
      <w:r w:rsidR="00585122">
        <w:rPr>
          <w:rFonts w:ascii="Simplified Arabic" w:eastAsiaTheme="minorHAnsi" w:hAnsi="Simplified Arabic" w:cs="Simplified Arabic" w:hint="cs"/>
          <w:sz w:val="24"/>
          <w:rtl/>
        </w:rPr>
        <w:t>المتزامنة (ا</w:t>
      </w:r>
      <w:r w:rsidR="00DB318B">
        <w:rPr>
          <w:rFonts w:ascii="Simplified Arabic" w:eastAsiaTheme="minorHAnsi" w:hAnsi="Simplified Arabic" w:cs="Simplified Arabic" w:hint="cs"/>
          <w:sz w:val="24"/>
          <w:rtl/>
        </w:rPr>
        <w:t>نظر الشكل 4).</w:t>
      </w:r>
    </w:p>
    <w:p w:rsidR="00D972A3" w:rsidRDefault="00F60A54" w:rsidP="00B5234E">
      <w:pPr>
        <w:pStyle w:val="ListParagraph"/>
        <w:numPr>
          <w:ilvl w:val="0"/>
          <w:numId w:val="11"/>
        </w:numPr>
        <w:bidi/>
        <w:spacing w:after="120"/>
        <w:ind w:left="0" w:firstLine="0"/>
        <w:rPr>
          <w:rFonts w:ascii="Simplified Arabic" w:eastAsiaTheme="minorHAnsi" w:hAnsi="Simplified Arabic" w:cs="Simplified Arabic"/>
          <w:sz w:val="24"/>
        </w:rPr>
      </w:pPr>
      <w:r>
        <w:rPr>
          <w:rFonts w:ascii="Simplified Arabic" w:eastAsiaTheme="minorHAnsi" w:hAnsi="Simplified Arabic" w:cs="Simplified Arabic" w:hint="cs"/>
          <w:sz w:val="24"/>
          <w:rtl/>
        </w:rPr>
        <w:t xml:space="preserve">وتفاوتت أيضا مشاركة البلدان النامية في اجتماعات مؤتمر الأطراف العامل كاجتماع للأطراف في بروتوكول قرطاجنة مع مرور الوقت. وتراوح عدد البلدان النامية الأطراف المشاركة </w:t>
      </w:r>
      <w:r w:rsidR="00BD3E65">
        <w:rPr>
          <w:rFonts w:ascii="Simplified Arabic" w:eastAsiaTheme="minorHAnsi" w:hAnsi="Simplified Arabic" w:cs="Simplified Arabic" w:hint="cs"/>
          <w:sz w:val="24"/>
          <w:rtl/>
        </w:rPr>
        <w:t>بين</w:t>
      </w:r>
      <w:r>
        <w:rPr>
          <w:rFonts w:ascii="Simplified Arabic" w:eastAsiaTheme="minorHAnsi" w:hAnsi="Simplified Arabic" w:cs="Simplified Arabic" w:hint="cs"/>
          <w:sz w:val="24"/>
          <w:rtl/>
        </w:rPr>
        <w:t xml:space="preserve"> الاجتماع الأول </w:t>
      </w:r>
      <w:r w:rsidR="00BD3E65">
        <w:rPr>
          <w:rFonts w:ascii="Simplified Arabic" w:eastAsiaTheme="minorHAnsi" w:hAnsi="Simplified Arabic" w:cs="Simplified Arabic" w:hint="cs"/>
          <w:sz w:val="24"/>
          <w:rtl/>
        </w:rPr>
        <w:t>و</w:t>
      </w:r>
      <w:r>
        <w:rPr>
          <w:rFonts w:ascii="Simplified Arabic" w:eastAsiaTheme="minorHAnsi" w:hAnsi="Simplified Arabic" w:cs="Simplified Arabic" w:hint="cs"/>
          <w:sz w:val="24"/>
          <w:rtl/>
        </w:rPr>
        <w:t xml:space="preserve">الاجتماع السابع لمؤتمر الأطراف العامل كاجتماع للأطراف من 38 طرفا (68 في المائة) خلال الاجتماع الأول </w:t>
      </w:r>
      <w:r w:rsidR="007619FB">
        <w:rPr>
          <w:rFonts w:ascii="Simplified Arabic" w:eastAsiaTheme="minorHAnsi" w:hAnsi="Simplified Arabic" w:cs="Simplified Arabic" w:hint="cs"/>
          <w:sz w:val="24"/>
          <w:rtl/>
        </w:rPr>
        <w:t>إلى 93</w:t>
      </w:r>
      <w:r>
        <w:rPr>
          <w:rFonts w:ascii="Simplified Arabic" w:eastAsiaTheme="minorHAnsi" w:hAnsi="Simplified Arabic" w:cs="Simplified Arabic" w:hint="cs"/>
          <w:sz w:val="24"/>
          <w:rtl/>
        </w:rPr>
        <w:t xml:space="preserve"> طرفا (66 في المائة) خلال الاجتماع السادس. وبالنسبة للمشاركين، تراوح عدد المشاركين من البلدان النامية الأطراف الذين حضروا اجتماعات مؤتمر الأطراف العامل كاجتماع للأطراف بين 123 مشاركا خلال الاجتماع الأول و324 مشاركا خلال الاجتماع السادس.</w:t>
      </w:r>
      <w:r w:rsidR="00F96518">
        <w:rPr>
          <w:rFonts w:ascii="Simplified Arabic" w:eastAsiaTheme="minorHAnsi" w:hAnsi="Simplified Arabic" w:cs="Simplified Arabic" w:hint="cs"/>
          <w:sz w:val="24"/>
          <w:rtl/>
        </w:rPr>
        <w:t xml:space="preserve"> وحضر الاجتماع الثامن لمؤتمر الأطراف العامل كاجتماع للأطراف 104 </w:t>
      </w:r>
      <w:r w:rsidR="00585122">
        <w:rPr>
          <w:rFonts w:ascii="Simplified Arabic" w:eastAsiaTheme="minorHAnsi" w:hAnsi="Simplified Arabic" w:cs="Simplified Arabic" w:hint="cs"/>
          <w:sz w:val="24"/>
          <w:rtl/>
        </w:rPr>
        <w:t>أطراف</w:t>
      </w:r>
      <w:r w:rsidR="00F96518">
        <w:rPr>
          <w:rFonts w:ascii="Simplified Arabic" w:eastAsiaTheme="minorHAnsi" w:hAnsi="Simplified Arabic" w:cs="Simplified Arabic" w:hint="cs"/>
          <w:sz w:val="24"/>
          <w:rtl/>
        </w:rPr>
        <w:t xml:space="preserve"> (72 في المائة)</w:t>
      </w:r>
      <w:r w:rsidR="00A66F9F">
        <w:rPr>
          <w:rFonts w:ascii="Simplified Arabic" w:eastAsiaTheme="minorHAnsi" w:hAnsi="Simplified Arabic" w:cs="Simplified Arabic" w:hint="cs"/>
          <w:sz w:val="24"/>
          <w:rtl/>
        </w:rPr>
        <w:t>،</w:t>
      </w:r>
      <w:r w:rsidR="00F96518">
        <w:rPr>
          <w:rFonts w:ascii="Simplified Arabic" w:eastAsiaTheme="minorHAnsi" w:hAnsi="Simplified Arabic" w:cs="Simplified Arabic" w:hint="cs"/>
          <w:sz w:val="24"/>
          <w:rtl/>
        </w:rPr>
        <w:t xml:space="preserve"> و580 مشاركا. ويبدو أن عقد اجتماعات متزامنة أتاح للمزيد من الأطراف والممثلين من البلدان النامية حضور اجتماعات مؤتمر ا</w:t>
      </w:r>
      <w:r w:rsidR="00585122">
        <w:rPr>
          <w:rFonts w:ascii="Simplified Arabic" w:eastAsiaTheme="minorHAnsi" w:hAnsi="Simplified Arabic" w:cs="Simplified Arabic" w:hint="cs"/>
          <w:sz w:val="24"/>
          <w:rtl/>
        </w:rPr>
        <w:t>لأطراف العامل كاجتماع للأطراف (ا</w:t>
      </w:r>
      <w:r w:rsidR="00F96518">
        <w:rPr>
          <w:rFonts w:ascii="Simplified Arabic" w:eastAsiaTheme="minorHAnsi" w:hAnsi="Simplified Arabic" w:cs="Simplified Arabic" w:hint="cs"/>
          <w:sz w:val="24"/>
          <w:rtl/>
        </w:rPr>
        <w:t xml:space="preserve">نظر الشكل 5). </w:t>
      </w:r>
      <w:r w:rsidR="0076042E">
        <w:rPr>
          <w:rFonts w:ascii="Simplified Arabic" w:eastAsiaTheme="minorHAnsi" w:hAnsi="Simplified Arabic" w:cs="Simplified Arabic" w:hint="cs"/>
          <w:sz w:val="24"/>
          <w:rtl/>
        </w:rPr>
        <w:t xml:space="preserve">إلا أنه من المهم الإحاطة بأن هذه الأرقام لا تقدم أي معلومات بشأن العدد الفعلي للأطراف وممثلي البلدان النامية </w:t>
      </w:r>
      <w:r w:rsidR="00C63717">
        <w:rPr>
          <w:rFonts w:ascii="Simplified Arabic" w:eastAsiaTheme="minorHAnsi" w:hAnsi="Simplified Arabic" w:cs="Simplified Arabic" w:hint="cs"/>
          <w:sz w:val="24"/>
          <w:rtl/>
        </w:rPr>
        <w:t xml:space="preserve">الذين تابعوا </w:t>
      </w:r>
      <w:r w:rsidR="00947600">
        <w:rPr>
          <w:rFonts w:ascii="Simplified Arabic" w:eastAsiaTheme="minorHAnsi" w:hAnsi="Simplified Arabic" w:cs="Simplified Arabic" w:hint="cs"/>
          <w:sz w:val="24"/>
          <w:rtl/>
        </w:rPr>
        <w:t>مداولات</w:t>
      </w:r>
      <w:r w:rsidR="00A66F9F">
        <w:rPr>
          <w:rFonts w:ascii="Simplified Arabic" w:eastAsiaTheme="minorHAnsi" w:hAnsi="Simplified Arabic" w:cs="Simplified Arabic" w:hint="cs"/>
          <w:sz w:val="24"/>
          <w:rtl/>
        </w:rPr>
        <w:t xml:space="preserve"> الاجتماعات</w:t>
      </w:r>
      <w:r w:rsidR="00C63717">
        <w:rPr>
          <w:rFonts w:ascii="Simplified Arabic" w:eastAsiaTheme="minorHAnsi" w:hAnsi="Simplified Arabic" w:cs="Simplified Arabic" w:hint="cs"/>
          <w:sz w:val="24"/>
          <w:rtl/>
        </w:rPr>
        <w:t xml:space="preserve"> في إطار الاجتماع الثامن لمؤتمر الأطراف العامل كاجتماع للأطراف في بروتوكول قرطاجة للسلامة الأحيائية أو بشأن فعالية مشاركتهم. وبالنظر إلى أن بعض البلدان النامية الأطراف قد مثلتها وفود صغيرة لتعالج مسائل متعددة خلال الاجتماع، فإن قدرتها على المشاركة بفعالية من حيث الخبرة المناسبة </w:t>
      </w:r>
      <w:r w:rsidR="00B5234E">
        <w:rPr>
          <w:rFonts w:ascii="Simplified Arabic" w:eastAsiaTheme="minorHAnsi" w:hAnsi="Simplified Arabic" w:cs="Simplified Arabic" w:hint="cs"/>
          <w:sz w:val="24"/>
          <w:rtl/>
        </w:rPr>
        <w:t>قد تكون</w:t>
      </w:r>
      <w:r w:rsidR="00C63717">
        <w:rPr>
          <w:rFonts w:ascii="Simplified Arabic" w:eastAsiaTheme="minorHAnsi" w:hAnsi="Simplified Arabic" w:cs="Simplified Arabic" w:hint="cs"/>
          <w:sz w:val="24"/>
          <w:rtl/>
        </w:rPr>
        <w:t xml:space="preserve"> محدودة.</w:t>
      </w:r>
    </w:p>
    <w:p w:rsidR="00E93D32" w:rsidRDefault="007A3989" w:rsidP="005238CD">
      <w:pPr>
        <w:pStyle w:val="ListParagraph"/>
        <w:numPr>
          <w:ilvl w:val="0"/>
          <w:numId w:val="11"/>
        </w:numPr>
        <w:bidi/>
        <w:spacing w:after="120"/>
        <w:ind w:left="0" w:firstLine="0"/>
        <w:rPr>
          <w:rFonts w:ascii="Simplified Arabic" w:eastAsiaTheme="minorHAnsi" w:hAnsi="Simplified Arabic" w:cs="Simplified Arabic"/>
          <w:sz w:val="24"/>
        </w:rPr>
      </w:pPr>
      <w:r>
        <w:rPr>
          <w:rFonts w:ascii="Simplified Arabic" w:eastAsiaTheme="minorHAnsi" w:hAnsi="Simplified Arabic" w:cs="Simplified Arabic" w:hint="cs"/>
          <w:sz w:val="24"/>
          <w:rtl/>
        </w:rPr>
        <w:t>وبما أنه لم يعقد سوى اجتماعان لمؤتمر الأطراف العامل كاجتماع للأطراف في بروتوكول ناغويا، فإنه من الصعب تحديد الاتجاهات. وبما أن بروتوكول ناغويا دخل حيز التنفيذ خلا</w:t>
      </w:r>
      <w:r w:rsidR="007619FB">
        <w:rPr>
          <w:rFonts w:ascii="Simplified Arabic" w:eastAsiaTheme="minorHAnsi" w:hAnsi="Simplified Arabic" w:cs="Simplified Arabic" w:hint="cs"/>
          <w:sz w:val="24"/>
          <w:rtl/>
        </w:rPr>
        <w:t>ل</w:t>
      </w:r>
      <w:r>
        <w:rPr>
          <w:rFonts w:ascii="Simplified Arabic" w:eastAsiaTheme="minorHAnsi" w:hAnsi="Simplified Arabic" w:cs="Simplified Arabic" w:hint="cs"/>
          <w:sz w:val="24"/>
          <w:rtl/>
        </w:rPr>
        <w:t xml:space="preserve"> الاجتماع الثاني عشر لمؤتمر الأطراف، فإنه لا تتوافر أي معلومات بشأن المشاركة في الاجتماع الأول لمؤتمر الأطراف العامل كاجتماع للأطراف في بروتوكول ناغويا على وجه التحديد. وكان هناك 53 (76 في المائة) من </w:t>
      </w:r>
      <w:r w:rsidR="005238CD">
        <w:rPr>
          <w:rFonts w:ascii="Simplified Arabic" w:eastAsiaTheme="minorHAnsi" w:hAnsi="Simplified Arabic" w:cs="Simplified Arabic" w:hint="cs"/>
          <w:sz w:val="24"/>
          <w:rtl/>
        </w:rPr>
        <w:t>البلدان</w:t>
      </w:r>
      <w:r>
        <w:rPr>
          <w:rFonts w:ascii="Simplified Arabic" w:eastAsiaTheme="minorHAnsi" w:hAnsi="Simplified Arabic" w:cs="Simplified Arabic" w:hint="cs"/>
          <w:sz w:val="24"/>
          <w:rtl/>
        </w:rPr>
        <w:t xml:space="preserve"> النامية الأطراف المشاركة في الاجتماع الثاني لمؤتمر الأطراف العامل كاجتماع للأطراف في بروتوكول ناغويا، مث</w:t>
      </w:r>
      <w:r w:rsidR="00A66F9F">
        <w:rPr>
          <w:rFonts w:ascii="Simplified Arabic" w:eastAsiaTheme="minorHAnsi" w:hAnsi="Simplified Arabic" w:cs="Simplified Arabic" w:hint="cs"/>
          <w:sz w:val="24"/>
          <w:rtl/>
        </w:rPr>
        <w:t>َّ</w:t>
      </w:r>
      <w:r>
        <w:rPr>
          <w:rFonts w:ascii="Simplified Arabic" w:eastAsiaTheme="minorHAnsi" w:hAnsi="Simplified Arabic" w:cs="Simplified Arabic" w:hint="cs"/>
          <w:sz w:val="24"/>
          <w:rtl/>
        </w:rPr>
        <w:t>لها 320 مشاركا. وسيلزم المزيد من الوقت لتحديد الاتجاهات فيما يتعلق بالمشاركة.</w:t>
      </w:r>
    </w:p>
    <w:p w:rsidR="007A3989" w:rsidRDefault="001255C5" w:rsidP="004F56CD">
      <w:pPr>
        <w:pStyle w:val="ListParagraph"/>
        <w:numPr>
          <w:ilvl w:val="0"/>
          <w:numId w:val="11"/>
        </w:numPr>
        <w:bidi/>
        <w:spacing w:after="120"/>
        <w:ind w:left="0" w:firstLine="0"/>
        <w:rPr>
          <w:rFonts w:ascii="Simplified Arabic" w:eastAsiaTheme="minorHAnsi" w:hAnsi="Simplified Arabic" w:cs="Simplified Arabic"/>
          <w:sz w:val="24"/>
        </w:rPr>
      </w:pPr>
      <w:r>
        <w:rPr>
          <w:rFonts w:ascii="Simplified Arabic" w:eastAsiaTheme="minorHAnsi" w:hAnsi="Simplified Arabic" w:cs="Simplified Arabic" w:hint="cs"/>
          <w:sz w:val="24"/>
          <w:rtl/>
        </w:rPr>
        <w:t>وبوجه عام، يبدو أن عقد اجتماعات متزامنة</w:t>
      </w:r>
      <w:r w:rsidR="00320A3D">
        <w:rPr>
          <w:rFonts w:ascii="Simplified Arabic" w:eastAsiaTheme="minorHAnsi" w:hAnsi="Simplified Arabic" w:cs="Simplified Arabic" w:hint="cs"/>
          <w:sz w:val="24"/>
          <w:rtl/>
        </w:rPr>
        <w:t xml:space="preserve"> </w:t>
      </w:r>
      <w:r>
        <w:rPr>
          <w:rFonts w:ascii="Simplified Arabic" w:eastAsiaTheme="minorHAnsi" w:hAnsi="Simplified Arabic" w:cs="Simplified Arabic" w:hint="cs"/>
          <w:sz w:val="24"/>
          <w:rtl/>
        </w:rPr>
        <w:t xml:space="preserve">لم يكن له تأثير على مستوى مشاركة </w:t>
      </w:r>
      <w:r w:rsidR="005238CD">
        <w:rPr>
          <w:rFonts w:ascii="Simplified Arabic" w:eastAsiaTheme="minorHAnsi" w:hAnsi="Simplified Arabic" w:cs="Simplified Arabic" w:hint="cs"/>
          <w:sz w:val="24"/>
          <w:rtl/>
        </w:rPr>
        <w:t>البلدان</w:t>
      </w:r>
      <w:r>
        <w:rPr>
          <w:rFonts w:ascii="Simplified Arabic" w:eastAsiaTheme="minorHAnsi" w:hAnsi="Simplified Arabic" w:cs="Simplified Arabic" w:hint="cs"/>
          <w:sz w:val="24"/>
          <w:rtl/>
        </w:rPr>
        <w:t xml:space="preserve"> النامية الأطراف في اجتماع مؤتمر الأطراف. وفي حين أن مشاركة </w:t>
      </w:r>
      <w:r w:rsidR="005238CD">
        <w:rPr>
          <w:rFonts w:ascii="Simplified Arabic" w:eastAsiaTheme="minorHAnsi" w:hAnsi="Simplified Arabic" w:cs="Simplified Arabic" w:hint="cs"/>
          <w:sz w:val="24"/>
          <w:rtl/>
        </w:rPr>
        <w:t>البلدان</w:t>
      </w:r>
      <w:r>
        <w:rPr>
          <w:rFonts w:ascii="Simplified Arabic" w:eastAsiaTheme="minorHAnsi" w:hAnsi="Simplified Arabic" w:cs="Simplified Arabic" w:hint="cs"/>
          <w:sz w:val="24"/>
          <w:rtl/>
        </w:rPr>
        <w:t xml:space="preserve"> النامية الأطراف في اجتماع مؤتمر الأطراف العامل كاجتماع للأطراف في بروتوكول قرطاجنة قد ازدادت، </w:t>
      </w:r>
      <w:r w:rsidR="004F56CD">
        <w:rPr>
          <w:rFonts w:ascii="Simplified Arabic" w:eastAsiaTheme="minorHAnsi" w:hAnsi="Simplified Arabic" w:cs="Simplified Arabic" w:hint="cs"/>
          <w:sz w:val="24"/>
          <w:rtl/>
        </w:rPr>
        <w:t>فإ</w:t>
      </w:r>
      <w:r>
        <w:rPr>
          <w:rFonts w:ascii="Simplified Arabic" w:eastAsiaTheme="minorHAnsi" w:hAnsi="Simplified Arabic" w:cs="Simplified Arabic" w:hint="cs"/>
          <w:sz w:val="24"/>
          <w:rtl/>
        </w:rPr>
        <w:t xml:space="preserve">نه من المهم الإحاطة بأنه لا توجد معلومات كافية تمكِّن من الحكم على فعالية هذه المشاركة. </w:t>
      </w:r>
      <w:r w:rsidR="00947600">
        <w:rPr>
          <w:rFonts w:ascii="Simplified Arabic" w:eastAsiaTheme="minorHAnsi" w:hAnsi="Simplified Arabic" w:cs="Simplified Arabic" w:hint="cs"/>
          <w:sz w:val="24"/>
          <w:rtl/>
        </w:rPr>
        <w:t>وبالإضافة</w:t>
      </w:r>
      <w:r>
        <w:rPr>
          <w:rFonts w:ascii="Simplified Arabic" w:eastAsiaTheme="minorHAnsi" w:hAnsi="Simplified Arabic" w:cs="Simplified Arabic" w:hint="cs"/>
          <w:sz w:val="24"/>
          <w:rtl/>
        </w:rPr>
        <w:t xml:space="preserve"> </w:t>
      </w:r>
      <w:r w:rsidR="00947600">
        <w:rPr>
          <w:rFonts w:ascii="Simplified Arabic" w:eastAsiaTheme="minorHAnsi" w:hAnsi="Simplified Arabic" w:cs="Simplified Arabic" w:hint="cs"/>
          <w:sz w:val="24"/>
          <w:rtl/>
        </w:rPr>
        <w:t>إ</w:t>
      </w:r>
      <w:r>
        <w:rPr>
          <w:rFonts w:ascii="Simplified Arabic" w:eastAsiaTheme="minorHAnsi" w:hAnsi="Simplified Arabic" w:cs="Simplified Arabic" w:hint="cs"/>
          <w:sz w:val="24"/>
          <w:rtl/>
        </w:rPr>
        <w:t>لى ذلك، لا تتوفر معلومات كافية تمكن من الحكم على أثر ذلك على اجتماع مؤتمر الأطراف العامل كاجتماع للأطراف في بروتوكول ناغويا.</w:t>
      </w:r>
    </w:p>
    <w:p w:rsidR="007B358B" w:rsidRDefault="007B358B" w:rsidP="007A4971">
      <w:pPr>
        <w:pStyle w:val="ListParagraph"/>
        <w:keepNext/>
        <w:bidi/>
        <w:spacing w:after="120"/>
        <w:ind w:left="0"/>
        <w:rPr>
          <w:rFonts w:ascii="Simplified Arabic" w:eastAsiaTheme="minorHAnsi" w:hAnsi="Simplified Arabic" w:cs="Simplified Arabic"/>
          <w:b/>
          <w:bCs/>
          <w:sz w:val="24"/>
          <w:rtl/>
        </w:rPr>
      </w:pPr>
      <w:r>
        <w:rPr>
          <w:rFonts w:ascii="Simplified Arabic" w:eastAsiaTheme="minorHAnsi" w:hAnsi="Simplified Arabic" w:cs="Simplified Arabic" w:hint="cs"/>
          <w:b/>
          <w:bCs/>
          <w:sz w:val="24"/>
          <w:rtl/>
        </w:rPr>
        <w:t>الشكل 4</w:t>
      </w:r>
    </w:p>
    <w:p w:rsidR="007B358B" w:rsidRPr="007B358B" w:rsidRDefault="00513C3F" w:rsidP="007B358B">
      <w:pPr>
        <w:pStyle w:val="ListParagraph"/>
        <w:bidi/>
        <w:spacing w:after="120"/>
        <w:ind w:left="0"/>
        <w:rPr>
          <w:rFonts w:ascii="Simplified Arabic" w:eastAsiaTheme="minorHAnsi" w:hAnsi="Simplified Arabic" w:cs="Simplified Arabic"/>
          <w:b/>
          <w:bCs/>
          <w:sz w:val="24"/>
          <w:rtl/>
        </w:rPr>
      </w:pPr>
      <w:r>
        <w:rPr>
          <w:noProof/>
          <w:lang w:val="en-CA" w:eastAsia="en-CA"/>
        </w:rPr>
        <w:drawing>
          <wp:inline distT="0" distB="0" distL="0" distR="0" wp14:anchorId="2C83DD09" wp14:editId="59C37331">
            <wp:extent cx="5943600" cy="2774950"/>
            <wp:effectExtent l="0" t="0" r="1905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B358B" w:rsidRDefault="00513C3F" w:rsidP="00360E58">
      <w:pPr>
        <w:spacing w:after="120"/>
        <w:rPr>
          <w:b/>
          <w:bCs/>
          <w:sz w:val="22"/>
          <w:rtl/>
          <w:lang w:bidi="ar-EG"/>
        </w:rPr>
      </w:pPr>
      <w:r>
        <w:rPr>
          <w:b/>
          <w:bCs/>
          <w:noProof/>
          <w:sz w:val="22"/>
          <w:lang w:val="en-CA" w:eastAsia="en-CA"/>
        </w:rPr>
        <w:drawing>
          <wp:anchor distT="0" distB="0" distL="114300" distR="114300" simplePos="0" relativeHeight="251668480" behindDoc="1" locked="0" layoutInCell="1" allowOverlap="1" wp14:anchorId="3A26FF3C" wp14:editId="051A71E0">
            <wp:simplePos x="0" y="0"/>
            <wp:positionH relativeFrom="column">
              <wp:posOffset>-66040</wp:posOffset>
            </wp:positionH>
            <wp:positionV relativeFrom="paragraph">
              <wp:posOffset>279400</wp:posOffset>
            </wp:positionV>
            <wp:extent cx="5983605" cy="2667635"/>
            <wp:effectExtent l="0" t="0" r="0" b="0"/>
            <wp:wrapThrough wrapText="bothSides">
              <wp:wrapPolygon edited="0">
                <wp:start x="0" y="0"/>
                <wp:lineTo x="0" y="21441"/>
                <wp:lineTo x="21524" y="21441"/>
                <wp:lineTo x="2152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3605" cy="2667635"/>
                    </a:xfrm>
                    <a:prstGeom prst="rect">
                      <a:avLst/>
                    </a:prstGeom>
                    <a:noFill/>
                  </pic:spPr>
                </pic:pic>
              </a:graphicData>
            </a:graphic>
            <wp14:sizeRelH relativeFrom="page">
              <wp14:pctWidth>0</wp14:pctWidth>
            </wp14:sizeRelH>
            <wp14:sizeRelV relativeFrom="page">
              <wp14:pctHeight>0</wp14:pctHeight>
            </wp14:sizeRelV>
          </wp:anchor>
        </w:drawing>
      </w:r>
      <w:r w:rsidR="007B358B">
        <w:rPr>
          <w:rFonts w:hint="cs"/>
          <w:b/>
          <w:bCs/>
          <w:sz w:val="22"/>
          <w:rtl/>
          <w:lang w:bidi="ar-EG"/>
        </w:rPr>
        <w:t>الشكل 5</w:t>
      </w:r>
    </w:p>
    <w:p w:rsidR="00866CBA" w:rsidRDefault="00866CBA" w:rsidP="004516E0">
      <w:pPr>
        <w:pStyle w:val="ListParagraph"/>
        <w:bidi/>
        <w:spacing w:after="120"/>
        <w:jc w:val="center"/>
        <w:rPr>
          <w:rFonts w:ascii="Simplified Arabic" w:hAnsi="Simplified Arabic" w:cs="Simplified Arabic"/>
          <w:b/>
          <w:bCs/>
          <w:sz w:val="28"/>
          <w:szCs w:val="28"/>
          <w:rtl/>
        </w:rPr>
      </w:pPr>
    </w:p>
    <w:p w:rsidR="007B358B" w:rsidRPr="00A42D43" w:rsidRDefault="007B358B" w:rsidP="00B74F78">
      <w:pPr>
        <w:pStyle w:val="ListParagraph"/>
        <w:bidi/>
        <w:spacing w:after="120"/>
        <w:jc w:val="center"/>
        <w:rPr>
          <w:rFonts w:ascii="Simplified Arabic" w:hAnsi="Simplified Arabic" w:cs="Simplified Arabic"/>
          <w:b/>
          <w:bCs/>
          <w:sz w:val="28"/>
          <w:szCs w:val="28"/>
          <w:rtl/>
        </w:rPr>
      </w:pPr>
      <w:r w:rsidRPr="00A42D43">
        <w:rPr>
          <w:rFonts w:ascii="Simplified Arabic" w:hAnsi="Simplified Arabic" w:cs="Simplified Arabic" w:hint="cs"/>
          <w:b/>
          <w:bCs/>
          <w:sz w:val="28"/>
          <w:szCs w:val="28"/>
          <w:rtl/>
        </w:rPr>
        <w:t>رابعا-</w:t>
      </w:r>
      <w:r w:rsidRPr="00A42D43">
        <w:rPr>
          <w:rFonts w:ascii="Simplified Arabic" w:hAnsi="Simplified Arabic" w:cs="Simplified Arabic" w:hint="cs"/>
          <w:b/>
          <w:bCs/>
          <w:sz w:val="28"/>
          <w:szCs w:val="28"/>
          <w:rtl/>
        </w:rPr>
        <w:tab/>
      </w:r>
      <w:r w:rsidR="00B74F78">
        <w:rPr>
          <w:rFonts w:ascii="Simplified Arabic" w:hAnsi="Simplified Arabic" w:cs="Simplified Arabic" w:hint="cs"/>
          <w:b/>
          <w:bCs/>
          <w:sz w:val="28"/>
          <w:szCs w:val="28"/>
          <w:rtl/>
        </w:rPr>
        <w:t>الإعداد</w:t>
      </w:r>
      <w:r w:rsidRPr="00A42D43">
        <w:rPr>
          <w:rFonts w:ascii="Simplified Arabic" w:hAnsi="Simplified Arabic" w:cs="Simplified Arabic"/>
          <w:b/>
          <w:bCs/>
          <w:sz w:val="28"/>
          <w:szCs w:val="28"/>
          <w:rtl/>
        </w:rPr>
        <w:t xml:space="preserve"> الفعال للنتائج</w:t>
      </w:r>
    </w:p>
    <w:p w:rsidR="00323F16" w:rsidRDefault="004516E0" w:rsidP="00B74F78">
      <w:pPr>
        <w:numPr>
          <w:ilvl w:val="0"/>
          <w:numId w:val="11"/>
        </w:numPr>
        <w:spacing w:after="120"/>
        <w:ind w:left="0" w:firstLine="0"/>
        <w:rPr>
          <w:sz w:val="22"/>
          <w:lang w:bidi="ar-EG"/>
        </w:rPr>
      </w:pPr>
      <w:r>
        <w:rPr>
          <w:rFonts w:hint="cs"/>
          <w:sz w:val="22"/>
          <w:rtl/>
          <w:lang w:bidi="ar-EG"/>
        </w:rPr>
        <w:t xml:space="preserve">فيما يخص </w:t>
      </w:r>
      <w:r w:rsidR="00B74F78">
        <w:rPr>
          <w:rFonts w:hint="cs"/>
          <w:sz w:val="22"/>
          <w:rtl/>
          <w:lang w:bidi="ar-EG"/>
        </w:rPr>
        <w:t>الإعداد</w:t>
      </w:r>
      <w:r>
        <w:rPr>
          <w:rFonts w:hint="cs"/>
          <w:sz w:val="22"/>
          <w:rtl/>
          <w:lang w:bidi="ar-EG"/>
        </w:rPr>
        <w:t xml:space="preserve"> الفعال لنتائج الاجتماع</w:t>
      </w:r>
      <w:r w:rsidR="00585122">
        <w:rPr>
          <w:rFonts w:hint="cs"/>
          <w:sz w:val="22"/>
          <w:rtl/>
          <w:lang w:bidi="ar-EG"/>
        </w:rPr>
        <w:t xml:space="preserve"> الثالث عشر لمؤتمر الأطراف</w:t>
      </w:r>
      <w:r>
        <w:rPr>
          <w:rFonts w:hint="cs"/>
          <w:sz w:val="22"/>
          <w:rtl/>
          <w:lang w:bidi="ar-EG"/>
        </w:rPr>
        <w:t xml:space="preserve">، أشار 49 في المائة من الأطراف الذين أجابوا على الإخطار أن المعيار قد </w:t>
      </w:r>
      <w:r w:rsidR="00B40861">
        <w:rPr>
          <w:rFonts w:hint="cs"/>
          <w:sz w:val="22"/>
          <w:rtl/>
          <w:lang w:bidi="ar-EG"/>
        </w:rPr>
        <w:t>استوفي كليا</w:t>
      </w:r>
      <w:r w:rsidR="00210FEF">
        <w:rPr>
          <w:rFonts w:hint="cs"/>
          <w:sz w:val="22"/>
          <w:rtl/>
          <w:lang w:bidi="ar-EG"/>
        </w:rPr>
        <w:t>،</w:t>
      </w:r>
      <w:r>
        <w:rPr>
          <w:rFonts w:hint="cs"/>
          <w:sz w:val="22"/>
          <w:rtl/>
          <w:lang w:bidi="ar-EG"/>
        </w:rPr>
        <w:t xml:space="preserve"> وأشار 48 في المائة منهم أنه قد استوفي جزئيا</w:t>
      </w:r>
      <w:r w:rsidR="00210FEF">
        <w:rPr>
          <w:rFonts w:hint="cs"/>
          <w:sz w:val="22"/>
          <w:rtl/>
          <w:lang w:bidi="ar-EG"/>
        </w:rPr>
        <w:t>،</w:t>
      </w:r>
      <w:r>
        <w:rPr>
          <w:rFonts w:hint="cs"/>
          <w:sz w:val="22"/>
          <w:rtl/>
          <w:lang w:bidi="ar-EG"/>
        </w:rPr>
        <w:t xml:space="preserve"> وأشارت 3 في المائة من الردود إلى أن المعيار </w:t>
      </w:r>
      <w:r w:rsidR="002013AF">
        <w:rPr>
          <w:rFonts w:hint="cs"/>
          <w:sz w:val="22"/>
          <w:rtl/>
          <w:lang w:bidi="ar-EG"/>
        </w:rPr>
        <w:t>لم يستوف</w:t>
      </w:r>
      <w:r>
        <w:rPr>
          <w:rFonts w:hint="cs"/>
          <w:sz w:val="22"/>
          <w:rtl/>
          <w:lang w:bidi="ar-EG"/>
        </w:rPr>
        <w:t xml:space="preserve">. وعند تصنيف النتائج حسب </w:t>
      </w:r>
      <w:r w:rsidR="00596BEB">
        <w:rPr>
          <w:rFonts w:hint="cs"/>
          <w:sz w:val="22"/>
          <w:rtl/>
          <w:lang w:bidi="ar-EG"/>
        </w:rPr>
        <w:t>ردود البلدان المتقدمة والبلدان النامية، رأى 50 في المائة من البلدان النامية الأطراف أن المعيار قد استوفي</w:t>
      </w:r>
      <w:r w:rsidR="00210FEF">
        <w:rPr>
          <w:rFonts w:hint="cs"/>
          <w:sz w:val="22"/>
          <w:rtl/>
          <w:lang w:bidi="ar-EG"/>
        </w:rPr>
        <w:t>،</w:t>
      </w:r>
      <w:r w:rsidR="00596BEB">
        <w:rPr>
          <w:rFonts w:hint="cs"/>
          <w:sz w:val="22"/>
          <w:rtl/>
          <w:lang w:bidi="ar-EG"/>
        </w:rPr>
        <w:t xml:space="preserve"> ورأى 46 في المائة منهم أنه قد استوفي جزئيا</w:t>
      </w:r>
      <w:r w:rsidR="00210FEF">
        <w:rPr>
          <w:rFonts w:hint="cs"/>
          <w:sz w:val="22"/>
          <w:rtl/>
          <w:lang w:bidi="ar-EG"/>
        </w:rPr>
        <w:t>،</w:t>
      </w:r>
      <w:r w:rsidR="00596BEB">
        <w:rPr>
          <w:rFonts w:hint="cs"/>
          <w:sz w:val="22"/>
          <w:rtl/>
          <w:lang w:bidi="ar-EG"/>
        </w:rPr>
        <w:t xml:space="preserve"> ورأى 4 في المائة منهم أنه </w:t>
      </w:r>
      <w:r w:rsidR="002013AF">
        <w:rPr>
          <w:rFonts w:hint="cs"/>
          <w:sz w:val="22"/>
          <w:rtl/>
          <w:lang w:bidi="ar-EG"/>
        </w:rPr>
        <w:t>لم يستوف</w:t>
      </w:r>
      <w:r w:rsidR="00596BEB">
        <w:rPr>
          <w:rFonts w:hint="cs"/>
          <w:sz w:val="22"/>
          <w:rtl/>
          <w:lang w:bidi="ar-EG"/>
        </w:rPr>
        <w:t xml:space="preserve">. وبالمقارنة، رأى 47 في المائة من البلدان المتقدمة الأطراف أن المعيار قد </w:t>
      </w:r>
      <w:r w:rsidR="00B40861">
        <w:rPr>
          <w:rFonts w:hint="cs"/>
          <w:sz w:val="22"/>
          <w:rtl/>
          <w:lang w:bidi="ar-EG"/>
        </w:rPr>
        <w:t>استوفي كليا</w:t>
      </w:r>
      <w:r w:rsidR="00210FEF">
        <w:rPr>
          <w:rFonts w:hint="cs"/>
          <w:sz w:val="22"/>
          <w:rtl/>
          <w:lang w:bidi="ar-EG"/>
        </w:rPr>
        <w:t>،</w:t>
      </w:r>
      <w:r w:rsidR="00596BEB">
        <w:rPr>
          <w:rFonts w:hint="cs"/>
          <w:sz w:val="22"/>
          <w:rtl/>
          <w:lang w:bidi="ar-EG"/>
        </w:rPr>
        <w:t xml:space="preserve"> ورأى 53 في المائة منهم أنه قد استوفي جزئيا</w:t>
      </w:r>
      <w:r w:rsidR="00210FEF">
        <w:rPr>
          <w:rFonts w:hint="cs"/>
          <w:sz w:val="22"/>
          <w:rtl/>
          <w:lang w:bidi="ar-EG"/>
        </w:rPr>
        <w:t>،</w:t>
      </w:r>
      <w:r w:rsidR="00596BEB">
        <w:rPr>
          <w:rFonts w:hint="cs"/>
          <w:sz w:val="22"/>
          <w:rtl/>
          <w:lang w:bidi="ar-EG"/>
        </w:rPr>
        <w:t xml:space="preserve"> ولم يشر أي طرف إلى أنه </w:t>
      </w:r>
      <w:r w:rsidR="002013AF">
        <w:rPr>
          <w:rFonts w:hint="cs"/>
          <w:sz w:val="22"/>
          <w:rtl/>
          <w:lang w:bidi="ar-EG"/>
        </w:rPr>
        <w:t>لم يستوف</w:t>
      </w:r>
      <w:r w:rsidR="00596BEB">
        <w:rPr>
          <w:rFonts w:hint="cs"/>
          <w:sz w:val="22"/>
          <w:rtl/>
          <w:lang w:bidi="ar-EG"/>
        </w:rPr>
        <w:t xml:space="preserve">. </w:t>
      </w:r>
    </w:p>
    <w:p w:rsidR="00596BEB" w:rsidRPr="0029504E" w:rsidRDefault="00596BEB" w:rsidP="005238CD">
      <w:pPr>
        <w:numPr>
          <w:ilvl w:val="0"/>
          <w:numId w:val="11"/>
        </w:numPr>
        <w:spacing w:after="120"/>
        <w:ind w:left="0" w:firstLine="0"/>
        <w:rPr>
          <w:rFonts w:ascii="Simplified Arabic" w:hAnsi="Simplified Arabic"/>
          <w:sz w:val="22"/>
          <w:lang w:bidi="ar-EG"/>
        </w:rPr>
      </w:pPr>
      <w:r>
        <w:rPr>
          <w:rFonts w:hint="cs"/>
          <w:sz w:val="22"/>
          <w:rtl/>
          <w:lang w:bidi="ar-EG"/>
        </w:rPr>
        <w:t xml:space="preserve">أما بالنسبة للاجتماع الثامن لمؤتمر الأطراف العامل كاجتماع للأطراف في بروتوكول قرطاجنة، أشارت 27 في المائة من الردود إلى أن المعيار قد </w:t>
      </w:r>
      <w:r w:rsidR="00B40861">
        <w:rPr>
          <w:rFonts w:hint="cs"/>
          <w:sz w:val="22"/>
          <w:rtl/>
          <w:lang w:bidi="ar-EG"/>
        </w:rPr>
        <w:t>استوفي كليا</w:t>
      </w:r>
      <w:r w:rsidR="00210FEF">
        <w:rPr>
          <w:rFonts w:hint="cs"/>
          <w:sz w:val="22"/>
          <w:rtl/>
          <w:lang w:bidi="ar-EG"/>
        </w:rPr>
        <w:t>،</w:t>
      </w:r>
      <w:r>
        <w:rPr>
          <w:rFonts w:hint="cs"/>
          <w:sz w:val="22"/>
          <w:rtl/>
          <w:lang w:bidi="ar-EG"/>
        </w:rPr>
        <w:t xml:space="preserve"> وأشار</w:t>
      </w:r>
      <w:r w:rsidR="00947600">
        <w:rPr>
          <w:rFonts w:hint="cs"/>
          <w:sz w:val="22"/>
          <w:rtl/>
          <w:lang w:bidi="ar-EG"/>
        </w:rPr>
        <w:t>ت</w:t>
      </w:r>
      <w:r>
        <w:rPr>
          <w:rFonts w:hint="cs"/>
          <w:sz w:val="22"/>
          <w:rtl/>
          <w:lang w:bidi="ar-EG"/>
        </w:rPr>
        <w:t xml:space="preserve"> 65 في المائة منها إلى أن المعيار قد استوفي جزئيا</w:t>
      </w:r>
      <w:r w:rsidR="00210FEF">
        <w:rPr>
          <w:rFonts w:hint="cs"/>
          <w:sz w:val="22"/>
          <w:rtl/>
          <w:lang w:bidi="ar-EG"/>
        </w:rPr>
        <w:t>،</w:t>
      </w:r>
      <w:r>
        <w:rPr>
          <w:rFonts w:hint="cs"/>
          <w:sz w:val="22"/>
          <w:rtl/>
          <w:lang w:bidi="ar-EG"/>
        </w:rPr>
        <w:t xml:space="preserve"> وأشارت 8 في المائة منها أنه </w:t>
      </w:r>
      <w:r w:rsidR="002013AF">
        <w:rPr>
          <w:rFonts w:hint="cs"/>
          <w:sz w:val="22"/>
          <w:rtl/>
          <w:lang w:bidi="ar-EG"/>
        </w:rPr>
        <w:t>لم يستوف</w:t>
      </w:r>
      <w:r>
        <w:rPr>
          <w:rFonts w:hint="cs"/>
          <w:sz w:val="22"/>
          <w:rtl/>
          <w:lang w:bidi="ar-EG"/>
        </w:rPr>
        <w:t xml:space="preserve">. وعند تصنيف النتائج حسب ردود </w:t>
      </w:r>
      <w:r w:rsidR="005238CD">
        <w:rPr>
          <w:rFonts w:hint="cs"/>
          <w:sz w:val="22"/>
          <w:rtl/>
          <w:lang w:bidi="ar-EG"/>
        </w:rPr>
        <w:t>البلدان</w:t>
      </w:r>
      <w:r>
        <w:rPr>
          <w:rFonts w:hint="cs"/>
          <w:sz w:val="22"/>
          <w:rtl/>
          <w:lang w:bidi="ar-EG"/>
        </w:rPr>
        <w:t xml:space="preserve"> المتقدمة الأطراف </w:t>
      </w:r>
      <w:r w:rsidR="005238CD">
        <w:rPr>
          <w:rFonts w:hint="cs"/>
          <w:sz w:val="22"/>
          <w:rtl/>
          <w:lang w:bidi="ar-EG"/>
        </w:rPr>
        <w:t>والبلدان</w:t>
      </w:r>
      <w:r>
        <w:rPr>
          <w:rFonts w:hint="cs"/>
          <w:sz w:val="22"/>
          <w:rtl/>
          <w:lang w:bidi="ar-EG"/>
        </w:rPr>
        <w:t xml:space="preserve"> النامية</w:t>
      </w:r>
      <w:r w:rsidR="00210FEF">
        <w:rPr>
          <w:rFonts w:hint="cs"/>
          <w:sz w:val="22"/>
          <w:rtl/>
          <w:lang w:bidi="ar-EG"/>
        </w:rPr>
        <w:t xml:space="preserve"> </w:t>
      </w:r>
      <w:r>
        <w:rPr>
          <w:rFonts w:hint="cs"/>
          <w:sz w:val="22"/>
          <w:rtl/>
          <w:lang w:bidi="ar-EG"/>
        </w:rPr>
        <w:t>الأطراف</w:t>
      </w:r>
      <w:r w:rsidR="0029504E">
        <w:rPr>
          <w:rFonts w:hint="cs"/>
          <w:sz w:val="22"/>
          <w:rtl/>
          <w:lang w:bidi="ar-EG"/>
        </w:rPr>
        <w:t xml:space="preserve">، رأى 33 في المائة من المجيبين من </w:t>
      </w:r>
      <w:r w:rsidR="005238CD">
        <w:rPr>
          <w:rFonts w:hint="cs"/>
          <w:sz w:val="22"/>
          <w:rtl/>
          <w:lang w:bidi="ar-EG"/>
        </w:rPr>
        <w:t>البلدان</w:t>
      </w:r>
      <w:r w:rsidR="0029504E">
        <w:rPr>
          <w:rFonts w:hint="cs"/>
          <w:sz w:val="22"/>
          <w:rtl/>
          <w:lang w:bidi="ar-EG"/>
        </w:rPr>
        <w:t xml:space="preserve"> النامية الأطراف أن المعيار قد </w:t>
      </w:r>
      <w:r w:rsidR="00B40861">
        <w:rPr>
          <w:rFonts w:hint="cs"/>
          <w:sz w:val="22"/>
          <w:rtl/>
          <w:lang w:bidi="ar-EG"/>
        </w:rPr>
        <w:t>استوفي كليا</w:t>
      </w:r>
      <w:r w:rsidR="00210FEF">
        <w:rPr>
          <w:rFonts w:hint="cs"/>
          <w:sz w:val="22"/>
          <w:rtl/>
          <w:lang w:bidi="ar-EG"/>
        </w:rPr>
        <w:t>،</w:t>
      </w:r>
      <w:r w:rsidR="0029504E">
        <w:rPr>
          <w:rFonts w:hint="cs"/>
          <w:sz w:val="22"/>
          <w:rtl/>
          <w:lang w:bidi="ar-EG"/>
        </w:rPr>
        <w:t xml:space="preserve"> ورأى 56 في المائة منهم أنه قد استوفي جزئيا</w:t>
      </w:r>
      <w:r w:rsidR="00210FEF">
        <w:rPr>
          <w:rFonts w:hint="cs"/>
          <w:sz w:val="22"/>
          <w:rtl/>
          <w:lang w:bidi="ar-EG"/>
        </w:rPr>
        <w:t>،</w:t>
      </w:r>
      <w:r w:rsidR="0029504E">
        <w:rPr>
          <w:rFonts w:hint="cs"/>
          <w:sz w:val="22"/>
          <w:rtl/>
          <w:lang w:bidi="ar-EG"/>
        </w:rPr>
        <w:t xml:space="preserve"> ورأى 11 في المائة منهم أنه </w:t>
      </w:r>
      <w:r w:rsidR="002013AF">
        <w:rPr>
          <w:rFonts w:hint="cs"/>
          <w:sz w:val="22"/>
          <w:rtl/>
          <w:lang w:bidi="ar-EG"/>
        </w:rPr>
        <w:t>لم يستوف</w:t>
      </w:r>
      <w:r w:rsidR="0029504E">
        <w:rPr>
          <w:rFonts w:hint="cs"/>
          <w:sz w:val="22"/>
          <w:rtl/>
          <w:lang w:bidi="ar-EG"/>
        </w:rPr>
        <w:t xml:space="preserve">. وبالمقارنة، رأى 6 في المائة من المجيبين من </w:t>
      </w:r>
      <w:r w:rsidR="005238CD">
        <w:rPr>
          <w:rFonts w:hint="cs"/>
          <w:sz w:val="22"/>
          <w:rtl/>
          <w:lang w:bidi="ar-EG"/>
        </w:rPr>
        <w:t>البلدان</w:t>
      </w:r>
      <w:r w:rsidR="0029504E">
        <w:rPr>
          <w:rFonts w:hint="cs"/>
          <w:sz w:val="22"/>
          <w:rtl/>
          <w:lang w:bidi="ar-EG"/>
        </w:rPr>
        <w:t xml:space="preserve"> المتقدمة </w:t>
      </w:r>
      <w:r w:rsidR="00B2055C">
        <w:rPr>
          <w:rFonts w:hint="cs"/>
          <w:sz w:val="22"/>
          <w:rtl/>
          <w:lang w:bidi="ar-EG"/>
        </w:rPr>
        <w:t xml:space="preserve">الأطراف </w:t>
      </w:r>
      <w:r w:rsidR="0029504E">
        <w:rPr>
          <w:rFonts w:hint="cs"/>
          <w:sz w:val="22"/>
          <w:rtl/>
          <w:lang w:bidi="ar-EG"/>
        </w:rPr>
        <w:t xml:space="preserve">أن المعيار قد </w:t>
      </w:r>
      <w:r w:rsidR="00B40861">
        <w:rPr>
          <w:rFonts w:hint="cs"/>
          <w:sz w:val="22"/>
          <w:rtl/>
          <w:lang w:bidi="ar-EG"/>
        </w:rPr>
        <w:t>استوفي كليا</w:t>
      </w:r>
      <w:r w:rsidR="00210FEF">
        <w:rPr>
          <w:rFonts w:hint="cs"/>
          <w:sz w:val="22"/>
          <w:rtl/>
          <w:lang w:bidi="ar-EG"/>
        </w:rPr>
        <w:t>،</w:t>
      </w:r>
      <w:r w:rsidR="0029504E">
        <w:rPr>
          <w:rFonts w:hint="cs"/>
          <w:sz w:val="22"/>
          <w:rtl/>
          <w:lang w:bidi="ar-EG"/>
        </w:rPr>
        <w:t xml:space="preserve"> ورأى </w:t>
      </w:r>
      <w:r w:rsidR="0029504E" w:rsidRPr="0029504E">
        <w:rPr>
          <w:rFonts w:ascii="Simplified Arabic" w:hAnsi="Simplified Arabic"/>
          <w:sz w:val="22"/>
          <w:rtl/>
          <w:lang w:bidi="ar-EG"/>
        </w:rPr>
        <w:t>94 في المائة منهم أنه استوفي جزئيا.</w:t>
      </w:r>
    </w:p>
    <w:p w:rsidR="0029504E" w:rsidRPr="009C7C80" w:rsidRDefault="0029504E" w:rsidP="00320A3D">
      <w:pPr>
        <w:pStyle w:val="ListParagraph"/>
        <w:numPr>
          <w:ilvl w:val="0"/>
          <w:numId w:val="11"/>
        </w:numPr>
        <w:bidi/>
        <w:spacing w:after="120"/>
        <w:ind w:left="0" w:firstLine="0"/>
        <w:rPr>
          <w:lang w:bidi="ar-EG"/>
        </w:rPr>
      </w:pPr>
      <w:r w:rsidRPr="0029504E">
        <w:rPr>
          <w:rFonts w:ascii="Simplified Arabic" w:hAnsi="Simplified Arabic" w:cs="Simplified Arabic"/>
          <w:rtl/>
          <w:lang w:bidi="ar-EG"/>
        </w:rPr>
        <w:t xml:space="preserve">وبالنسبة للاجتماع الثاني لمؤتمر الأطراف العامل كاجتماع للأطراف في بروتوكول ناغويا، رأى </w:t>
      </w:r>
      <w:r w:rsidRPr="009C7C80">
        <w:rPr>
          <w:rFonts w:ascii="Simplified Arabic" w:hAnsi="Simplified Arabic" w:cs="Simplified Arabic"/>
          <w:rtl/>
          <w:lang w:bidi="ar-EG"/>
        </w:rPr>
        <w:t xml:space="preserve">35 </w:t>
      </w:r>
      <w:r w:rsidR="00B1313C" w:rsidRPr="009C7C80">
        <w:rPr>
          <w:rFonts w:ascii="Simplified Arabic" w:hAnsi="Simplified Arabic" w:cs="Simplified Arabic" w:hint="cs"/>
          <w:rtl/>
          <w:lang w:bidi="ar-EG"/>
        </w:rPr>
        <w:t xml:space="preserve">في المائة </w:t>
      </w:r>
      <w:r w:rsidRPr="009C7C80">
        <w:rPr>
          <w:rFonts w:ascii="Simplified Arabic" w:hAnsi="Simplified Arabic" w:cs="Simplified Arabic"/>
          <w:rtl/>
          <w:lang w:bidi="ar-EG"/>
        </w:rPr>
        <w:t xml:space="preserve">من المجيبين أن المعيار قد </w:t>
      </w:r>
      <w:r w:rsidR="00B40861" w:rsidRPr="009C7C80">
        <w:rPr>
          <w:rFonts w:ascii="Simplified Arabic" w:hAnsi="Simplified Arabic" w:cs="Simplified Arabic"/>
          <w:rtl/>
          <w:lang w:bidi="ar-EG"/>
        </w:rPr>
        <w:t>استوفي كليا</w:t>
      </w:r>
      <w:r w:rsidR="00210FEF" w:rsidRPr="009C7C80">
        <w:rPr>
          <w:rFonts w:ascii="Simplified Arabic" w:hAnsi="Simplified Arabic" w:cs="Simplified Arabic" w:hint="cs"/>
          <w:rtl/>
          <w:lang w:bidi="ar-EG"/>
        </w:rPr>
        <w:t>،</w:t>
      </w:r>
      <w:r w:rsidRPr="009C7C80">
        <w:rPr>
          <w:rFonts w:ascii="Simplified Arabic" w:hAnsi="Simplified Arabic" w:cs="Simplified Arabic"/>
          <w:rtl/>
          <w:lang w:bidi="ar-EG"/>
        </w:rPr>
        <w:t xml:space="preserve"> ورأى 52 في المائة منهم أنه قد استوفي جزئيا</w:t>
      </w:r>
      <w:r w:rsidR="00210FEF" w:rsidRPr="009C7C80">
        <w:rPr>
          <w:rFonts w:ascii="Simplified Arabic" w:hAnsi="Simplified Arabic" w:cs="Simplified Arabic" w:hint="cs"/>
          <w:rtl/>
          <w:lang w:bidi="ar-EG"/>
        </w:rPr>
        <w:t>،</w:t>
      </w:r>
      <w:r w:rsidRPr="009C7C80">
        <w:rPr>
          <w:rFonts w:ascii="Simplified Arabic" w:hAnsi="Simplified Arabic" w:cs="Simplified Arabic"/>
          <w:rtl/>
          <w:lang w:bidi="ar-EG"/>
        </w:rPr>
        <w:t xml:space="preserve"> ورأى 13 في المائة منهم أنه </w:t>
      </w:r>
      <w:r w:rsidR="002013AF">
        <w:rPr>
          <w:rFonts w:ascii="Simplified Arabic" w:hAnsi="Simplified Arabic" w:cs="Simplified Arabic"/>
          <w:rtl/>
          <w:lang w:bidi="ar-EG"/>
        </w:rPr>
        <w:t>لم يستوف</w:t>
      </w:r>
      <w:r w:rsidRPr="009C7C80">
        <w:rPr>
          <w:rFonts w:ascii="Simplified Arabic" w:hAnsi="Simplified Arabic" w:cs="Simplified Arabic"/>
          <w:rtl/>
          <w:lang w:bidi="ar-EG"/>
        </w:rPr>
        <w:t>. وعند تصنيف النتائج حسب ردود البلدان المتقدمة والبلدان النامية، رأ</w:t>
      </w:r>
      <w:r w:rsidR="00320A3D" w:rsidRPr="009C7C80">
        <w:rPr>
          <w:rFonts w:ascii="Simplified Arabic" w:hAnsi="Simplified Arabic" w:cs="Simplified Arabic" w:hint="cs"/>
          <w:rtl/>
          <w:lang w:bidi="ar-EG"/>
        </w:rPr>
        <w:t>ى</w:t>
      </w:r>
      <w:r w:rsidRPr="009C7C80">
        <w:rPr>
          <w:rFonts w:ascii="Simplified Arabic" w:hAnsi="Simplified Arabic" w:cs="Simplified Arabic"/>
          <w:rtl/>
          <w:lang w:bidi="ar-EG"/>
        </w:rPr>
        <w:t xml:space="preserve"> 40 في المائة من المجيبين من البلدان النامية الأطراف أن المعيار قد </w:t>
      </w:r>
      <w:r w:rsidR="00B40861" w:rsidRPr="009C7C80">
        <w:rPr>
          <w:rFonts w:ascii="Simplified Arabic" w:hAnsi="Simplified Arabic" w:cs="Simplified Arabic"/>
          <w:rtl/>
          <w:lang w:bidi="ar-EG"/>
        </w:rPr>
        <w:t>استوفي كليا</w:t>
      </w:r>
      <w:r w:rsidR="00210FEF" w:rsidRPr="009C7C80">
        <w:rPr>
          <w:rFonts w:ascii="Simplified Arabic" w:hAnsi="Simplified Arabic" w:cs="Simplified Arabic" w:hint="cs"/>
          <w:rtl/>
          <w:lang w:bidi="ar-EG"/>
        </w:rPr>
        <w:t>،</w:t>
      </w:r>
      <w:r w:rsidRPr="009C7C80">
        <w:rPr>
          <w:rFonts w:ascii="Simplified Arabic" w:hAnsi="Simplified Arabic" w:cs="Simplified Arabic"/>
          <w:rtl/>
          <w:lang w:bidi="ar-EG"/>
        </w:rPr>
        <w:t xml:space="preserve"> ورأى 50 في المائة منهم أنه قد استوفي جزئيا</w:t>
      </w:r>
      <w:r w:rsidR="00210FEF" w:rsidRPr="009C7C80">
        <w:rPr>
          <w:rFonts w:ascii="Simplified Arabic" w:hAnsi="Simplified Arabic" w:cs="Simplified Arabic" w:hint="cs"/>
          <w:rtl/>
          <w:lang w:bidi="ar-EG"/>
        </w:rPr>
        <w:t>،</w:t>
      </w:r>
      <w:r w:rsidRPr="009C7C80">
        <w:rPr>
          <w:rFonts w:ascii="Simplified Arabic" w:hAnsi="Simplified Arabic" w:cs="Simplified Arabic"/>
          <w:rtl/>
          <w:lang w:bidi="ar-EG"/>
        </w:rPr>
        <w:t xml:space="preserve"> ورأى 10 في المائة منهم أنه </w:t>
      </w:r>
      <w:r w:rsidR="002013AF">
        <w:rPr>
          <w:rFonts w:ascii="Simplified Arabic" w:hAnsi="Simplified Arabic" w:cs="Simplified Arabic"/>
          <w:rtl/>
          <w:lang w:bidi="ar-EG"/>
        </w:rPr>
        <w:t>لم يستوف</w:t>
      </w:r>
      <w:r w:rsidRPr="009C7C80">
        <w:rPr>
          <w:rFonts w:ascii="Simplified Arabic" w:hAnsi="Simplified Arabic" w:cs="Simplified Arabic"/>
          <w:rtl/>
          <w:lang w:bidi="ar-EG"/>
        </w:rPr>
        <w:t xml:space="preserve">. ومن بين البلدان المتقدمة الأطراف، رأى 15 في المائة أن المعيار قد </w:t>
      </w:r>
      <w:r w:rsidR="00B40861" w:rsidRPr="009C7C80">
        <w:rPr>
          <w:rFonts w:ascii="Simplified Arabic" w:hAnsi="Simplified Arabic" w:cs="Simplified Arabic"/>
          <w:rtl/>
          <w:lang w:bidi="ar-EG"/>
        </w:rPr>
        <w:t>استوفي كليا</w:t>
      </w:r>
      <w:r w:rsidR="00210FEF" w:rsidRPr="009C7C80">
        <w:rPr>
          <w:rFonts w:ascii="Simplified Arabic" w:hAnsi="Simplified Arabic" w:cs="Simplified Arabic" w:hint="cs"/>
          <w:rtl/>
          <w:lang w:bidi="ar-EG"/>
        </w:rPr>
        <w:t>،</w:t>
      </w:r>
      <w:r w:rsidRPr="009C7C80">
        <w:rPr>
          <w:rFonts w:ascii="Simplified Arabic" w:hAnsi="Simplified Arabic" w:cs="Simplified Arabic"/>
          <w:rtl/>
          <w:lang w:bidi="ar-EG"/>
        </w:rPr>
        <w:t xml:space="preserve"> ورأى 61 في المائة أنه قد استوفي جزئيا</w:t>
      </w:r>
      <w:r w:rsidR="00210FEF" w:rsidRPr="009C7C80">
        <w:rPr>
          <w:rFonts w:ascii="Simplified Arabic" w:hAnsi="Simplified Arabic" w:cs="Simplified Arabic" w:hint="cs"/>
          <w:rtl/>
          <w:lang w:bidi="ar-EG"/>
        </w:rPr>
        <w:t>،</w:t>
      </w:r>
      <w:r w:rsidRPr="009C7C80">
        <w:rPr>
          <w:rFonts w:ascii="Simplified Arabic" w:hAnsi="Simplified Arabic" w:cs="Simplified Arabic"/>
          <w:rtl/>
          <w:lang w:bidi="ar-EG"/>
        </w:rPr>
        <w:t xml:space="preserve"> ورأى 23 في المائة أنه </w:t>
      </w:r>
      <w:r w:rsidR="002013AF">
        <w:rPr>
          <w:rFonts w:ascii="Simplified Arabic" w:hAnsi="Simplified Arabic" w:cs="Simplified Arabic"/>
          <w:rtl/>
          <w:lang w:bidi="ar-EG"/>
        </w:rPr>
        <w:t>لم يستوف</w:t>
      </w:r>
      <w:r w:rsidRPr="009C7C80">
        <w:rPr>
          <w:rFonts w:hint="cs"/>
          <w:rtl/>
          <w:lang w:bidi="ar-EG"/>
        </w:rPr>
        <w:t>.</w:t>
      </w:r>
    </w:p>
    <w:p w:rsidR="0083589F" w:rsidRPr="009C7C80" w:rsidRDefault="0083589F" w:rsidP="0083589F">
      <w:pPr>
        <w:pStyle w:val="ListParagraph"/>
        <w:keepNext/>
        <w:numPr>
          <w:ilvl w:val="0"/>
          <w:numId w:val="11"/>
        </w:numPr>
        <w:bidi/>
        <w:spacing w:after="120"/>
        <w:ind w:left="0" w:firstLine="0"/>
        <w:rPr>
          <w:b/>
          <w:bCs/>
          <w:rtl/>
          <w:lang w:bidi="ar-EG"/>
        </w:rPr>
      </w:pPr>
      <w:r w:rsidRPr="009C7C80">
        <w:rPr>
          <w:rFonts w:ascii="Simplified Arabic" w:hAnsi="Simplified Arabic" w:cs="Simplified Arabic" w:hint="cs"/>
          <w:rtl/>
          <w:lang w:bidi="ar-EG"/>
        </w:rPr>
        <w:t>وتشير</w:t>
      </w:r>
      <w:r w:rsidRPr="009C7C80">
        <w:rPr>
          <w:rFonts w:ascii="Simplified Arabic" w:hAnsi="Simplified Arabic" w:cs="Simplified Arabic"/>
          <w:rtl/>
          <w:lang w:bidi="ar-EG"/>
        </w:rPr>
        <w:t xml:space="preserve"> ردود الأطراف على الإخطار</w:t>
      </w:r>
      <w:r w:rsidRPr="009C7C80">
        <w:rPr>
          <w:rFonts w:ascii="Simplified Arabic" w:hAnsi="Simplified Arabic" w:cs="Simplified Arabic" w:hint="cs"/>
          <w:rtl/>
          <w:lang w:bidi="ar-EG"/>
        </w:rPr>
        <w:t xml:space="preserve"> إلى</w:t>
      </w:r>
      <w:r w:rsidRPr="009C7C80">
        <w:rPr>
          <w:rFonts w:ascii="Simplified Arabic" w:hAnsi="Simplified Arabic" w:cs="Simplified Arabic"/>
          <w:rtl/>
          <w:lang w:bidi="ar-EG"/>
        </w:rPr>
        <w:t xml:space="preserve"> </w:t>
      </w:r>
      <w:r w:rsidRPr="009C7C80">
        <w:rPr>
          <w:rFonts w:ascii="Simplified Arabic" w:hAnsi="Simplified Arabic" w:cs="Simplified Arabic" w:hint="cs"/>
          <w:rtl/>
          <w:lang w:bidi="ar-EG"/>
        </w:rPr>
        <w:t xml:space="preserve">أن </w:t>
      </w:r>
      <w:r w:rsidRPr="009C7C80">
        <w:rPr>
          <w:rFonts w:ascii="Simplified Arabic" w:hAnsi="Simplified Arabic" w:cs="Simplified Arabic"/>
          <w:rtl/>
          <w:lang w:bidi="ar-EG"/>
        </w:rPr>
        <w:t>عملية عقد اجتماعات متزامنة</w:t>
      </w:r>
      <w:r w:rsidRPr="009C7C80">
        <w:rPr>
          <w:rFonts w:ascii="Simplified Arabic" w:hAnsi="Simplified Arabic" w:cs="Simplified Arabic" w:hint="cs"/>
          <w:rtl/>
          <w:lang w:bidi="ar-EG"/>
        </w:rPr>
        <w:t xml:space="preserve"> اعتُبرت أكثر </w:t>
      </w:r>
      <w:r w:rsidRPr="009C7C80">
        <w:rPr>
          <w:rFonts w:ascii="Simplified Arabic" w:hAnsi="Simplified Arabic" w:cs="Simplified Arabic"/>
          <w:rtl/>
          <w:lang w:bidi="ar-EG"/>
        </w:rPr>
        <w:t>فعالية للاتفاقية منها للبروتوكول</w:t>
      </w:r>
      <w:r w:rsidRPr="009C7C80">
        <w:rPr>
          <w:rFonts w:ascii="Simplified Arabic" w:hAnsi="Simplified Arabic" w:cs="Simplified Arabic" w:hint="cs"/>
          <w:rtl/>
          <w:lang w:bidi="ar-EG"/>
        </w:rPr>
        <w:t>ين</w:t>
      </w:r>
      <w:r w:rsidRPr="009C7C80">
        <w:rPr>
          <w:rFonts w:ascii="Simplified Arabic" w:hAnsi="Simplified Arabic" w:cs="Simplified Arabic"/>
          <w:rtl/>
          <w:lang w:bidi="ar-EG"/>
        </w:rPr>
        <w:t xml:space="preserve">. ومع ذلك، </w:t>
      </w:r>
      <w:r w:rsidRPr="009C7C80">
        <w:rPr>
          <w:rFonts w:ascii="Simplified Arabic" w:hAnsi="Simplified Arabic" w:cs="Simplified Arabic" w:hint="cs"/>
          <w:rtl/>
          <w:lang w:bidi="ar-EG"/>
        </w:rPr>
        <w:t xml:space="preserve">كانت </w:t>
      </w:r>
      <w:r w:rsidRPr="009C7C80">
        <w:rPr>
          <w:rFonts w:ascii="Simplified Arabic" w:hAnsi="Simplified Arabic" w:cs="Simplified Arabic"/>
          <w:rtl/>
          <w:lang w:bidi="ar-EG"/>
        </w:rPr>
        <w:t xml:space="preserve">نسبة المجيبين الذين أشاروا إلى أن المعيار </w:t>
      </w:r>
      <w:r w:rsidR="002013AF">
        <w:rPr>
          <w:rFonts w:ascii="Simplified Arabic" w:hAnsi="Simplified Arabic" w:cs="Simplified Arabic"/>
          <w:rtl/>
          <w:lang w:bidi="ar-EG"/>
        </w:rPr>
        <w:t>لم يستوف</w:t>
      </w:r>
      <w:r w:rsidRPr="009C7C80">
        <w:rPr>
          <w:rFonts w:ascii="Simplified Arabic" w:hAnsi="Simplified Arabic" w:cs="Simplified Arabic" w:hint="cs"/>
          <w:rtl/>
          <w:lang w:bidi="ar-EG"/>
        </w:rPr>
        <w:t xml:space="preserve"> صغيرة</w:t>
      </w:r>
      <w:r w:rsidRPr="009C7C80">
        <w:rPr>
          <w:rFonts w:ascii="Simplified Arabic" w:hAnsi="Simplified Arabic" w:cs="Simplified Arabic"/>
          <w:rtl/>
          <w:lang w:bidi="ar-EG"/>
        </w:rPr>
        <w:t xml:space="preserve"> نسبيا</w:t>
      </w:r>
      <w:r w:rsidRPr="009C7C80">
        <w:rPr>
          <w:rFonts w:ascii="Simplified Arabic" w:hAnsi="Simplified Arabic" w:cs="Simplified Arabic" w:hint="cs"/>
          <w:rtl/>
          <w:lang w:bidi="ar-EG"/>
        </w:rPr>
        <w:t xml:space="preserve"> بالنسبة لكل من الاتفاقية والبروتوكولين</w:t>
      </w:r>
      <w:r w:rsidRPr="009C7C80">
        <w:rPr>
          <w:rFonts w:ascii="Simplified Arabic" w:hAnsi="Simplified Arabic" w:cs="Simplified Arabic"/>
          <w:rtl/>
          <w:lang w:bidi="ar-EG"/>
        </w:rPr>
        <w:t>.</w:t>
      </w:r>
    </w:p>
    <w:p w:rsidR="00152087" w:rsidRDefault="00CE2114" w:rsidP="00B74F78">
      <w:pPr>
        <w:numPr>
          <w:ilvl w:val="0"/>
          <w:numId w:val="11"/>
        </w:numPr>
        <w:spacing w:after="120"/>
        <w:ind w:left="0" w:firstLine="0"/>
        <w:rPr>
          <w:sz w:val="22"/>
          <w:lang w:bidi="ar-EG"/>
        </w:rPr>
      </w:pPr>
      <w:r>
        <w:rPr>
          <w:rFonts w:hint="cs"/>
          <w:sz w:val="22"/>
          <w:rtl/>
          <w:lang w:bidi="ar-EG"/>
        </w:rPr>
        <w:t>وأشار</w:t>
      </w:r>
      <w:r w:rsidR="00D64644">
        <w:rPr>
          <w:rFonts w:hint="cs"/>
          <w:sz w:val="22"/>
          <w:rtl/>
          <w:lang w:bidi="ar-EG"/>
        </w:rPr>
        <w:t>ت</w:t>
      </w:r>
      <w:r>
        <w:rPr>
          <w:rFonts w:hint="cs"/>
          <w:sz w:val="22"/>
          <w:rtl/>
          <w:lang w:bidi="ar-EG"/>
        </w:rPr>
        <w:t xml:space="preserve"> بعض الأطراف في </w:t>
      </w:r>
      <w:r w:rsidRPr="009C7C80">
        <w:rPr>
          <w:rFonts w:hint="cs"/>
          <w:sz w:val="22"/>
          <w:rtl/>
          <w:lang w:bidi="ar-EG"/>
        </w:rPr>
        <w:t>تعليقاته</w:t>
      </w:r>
      <w:r w:rsidR="00D64644" w:rsidRPr="009C7C80">
        <w:rPr>
          <w:rFonts w:hint="cs"/>
          <w:sz w:val="22"/>
          <w:rtl/>
          <w:lang w:bidi="ar-EG"/>
        </w:rPr>
        <w:t>ا</w:t>
      </w:r>
      <w:r w:rsidRPr="009C7C80">
        <w:rPr>
          <w:rFonts w:hint="cs"/>
          <w:sz w:val="22"/>
          <w:rtl/>
          <w:lang w:bidi="ar-EG"/>
        </w:rPr>
        <w:t xml:space="preserve"> الكتابية</w:t>
      </w:r>
      <w:r w:rsidR="00D64644" w:rsidRPr="009C7C80">
        <w:rPr>
          <w:rFonts w:hint="cs"/>
          <w:sz w:val="22"/>
          <w:rtl/>
          <w:lang w:bidi="ar-EG"/>
        </w:rPr>
        <w:t xml:space="preserve"> إلى أن تناول بع</w:t>
      </w:r>
      <w:r w:rsidR="00210FEF" w:rsidRPr="009C7C80">
        <w:rPr>
          <w:rFonts w:hint="cs"/>
          <w:sz w:val="22"/>
          <w:rtl/>
          <w:lang w:bidi="ar-EG"/>
        </w:rPr>
        <w:t>ض</w:t>
      </w:r>
      <w:r w:rsidR="00D64644" w:rsidRPr="009C7C80">
        <w:rPr>
          <w:rFonts w:hint="cs"/>
          <w:sz w:val="22"/>
          <w:rtl/>
          <w:lang w:bidi="ar-EG"/>
        </w:rPr>
        <w:t xml:space="preserve"> بنود جدول الأعمال، مثل تلك المتعلقة بالآليات المالية</w:t>
      </w:r>
      <w:r w:rsidR="00210FEF" w:rsidRPr="009C7C80">
        <w:rPr>
          <w:rFonts w:hint="cs"/>
          <w:sz w:val="22"/>
          <w:rtl/>
          <w:lang w:bidi="ar-EG"/>
        </w:rPr>
        <w:t>،</w:t>
      </w:r>
      <w:r w:rsidR="00D64644" w:rsidRPr="009C7C80">
        <w:rPr>
          <w:rFonts w:hint="cs"/>
          <w:sz w:val="22"/>
          <w:rtl/>
          <w:lang w:bidi="ar-EG"/>
        </w:rPr>
        <w:t xml:space="preserve"> بطريقة متكاملة</w:t>
      </w:r>
      <w:r w:rsidR="00210FEF" w:rsidRPr="009C7C80">
        <w:rPr>
          <w:rFonts w:hint="cs"/>
          <w:sz w:val="22"/>
          <w:rtl/>
          <w:lang w:bidi="ar-EG"/>
        </w:rPr>
        <w:t>،</w:t>
      </w:r>
      <w:r w:rsidR="00D64644" w:rsidRPr="009C7C80">
        <w:rPr>
          <w:rFonts w:hint="cs"/>
          <w:sz w:val="22"/>
          <w:rtl/>
          <w:lang w:bidi="ar-EG"/>
        </w:rPr>
        <w:t xml:space="preserve"> قد ولَّد التباسا في بعض الأحيان. غير أن آ</w:t>
      </w:r>
      <w:r w:rsidR="00210FEF" w:rsidRPr="009C7C80">
        <w:rPr>
          <w:rFonts w:hint="cs"/>
          <w:sz w:val="22"/>
          <w:rtl/>
          <w:lang w:bidi="ar-EG"/>
        </w:rPr>
        <w:t xml:space="preserve">خرين رأوا أن تناول بعض المسائل </w:t>
      </w:r>
      <w:r w:rsidR="00D64644" w:rsidRPr="009C7C80">
        <w:rPr>
          <w:rFonts w:hint="cs"/>
          <w:sz w:val="22"/>
          <w:rtl/>
          <w:lang w:bidi="ar-EG"/>
        </w:rPr>
        <w:t>بطريقة متكاملة مثل</w:t>
      </w:r>
      <w:r w:rsidR="009511F3" w:rsidRPr="009C7C80">
        <w:rPr>
          <w:rFonts w:hint="cs"/>
          <w:sz w:val="22"/>
          <w:rtl/>
          <w:lang w:bidi="ar-EG"/>
        </w:rPr>
        <w:t xml:space="preserve"> البيولوجيا </w:t>
      </w:r>
      <w:r w:rsidR="005C5D3A" w:rsidRPr="009C7C80">
        <w:rPr>
          <w:rFonts w:hint="cs"/>
          <w:sz w:val="22"/>
          <w:rtl/>
          <w:lang w:bidi="ar-EG"/>
        </w:rPr>
        <w:t>التركيبية</w:t>
      </w:r>
      <w:r w:rsidR="009511F3" w:rsidRPr="009C7C80">
        <w:rPr>
          <w:rFonts w:hint="cs"/>
          <w:sz w:val="22"/>
          <w:rtl/>
          <w:lang w:bidi="ar-EG"/>
        </w:rPr>
        <w:t xml:space="preserve"> ومعلومات التسلسل الرقمي له فوائده. وأشار عدد من المجيبين إلى أن الوقت المحدود المتاح ل</w:t>
      </w:r>
      <w:r w:rsidR="001164B3" w:rsidRPr="009C7C80">
        <w:rPr>
          <w:rFonts w:hint="cs"/>
          <w:sz w:val="22"/>
          <w:rtl/>
          <w:lang w:bidi="ar-EG"/>
        </w:rPr>
        <w:t>أ</w:t>
      </w:r>
      <w:r w:rsidR="003151FC" w:rsidRPr="009C7C80">
        <w:rPr>
          <w:rFonts w:hint="cs"/>
          <w:sz w:val="22"/>
          <w:rtl/>
          <w:lang w:bidi="ar-EG"/>
        </w:rPr>
        <w:t>فرق</w:t>
      </w:r>
      <w:r w:rsidR="001164B3" w:rsidRPr="009C7C80">
        <w:rPr>
          <w:rFonts w:hint="cs"/>
          <w:sz w:val="22"/>
          <w:rtl/>
          <w:lang w:bidi="ar-EG"/>
        </w:rPr>
        <w:t>ة</w:t>
      </w:r>
      <w:r w:rsidR="009511F3" w:rsidRPr="009C7C80">
        <w:rPr>
          <w:rFonts w:hint="cs"/>
          <w:sz w:val="22"/>
          <w:rtl/>
          <w:lang w:bidi="ar-EG"/>
        </w:rPr>
        <w:t xml:space="preserve"> الاتصال يمثل مشكلة</w:t>
      </w:r>
      <w:r w:rsidR="00210FEF" w:rsidRPr="009C7C80">
        <w:rPr>
          <w:rFonts w:hint="cs"/>
          <w:sz w:val="22"/>
          <w:rtl/>
          <w:lang w:bidi="ar-EG"/>
        </w:rPr>
        <w:t>،</w:t>
      </w:r>
      <w:r w:rsidR="009511F3" w:rsidRPr="009C7C80">
        <w:rPr>
          <w:rFonts w:hint="cs"/>
          <w:sz w:val="22"/>
          <w:rtl/>
          <w:lang w:bidi="ar-EG"/>
        </w:rPr>
        <w:t xml:space="preserve"> وأن تناول الاتفاقية والبروتوكول</w:t>
      </w:r>
      <w:r w:rsidR="00947600" w:rsidRPr="009C7C80">
        <w:rPr>
          <w:rFonts w:hint="cs"/>
          <w:sz w:val="22"/>
          <w:rtl/>
          <w:lang w:bidi="ar-EG"/>
        </w:rPr>
        <w:t>ين</w:t>
      </w:r>
      <w:r w:rsidR="009511F3" w:rsidRPr="009C7C80">
        <w:rPr>
          <w:rFonts w:hint="cs"/>
          <w:sz w:val="22"/>
          <w:rtl/>
          <w:lang w:bidi="ar-EG"/>
        </w:rPr>
        <w:t xml:space="preserve"> على نحو متزامن ينطوي على </w:t>
      </w:r>
      <w:r w:rsidR="005C5D3A" w:rsidRPr="009C7C80">
        <w:rPr>
          <w:rFonts w:hint="cs"/>
          <w:sz w:val="22"/>
          <w:rtl/>
          <w:lang w:bidi="ar-EG"/>
        </w:rPr>
        <w:t>مخاطر</w:t>
      </w:r>
      <w:r w:rsidR="009511F3" w:rsidRPr="009C7C80">
        <w:rPr>
          <w:rFonts w:hint="cs"/>
          <w:sz w:val="22"/>
          <w:rtl/>
          <w:lang w:bidi="ar-EG"/>
        </w:rPr>
        <w:t xml:space="preserve"> إعطاء بعض </w:t>
      </w:r>
      <w:r w:rsidR="000C6625">
        <w:rPr>
          <w:rFonts w:hint="cs"/>
          <w:sz w:val="22"/>
          <w:rtl/>
          <w:lang w:bidi="ar-EG"/>
        </w:rPr>
        <w:t>الصكوك</w:t>
      </w:r>
      <w:r w:rsidR="00723EC7" w:rsidRPr="009C7C80">
        <w:rPr>
          <w:rFonts w:hint="cs"/>
          <w:sz w:val="22"/>
          <w:rtl/>
          <w:lang w:bidi="ar-EG"/>
        </w:rPr>
        <w:t xml:space="preserve"> اهتماما أكبر من غيرها. واقتُرح أن تؤخذ هذه المسائل في الحسبا</w:t>
      </w:r>
      <w:r w:rsidR="00723EC7">
        <w:rPr>
          <w:rFonts w:hint="cs"/>
          <w:sz w:val="22"/>
          <w:rtl/>
          <w:lang w:bidi="ar-EG"/>
        </w:rPr>
        <w:t>ن</w:t>
      </w:r>
      <w:r w:rsidR="00152087">
        <w:rPr>
          <w:rFonts w:hint="cs"/>
          <w:sz w:val="22"/>
          <w:rtl/>
          <w:lang w:bidi="ar-EG"/>
        </w:rPr>
        <w:t xml:space="preserve"> عند إعداد جداول أعمال </w:t>
      </w:r>
      <w:r w:rsidR="00195EA9">
        <w:rPr>
          <w:rFonts w:hint="cs"/>
          <w:sz w:val="22"/>
          <w:rtl/>
          <w:lang w:bidi="ar-EG"/>
        </w:rPr>
        <w:t>اجتماعات</w:t>
      </w:r>
      <w:r w:rsidR="005238CD">
        <w:rPr>
          <w:rFonts w:hint="cs"/>
          <w:sz w:val="22"/>
          <w:rtl/>
          <w:lang w:bidi="ar-EG"/>
        </w:rPr>
        <w:t xml:space="preserve"> الاتفاقية والبروتوكولين</w:t>
      </w:r>
      <w:r w:rsidR="00152087">
        <w:rPr>
          <w:rFonts w:hint="cs"/>
          <w:sz w:val="22"/>
          <w:rtl/>
          <w:lang w:bidi="ar-EG"/>
        </w:rPr>
        <w:t xml:space="preserve"> في المستقبل. وأشار أيضا عدد من الأطراف إلى أن المشاركة المحدودة لبعض الأطراف في الاجتماعات المتزامنة شكلت تحديات أمام </w:t>
      </w:r>
      <w:r w:rsidR="00B74F78">
        <w:rPr>
          <w:rFonts w:hint="cs"/>
          <w:sz w:val="22"/>
          <w:rtl/>
          <w:lang w:bidi="ar-EG"/>
        </w:rPr>
        <w:t>الإعداد</w:t>
      </w:r>
      <w:r w:rsidR="00152087">
        <w:rPr>
          <w:rFonts w:hint="cs"/>
          <w:sz w:val="22"/>
          <w:rtl/>
          <w:lang w:bidi="ar-EG"/>
        </w:rPr>
        <w:t xml:space="preserve"> الفعال للنتائج.</w:t>
      </w:r>
    </w:p>
    <w:p w:rsidR="00323F16" w:rsidRDefault="0077664D" w:rsidP="00210FEF">
      <w:pPr>
        <w:numPr>
          <w:ilvl w:val="0"/>
          <w:numId w:val="11"/>
        </w:numPr>
        <w:spacing w:after="120"/>
        <w:ind w:left="0" w:firstLine="0"/>
        <w:rPr>
          <w:sz w:val="22"/>
          <w:lang w:bidi="ar-EG"/>
        </w:rPr>
      </w:pPr>
      <w:r>
        <w:rPr>
          <w:rFonts w:hint="cs"/>
          <w:sz w:val="22"/>
          <w:rtl/>
          <w:lang w:bidi="ar-EG"/>
        </w:rPr>
        <w:t xml:space="preserve">وكانت نتائج الاستقصاء الإلكتروني للمشاركين مماثلة لنتائج الإخطار. ورأت أغلبية واضحة </w:t>
      </w:r>
      <w:r w:rsidR="00195EA9">
        <w:rPr>
          <w:rFonts w:hint="cs"/>
          <w:sz w:val="22"/>
          <w:rtl/>
          <w:lang w:bidi="ar-EG"/>
        </w:rPr>
        <w:t>من المشاركين في الاستقصاء</w:t>
      </w:r>
      <w:r>
        <w:rPr>
          <w:rFonts w:hint="cs"/>
          <w:sz w:val="22"/>
          <w:rtl/>
          <w:lang w:bidi="ar-EG"/>
        </w:rPr>
        <w:t xml:space="preserve"> أن عقد اجتماعات مؤتمر الأطراف في الاتفاقية وفي بروتوكول قرطاجنة </w:t>
      </w:r>
      <w:r w:rsidR="00195EA9">
        <w:rPr>
          <w:rFonts w:hint="cs"/>
          <w:sz w:val="22"/>
          <w:rtl/>
          <w:lang w:bidi="ar-EG"/>
        </w:rPr>
        <w:t>و</w:t>
      </w:r>
      <w:r>
        <w:rPr>
          <w:rFonts w:hint="cs"/>
          <w:sz w:val="22"/>
          <w:rtl/>
          <w:lang w:bidi="ar-EG"/>
        </w:rPr>
        <w:t xml:space="preserve">في بروتوكول </w:t>
      </w:r>
      <w:r w:rsidR="00195EA9">
        <w:rPr>
          <w:rFonts w:hint="cs"/>
          <w:sz w:val="22"/>
          <w:rtl/>
          <w:lang w:bidi="ar-EG"/>
        </w:rPr>
        <w:t>ن</w:t>
      </w:r>
      <w:r>
        <w:rPr>
          <w:rFonts w:hint="cs"/>
          <w:sz w:val="22"/>
          <w:rtl/>
          <w:lang w:bidi="ar-EG"/>
        </w:rPr>
        <w:t xml:space="preserve">اغويا بالتزامن كان فعالا من حيث تحسين كفاءة العمليات </w:t>
      </w:r>
      <w:r w:rsidR="00195EA9">
        <w:rPr>
          <w:rFonts w:hint="cs"/>
          <w:sz w:val="22"/>
          <w:rtl/>
          <w:lang w:bidi="ar-EG"/>
        </w:rPr>
        <w:t>في ظل</w:t>
      </w:r>
      <w:r>
        <w:rPr>
          <w:rFonts w:hint="cs"/>
          <w:sz w:val="22"/>
          <w:rtl/>
          <w:lang w:bidi="ar-EG"/>
        </w:rPr>
        <w:t xml:space="preserve"> هذه الاتفاقات. ووافق بشدة ما مجموعه 11 في المائة من المجيبين</w:t>
      </w:r>
      <w:r w:rsidR="00210FEF">
        <w:rPr>
          <w:rFonts w:hint="cs"/>
          <w:sz w:val="22"/>
          <w:rtl/>
          <w:lang w:bidi="ar-EG"/>
        </w:rPr>
        <w:t>،</w:t>
      </w:r>
      <w:r>
        <w:rPr>
          <w:rFonts w:hint="cs"/>
          <w:sz w:val="22"/>
          <w:rtl/>
          <w:lang w:bidi="ar-EG"/>
        </w:rPr>
        <w:t xml:space="preserve"> </w:t>
      </w:r>
      <w:r w:rsidR="00210FEF">
        <w:rPr>
          <w:rFonts w:hint="cs"/>
          <w:sz w:val="22"/>
          <w:rtl/>
          <w:lang w:bidi="ar-EG"/>
        </w:rPr>
        <w:t>ووافق</w:t>
      </w:r>
      <w:r w:rsidR="00947600">
        <w:rPr>
          <w:rFonts w:hint="cs"/>
          <w:sz w:val="22"/>
          <w:rtl/>
          <w:lang w:bidi="ar-EG"/>
        </w:rPr>
        <w:t xml:space="preserve"> 50 في المائة منهم على</w:t>
      </w:r>
      <w:r w:rsidR="00210FEF">
        <w:rPr>
          <w:rFonts w:hint="cs"/>
          <w:sz w:val="22"/>
          <w:rtl/>
          <w:lang w:bidi="ar-EG"/>
        </w:rPr>
        <w:t xml:space="preserve"> أن </w:t>
      </w:r>
      <w:r w:rsidR="0050780D">
        <w:rPr>
          <w:rFonts w:hint="cs"/>
          <w:sz w:val="22"/>
          <w:rtl/>
          <w:lang w:bidi="ar-EG"/>
        </w:rPr>
        <w:t>الوضع كان كذلك. وعارض ذلك 13 في المائة من المجيبين</w:t>
      </w:r>
      <w:r w:rsidR="00210FEF">
        <w:rPr>
          <w:rFonts w:hint="cs"/>
          <w:sz w:val="22"/>
          <w:rtl/>
          <w:lang w:bidi="ar-EG"/>
        </w:rPr>
        <w:t>،</w:t>
      </w:r>
      <w:r w:rsidR="0050780D">
        <w:rPr>
          <w:rFonts w:hint="cs"/>
          <w:sz w:val="22"/>
          <w:rtl/>
          <w:lang w:bidi="ar-EG"/>
        </w:rPr>
        <w:t xml:space="preserve"> وعارض ذلك بشدة 6 في المائة منهم. وأبدى المجيبون المتبقيون البا</w:t>
      </w:r>
      <w:r w:rsidR="00195EA9">
        <w:rPr>
          <w:rFonts w:hint="cs"/>
          <w:sz w:val="22"/>
          <w:rtl/>
          <w:lang w:bidi="ar-EG"/>
        </w:rPr>
        <w:t>ل</w:t>
      </w:r>
      <w:r w:rsidR="0050780D">
        <w:rPr>
          <w:rFonts w:hint="cs"/>
          <w:sz w:val="22"/>
          <w:rtl/>
          <w:lang w:bidi="ar-EG"/>
        </w:rPr>
        <w:t>غة نسبتهم 22 في المائة رأيا محايدا بشأن هذه المسألة. وتشابهت النتائج فقط عند النظر في ردود المجيبين من الأطراف (وافق بشدة 16</w:t>
      </w:r>
      <w:r w:rsidR="00D64644">
        <w:rPr>
          <w:rFonts w:hint="cs"/>
          <w:sz w:val="22"/>
          <w:rtl/>
          <w:lang w:bidi="ar-EG"/>
        </w:rPr>
        <w:t xml:space="preserve"> </w:t>
      </w:r>
      <w:r w:rsidR="0050780D">
        <w:rPr>
          <w:rFonts w:hint="cs"/>
          <w:sz w:val="22"/>
          <w:rtl/>
          <w:lang w:bidi="ar-EG"/>
        </w:rPr>
        <w:t>في المائة</w:t>
      </w:r>
      <w:r w:rsidR="00210FEF">
        <w:rPr>
          <w:rFonts w:hint="cs"/>
          <w:sz w:val="22"/>
          <w:rtl/>
          <w:lang w:bidi="ar-EG"/>
        </w:rPr>
        <w:t>،</w:t>
      </w:r>
      <w:r w:rsidR="0050780D">
        <w:rPr>
          <w:rFonts w:hint="cs"/>
          <w:sz w:val="22"/>
          <w:rtl/>
          <w:lang w:bidi="ar-EG"/>
        </w:rPr>
        <w:t xml:space="preserve"> ووافق 49 في المائة</w:t>
      </w:r>
      <w:r w:rsidR="00210FEF">
        <w:rPr>
          <w:rFonts w:hint="cs"/>
          <w:sz w:val="22"/>
          <w:rtl/>
          <w:lang w:bidi="ar-EG"/>
        </w:rPr>
        <w:t>،</w:t>
      </w:r>
      <w:r w:rsidR="0050780D">
        <w:rPr>
          <w:rFonts w:hint="cs"/>
          <w:sz w:val="22"/>
          <w:rtl/>
          <w:lang w:bidi="ar-EG"/>
        </w:rPr>
        <w:t xml:space="preserve"> وأبدى الحيادية 17 في المائة</w:t>
      </w:r>
      <w:r w:rsidR="00210FEF">
        <w:rPr>
          <w:rFonts w:hint="cs"/>
          <w:sz w:val="22"/>
          <w:rtl/>
          <w:lang w:bidi="ar-EG"/>
        </w:rPr>
        <w:t>، و</w:t>
      </w:r>
      <w:r w:rsidR="0050780D">
        <w:rPr>
          <w:rFonts w:hint="cs"/>
          <w:sz w:val="22"/>
          <w:rtl/>
          <w:lang w:bidi="ar-EG"/>
        </w:rPr>
        <w:t>عارض 13 في المائة</w:t>
      </w:r>
      <w:r w:rsidR="00210FEF">
        <w:rPr>
          <w:rFonts w:hint="cs"/>
          <w:sz w:val="22"/>
          <w:rtl/>
          <w:lang w:bidi="ar-EG"/>
        </w:rPr>
        <w:t>،</w:t>
      </w:r>
      <w:r w:rsidR="0050780D">
        <w:rPr>
          <w:rFonts w:hint="cs"/>
          <w:sz w:val="22"/>
          <w:rtl/>
          <w:lang w:bidi="ar-EG"/>
        </w:rPr>
        <w:t xml:space="preserve"> وعارض بشدة 6 في المائة).</w:t>
      </w:r>
    </w:p>
    <w:p w:rsidR="00835FA3" w:rsidRPr="009C7C80" w:rsidRDefault="00835FA3" w:rsidP="00DC0CDC">
      <w:pPr>
        <w:numPr>
          <w:ilvl w:val="0"/>
          <w:numId w:val="11"/>
        </w:numPr>
        <w:spacing w:after="120"/>
        <w:ind w:left="0" w:firstLine="0"/>
        <w:rPr>
          <w:sz w:val="22"/>
          <w:lang w:bidi="ar-EG"/>
        </w:rPr>
      </w:pPr>
      <w:r>
        <w:rPr>
          <w:rFonts w:hint="cs"/>
          <w:sz w:val="22"/>
          <w:rtl/>
          <w:lang w:bidi="ar-EG"/>
        </w:rPr>
        <w:t>وحدد المجيبون على الاستقصا</w:t>
      </w:r>
      <w:r w:rsidR="00BF5E9E">
        <w:rPr>
          <w:rFonts w:hint="cs"/>
          <w:sz w:val="22"/>
          <w:rtl/>
          <w:lang w:bidi="ar-EG"/>
        </w:rPr>
        <w:t>ء</w:t>
      </w:r>
      <w:r>
        <w:rPr>
          <w:rFonts w:hint="cs"/>
          <w:sz w:val="22"/>
          <w:rtl/>
          <w:lang w:bidi="ar-EG"/>
        </w:rPr>
        <w:t xml:space="preserve"> في تعليقاتهم الكتابية </w:t>
      </w:r>
      <w:r w:rsidR="00BF5E9E">
        <w:rPr>
          <w:rFonts w:hint="cs"/>
          <w:sz w:val="22"/>
          <w:rtl/>
          <w:lang w:bidi="ar-EG"/>
        </w:rPr>
        <w:t>مزايا وعيوب متعددة لعقد الاجتماعات بالتزامن. وشملت المزايا التي تم تحديدها تبادل الآراء والمعلومات على نحو أكبر</w:t>
      </w:r>
      <w:r w:rsidR="00210FEF">
        <w:rPr>
          <w:rFonts w:hint="cs"/>
          <w:sz w:val="22"/>
          <w:rtl/>
          <w:lang w:bidi="ar-EG"/>
        </w:rPr>
        <w:t>،</w:t>
      </w:r>
      <w:r w:rsidR="00BF5E9E">
        <w:rPr>
          <w:rFonts w:hint="cs"/>
          <w:sz w:val="22"/>
          <w:rtl/>
          <w:lang w:bidi="ar-EG"/>
        </w:rPr>
        <w:t xml:space="preserve"> والحصول على نتائج أكثر اتساقا عبر الاتفاقات الثلاثة</w:t>
      </w:r>
      <w:r w:rsidR="00210FEF">
        <w:rPr>
          <w:rFonts w:hint="cs"/>
          <w:sz w:val="22"/>
          <w:rtl/>
          <w:lang w:bidi="ar-EG"/>
        </w:rPr>
        <w:t>،</w:t>
      </w:r>
      <w:r w:rsidR="00BF5E9E">
        <w:rPr>
          <w:rFonts w:hint="cs"/>
          <w:sz w:val="22"/>
          <w:rtl/>
          <w:lang w:bidi="ar-EG"/>
        </w:rPr>
        <w:t xml:space="preserve"> </w:t>
      </w:r>
      <w:r w:rsidR="00195EA9">
        <w:rPr>
          <w:rFonts w:hint="cs"/>
          <w:sz w:val="22"/>
          <w:rtl/>
          <w:lang w:bidi="ar-EG"/>
        </w:rPr>
        <w:t>وتقص</w:t>
      </w:r>
      <w:r w:rsidR="00210FEF">
        <w:rPr>
          <w:rFonts w:hint="cs"/>
          <w:sz w:val="22"/>
          <w:rtl/>
          <w:lang w:bidi="ar-EG"/>
        </w:rPr>
        <w:t>ير المدة الإجمالية للاجتماعات</w:t>
      </w:r>
      <w:r w:rsidR="00195EA9">
        <w:rPr>
          <w:rFonts w:hint="cs"/>
          <w:sz w:val="22"/>
          <w:rtl/>
          <w:lang w:bidi="ar-EG"/>
        </w:rPr>
        <w:t xml:space="preserve">، </w:t>
      </w:r>
      <w:r w:rsidR="00DC0CDC">
        <w:rPr>
          <w:rFonts w:hint="cs"/>
          <w:sz w:val="22"/>
          <w:rtl/>
          <w:lang w:bidi="ar-EG"/>
        </w:rPr>
        <w:t>وأن</w:t>
      </w:r>
      <w:r w:rsidR="00195EA9">
        <w:rPr>
          <w:rFonts w:hint="cs"/>
          <w:sz w:val="22"/>
          <w:rtl/>
          <w:lang w:bidi="ar-EG"/>
        </w:rPr>
        <w:t xml:space="preserve"> الاجتماعات المتز</w:t>
      </w:r>
      <w:r w:rsidR="005238CD">
        <w:rPr>
          <w:rFonts w:hint="cs"/>
          <w:sz w:val="22"/>
          <w:rtl/>
          <w:lang w:bidi="ar-EG"/>
        </w:rPr>
        <w:t xml:space="preserve">امنة </w:t>
      </w:r>
      <w:r w:rsidR="00DC0CDC">
        <w:rPr>
          <w:rFonts w:hint="cs"/>
          <w:sz w:val="22"/>
          <w:rtl/>
          <w:lang w:bidi="ar-EG"/>
        </w:rPr>
        <w:t xml:space="preserve">منحت </w:t>
      </w:r>
      <w:r w:rsidR="005238CD">
        <w:rPr>
          <w:rFonts w:hint="cs"/>
          <w:sz w:val="22"/>
          <w:rtl/>
          <w:lang w:bidi="ar-EG"/>
        </w:rPr>
        <w:t xml:space="preserve">رؤية أوضح لعمل </w:t>
      </w:r>
      <w:r w:rsidR="005238CD" w:rsidRPr="009C7C80">
        <w:rPr>
          <w:rFonts w:hint="cs"/>
          <w:sz w:val="22"/>
          <w:rtl/>
          <w:lang w:bidi="ar-EG"/>
        </w:rPr>
        <w:t>البروتوكولين</w:t>
      </w:r>
      <w:r w:rsidR="00195EA9" w:rsidRPr="009C7C80">
        <w:rPr>
          <w:rFonts w:hint="cs"/>
          <w:sz w:val="22"/>
          <w:rtl/>
          <w:lang w:bidi="ar-EG"/>
        </w:rPr>
        <w:t xml:space="preserve"> وأتاحت </w:t>
      </w:r>
      <w:r w:rsidR="0015737E" w:rsidRPr="009C7C80">
        <w:rPr>
          <w:rFonts w:hint="cs"/>
          <w:sz w:val="22"/>
          <w:rtl/>
          <w:lang w:bidi="ar-EG"/>
        </w:rPr>
        <w:t xml:space="preserve">إدراك الصلات </w:t>
      </w:r>
      <w:r w:rsidR="00195EA9" w:rsidRPr="009C7C80">
        <w:rPr>
          <w:rFonts w:hint="cs"/>
          <w:sz w:val="22"/>
          <w:rtl/>
          <w:lang w:bidi="ar-EG"/>
        </w:rPr>
        <w:t xml:space="preserve">بين </w:t>
      </w:r>
      <w:r w:rsidR="00115980" w:rsidRPr="009C7C80">
        <w:rPr>
          <w:rFonts w:hint="cs"/>
          <w:sz w:val="22"/>
          <w:rtl/>
          <w:lang w:bidi="ar-EG"/>
        </w:rPr>
        <w:t>العمليات الثلاث بشكل أفضل. ومن بين العيوب التي تمت الإشارة إليها، صعوبة متابعة ثلاثة اجتماعات مختلفة</w:t>
      </w:r>
      <w:r w:rsidR="00210FEF" w:rsidRPr="009C7C80">
        <w:rPr>
          <w:rFonts w:hint="cs"/>
          <w:sz w:val="22"/>
          <w:rtl/>
          <w:lang w:bidi="ar-EG"/>
        </w:rPr>
        <w:t>،</w:t>
      </w:r>
      <w:r w:rsidR="00115980" w:rsidRPr="009C7C80">
        <w:rPr>
          <w:rFonts w:hint="cs"/>
          <w:sz w:val="22"/>
          <w:rtl/>
          <w:lang w:bidi="ar-EG"/>
        </w:rPr>
        <w:t xml:space="preserve"> وصعوبة التنسيق</w:t>
      </w:r>
      <w:r w:rsidR="00210FEF" w:rsidRPr="009C7C80">
        <w:rPr>
          <w:rFonts w:hint="cs"/>
          <w:sz w:val="22"/>
          <w:rtl/>
          <w:lang w:bidi="ar-EG"/>
        </w:rPr>
        <w:t>،</w:t>
      </w:r>
      <w:r w:rsidR="00115980" w:rsidRPr="009C7C80">
        <w:rPr>
          <w:rFonts w:hint="cs"/>
          <w:sz w:val="22"/>
          <w:rtl/>
          <w:lang w:bidi="ar-EG"/>
        </w:rPr>
        <w:t xml:space="preserve"> والعدد </w:t>
      </w:r>
      <w:r w:rsidR="004D139F" w:rsidRPr="009C7C80">
        <w:rPr>
          <w:rFonts w:hint="cs"/>
          <w:sz w:val="22"/>
          <w:rtl/>
          <w:lang w:bidi="ar-EG"/>
        </w:rPr>
        <w:t>الكبير ل</w:t>
      </w:r>
      <w:r w:rsidR="001164B3" w:rsidRPr="009C7C80">
        <w:rPr>
          <w:rFonts w:hint="cs"/>
          <w:sz w:val="22"/>
          <w:rtl/>
          <w:lang w:bidi="ar-EG"/>
        </w:rPr>
        <w:t>أ</w:t>
      </w:r>
      <w:r w:rsidR="003151FC" w:rsidRPr="009C7C80">
        <w:rPr>
          <w:rFonts w:hint="cs"/>
          <w:sz w:val="22"/>
          <w:rtl/>
          <w:lang w:bidi="ar-EG"/>
        </w:rPr>
        <w:t>فرق</w:t>
      </w:r>
      <w:r w:rsidR="00947600" w:rsidRPr="009C7C80">
        <w:rPr>
          <w:rFonts w:hint="cs"/>
          <w:sz w:val="22"/>
          <w:rtl/>
          <w:lang w:bidi="ar-EG"/>
        </w:rPr>
        <w:t>ة</w:t>
      </w:r>
      <w:r w:rsidR="004D139F" w:rsidRPr="009C7C80">
        <w:rPr>
          <w:rFonts w:hint="cs"/>
          <w:sz w:val="22"/>
          <w:rtl/>
          <w:lang w:bidi="ar-EG"/>
        </w:rPr>
        <w:t xml:space="preserve"> الاتصال المطلوبة. وتمت الإحاطة بأن هذه المسائل تمثل مشكلة للوفود</w:t>
      </w:r>
      <w:r w:rsidR="004D139F">
        <w:rPr>
          <w:rFonts w:hint="cs"/>
          <w:sz w:val="22"/>
          <w:rtl/>
          <w:lang w:bidi="ar-EG"/>
        </w:rPr>
        <w:t xml:space="preserve"> الصغيرة على وجه الخصوص. ومن ضمن التحديات الأخرى التي تمت الإحاطة بها</w:t>
      </w:r>
      <w:r w:rsidR="001C1972">
        <w:rPr>
          <w:rFonts w:hint="cs"/>
          <w:sz w:val="22"/>
          <w:rtl/>
          <w:lang w:bidi="ar-EG"/>
        </w:rPr>
        <w:t>،</w:t>
      </w:r>
      <w:r w:rsidR="004D139F">
        <w:rPr>
          <w:rFonts w:hint="cs"/>
          <w:sz w:val="22"/>
          <w:rtl/>
          <w:lang w:bidi="ar-EG"/>
        </w:rPr>
        <w:t xml:space="preserve"> محدودية الوقت المتاح لمناقشة بعض المسائل والحاجة إلى أن ينتظر المندوبون </w:t>
      </w:r>
      <w:r w:rsidR="004D139F" w:rsidRPr="009C7C80">
        <w:rPr>
          <w:rFonts w:hint="cs"/>
          <w:sz w:val="22"/>
          <w:rtl/>
          <w:lang w:bidi="ar-EG"/>
        </w:rPr>
        <w:t xml:space="preserve">في الجلسات </w:t>
      </w:r>
      <w:r w:rsidR="00D7775C" w:rsidRPr="009C7C80">
        <w:rPr>
          <w:rFonts w:hint="cs"/>
          <w:sz w:val="22"/>
          <w:rtl/>
          <w:lang w:bidi="ar-EG"/>
        </w:rPr>
        <w:t>العامة</w:t>
      </w:r>
      <w:r w:rsidR="004D139F" w:rsidRPr="009C7C80">
        <w:rPr>
          <w:rFonts w:hint="cs"/>
          <w:sz w:val="22"/>
          <w:rtl/>
          <w:lang w:bidi="ar-EG"/>
        </w:rPr>
        <w:t xml:space="preserve"> وفي </w:t>
      </w:r>
      <w:r w:rsidR="00E80F44" w:rsidRPr="009C7C80">
        <w:rPr>
          <w:rFonts w:hint="cs"/>
          <w:sz w:val="22"/>
          <w:rtl/>
          <w:lang w:bidi="ar-EG"/>
        </w:rPr>
        <w:t xml:space="preserve">جلسات </w:t>
      </w:r>
      <w:r w:rsidR="004906CE" w:rsidRPr="009C7C80">
        <w:rPr>
          <w:rFonts w:hint="cs"/>
          <w:sz w:val="22"/>
          <w:rtl/>
          <w:lang w:bidi="ar-EG"/>
        </w:rPr>
        <w:t>الأ</w:t>
      </w:r>
      <w:r w:rsidR="00E80F44" w:rsidRPr="009C7C80">
        <w:rPr>
          <w:rFonts w:hint="cs"/>
          <w:sz w:val="22"/>
          <w:rtl/>
          <w:lang w:bidi="ar-EG"/>
        </w:rPr>
        <w:t>فرق</w:t>
      </w:r>
      <w:r w:rsidR="004906CE" w:rsidRPr="009C7C80">
        <w:rPr>
          <w:rFonts w:hint="cs"/>
          <w:sz w:val="22"/>
          <w:rtl/>
          <w:lang w:bidi="ar-EG"/>
        </w:rPr>
        <w:t>ة</w:t>
      </w:r>
      <w:r w:rsidR="004D139F" w:rsidRPr="009C7C80">
        <w:rPr>
          <w:rFonts w:hint="cs"/>
          <w:sz w:val="22"/>
          <w:rtl/>
          <w:lang w:bidi="ar-EG"/>
        </w:rPr>
        <w:t xml:space="preserve"> الع</w:t>
      </w:r>
      <w:r w:rsidR="004906CE" w:rsidRPr="009C7C80">
        <w:rPr>
          <w:rFonts w:hint="cs"/>
          <w:sz w:val="22"/>
          <w:rtl/>
          <w:lang w:bidi="ar-EG"/>
        </w:rPr>
        <w:t>ا</w:t>
      </w:r>
      <w:r w:rsidR="004D139F" w:rsidRPr="009C7C80">
        <w:rPr>
          <w:rFonts w:hint="cs"/>
          <w:sz w:val="22"/>
          <w:rtl/>
          <w:lang w:bidi="ar-EG"/>
        </w:rPr>
        <w:t>مل</w:t>
      </w:r>
      <w:r w:rsidR="004906CE" w:rsidRPr="009C7C80">
        <w:rPr>
          <w:rFonts w:hint="cs"/>
          <w:sz w:val="22"/>
          <w:rtl/>
          <w:lang w:bidi="ar-EG"/>
        </w:rPr>
        <w:t>ة</w:t>
      </w:r>
      <w:r w:rsidR="004D139F" w:rsidRPr="009C7C80">
        <w:rPr>
          <w:rFonts w:hint="cs"/>
          <w:sz w:val="22"/>
          <w:rtl/>
          <w:lang w:bidi="ar-EG"/>
        </w:rPr>
        <w:t xml:space="preserve"> إلى أن تتم مناقشة بنودهم.</w:t>
      </w:r>
    </w:p>
    <w:p w:rsidR="004D139F" w:rsidRPr="00E15509" w:rsidRDefault="009C7C80" w:rsidP="00DC0CDC">
      <w:pPr>
        <w:shd w:val="clear" w:color="auto" w:fill="FFFFFF" w:themeFill="background1"/>
        <w:spacing w:after="120"/>
        <w:rPr>
          <w:sz w:val="22"/>
          <w:highlight w:val="yellow"/>
          <w:lang w:bidi="ar-EG"/>
        </w:rPr>
      </w:pPr>
      <w:r>
        <w:rPr>
          <w:rFonts w:hint="cs"/>
          <w:sz w:val="22"/>
          <w:rtl/>
          <w:lang w:bidi="ar-EG"/>
        </w:rPr>
        <w:t>26-</w:t>
      </w:r>
      <w:r>
        <w:rPr>
          <w:rFonts w:hint="cs"/>
          <w:sz w:val="22"/>
          <w:rtl/>
          <w:lang w:bidi="ar-EG"/>
        </w:rPr>
        <w:tab/>
      </w:r>
      <w:r w:rsidR="004D139F" w:rsidRPr="009C7C80">
        <w:rPr>
          <w:rFonts w:hint="cs"/>
          <w:sz w:val="22"/>
          <w:rtl/>
          <w:lang w:bidi="ar-EG"/>
        </w:rPr>
        <w:t xml:space="preserve">وإجمالا، عقدت </w:t>
      </w:r>
      <w:r w:rsidR="00DE79B5" w:rsidRPr="009C7C80">
        <w:rPr>
          <w:rFonts w:hint="cs"/>
          <w:sz w:val="22"/>
          <w:rtl/>
          <w:lang w:bidi="ar-EG"/>
        </w:rPr>
        <w:t xml:space="preserve">خلال الاجتماعات المتزامنة </w:t>
      </w:r>
      <w:r w:rsidR="004D139F" w:rsidRPr="009C7C80">
        <w:rPr>
          <w:rFonts w:hint="cs"/>
          <w:sz w:val="22"/>
          <w:rtl/>
          <w:lang w:bidi="ar-EG"/>
        </w:rPr>
        <w:t xml:space="preserve">46 جلسة بين جلسات عامة وجلسات </w:t>
      </w:r>
      <w:r w:rsidR="004906CE" w:rsidRPr="009C7C80">
        <w:rPr>
          <w:rFonts w:hint="cs"/>
          <w:sz w:val="22"/>
          <w:rtl/>
          <w:lang w:bidi="ar-EG"/>
        </w:rPr>
        <w:t>الأ</w:t>
      </w:r>
      <w:r w:rsidR="00E80F44" w:rsidRPr="009C7C80">
        <w:rPr>
          <w:rFonts w:hint="cs"/>
          <w:sz w:val="22"/>
          <w:rtl/>
          <w:lang w:bidi="ar-EG"/>
        </w:rPr>
        <w:t>فرق</w:t>
      </w:r>
      <w:r w:rsidR="004906CE" w:rsidRPr="009C7C80">
        <w:rPr>
          <w:rFonts w:hint="cs"/>
          <w:sz w:val="22"/>
          <w:rtl/>
          <w:lang w:bidi="ar-EG"/>
        </w:rPr>
        <w:t>ة</w:t>
      </w:r>
      <w:r w:rsidR="004D139F" w:rsidRPr="009C7C80">
        <w:rPr>
          <w:rFonts w:hint="cs"/>
          <w:sz w:val="22"/>
          <w:rtl/>
          <w:lang w:bidi="ar-EG"/>
        </w:rPr>
        <w:t xml:space="preserve"> </w:t>
      </w:r>
      <w:r w:rsidR="00E80F44" w:rsidRPr="009C7C80">
        <w:rPr>
          <w:rFonts w:hint="cs"/>
          <w:sz w:val="22"/>
          <w:rtl/>
          <w:lang w:bidi="ar-EG"/>
        </w:rPr>
        <w:t>ال</w:t>
      </w:r>
      <w:r w:rsidR="004D139F" w:rsidRPr="009C7C80">
        <w:rPr>
          <w:rFonts w:hint="cs"/>
          <w:sz w:val="22"/>
          <w:rtl/>
          <w:lang w:bidi="ar-EG"/>
        </w:rPr>
        <w:t>ع</w:t>
      </w:r>
      <w:r w:rsidR="004906CE" w:rsidRPr="009C7C80">
        <w:rPr>
          <w:rFonts w:hint="cs"/>
          <w:sz w:val="22"/>
          <w:rtl/>
          <w:lang w:bidi="ar-EG"/>
        </w:rPr>
        <w:t>ا</w:t>
      </w:r>
      <w:r w:rsidR="004D139F" w:rsidRPr="009C7C80">
        <w:rPr>
          <w:rFonts w:hint="cs"/>
          <w:sz w:val="22"/>
          <w:rtl/>
          <w:lang w:bidi="ar-EG"/>
        </w:rPr>
        <w:t>مل</w:t>
      </w:r>
      <w:r w:rsidR="004906CE" w:rsidRPr="009C7C80">
        <w:rPr>
          <w:rFonts w:hint="cs"/>
          <w:sz w:val="22"/>
          <w:rtl/>
          <w:lang w:bidi="ar-EG"/>
        </w:rPr>
        <w:t>ة</w:t>
      </w:r>
      <w:r w:rsidR="004D139F" w:rsidRPr="009C7C80">
        <w:rPr>
          <w:rFonts w:hint="cs"/>
          <w:sz w:val="22"/>
          <w:rtl/>
          <w:lang w:bidi="ar-EG"/>
        </w:rPr>
        <w:t xml:space="preserve"> على مدى </w:t>
      </w:r>
      <w:r w:rsidR="00DE79B5" w:rsidRPr="009C7C80">
        <w:rPr>
          <w:rFonts w:hint="cs"/>
          <w:sz w:val="22"/>
          <w:rtl/>
          <w:lang w:bidi="ar-EG"/>
        </w:rPr>
        <w:t>12 يوما. وهذا يعني أن هناك 3.8 جلسات عمل في المتوسط عقدت في اليوم الواحد. وبالمقارنة، عقدت 54 جلسة عمل على مدى 15 يوما خلال الاجتماع الثاني عشر لمؤتمر الأطراف</w:t>
      </w:r>
      <w:r w:rsidR="00552A4F" w:rsidRPr="009C7C80">
        <w:rPr>
          <w:rFonts w:hint="cs"/>
          <w:sz w:val="22"/>
          <w:rtl/>
          <w:lang w:bidi="ar-EG"/>
        </w:rPr>
        <w:t>،</w:t>
      </w:r>
      <w:r w:rsidR="00DE79B5" w:rsidRPr="009C7C80">
        <w:rPr>
          <w:rFonts w:hint="cs"/>
          <w:sz w:val="22"/>
          <w:rtl/>
          <w:lang w:bidi="ar-EG"/>
        </w:rPr>
        <w:t xml:space="preserve"> والاجتماع الأول لمؤتمر الأطراف العامل كاجتماع للأطراف في بروتوكول ناغويا</w:t>
      </w:r>
      <w:r w:rsidR="00552A4F" w:rsidRPr="009C7C80">
        <w:rPr>
          <w:rFonts w:hint="cs"/>
          <w:sz w:val="22"/>
          <w:rtl/>
          <w:lang w:bidi="ar-EG"/>
        </w:rPr>
        <w:t>،</w:t>
      </w:r>
      <w:r w:rsidR="00DE79B5" w:rsidRPr="009C7C80">
        <w:rPr>
          <w:rFonts w:hint="cs"/>
          <w:sz w:val="22"/>
          <w:rtl/>
          <w:lang w:bidi="ar-EG"/>
        </w:rPr>
        <w:t xml:space="preserve"> والاجتماع السابع لمؤتمر الأطراف</w:t>
      </w:r>
      <w:r w:rsidR="00DE79B5">
        <w:rPr>
          <w:rFonts w:hint="cs"/>
          <w:sz w:val="22"/>
          <w:rtl/>
          <w:lang w:bidi="ar-EG"/>
        </w:rPr>
        <w:t xml:space="preserve"> العامل كاجتماع للأطراف في بروتوكول قرطاجنة، </w:t>
      </w:r>
      <w:r w:rsidR="00DE79B5" w:rsidRPr="009C7C80">
        <w:rPr>
          <w:rFonts w:hint="cs"/>
          <w:sz w:val="22"/>
          <w:rtl/>
          <w:lang w:bidi="ar-EG"/>
        </w:rPr>
        <w:t xml:space="preserve">أي </w:t>
      </w:r>
      <w:r w:rsidR="0083302C" w:rsidRPr="009C7C80">
        <w:rPr>
          <w:rFonts w:hint="cs"/>
          <w:sz w:val="22"/>
          <w:rtl/>
          <w:lang w:bidi="ar-EG"/>
        </w:rPr>
        <w:t>بمتوسط</w:t>
      </w:r>
      <w:r w:rsidR="00DE79B5" w:rsidRPr="009C7C80">
        <w:rPr>
          <w:rFonts w:hint="cs"/>
          <w:sz w:val="22"/>
          <w:rtl/>
          <w:lang w:bidi="ar-EG"/>
        </w:rPr>
        <w:t xml:space="preserve"> 3.6 جلسات في اليوم الواحد. وعقدت 51 جلسة عمل على مدى 15 يوما خلال الاجتماع الحادي عشر لمؤتمر الأطراف</w:t>
      </w:r>
      <w:r w:rsidR="00552A4F" w:rsidRPr="009C7C80">
        <w:rPr>
          <w:rFonts w:hint="cs"/>
          <w:sz w:val="22"/>
          <w:rtl/>
          <w:lang w:bidi="ar-EG"/>
        </w:rPr>
        <w:t>،</w:t>
      </w:r>
      <w:r w:rsidR="00DE79B5" w:rsidRPr="009C7C80">
        <w:rPr>
          <w:rFonts w:hint="cs"/>
          <w:sz w:val="22"/>
          <w:rtl/>
          <w:lang w:bidi="ar-EG"/>
        </w:rPr>
        <w:t xml:space="preserve"> والاجتماع الساد</w:t>
      </w:r>
      <w:r w:rsidR="00552A4F" w:rsidRPr="009C7C80">
        <w:rPr>
          <w:rFonts w:hint="cs"/>
          <w:sz w:val="22"/>
          <w:rtl/>
          <w:lang w:bidi="ar-EG"/>
        </w:rPr>
        <w:t>س</w:t>
      </w:r>
      <w:r w:rsidR="00DE79B5" w:rsidRPr="009C7C80">
        <w:rPr>
          <w:rFonts w:hint="cs"/>
          <w:sz w:val="22"/>
          <w:rtl/>
          <w:lang w:bidi="ar-EG"/>
        </w:rPr>
        <w:t xml:space="preserve"> لمؤتمر الأطراف العامل كاجتماع للأطراف، أي </w:t>
      </w:r>
      <w:r w:rsidR="0083302C" w:rsidRPr="009C7C80">
        <w:rPr>
          <w:rFonts w:hint="cs"/>
          <w:sz w:val="22"/>
          <w:rtl/>
          <w:lang w:bidi="ar-EG"/>
        </w:rPr>
        <w:t>بمتوسط</w:t>
      </w:r>
      <w:r w:rsidR="00DE79B5" w:rsidRPr="009C7C80">
        <w:rPr>
          <w:rFonts w:hint="cs"/>
          <w:sz w:val="22"/>
          <w:rtl/>
          <w:lang w:bidi="ar-EG"/>
        </w:rPr>
        <w:t xml:space="preserve"> 3.4 جلسات عمل في اليوم الواحد. وبالمثل، عقدت 56 جلسة عمل على مدى 15 يوما خلال الاجتماع العاشر لمؤتمر الأطراف</w:t>
      </w:r>
      <w:r w:rsidR="00552A4F" w:rsidRPr="009C7C80">
        <w:rPr>
          <w:rFonts w:hint="cs"/>
          <w:sz w:val="22"/>
          <w:rtl/>
          <w:lang w:bidi="ar-EG"/>
        </w:rPr>
        <w:t>،</w:t>
      </w:r>
      <w:r w:rsidR="00202EEA" w:rsidRPr="009C7C80">
        <w:rPr>
          <w:rFonts w:hint="cs"/>
          <w:sz w:val="22"/>
          <w:rtl/>
          <w:lang w:bidi="ar-EG"/>
        </w:rPr>
        <w:t xml:space="preserve"> والاجتماع الخامس لمؤتمر الأطراف العامل كاجتماع للأطراف، أي </w:t>
      </w:r>
      <w:r w:rsidR="0083302C" w:rsidRPr="009C7C80">
        <w:rPr>
          <w:rFonts w:hint="cs"/>
          <w:sz w:val="22"/>
          <w:rtl/>
          <w:lang w:bidi="ar-EG"/>
        </w:rPr>
        <w:t>بمتوسط</w:t>
      </w:r>
      <w:r w:rsidR="00202EEA" w:rsidRPr="009C7C80">
        <w:rPr>
          <w:rFonts w:hint="cs"/>
          <w:sz w:val="22"/>
          <w:rtl/>
          <w:lang w:bidi="ar-EG"/>
        </w:rPr>
        <w:t xml:space="preserve"> 3.7 جلسات في اليوم الواحد، كما عقدت 52 جلسة عمل على مدى 15 يوما خلال الاجتماع التاسع لمؤتمر الأطراف</w:t>
      </w:r>
      <w:r w:rsidR="00552A4F" w:rsidRPr="009C7C80">
        <w:rPr>
          <w:rFonts w:hint="cs"/>
          <w:sz w:val="22"/>
          <w:rtl/>
          <w:lang w:bidi="ar-EG"/>
        </w:rPr>
        <w:t>،</w:t>
      </w:r>
      <w:r w:rsidR="00202EEA" w:rsidRPr="009C7C80">
        <w:rPr>
          <w:rFonts w:hint="cs"/>
          <w:sz w:val="22"/>
          <w:rtl/>
          <w:lang w:bidi="ar-EG"/>
        </w:rPr>
        <w:t xml:space="preserve"> والاجتماع الرابع لمؤتمر الأطراف العامل كاجتماع للأطراف، أي </w:t>
      </w:r>
      <w:r w:rsidR="0083302C" w:rsidRPr="009C7C80">
        <w:rPr>
          <w:rFonts w:hint="cs"/>
          <w:sz w:val="22"/>
          <w:rtl/>
          <w:lang w:bidi="ar-EG"/>
        </w:rPr>
        <w:t>بمتوسط</w:t>
      </w:r>
      <w:r w:rsidR="00202EEA" w:rsidRPr="009C7C80">
        <w:rPr>
          <w:rFonts w:hint="cs"/>
          <w:sz w:val="22"/>
          <w:rtl/>
          <w:lang w:bidi="ar-EG"/>
        </w:rPr>
        <w:t xml:space="preserve"> 3.4</w:t>
      </w:r>
      <w:r w:rsidR="00202EEA">
        <w:rPr>
          <w:rFonts w:hint="cs"/>
          <w:sz w:val="22"/>
          <w:rtl/>
          <w:lang w:bidi="ar-EG"/>
        </w:rPr>
        <w:t xml:space="preserve"> جلسات في </w:t>
      </w:r>
      <w:r w:rsidR="00202EEA" w:rsidRPr="009C7C80">
        <w:rPr>
          <w:rFonts w:hint="cs"/>
          <w:sz w:val="22"/>
          <w:rtl/>
          <w:lang w:bidi="ar-EG"/>
        </w:rPr>
        <w:t>اليوم الواحد (</w:t>
      </w:r>
      <w:r w:rsidR="00DC0CDC">
        <w:rPr>
          <w:rFonts w:hint="cs"/>
          <w:sz w:val="22"/>
          <w:rtl/>
          <w:lang w:bidi="ar-EG"/>
        </w:rPr>
        <w:t>ا</w:t>
      </w:r>
      <w:r w:rsidR="00202EEA" w:rsidRPr="009C7C80">
        <w:rPr>
          <w:rFonts w:hint="cs"/>
          <w:sz w:val="22"/>
          <w:rtl/>
          <w:lang w:bidi="ar-EG"/>
        </w:rPr>
        <w:t xml:space="preserve">نظر الجدول 1). </w:t>
      </w:r>
      <w:r w:rsidR="001C1972" w:rsidRPr="009C7C80">
        <w:rPr>
          <w:rFonts w:hint="cs"/>
          <w:sz w:val="22"/>
          <w:rtl/>
          <w:lang w:bidi="ar-EG"/>
        </w:rPr>
        <w:t>تمثل</w:t>
      </w:r>
      <w:r w:rsidR="00202EEA" w:rsidRPr="009C7C80">
        <w:rPr>
          <w:rFonts w:hint="cs"/>
          <w:sz w:val="22"/>
          <w:rtl/>
          <w:lang w:bidi="ar-EG"/>
        </w:rPr>
        <w:t xml:space="preserve"> أثر عقد اجتماعات متزامنة في تقليل المدة الإجمالية للاجتماع</w:t>
      </w:r>
      <w:r w:rsidR="001C1972" w:rsidRPr="009C7C80">
        <w:rPr>
          <w:rFonts w:hint="cs"/>
          <w:sz w:val="22"/>
          <w:rtl/>
          <w:lang w:bidi="ar-EG"/>
        </w:rPr>
        <w:t>،</w:t>
      </w:r>
      <w:r w:rsidR="00202EEA" w:rsidRPr="009C7C80">
        <w:rPr>
          <w:rFonts w:hint="cs"/>
          <w:sz w:val="22"/>
          <w:rtl/>
          <w:lang w:bidi="ar-EG"/>
        </w:rPr>
        <w:t xml:space="preserve"> وخفض العدد الإجمالي للجلسات </w:t>
      </w:r>
      <w:r w:rsidR="00637941" w:rsidRPr="009C7C80">
        <w:rPr>
          <w:rFonts w:hint="cs"/>
          <w:sz w:val="22"/>
          <w:rtl/>
          <w:lang w:bidi="ar-EG"/>
        </w:rPr>
        <w:t>العامة</w:t>
      </w:r>
      <w:r w:rsidR="00202EEA" w:rsidRPr="009C7C80">
        <w:rPr>
          <w:rFonts w:hint="cs"/>
          <w:sz w:val="22"/>
          <w:rtl/>
          <w:lang w:bidi="ar-EG"/>
        </w:rPr>
        <w:t xml:space="preserve"> وجلسات </w:t>
      </w:r>
      <w:r w:rsidR="004906CE" w:rsidRPr="009C7C80">
        <w:rPr>
          <w:rFonts w:hint="cs"/>
          <w:sz w:val="22"/>
          <w:rtl/>
          <w:lang w:bidi="ar-EG"/>
        </w:rPr>
        <w:t>الأ</w:t>
      </w:r>
      <w:r w:rsidR="00E80F44" w:rsidRPr="009C7C80">
        <w:rPr>
          <w:rFonts w:hint="cs"/>
          <w:sz w:val="22"/>
          <w:rtl/>
          <w:lang w:bidi="ar-EG"/>
        </w:rPr>
        <w:t>فرق</w:t>
      </w:r>
      <w:r w:rsidR="004906CE" w:rsidRPr="009C7C80">
        <w:rPr>
          <w:rFonts w:hint="cs"/>
          <w:sz w:val="22"/>
          <w:rtl/>
          <w:lang w:bidi="ar-EG"/>
        </w:rPr>
        <w:t>ة</w:t>
      </w:r>
      <w:r w:rsidR="00202EEA" w:rsidRPr="009C7C80">
        <w:rPr>
          <w:rFonts w:hint="cs"/>
          <w:sz w:val="22"/>
          <w:rtl/>
          <w:lang w:bidi="ar-EG"/>
        </w:rPr>
        <w:t xml:space="preserve"> الع</w:t>
      </w:r>
      <w:r w:rsidR="004906CE" w:rsidRPr="009C7C80">
        <w:rPr>
          <w:rFonts w:hint="cs"/>
          <w:sz w:val="22"/>
          <w:rtl/>
          <w:lang w:bidi="ar-EG"/>
        </w:rPr>
        <w:t>ا</w:t>
      </w:r>
      <w:r w:rsidR="00202EEA" w:rsidRPr="009C7C80">
        <w:rPr>
          <w:rFonts w:hint="cs"/>
          <w:sz w:val="22"/>
          <w:rtl/>
          <w:lang w:bidi="ar-EG"/>
        </w:rPr>
        <w:t>مل</w:t>
      </w:r>
      <w:r w:rsidR="004906CE" w:rsidRPr="009C7C80">
        <w:rPr>
          <w:rFonts w:hint="cs"/>
          <w:sz w:val="22"/>
          <w:rtl/>
          <w:lang w:bidi="ar-EG"/>
        </w:rPr>
        <w:t>ة</w:t>
      </w:r>
      <w:r w:rsidR="00202EEA" w:rsidRPr="009C7C80">
        <w:rPr>
          <w:rFonts w:hint="cs"/>
          <w:sz w:val="22"/>
          <w:rtl/>
          <w:lang w:bidi="ar-EG"/>
        </w:rPr>
        <w:t xml:space="preserve">. إلا أن </w:t>
      </w:r>
      <w:r w:rsidR="005F7077" w:rsidRPr="009C7C80">
        <w:rPr>
          <w:rFonts w:hint="cs"/>
          <w:sz w:val="22"/>
          <w:rtl/>
          <w:lang w:bidi="ar-EG"/>
        </w:rPr>
        <w:t xml:space="preserve">جلسات العمل في اليوم الواحد كان في متوسط أكبر بقليل خلال </w:t>
      </w:r>
      <w:r w:rsidR="00D7566D" w:rsidRPr="009C7C80">
        <w:rPr>
          <w:rFonts w:hint="cs"/>
          <w:sz w:val="22"/>
          <w:rtl/>
          <w:lang w:bidi="ar-EG"/>
        </w:rPr>
        <w:t xml:space="preserve">الاجتماعات المتزامنة </w:t>
      </w:r>
      <w:r w:rsidR="005F7077" w:rsidRPr="009C7C80">
        <w:rPr>
          <w:rFonts w:hint="cs"/>
          <w:sz w:val="22"/>
          <w:rtl/>
          <w:lang w:bidi="ar-EG"/>
        </w:rPr>
        <w:t xml:space="preserve">في </w:t>
      </w:r>
      <w:r w:rsidR="00D7566D" w:rsidRPr="009C7C80">
        <w:rPr>
          <w:rFonts w:hint="cs"/>
          <w:sz w:val="22"/>
          <w:rtl/>
          <w:lang w:bidi="ar-EG"/>
        </w:rPr>
        <w:t xml:space="preserve">عام 2016. </w:t>
      </w:r>
      <w:r w:rsidR="005F7077" w:rsidRPr="009C7C80">
        <w:rPr>
          <w:rFonts w:hint="cs"/>
          <w:sz w:val="22"/>
          <w:rtl/>
          <w:lang w:bidi="ar-EG"/>
        </w:rPr>
        <w:t>غير أنه</w:t>
      </w:r>
      <w:r w:rsidR="00D7566D" w:rsidRPr="009C7C80">
        <w:rPr>
          <w:rFonts w:hint="cs"/>
          <w:sz w:val="22"/>
          <w:rtl/>
          <w:lang w:bidi="ar-EG"/>
        </w:rPr>
        <w:t xml:space="preserve"> لم يكن هناك فرق كبير في عدد جلسات العمل </w:t>
      </w:r>
      <w:r w:rsidR="005F7077" w:rsidRPr="009C7C80">
        <w:rPr>
          <w:rFonts w:hint="cs"/>
          <w:sz w:val="22"/>
          <w:rtl/>
          <w:lang w:bidi="ar-EG"/>
        </w:rPr>
        <w:t>إذا وضعنا في الاعتبار</w:t>
      </w:r>
      <w:r w:rsidR="00D7566D" w:rsidRPr="009C7C80">
        <w:rPr>
          <w:rFonts w:hint="cs"/>
          <w:sz w:val="22"/>
          <w:rtl/>
          <w:lang w:bidi="ar-EG"/>
        </w:rPr>
        <w:t xml:space="preserve"> </w:t>
      </w:r>
      <w:r w:rsidR="005F7077" w:rsidRPr="009C7C80">
        <w:rPr>
          <w:rFonts w:hint="cs"/>
          <w:sz w:val="22"/>
          <w:rtl/>
          <w:lang w:bidi="ar-EG"/>
        </w:rPr>
        <w:t xml:space="preserve">أيضا </w:t>
      </w:r>
      <w:r w:rsidR="00567DE6" w:rsidRPr="009C7C80">
        <w:rPr>
          <w:rFonts w:hint="cs"/>
          <w:sz w:val="22"/>
          <w:rtl/>
          <w:lang w:bidi="ar-EG"/>
        </w:rPr>
        <w:t xml:space="preserve">جلسات الجزء الرفيع المستوى </w:t>
      </w:r>
      <w:r w:rsidR="00567DE6" w:rsidRPr="009C7C80">
        <w:rPr>
          <w:sz w:val="22"/>
          <w:rtl/>
          <w:lang w:bidi="ar-EG"/>
        </w:rPr>
        <w:t>–</w:t>
      </w:r>
      <w:r w:rsidR="00567DE6" w:rsidRPr="009C7C80">
        <w:rPr>
          <w:rFonts w:hint="cs"/>
          <w:sz w:val="22"/>
          <w:rtl/>
          <w:lang w:bidi="ar-EG"/>
        </w:rPr>
        <w:t xml:space="preserve"> التي عقدت بالتوازي مع الاجتماعات الرسمية قبل الاجتماعات المتزامنة</w:t>
      </w:r>
      <w:r w:rsidR="00D7566D" w:rsidRPr="009C7C80">
        <w:rPr>
          <w:rFonts w:hint="cs"/>
          <w:sz w:val="22"/>
          <w:rtl/>
          <w:lang w:bidi="ar-EG"/>
        </w:rPr>
        <w:t xml:space="preserve"> </w:t>
      </w:r>
      <w:r w:rsidR="00567DE6" w:rsidRPr="009C7C80">
        <w:rPr>
          <w:rFonts w:hint="cs"/>
          <w:sz w:val="22"/>
          <w:rtl/>
          <w:lang w:bidi="ar-EG"/>
        </w:rPr>
        <w:t xml:space="preserve">لعام </w:t>
      </w:r>
      <w:r w:rsidR="00D7775C" w:rsidRPr="009C7C80">
        <w:rPr>
          <w:rFonts w:hint="cs"/>
          <w:sz w:val="22"/>
          <w:rtl/>
          <w:lang w:bidi="ar-EG"/>
        </w:rPr>
        <w:t>2016</w:t>
      </w:r>
      <w:r w:rsidR="00567DE6" w:rsidRPr="009C7C80">
        <w:rPr>
          <w:rFonts w:hint="cs"/>
          <w:sz w:val="22"/>
          <w:rtl/>
          <w:lang w:bidi="ar-EG"/>
        </w:rPr>
        <w:t>.</w:t>
      </w:r>
    </w:p>
    <w:p w:rsidR="00567DE6" w:rsidRPr="009C7C80" w:rsidRDefault="00567DE6" w:rsidP="00835F53">
      <w:pPr>
        <w:numPr>
          <w:ilvl w:val="0"/>
          <w:numId w:val="16"/>
        </w:numPr>
        <w:spacing w:after="120"/>
        <w:ind w:left="0" w:firstLine="0"/>
        <w:rPr>
          <w:sz w:val="22"/>
          <w:lang w:bidi="ar-EG"/>
        </w:rPr>
      </w:pPr>
      <w:r>
        <w:rPr>
          <w:rFonts w:hint="cs"/>
          <w:sz w:val="22"/>
          <w:rtl/>
          <w:lang w:bidi="ar-EG"/>
        </w:rPr>
        <w:t xml:space="preserve">وكان عدد اجتماعات </w:t>
      </w:r>
      <w:r w:rsidR="004906CE">
        <w:rPr>
          <w:rFonts w:hint="cs"/>
          <w:sz w:val="22"/>
          <w:rtl/>
          <w:lang w:bidi="ar-EG"/>
        </w:rPr>
        <w:t>أفرقة</w:t>
      </w:r>
      <w:r>
        <w:rPr>
          <w:rFonts w:hint="cs"/>
          <w:sz w:val="22"/>
          <w:rtl/>
          <w:lang w:bidi="ar-EG"/>
        </w:rPr>
        <w:t xml:space="preserve"> الاتصال وأصدقاء الرئيس أكبر خلال الاجتماعات المتزامنة لعام 2016 مما كان عليه خلال معظم الاجتماعات السابقة لاجتماعات مؤتمر الأطراف واجتماعات مؤتمر الأطراف العامل كاجتماع للأطراف،</w:t>
      </w:r>
      <w:r w:rsidR="00A80F9D">
        <w:rPr>
          <w:rFonts w:hint="cs"/>
          <w:sz w:val="22"/>
          <w:rtl/>
          <w:lang w:bidi="ar-EG"/>
        </w:rPr>
        <w:t xml:space="preserve"> وإن كان ذلك أقل مما كان عليه خلال الاجتماع العاشر لمؤتمر الأطراف. وعقد خلال الاجتماعات المتزامنة لعام 2016</w:t>
      </w:r>
      <w:r w:rsidR="00552A4F">
        <w:rPr>
          <w:rFonts w:hint="cs"/>
          <w:sz w:val="22"/>
          <w:rtl/>
          <w:lang w:bidi="ar-EG"/>
        </w:rPr>
        <w:t>،</w:t>
      </w:r>
      <w:r w:rsidR="00A80F9D">
        <w:rPr>
          <w:rFonts w:hint="cs"/>
          <w:sz w:val="22"/>
          <w:rtl/>
          <w:lang w:bidi="ar-EG"/>
        </w:rPr>
        <w:t xml:space="preserve"> 76 اجتماعا ل</w:t>
      </w:r>
      <w:r w:rsidR="004906CE">
        <w:rPr>
          <w:rFonts w:hint="cs"/>
          <w:sz w:val="22"/>
          <w:rtl/>
          <w:lang w:bidi="ar-EG"/>
        </w:rPr>
        <w:t>أ</w:t>
      </w:r>
      <w:r w:rsidR="003151FC">
        <w:rPr>
          <w:rFonts w:hint="cs"/>
          <w:sz w:val="22"/>
          <w:rtl/>
          <w:lang w:bidi="ar-EG"/>
        </w:rPr>
        <w:t>فرق</w:t>
      </w:r>
      <w:r w:rsidR="004906CE">
        <w:rPr>
          <w:rFonts w:hint="cs"/>
          <w:sz w:val="22"/>
          <w:rtl/>
          <w:lang w:bidi="ar-EG"/>
        </w:rPr>
        <w:t>ة</w:t>
      </w:r>
      <w:r w:rsidR="00A80F9D">
        <w:rPr>
          <w:rFonts w:hint="cs"/>
          <w:sz w:val="22"/>
          <w:rtl/>
          <w:lang w:bidi="ar-EG"/>
        </w:rPr>
        <w:t xml:space="preserve"> الاتصال وأصدقاء الرئيس. وعقد 36 اجتماعا من هذا النوع خلال الاجتماع الثاني عشر لمؤتمر الأطراف والاجتماع السابع لمؤتمر الأطراف العامل كاجتماع للأطراف في بروتوكول قرطاجنة والاجتماع الأول لمؤتمر الأطراف العامل كاجتماع للأطراف في بروتوكول ناغويا، في حين تم عقد 42 اجتماعا من هذا النوع خلال الاجتماع الحادي عشر لمؤتمر الأطراف</w:t>
      </w:r>
      <w:r w:rsidR="00552A4F">
        <w:rPr>
          <w:rFonts w:hint="cs"/>
          <w:sz w:val="22"/>
          <w:rtl/>
          <w:lang w:bidi="ar-EG"/>
        </w:rPr>
        <w:t>،</w:t>
      </w:r>
      <w:r w:rsidR="00A80F9D">
        <w:rPr>
          <w:rFonts w:hint="cs"/>
          <w:sz w:val="22"/>
          <w:rtl/>
          <w:lang w:bidi="ar-EG"/>
        </w:rPr>
        <w:t xml:space="preserve"> والاجتماع السادس لمؤتمر الأطراف العامل كاجتماع للأطراف. وعقد 116 اجتماعا </w:t>
      </w:r>
      <w:r w:rsidR="003151FC">
        <w:rPr>
          <w:rFonts w:hint="cs"/>
          <w:sz w:val="22"/>
          <w:rtl/>
          <w:lang w:bidi="ar-EG"/>
        </w:rPr>
        <w:t>ل</w:t>
      </w:r>
      <w:r w:rsidR="004906CE">
        <w:rPr>
          <w:rFonts w:hint="cs"/>
          <w:sz w:val="22"/>
          <w:rtl/>
          <w:lang w:bidi="ar-EG"/>
        </w:rPr>
        <w:t>أ</w:t>
      </w:r>
      <w:r w:rsidR="003151FC">
        <w:rPr>
          <w:rFonts w:hint="cs"/>
          <w:sz w:val="22"/>
          <w:rtl/>
          <w:lang w:bidi="ar-EG"/>
        </w:rPr>
        <w:t>فرق</w:t>
      </w:r>
      <w:r w:rsidR="004906CE">
        <w:rPr>
          <w:rFonts w:hint="cs"/>
          <w:sz w:val="22"/>
          <w:rtl/>
          <w:lang w:bidi="ar-EG"/>
        </w:rPr>
        <w:t>ة</w:t>
      </w:r>
      <w:r w:rsidR="00A80F9D">
        <w:rPr>
          <w:rFonts w:hint="cs"/>
          <w:sz w:val="22"/>
          <w:rtl/>
          <w:lang w:bidi="ar-EG"/>
        </w:rPr>
        <w:t xml:space="preserve"> الاتصال وأصدقاء الرئيس خلال الاجتماع العاشر لمؤتمر الأطراف. ويرجع جزء من سبب هذا العدد الكبير</w:t>
      </w:r>
      <w:r w:rsidR="00552A4F">
        <w:rPr>
          <w:rFonts w:hint="cs"/>
          <w:sz w:val="22"/>
          <w:rtl/>
          <w:lang w:bidi="ar-EG"/>
        </w:rPr>
        <w:t xml:space="preserve"> </w:t>
      </w:r>
      <w:r w:rsidR="00A80F9D">
        <w:rPr>
          <w:rFonts w:hint="cs"/>
          <w:sz w:val="22"/>
          <w:rtl/>
          <w:lang w:bidi="ar-EG"/>
        </w:rPr>
        <w:t xml:space="preserve">إلى أن المفاوضات خلال الاجتماع العاشر لمؤتمر الأطراف تضمنت </w:t>
      </w:r>
      <w:r w:rsidR="00FF41C2" w:rsidRPr="009C7C80">
        <w:rPr>
          <w:rFonts w:hint="cs"/>
          <w:sz w:val="22"/>
          <w:rtl/>
          <w:lang w:bidi="ar-EG"/>
        </w:rPr>
        <w:t xml:space="preserve">وضع الصيغة النهائية </w:t>
      </w:r>
      <w:r w:rsidR="00407514" w:rsidRPr="009C7C80">
        <w:rPr>
          <w:rFonts w:hint="cs"/>
          <w:sz w:val="22"/>
          <w:rtl/>
          <w:lang w:bidi="ar-EG"/>
        </w:rPr>
        <w:t xml:space="preserve">لبروتوكول ناغويا </w:t>
      </w:r>
      <w:r w:rsidR="00FF41C2" w:rsidRPr="009C7C80">
        <w:rPr>
          <w:rFonts w:hint="cs"/>
          <w:sz w:val="22"/>
          <w:rtl/>
          <w:lang w:bidi="ar-EG"/>
        </w:rPr>
        <w:t>واعتماد</w:t>
      </w:r>
      <w:r w:rsidR="00407514" w:rsidRPr="009C7C80">
        <w:rPr>
          <w:rFonts w:hint="cs"/>
          <w:sz w:val="22"/>
          <w:rtl/>
          <w:lang w:bidi="ar-EG"/>
        </w:rPr>
        <w:t>ه</w:t>
      </w:r>
      <w:r w:rsidR="00FF41C2" w:rsidRPr="009C7C80">
        <w:rPr>
          <w:rFonts w:hint="cs"/>
          <w:sz w:val="22"/>
          <w:rtl/>
          <w:lang w:bidi="ar-EG"/>
        </w:rPr>
        <w:t xml:space="preserve"> والخطة الاستراتيجية للتنوع البيولوجي للفترة 2011-2020 </w:t>
      </w:r>
      <w:r w:rsidR="00835F53" w:rsidRPr="009C7C80">
        <w:rPr>
          <w:rFonts w:hint="cs"/>
          <w:sz w:val="22"/>
          <w:rtl/>
          <w:lang w:bidi="ar-EG"/>
        </w:rPr>
        <w:t xml:space="preserve">والخطة الاستراتيجية </w:t>
      </w:r>
      <w:r w:rsidR="00835F53">
        <w:rPr>
          <w:rFonts w:hint="cs"/>
          <w:sz w:val="22"/>
          <w:rtl/>
          <w:lang w:bidi="ar-EG"/>
        </w:rPr>
        <w:t xml:space="preserve">لبروتوكول قرطاجنة </w:t>
      </w:r>
      <w:r w:rsidR="00835F53" w:rsidRPr="009C7C80">
        <w:rPr>
          <w:rFonts w:hint="cs"/>
          <w:sz w:val="22"/>
          <w:rtl/>
          <w:lang w:bidi="ar-EG"/>
        </w:rPr>
        <w:t>للفترة 2011-2020</w:t>
      </w:r>
      <w:r w:rsidR="00835F53">
        <w:rPr>
          <w:rFonts w:hint="cs"/>
          <w:sz w:val="22"/>
          <w:rtl/>
          <w:lang w:bidi="ar-EG"/>
        </w:rPr>
        <w:t xml:space="preserve">، </w:t>
      </w:r>
      <w:r w:rsidR="00FF41C2" w:rsidRPr="009C7C80">
        <w:rPr>
          <w:rFonts w:hint="cs"/>
          <w:sz w:val="22"/>
          <w:rtl/>
          <w:lang w:bidi="ar-EG"/>
        </w:rPr>
        <w:t xml:space="preserve">فضلا عن مناقشات بشأن استراتيجية </w:t>
      </w:r>
      <w:r w:rsidR="00407514" w:rsidRPr="009C7C80">
        <w:rPr>
          <w:rFonts w:hint="cs"/>
          <w:sz w:val="22"/>
          <w:rtl/>
          <w:lang w:bidi="ar-EG"/>
        </w:rPr>
        <w:t>حشد</w:t>
      </w:r>
      <w:r w:rsidR="00FF41C2" w:rsidRPr="009C7C80">
        <w:rPr>
          <w:rFonts w:hint="cs"/>
          <w:sz w:val="22"/>
          <w:rtl/>
          <w:lang w:bidi="ar-EG"/>
        </w:rPr>
        <w:t xml:space="preserve"> الموارد.</w:t>
      </w:r>
    </w:p>
    <w:p w:rsidR="00F7199B" w:rsidRPr="00F7199B" w:rsidRDefault="00F7199B" w:rsidP="00F7199B">
      <w:pPr>
        <w:spacing w:after="120"/>
        <w:rPr>
          <w:b/>
          <w:bCs/>
          <w:sz w:val="22"/>
          <w:lang w:bidi="ar-EG"/>
        </w:rPr>
      </w:pPr>
      <w:r w:rsidRPr="00F7199B">
        <w:rPr>
          <w:rFonts w:hint="cs"/>
          <w:b/>
          <w:bCs/>
          <w:sz w:val="22"/>
          <w:rtl/>
          <w:lang w:bidi="ar-EG"/>
        </w:rPr>
        <w:t>الجدول 1- عدد الجلسات في كل اجتماع</w:t>
      </w:r>
    </w:p>
    <w:tbl>
      <w:tblPr>
        <w:tblStyle w:val="TableGrid"/>
        <w:bidiVisual/>
        <w:tblW w:w="0" w:type="auto"/>
        <w:tblLook w:val="04A0" w:firstRow="1" w:lastRow="0" w:firstColumn="1" w:lastColumn="0" w:noHBand="0" w:noVBand="1"/>
      </w:tblPr>
      <w:tblGrid>
        <w:gridCol w:w="3798"/>
        <w:gridCol w:w="1134"/>
        <w:gridCol w:w="1275"/>
        <w:gridCol w:w="1134"/>
        <w:gridCol w:w="1047"/>
        <w:gridCol w:w="1188"/>
      </w:tblGrid>
      <w:tr w:rsidR="0050068B" w:rsidTr="007A4971">
        <w:tc>
          <w:tcPr>
            <w:tcW w:w="3798" w:type="dxa"/>
            <w:vAlign w:val="center"/>
          </w:tcPr>
          <w:p w:rsidR="00FF41C2" w:rsidRPr="003073D2" w:rsidRDefault="00FF41C2" w:rsidP="00866CBA">
            <w:pPr>
              <w:jc w:val="center"/>
              <w:rPr>
                <w:i/>
                <w:iCs/>
                <w:szCs w:val="20"/>
                <w:rtl/>
                <w:lang w:bidi="ar-EG"/>
              </w:rPr>
            </w:pPr>
            <w:r w:rsidRPr="003073D2">
              <w:rPr>
                <w:rFonts w:hint="cs"/>
                <w:i/>
                <w:iCs/>
                <w:szCs w:val="20"/>
                <w:rtl/>
                <w:lang w:bidi="ar-EG"/>
              </w:rPr>
              <w:t>الاجتماعات</w:t>
            </w:r>
          </w:p>
        </w:tc>
        <w:tc>
          <w:tcPr>
            <w:tcW w:w="1134" w:type="dxa"/>
            <w:vAlign w:val="center"/>
          </w:tcPr>
          <w:p w:rsidR="00FF41C2" w:rsidRPr="003073D2" w:rsidRDefault="00FF41C2" w:rsidP="00866CBA">
            <w:pPr>
              <w:jc w:val="center"/>
              <w:rPr>
                <w:i/>
                <w:iCs/>
                <w:szCs w:val="20"/>
                <w:rtl/>
                <w:lang w:bidi="ar-EG"/>
              </w:rPr>
            </w:pPr>
            <w:r w:rsidRPr="003073D2">
              <w:rPr>
                <w:rFonts w:hint="cs"/>
                <w:i/>
                <w:iCs/>
                <w:szCs w:val="20"/>
                <w:rtl/>
                <w:lang w:bidi="ar-EG"/>
              </w:rPr>
              <w:t>مدة الاجتماعات</w:t>
            </w:r>
          </w:p>
          <w:p w:rsidR="00FF41C2" w:rsidRPr="003073D2" w:rsidRDefault="00FF41C2" w:rsidP="00866CBA">
            <w:pPr>
              <w:jc w:val="center"/>
              <w:rPr>
                <w:i/>
                <w:iCs/>
                <w:szCs w:val="20"/>
                <w:rtl/>
                <w:lang w:bidi="ar-EG"/>
              </w:rPr>
            </w:pPr>
            <w:r w:rsidRPr="003073D2">
              <w:rPr>
                <w:rFonts w:hint="cs"/>
                <w:i/>
                <w:iCs/>
                <w:szCs w:val="20"/>
                <w:rtl/>
                <w:lang w:bidi="ar-EG"/>
              </w:rPr>
              <w:t>(بالأيام)</w:t>
            </w:r>
          </w:p>
        </w:tc>
        <w:tc>
          <w:tcPr>
            <w:tcW w:w="1275" w:type="dxa"/>
            <w:vAlign w:val="center"/>
          </w:tcPr>
          <w:p w:rsidR="00FF41C2" w:rsidRPr="003073D2" w:rsidRDefault="00585122" w:rsidP="00866CBA">
            <w:pPr>
              <w:jc w:val="center"/>
              <w:rPr>
                <w:i/>
                <w:iCs/>
                <w:szCs w:val="20"/>
                <w:rtl/>
                <w:lang w:bidi="ar-EG"/>
              </w:rPr>
            </w:pPr>
            <w:r w:rsidRPr="003073D2">
              <w:rPr>
                <w:rFonts w:hint="cs"/>
                <w:i/>
                <w:iCs/>
                <w:szCs w:val="20"/>
                <w:rtl/>
                <w:lang w:bidi="ar-EG"/>
              </w:rPr>
              <w:t>عدد الجلسات العامة وجل</w:t>
            </w:r>
            <w:r w:rsidR="00FF41C2" w:rsidRPr="003073D2">
              <w:rPr>
                <w:rFonts w:hint="cs"/>
                <w:i/>
                <w:iCs/>
                <w:szCs w:val="20"/>
                <w:rtl/>
                <w:lang w:bidi="ar-EG"/>
              </w:rPr>
              <w:t xml:space="preserve">سات </w:t>
            </w:r>
            <w:r w:rsidR="004906CE" w:rsidRPr="003073D2">
              <w:rPr>
                <w:rFonts w:hint="cs"/>
                <w:i/>
                <w:iCs/>
                <w:szCs w:val="20"/>
                <w:rtl/>
                <w:lang w:bidi="ar-EG"/>
              </w:rPr>
              <w:t>الأفرقة</w:t>
            </w:r>
            <w:r w:rsidR="00FF41C2" w:rsidRPr="003073D2">
              <w:rPr>
                <w:rFonts w:hint="cs"/>
                <w:i/>
                <w:iCs/>
                <w:szCs w:val="20"/>
                <w:rtl/>
                <w:lang w:bidi="ar-EG"/>
              </w:rPr>
              <w:t xml:space="preserve"> الع</w:t>
            </w:r>
            <w:r w:rsidR="004906CE" w:rsidRPr="003073D2">
              <w:rPr>
                <w:rFonts w:hint="cs"/>
                <w:i/>
                <w:iCs/>
                <w:szCs w:val="20"/>
                <w:rtl/>
                <w:lang w:bidi="ar-EG"/>
              </w:rPr>
              <w:t>ا</w:t>
            </w:r>
            <w:r w:rsidR="00FF41C2" w:rsidRPr="003073D2">
              <w:rPr>
                <w:rFonts w:hint="cs"/>
                <w:i/>
                <w:iCs/>
                <w:szCs w:val="20"/>
                <w:rtl/>
                <w:lang w:bidi="ar-EG"/>
              </w:rPr>
              <w:t>مل</w:t>
            </w:r>
            <w:r w:rsidR="004906CE" w:rsidRPr="003073D2">
              <w:rPr>
                <w:rFonts w:hint="cs"/>
                <w:i/>
                <w:iCs/>
                <w:szCs w:val="20"/>
                <w:rtl/>
                <w:lang w:bidi="ar-EG"/>
              </w:rPr>
              <w:t>ة</w:t>
            </w:r>
            <w:r w:rsidR="00FF41C2" w:rsidRPr="003073D2">
              <w:rPr>
                <w:rStyle w:val="FootnoteReference"/>
                <w:i/>
                <w:iCs/>
                <w:szCs w:val="20"/>
                <w:rtl/>
              </w:rPr>
              <w:footnoteReference w:id="13"/>
            </w:r>
          </w:p>
        </w:tc>
        <w:tc>
          <w:tcPr>
            <w:tcW w:w="1134" w:type="dxa"/>
            <w:vAlign w:val="center"/>
          </w:tcPr>
          <w:p w:rsidR="00FF41C2" w:rsidRPr="003073D2" w:rsidRDefault="00FF41C2" w:rsidP="00866CBA">
            <w:pPr>
              <w:jc w:val="center"/>
              <w:rPr>
                <w:i/>
                <w:iCs/>
                <w:szCs w:val="20"/>
                <w:rtl/>
                <w:lang w:bidi="ar-EG"/>
              </w:rPr>
            </w:pPr>
            <w:r w:rsidRPr="003073D2">
              <w:rPr>
                <w:rFonts w:hint="cs"/>
                <w:i/>
                <w:iCs/>
                <w:szCs w:val="20"/>
                <w:rtl/>
                <w:lang w:bidi="ar-EG"/>
              </w:rPr>
              <w:t>متوسط عدد الجلسات في اليوم الواحد</w:t>
            </w:r>
          </w:p>
        </w:tc>
        <w:tc>
          <w:tcPr>
            <w:tcW w:w="1047" w:type="dxa"/>
            <w:vAlign w:val="center"/>
          </w:tcPr>
          <w:p w:rsidR="00FF41C2" w:rsidRPr="003073D2" w:rsidRDefault="00FF41C2" w:rsidP="00866CBA">
            <w:pPr>
              <w:jc w:val="center"/>
              <w:rPr>
                <w:i/>
                <w:iCs/>
                <w:szCs w:val="20"/>
                <w:rtl/>
                <w:lang w:bidi="ar-EG"/>
              </w:rPr>
            </w:pPr>
            <w:r w:rsidRPr="003073D2">
              <w:rPr>
                <w:rFonts w:hint="cs"/>
                <w:i/>
                <w:iCs/>
                <w:szCs w:val="20"/>
                <w:rtl/>
                <w:lang w:bidi="ar-EG"/>
              </w:rPr>
              <w:t xml:space="preserve">عدد </w:t>
            </w:r>
            <w:r w:rsidR="004906CE" w:rsidRPr="003073D2">
              <w:rPr>
                <w:rFonts w:hint="cs"/>
                <w:i/>
                <w:iCs/>
                <w:szCs w:val="20"/>
                <w:rtl/>
                <w:lang w:bidi="ar-EG"/>
              </w:rPr>
              <w:t>أ</w:t>
            </w:r>
            <w:r w:rsidR="003151FC" w:rsidRPr="003073D2">
              <w:rPr>
                <w:rFonts w:hint="cs"/>
                <w:i/>
                <w:iCs/>
                <w:szCs w:val="20"/>
                <w:rtl/>
                <w:lang w:bidi="ar-EG"/>
              </w:rPr>
              <w:t>فرق</w:t>
            </w:r>
            <w:r w:rsidR="004906CE" w:rsidRPr="003073D2">
              <w:rPr>
                <w:rFonts w:hint="cs"/>
                <w:i/>
                <w:iCs/>
                <w:szCs w:val="20"/>
                <w:rtl/>
                <w:lang w:bidi="ar-EG"/>
              </w:rPr>
              <w:t>ة</w:t>
            </w:r>
            <w:r w:rsidRPr="003073D2">
              <w:rPr>
                <w:rFonts w:hint="cs"/>
                <w:i/>
                <w:iCs/>
                <w:szCs w:val="20"/>
                <w:rtl/>
                <w:lang w:bidi="ar-EG"/>
              </w:rPr>
              <w:t xml:space="preserve"> الاتصال وأصدقاء الرئيس</w:t>
            </w:r>
          </w:p>
        </w:tc>
        <w:tc>
          <w:tcPr>
            <w:tcW w:w="1188" w:type="dxa"/>
            <w:vAlign w:val="center"/>
          </w:tcPr>
          <w:p w:rsidR="00FF41C2" w:rsidRPr="003073D2" w:rsidRDefault="00FF41C2" w:rsidP="00866CBA">
            <w:pPr>
              <w:jc w:val="center"/>
              <w:rPr>
                <w:i/>
                <w:iCs/>
                <w:szCs w:val="20"/>
                <w:rtl/>
                <w:lang w:bidi="ar-EG"/>
              </w:rPr>
            </w:pPr>
            <w:r w:rsidRPr="003073D2">
              <w:rPr>
                <w:rFonts w:hint="cs"/>
                <w:i/>
                <w:iCs/>
                <w:szCs w:val="20"/>
                <w:rtl/>
                <w:lang w:bidi="ar-EG"/>
              </w:rPr>
              <w:t xml:space="preserve">متوسط عدد </w:t>
            </w:r>
            <w:r w:rsidR="004906CE" w:rsidRPr="003073D2">
              <w:rPr>
                <w:rFonts w:hint="cs"/>
                <w:i/>
                <w:iCs/>
                <w:szCs w:val="20"/>
                <w:rtl/>
                <w:lang w:bidi="ar-EG"/>
              </w:rPr>
              <w:t>أ</w:t>
            </w:r>
            <w:r w:rsidR="003151FC" w:rsidRPr="003073D2">
              <w:rPr>
                <w:rFonts w:hint="cs"/>
                <w:i/>
                <w:iCs/>
                <w:szCs w:val="20"/>
                <w:rtl/>
                <w:lang w:bidi="ar-EG"/>
              </w:rPr>
              <w:t>فرق</w:t>
            </w:r>
            <w:r w:rsidR="004906CE" w:rsidRPr="003073D2">
              <w:rPr>
                <w:rFonts w:hint="cs"/>
                <w:i/>
                <w:iCs/>
                <w:szCs w:val="20"/>
                <w:rtl/>
                <w:lang w:bidi="ar-EG"/>
              </w:rPr>
              <w:t>ة</w:t>
            </w:r>
            <w:r w:rsidRPr="003073D2">
              <w:rPr>
                <w:rFonts w:hint="cs"/>
                <w:i/>
                <w:iCs/>
                <w:szCs w:val="20"/>
                <w:rtl/>
                <w:lang w:bidi="ar-EG"/>
              </w:rPr>
              <w:t xml:space="preserve"> الاتصال وأصدقاء الرئيس في اليوم الواحد</w:t>
            </w:r>
          </w:p>
        </w:tc>
      </w:tr>
      <w:tr w:rsidR="0050068B" w:rsidTr="007A4971">
        <w:tc>
          <w:tcPr>
            <w:tcW w:w="3798" w:type="dxa"/>
          </w:tcPr>
          <w:p w:rsidR="00FF41C2" w:rsidRPr="0050068B" w:rsidRDefault="00FF41C2" w:rsidP="00866CBA">
            <w:pPr>
              <w:rPr>
                <w:szCs w:val="20"/>
                <w:rtl/>
                <w:lang w:bidi="ar-EG"/>
              </w:rPr>
            </w:pPr>
            <w:r w:rsidRPr="0050068B">
              <w:rPr>
                <w:rFonts w:hint="cs"/>
                <w:szCs w:val="20"/>
                <w:rtl/>
                <w:lang w:bidi="ar-EG"/>
              </w:rPr>
              <w:t>الاجتماع التاسع لمؤتمر الأطراف والاجتماع الرابع لمؤتمر الأطراف العامل كاجتماع للأطراف</w:t>
            </w:r>
            <w:r w:rsidR="001329A4">
              <w:rPr>
                <w:rFonts w:hint="cs"/>
                <w:szCs w:val="20"/>
                <w:rtl/>
                <w:lang w:bidi="ar-EG"/>
              </w:rPr>
              <w:t xml:space="preserve"> في بروتوكول قرطاجنة</w:t>
            </w:r>
          </w:p>
        </w:tc>
        <w:tc>
          <w:tcPr>
            <w:tcW w:w="1134" w:type="dxa"/>
            <w:vAlign w:val="center"/>
          </w:tcPr>
          <w:p w:rsidR="00FF41C2" w:rsidRPr="00585122" w:rsidRDefault="0050068B" w:rsidP="00866CBA">
            <w:pPr>
              <w:jc w:val="center"/>
              <w:rPr>
                <w:szCs w:val="20"/>
                <w:rtl/>
                <w:lang w:bidi="ar-EG"/>
              </w:rPr>
            </w:pPr>
            <w:r w:rsidRPr="00585122">
              <w:rPr>
                <w:rFonts w:hint="cs"/>
                <w:szCs w:val="20"/>
                <w:rtl/>
                <w:lang w:bidi="ar-EG"/>
              </w:rPr>
              <w:t>15</w:t>
            </w:r>
          </w:p>
        </w:tc>
        <w:tc>
          <w:tcPr>
            <w:tcW w:w="1275" w:type="dxa"/>
            <w:vAlign w:val="center"/>
          </w:tcPr>
          <w:p w:rsidR="00FF41C2" w:rsidRPr="00585122" w:rsidRDefault="0050068B" w:rsidP="00866CBA">
            <w:pPr>
              <w:jc w:val="center"/>
              <w:rPr>
                <w:szCs w:val="20"/>
                <w:rtl/>
                <w:lang w:bidi="ar-EG"/>
              </w:rPr>
            </w:pPr>
            <w:r w:rsidRPr="00585122">
              <w:rPr>
                <w:rFonts w:hint="cs"/>
                <w:szCs w:val="20"/>
                <w:rtl/>
                <w:lang w:bidi="ar-EG"/>
              </w:rPr>
              <w:t>52</w:t>
            </w:r>
          </w:p>
        </w:tc>
        <w:tc>
          <w:tcPr>
            <w:tcW w:w="1134" w:type="dxa"/>
            <w:vAlign w:val="center"/>
          </w:tcPr>
          <w:p w:rsidR="00FF41C2" w:rsidRPr="00585122" w:rsidRDefault="0050068B" w:rsidP="00866CBA">
            <w:pPr>
              <w:jc w:val="center"/>
              <w:rPr>
                <w:szCs w:val="20"/>
                <w:rtl/>
                <w:lang w:bidi="ar-EG"/>
              </w:rPr>
            </w:pPr>
            <w:r w:rsidRPr="00585122">
              <w:rPr>
                <w:rFonts w:hint="cs"/>
                <w:szCs w:val="20"/>
                <w:rtl/>
                <w:lang w:bidi="ar-EG"/>
              </w:rPr>
              <w:t>3.4</w:t>
            </w:r>
          </w:p>
        </w:tc>
        <w:tc>
          <w:tcPr>
            <w:tcW w:w="1047" w:type="dxa"/>
            <w:vAlign w:val="center"/>
          </w:tcPr>
          <w:p w:rsidR="00FF41C2" w:rsidRPr="00585122" w:rsidRDefault="0050068B" w:rsidP="00866CBA">
            <w:pPr>
              <w:jc w:val="center"/>
              <w:rPr>
                <w:szCs w:val="20"/>
                <w:rtl/>
                <w:lang w:bidi="ar-EG"/>
              </w:rPr>
            </w:pPr>
            <w:r w:rsidRPr="00585122">
              <w:rPr>
                <w:rFonts w:hint="cs"/>
                <w:szCs w:val="20"/>
                <w:rtl/>
                <w:lang w:bidi="ar-EG"/>
              </w:rPr>
              <w:t>لا يوجد</w:t>
            </w:r>
          </w:p>
        </w:tc>
        <w:tc>
          <w:tcPr>
            <w:tcW w:w="1188" w:type="dxa"/>
            <w:vAlign w:val="center"/>
          </w:tcPr>
          <w:p w:rsidR="00FF41C2" w:rsidRPr="00585122" w:rsidRDefault="0050068B" w:rsidP="00866CBA">
            <w:pPr>
              <w:jc w:val="center"/>
              <w:rPr>
                <w:szCs w:val="20"/>
                <w:rtl/>
                <w:lang w:bidi="ar-EG"/>
              </w:rPr>
            </w:pPr>
            <w:r w:rsidRPr="00585122">
              <w:rPr>
                <w:rFonts w:hint="cs"/>
                <w:szCs w:val="20"/>
                <w:rtl/>
                <w:lang w:bidi="ar-EG"/>
              </w:rPr>
              <w:t>لا يوجد</w:t>
            </w:r>
          </w:p>
        </w:tc>
      </w:tr>
      <w:tr w:rsidR="0050068B" w:rsidTr="007A4971">
        <w:tc>
          <w:tcPr>
            <w:tcW w:w="3798" w:type="dxa"/>
          </w:tcPr>
          <w:p w:rsidR="00FF41C2" w:rsidRPr="0050068B" w:rsidRDefault="00FF41C2" w:rsidP="00866CBA">
            <w:pPr>
              <w:rPr>
                <w:szCs w:val="20"/>
                <w:rtl/>
                <w:lang w:bidi="ar-EG"/>
              </w:rPr>
            </w:pPr>
            <w:r w:rsidRPr="0050068B">
              <w:rPr>
                <w:rFonts w:hint="cs"/>
                <w:szCs w:val="20"/>
                <w:rtl/>
                <w:lang w:bidi="ar-EG"/>
              </w:rPr>
              <w:t xml:space="preserve">الاجتماع </w:t>
            </w:r>
            <w:r w:rsidR="0050068B" w:rsidRPr="0050068B">
              <w:rPr>
                <w:rFonts w:hint="cs"/>
                <w:szCs w:val="20"/>
                <w:rtl/>
                <w:lang w:bidi="ar-EG"/>
              </w:rPr>
              <w:t>العاشر</w:t>
            </w:r>
            <w:r w:rsidRPr="0050068B">
              <w:rPr>
                <w:rFonts w:hint="cs"/>
                <w:szCs w:val="20"/>
                <w:rtl/>
                <w:lang w:bidi="ar-EG"/>
              </w:rPr>
              <w:t xml:space="preserve"> لمؤتمر الأطراف والاجتماع </w:t>
            </w:r>
            <w:r w:rsidR="0050068B" w:rsidRPr="0050068B">
              <w:rPr>
                <w:rFonts w:hint="cs"/>
                <w:szCs w:val="20"/>
                <w:rtl/>
                <w:lang w:bidi="ar-EG"/>
              </w:rPr>
              <w:t>الخامس</w:t>
            </w:r>
            <w:r w:rsidRPr="0050068B">
              <w:rPr>
                <w:rFonts w:hint="cs"/>
                <w:szCs w:val="20"/>
                <w:rtl/>
                <w:lang w:bidi="ar-EG"/>
              </w:rPr>
              <w:t xml:space="preserve"> لمؤتمر الأطراف العامل كاجتماع للأطراف</w:t>
            </w:r>
            <w:r w:rsidR="001329A4">
              <w:rPr>
                <w:rFonts w:hint="cs"/>
                <w:szCs w:val="20"/>
                <w:rtl/>
                <w:lang w:bidi="ar-EG"/>
              </w:rPr>
              <w:t xml:space="preserve"> في بروتوكول قرطاجنة</w:t>
            </w:r>
          </w:p>
        </w:tc>
        <w:tc>
          <w:tcPr>
            <w:tcW w:w="1134" w:type="dxa"/>
            <w:vAlign w:val="center"/>
          </w:tcPr>
          <w:p w:rsidR="00FF41C2" w:rsidRPr="00585122" w:rsidRDefault="0050068B" w:rsidP="00866CBA">
            <w:pPr>
              <w:jc w:val="center"/>
              <w:rPr>
                <w:szCs w:val="20"/>
                <w:rtl/>
                <w:lang w:bidi="ar-EG"/>
              </w:rPr>
            </w:pPr>
            <w:r w:rsidRPr="00585122">
              <w:rPr>
                <w:rFonts w:hint="cs"/>
                <w:szCs w:val="20"/>
                <w:rtl/>
                <w:lang w:bidi="ar-EG"/>
              </w:rPr>
              <w:t>15</w:t>
            </w:r>
          </w:p>
        </w:tc>
        <w:tc>
          <w:tcPr>
            <w:tcW w:w="1275" w:type="dxa"/>
            <w:vAlign w:val="center"/>
          </w:tcPr>
          <w:p w:rsidR="00FF41C2" w:rsidRPr="00585122" w:rsidRDefault="0050068B" w:rsidP="00866CBA">
            <w:pPr>
              <w:jc w:val="center"/>
              <w:rPr>
                <w:szCs w:val="20"/>
                <w:rtl/>
                <w:lang w:bidi="ar-EG"/>
              </w:rPr>
            </w:pPr>
            <w:r w:rsidRPr="00585122">
              <w:rPr>
                <w:rFonts w:hint="cs"/>
                <w:szCs w:val="20"/>
                <w:rtl/>
                <w:lang w:bidi="ar-EG"/>
              </w:rPr>
              <w:t>56</w:t>
            </w:r>
          </w:p>
        </w:tc>
        <w:tc>
          <w:tcPr>
            <w:tcW w:w="1134" w:type="dxa"/>
            <w:vAlign w:val="center"/>
          </w:tcPr>
          <w:p w:rsidR="00FF41C2" w:rsidRPr="00585122" w:rsidRDefault="0050068B" w:rsidP="00866CBA">
            <w:pPr>
              <w:jc w:val="center"/>
              <w:rPr>
                <w:szCs w:val="20"/>
                <w:rtl/>
                <w:lang w:bidi="ar-EG"/>
              </w:rPr>
            </w:pPr>
            <w:r w:rsidRPr="00585122">
              <w:rPr>
                <w:rFonts w:hint="cs"/>
                <w:szCs w:val="20"/>
                <w:rtl/>
                <w:lang w:bidi="ar-EG"/>
              </w:rPr>
              <w:t>3.7</w:t>
            </w:r>
          </w:p>
        </w:tc>
        <w:tc>
          <w:tcPr>
            <w:tcW w:w="1047" w:type="dxa"/>
            <w:vAlign w:val="center"/>
          </w:tcPr>
          <w:p w:rsidR="00FF41C2" w:rsidRPr="00585122" w:rsidRDefault="0050068B" w:rsidP="00866CBA">
            <w:pPr>
              <w:jc w:val="center"/>
              <w:rPr>
                <w:szCs w:val="20"/>
                <w:rtl/>
                <w:lang w:bidi="ar-EG"/>
              </w:rPr>
            </w:pPr>
            <w:r w:rsidRPr="00585122">
              <w:rPr>
                <w:rFonts w:hint="cs"/>
                <w:szCs w:val="20"/>
                <w:rtl/>
                <w:lang w:bidi="ar-EG"/>
              </w:rPr>
              <w:t>116</w:t>
            </w:r>
          </w:p>
        </w:tc>
        <w:tc>
          <w:tcPr>
            <w:tcW w:w="1188" w:type="dxa"/>
            <w:vAlign w:val="center"/>
          </w:tcPr>
          <w:p w:rsidR="00FF41C2" w:rsidRPr="00585122" w:rsidRDefault="0050068B" w:rsidP="00866CBA">
            <w:pPr>
              <w:jc w:val="center"/>
              <w:rPr>
                <w:szCs w:val="20"/>
                <w:rtl/>
                <w:lang w:bidi="ar-EG"/>
              </w:rPr>
            </w:pPr>
            <w:r w:rsidRPr="00585122">
              <w:rPr>
                <w:rFonts w:hint="cs"/>
                <w:szCs w:val="20"/>
                <w:rtl/>
                <w:lang w:bidi="ar-EG"/>
              </w:rPr>
              <w:t>7.7</w:t>
            </w:r>
          </w:p>
        </w:tc>
      </w:tr>
      <w:tr w:rsidR="0050068B" w:rsidTr="007A4971">
        <w:tc>
          <w:tcPr>
            <w:tcW w:w="3798" w:type="dxa"/>
          </w:tcPr>
          <w:p w:rsidR="00FF41C2" w:rsidRPr="00585122" w:rsidRDefault="0050068B" w:rsidP="00866CBA">
            <w:pPr>
              <w:rPr>
                <w:szCs w:val="20"/>
                <w:rtl/>
                <w:lang w:bidi="ar-EG"/>
              </w:rPr>
            </w:pPr>
            <w:r w:rsidRPr="00585122">
              <w:rPr>
                <w:rFonts w:hint="cs"/>
                <w:szCs w:val="20"/>
                <w:rtl/>
                <w:lang w:bidi="ar-EG"/>
              </w:rPr>
              <w:t>الاجتماع الحادي عشر لمؤتمر الأطراف والاجتماع السادس لمؤتمر الأطراف العامل كاجتماع للأطراف</w:t>
            </w:r>
            <w:r w:rsidR="001329A4">
              <w:rPr>
                <w:rFonts w:hint="cs"/>
                <w:szCs w:val="20"/>
                <w:rtl/>
                <w:lang w:bidi="ar-EG"/>
              </w:rPr>
              <w:t xml:space="preserve"> في بروتوكول قرطاجنة</w:t>
            </w:r>
          </w:p>
        </w:tc>
        <w:tc>
          <w:tcPr>
            <w:tcW w:w="1134" w:type="dxa"/>
            <w:vAlign w:val="center"/>
          </w:tcPr>
          <w:p w:rsidR="00FF41C2" w:rsidRPr="00585122" w:rsidRDefault="0050068B" w:rsidP="00866CBA">
            <w:pPr>
              <w:jc w:val="center"/>
              <w:rPr>
                <w:szCs w:val="20"/>
                <w:rtl/>
                <w:lang w:bidi="ar-EG"/>
              </w:rPr>
            </w:pPr>
            <w:r w:rsidRPr="00585122">
              <w:rPr>
                <w:rFonts w:hint="cs"/>
                <w:szCs w:val="20"/>
                <w:rtl/>
                <w:lang w:bidi="ar-EG"/>
              </w:rPr>
              <w:t>15</w:t>
            </w:r>
          </w:p>
        </w:tc>
        <w:tc>
          <w:tcPr>
            <w:tcW w:w="1275" w:type="dxa"/>
            <w:vAlign w:val="center"/>
          </w:tcPr>
          <w:p w:rsidR="00FF41C2" w:rsidRPr="00585122" w:rsidRDefault="0050068B" w:rsidP="00866CBA">
            <w:pPr>
              <w:jc w:val="center"/>
              <w:rPr>
                <w:szCs w:val="20"/>
                <w:rtl/>
                <w:lang w:bidi="ar-EG"/>
              </w:rPr>
            </w:pPr>
            <w:r w:rsidRPr="00585122">
              <w:rPr>
                <w:rFonts w:hint="cs"/>
                <w:szCs w:val="20"/>
                <w:rtl/>
                <w:lang w:bidi="ar-EG"/>
              </w:rPr>
              <w:t>51</w:t>
            </w:r>
          </w:p>
        </w:tc>
        <w:tc>
          <w:tcPr>
            <w:tcW w:w="1134" w:type="dxa"/>
            <w:vAlign w:val="center"/>
          </w:tcPr>
          <w:p w:rsidR="00FF41C2" w:rsidRPr="00585122" w:rsidRDefault="0050068B" w:rsidP="00866CBA">
            <w:pPr>
              <w:jc w:val="center"/>
              <w:rPr>
                <w:szCs w:val="20"/>
                <w:rtl/>
                <w:lang w:bidi="ar-EG"/>
              </w:rPr>
            </w:pPr>
            <w:r w:rsidRPr="00585122">
              <w:rPr>
                <w:rFonts w:hint="cs"/>
                <w:szCs w:val="20"/>
                <w:rtl/>
                <w:lang w:bidi="ar-EG"/>
              </w:rPr>
              <w:t>3.4</w:t>
            </w:r>
          </w:p>
        </w:tc>
        <w:tc>
          <w:tcPr>
            <w:tcW w:w="1047" w:type="dxa"/>
            <w:vAlign w:val="center"/>
          </w:tcPr>
          <w:p w:rsidR="00FF41C2" w:rsidRPr="00585122" w:rsidRDefault="0050068B" w:rsidP="00866CBA">
            <w:pPr>
              <w:jc w:val="center"/>
              <w:rPr>
                <w:szCs w:val="20"/>
                <w:rtl/>
                <w:lang w:bidi="ar-EG"/>
              </w:rPr>
            </w:pPr>
            <w:r w:rsidRPr="00585122">
              <w:rPr>
                <w:rFonts w:hint="cs"/>
                <w:szCs w:val="20"/>
                <w:rtl/>
                <w:lang w:bidi="ar-EG"/>
              </w:rPr>
              <w:t>42</w:t>
            </w:r>
          </w:p>
        </w:tc>
        <w:tc>
          <w:tcPr>
            <w:tcW w:w="1188" w:type="dxa"/>
            <w:vAlign w:val="center"/>
          </w:tcPr>
          <w:p w:rsidR="00FF41C2" w:rsidRPr="00585122" w:rsidRDefault="0050068B" w:rsidP="00866CBA">
            <w:pPr>
              <w:jc w:val="center"/>
              <w:rPr>
                <w:szCs w:val="20"/>
                <w:rtl/>
                <w:lang w:bidi="ar-EG"/>
              </w:rPr>
            </w:pPr>
            <w:r w:rsidRPr="00585122">
              <w:rPr>
                <w:rFonts w:hint="cs"/>
                <w:szCs w:val="20"/>
                <w:rtl/>
                <w:lang w:bidi="ar-EG"/>
              </w:rPr>
              <w:t>2.8</w:t>
            </w:r>
          </w:p>
        </w:tc>
      </w:tr>
      <w:tr w:rsidR="0050068B" w:rsidTr="007A4971">
        <w:tc>
          <w:tcPr>
            <w:tcW w:w="3798" w:type="dxa"/>
          </w:tcPr>
          <w:p w:rsidR="00FF41C2" w:rsidRPr="00585122" w:rsidRDefault="0050068B" w:rsidP="00866CBA">
            <w:pPr>
              <w:rPr>
                <w:szCs w:val="20"/>
                <w:rtl/>
                <w:lang w:bidi="ar-EG"/>
              </w:rPr>
            </w:pPr>
            <w:r w:rsidRPr="00585122">
              <w:rPr>
                <w:rFonts w:hint="cs"/>
                <w:szCs w:val="20"/>
                <w:rtl/>
                <w:lang w:bidi="ar-EG"/>
              </w:rPr>
              <w:t>الاجتماع الثاني عشر لمؤتمر الأطراف والاجتماع السابع</w:t>
            </w:r>
            <w:r w:rsidR="001329A4" w:rsidRPr="00585122">
              <w:rPr>
                <w:rFonts w:hint="cs"/>
                <w:szCs w:val="20"/>
                <w:rtl/>
                <w:lang w:bidi="ar-EG"/>
              </w:rPr>
              <w:t xml:space="preserve"> لمؤتمر الأطراف العامل كاجتماع للأطراف</w:t>
            </w:r>
            <w:r w:rsidR="001329A4">
              <w:rPr>
                <w:rFonts w:hint="cs"/>
                <w:szCs w:val="20"/>
                <w:rtl/>
                <w:lang w:bidi="ar-EG"/>
              </w:rPr>
              <w:t xml:space="preserve"> في بروتوكول قرطاجنة</w:t>
            </w:r>
            <w:r w:rsidRPr="00585122">
              <w:rPr>
                <w:rFonts w:hint="cs"/>
                <w:szCs w:val="20"/>
                <w:rtl/>
                <w:lang w:bidi="ar-EG"/>
              </w:rPr>
              <w:t xml:space="preserve"> و</w:t>
            </w:r>
            <w:r w:rsidR="001329A4">
              <w:rPr>
                <w:rFonts w:hint="cs"/>
                <w:szCs w:val="20"/>
                <w:rtl/>
                <w:lang w:bidi="ar-EG"/>
              </w:rPr>
              <w:t xml:space="preserve">الاجتماع </w:t>
            </w:r>
            <w:r w:rsidRPr="00585122">
              <w:rPr>
                <w:rFonts w:hint="cs"/>
                <w:szCs w:val="20"/>
                <w:rtl/>
                <w:lang w:bidi="ar-EG"/>
              </w:rPr>
              <w:t>الأول لمؤتمر الأطراف العامل كاجتماع للأطراف</w:t>
            </w:r>
            <w:r w:rsidR="001329A4">
              <w:rPr>
                <w:rFonts w:hint="cs"/>
                <w:szCs w:val="20"/>
                <w:rtl/>
                <w:lang w:bidi="ar-EG"/>
              </w:rPr>
              <w:t xml:space="preserve"> في بروتوكول ناغويا</w:t>
            </w:r>
          </w:p>
        </w:tc>
        <w:tc>
          <w:tcPr>
            <w:tcW w:w="1134" w:type="dxa"/>
            <w:vAlign w:val="center"/>
          </w:tcPr>
          <w:p w:rsidR="00FF41C2" w:rsidRPr="00585122" w:rsidRDefault="0050068B" w:rsidP="00866CBA">
            <w:pPr>
              <w:jc w:val="center"/>
              <w:rPr>
                <w:szCs w:val="20"/>
                <w:rtl/>
                <w:lang w:bidi="ar-EG"/>
              </w:rPr>
            </w:pPr>
            <w:r w:rsidRPr="00585122">
              <w:rPr>
                <w:rFonts w:hint="cs"/>
                <w:szCs w:val="20"/>
                <w:rtl/>
                <w:lang w:bidi="ar-EG"/>
              </w:rPr>
              <w:t>15</w:t>
            </w:r>
          </w:p>
        </w:tc>
        <w:tc>
          <w:tcPr>
            <w:tcW w:w="1275" w:type="dxa"/>
            <w:vAlign w:val="center"/>
          </w:tcPr>
          <w:p w:rsidR="00FF41C2" w:rsidRPr="00585122" w:rsidRDefault="0050068B" w:rsidP="00866CBA">
            <w:pPr>
              <w:jc w:val="center"/>
              <w:rPr>
                <w:szCs w:val="20"/>
                <w:rtl/>
                <w:lang w:bidi="ar-EG"/>
              </w:rPr>
            </w:pPr>
            <w:r w:rsidRPr="00585122">
              <w:rPr>
                <w:rFonts w:hint="cs"/>
                <w:szCs w:val="20"/>
                <w:rtl/>
                <w:lang w:bidi="ar-EG"/>
              </w:rPr>
              <w:t>54</w:t>
            </w:r>
          </w:p>
        </w:tc>
        <w:tc>
          <w:tcPr>
            <w:tcW w:w="1134" w:type="dxa"/>
            <w:vAlign w:val="center"/>
          </w:tcPr>
          <w:p w:rsidR="00FF41C2" w:rsidRPr="00585122" w:rsidRDefault="0050068B" w:rsidP="00866CBA">
            <w:pPr>
              <w:jc w:val="center"/>
              <w:rPr>
                <w:szCs w:val="20"/>
                <w:rtl/>
                <w:lang w:bidi="ar-EG"/>
              </w:rPr>
            </w:pPr>
            <w:r w:rsidRPr="00585122">
              <w:rPr>
                <w:rFonts w:hint="cs"/>
                <w:szCs w:val="20"/>
                <w:rtl/>
                <w:lang w:bidi="ar-EG"/>
              </w:rPr>
              <w:t>3.6</w:t>
            </w:r>
          </w:p>
        </w:tc>
        <w:tc>
          <w:tcPr>
            <w:tcW w:w="1047" w:type="dxa"/>
            <w:vAlign w:val="center"/>
          </w:tcPr>
          <w:p w:rsidR="00FF41C2" w:rsidRPr="00585122" w:rsidRDefault="0050068B" w:rsidP="00866CBA">
            <w:pPr>
              <w:jc w:val="center"/>
              <w:rPr>
                <w:szCs w:val="20"/>
                <w:rtl/>
                <w:lang w:bidi="ar-EG"/>
              </w:rPr>
            </w:pPr>
            <w:r w:rsidRPr="00585122">
              <w:rPr>
                <w:rFonts w:hint="cs"/>
                <w:szCs w:val="20"/>
                <w:rtl/>
                <w:lang w:bidi="ar-EG"/>
              </w:rPr>
              <w:t>36</w:t>
            </w:r>
          </w:p>
        </w:tc>
        <w:tc>
          <w:tcPr>
            <w:tcW w:w="1188" w:type="dxa"/>
            <w:vAlign w:val="center"/>
          </w:tcPr>
          <w:p w:rsidR="00FF41C2" w:rsidRPr="00585122" w:rsidRDefault="0050068B" w:rsidP="00866CBA">
            <w:pPr>
              <w:jc w:val="center"/>
              <w:rPr>
                <w:szCs w:val="20"/>
                <w:rtl/>
                <w:lang w:bidi="ar-EG"/>
              </w:rPr>
            </w:pPr>
            <w:r w:rsidRPr="00585122">
              <w:rPr>
                <w:rFonts w:hint="cs"/>
                <w:szCs w:val="20"/>
                <w:rtl/>
                <w:lang w:bidi="ar-EG"/>
              </w:rPr>
              <w:t>2.4</w:t>
            </w:r>
          </w:p>
        </w:tc>
      </w:tr>
      <w:tr w:rsidR="0050068B" w:rsidTr="007A4971">
        <w:tc>
          <w:tcPr>
            <w:tcW w:w="3798" w:type="dxa"/>
          </w:tcPr>
          <w:p w:rsidR="00FF41C2" w:rsidRPr="00585122" w:rsidRDefault="0050068B" w:rsidP="00866CBA">
            <w:pPr>
              <w:rPr>
                <w:szCs w:val="20"/>
                <w:rtl/>
                <w:lang w:bidi="ar-EG"/>
              </w:rPr>
            </w:pPr>
            <w:r w:rsidRPr="00585122">
              <w:rPr>
                <w:rFonts w:hint="cs"/>
                <w:szCs w:val="20"/>
                <w:rtl/>
                <w:lang w:bidi="ar-EG"/>
              </w:rPr>
              <w:t xml:space="preserve">الاجتماع الثالث عشر لمؤتمر الأطراف والاجتماع </w:t>
            </w:r>
            <w:r w:rsidR="001329A4">
              <w:rPr>
                <w:rFonts w:hint="cs"/>
                <w:szCs w:val="20"/>
                <w:rtl/>
                <w:lang w:bidi="ar-EG"/>
              </w:rPr>
              <w:t xml:space="preserve">الثامن </w:t>
            </w:r>
            <w:r w:rsidR="001329A4" w:rsidRPr="00585122">
              <w:rPr>
                <w:rFonts w:hint="cs"/>
                <w:szCs w:val="20"/>
                <w:rtl/>
                <w:lang w:bidi="ar-EG"/>
              </w:rPr>
              <w:t>لمؤتمر الأطراف العامل كاجتماع للأطراف</w:t>
            </w:r>
            <w:r w:rsidR="001329A4">
              <w:rPr>
                <w:rFonts w:hint="cs"/>
                <w:szCs w:val="20"/>
                <w:rtl/>
                <w:lang w:bidi="ar-EG"/>
              </w:rPr>
              <w:t xml:space="preserve"> في بروتوكول قرطاجنة</w:t>
            </w:r>
            <w:r w:rsidRPr="00585122">
              <w:rPr>
                <w:rFonts w:hint="cs"/>
                <w:szCs w:val="20"/>
                <w:rtl/>
                <w:lang w:bidi="ar-EG"/>
              </w:rPr>
              <w:t xml:space="preserve"> </w:t>
            </w:r>
            <w:r w:rsidR="001329A4" w:rsidRPr="00585122">
              <w:rPr>
                <w:rFonts w:hint="cs"/>
                <w:szCs w:val="20"/>
                <w:rtl/>
                <w:lang w:bidi="ar-EG"/>
              </w:rPr>
              <w:t>و</w:t>
            </w:r>
            <w:r w:rsidR="001329A4">
              <w:rPr>
                <w:rFonts w:hint="cs"/>
                <w:szCs w:val="20"/>
                <w:rtl/>
                <w:lang w:bidi="ar-EG"/>
              </w:rPr>
              <w:t>الاجتماع الثاني</w:t>
            </w:r>
            <w:r w:rsidR="001329A4" w:rsidRPr="00585122">
              <w:rPr>
                <w:rFonts w:hint="cs"/>
                <w:szCs w:val="20"/>
                <w:rtl/>
                <w:lang w:bidi="ar-EG"/>
              </w:rPr>
              <w:t xml:space="preserve"> لمؤتمر الأطراف العامل كاجتماع للأطراف</w:t>
            </w:r>
            <w:r w:rsidR="001329A4">
              <w:rPr>
                <w:rFonts w:hint="cs"/>
                <w:szCs w:val="20"/>
                <w:rtl/>
                <w:lang w:bidi="ar-EG"/>
              </w:rPr>
              <w:t xml:space="preserve"> في بروتوكول ناغويا</w:t>
            </w:r>
          </w:p>
        </w:tc>
        <w:tc>
          <w:tcPr>
            <w:tcW w:w="1134" w:type="dxa"/>
            <w:vAlign w:val="center"/>
          </w:tcPr>
          <w:p w:rsidR="00FF41C2" w:rsidRPr="00585122" w:rsidRDefault="0050068B" w:rsidP="00866CBA">
            <w:pPr>
              <w:jc w:val="center"/>
              <w:rPr>
                <w:szCs w:val="20"/>
                <w:rtl/>
                <w:lang w:bidi="ar-EG"/>
              </w:rPr>
            </w:pPr>
            <w:r w:rsidRPr="00585122">
              <w:rPr>
                <w:rFonts w:hint="cs"/>
                <w:szCs w:val="20"/>
                <w:rtl/>
                <w:lang w:bidi="ar-EG"/>
              </w:rPr>
              <w:t>12</w:t>
            </w:r>
          </w:p>
        </w:tc>
        <w:tc>
          <w:tcPr>
            <w:tcW w:w="1275" w:type="dxa"/>
            <w:vAlign w:val="center"/>
          </w:tcPr>
          <w:p w:rsidR="00FF41C2" w:rsidRPr="00585122" w:rsidRDefault="0050068B" w:rsidP="00866CBA">
            <w:pPr>
              <w:jc w:val="center"/>
              <w:rPr>
                <w:szCs w:val="20"/>
                <w:rtl/>
                <w:lang w:bidi="ar-EG"/>
              </w:rPr>
            </w:pPr>
            <w:r w:rsidRPr="00585122">
              <w:rPr>
                <w:rFonts w:hint="cs"/>
                <w:szCs w:val="20"/>
                <w:rtl/>
                <w:lang w:bidi="ar-EG"/>
              </w:rPr>
              <w:t>46</w:t>
            </w:r>
          </w:p>
        </w:tc>
        <w:tc>
          <w:tcPr>
            <w:tcW w:w="1134" w:type="dxa"/>
            <w:vAlign w:val="center"/>
          </w:tcPr>
          <w:p w:rsidR="00FF41C2" w:rsidRPr="00585122" w:rsidRDefault="0050068B" w:rsidP="00866CBA">
            <w:pPr>
              <w:jc w:val="center"/>
              <w:rPr>
                <w:szCs w:val="20"/>
                <w:rtl/>
                <w:lang w:bidi="ar-EG"/>
              </w:rPr>
            </w:pPr>
            <w:r w:rsidRPr="00585122">
              <w:rPr>
                <w:rFonts w:hint="cs"/>
                <w:szCs w:val="20"/>
                <w:rtl/>
                <w:lang w:bidi="ar-EG"/>
              </w:rPr>
              <w:t>3.8</w:t>
            </w:r>
          </w:p>
        </w:tc>
        <w:tc>
          <w:tcPr>
            <w:tcW w:w="1047" w:type="dxa"/>
            <w:vAlign w:val="center"/>
          </w:tcPr>
          <w:p w:rsidR="00FF41C2" w:rsidRPr="00585122" w:rsidRDefault="0050068B" w:rsidP="00866CBA">
            <w:pPr>
              <w:jc w:val="center"/>
              <w:rPr>
                <w:szCs w:val="20"/>
                <w:rtl/>
                <w:lang w:bidi="ar-EG"/>
              </w:rPr>
            </w:pPr>
            <w:r w:rsidRPr="00585122">
              <w:rPr>
                <w:rFonts w:hint="cs"/>
                <w:szCs w:val="20"/>
                <w:rtl/>
                <w:lang w:bidi="ar-EG"/>
              </w:rPr>
              <w:t>76</w:t>
            </w:r>
          </w:p>
        </w:tc>
        <w:tc>
          <w:tcPr>
            <w:tcW w:w="1188" w:type="dxa"/>
            <w:vAlign w:val="center"/>
          </w:tcPr>
          <w:p w:rsidR="00FF41C2" w:rsidRPr="00585122" w:rsidRDefault="0050068B" w:rsidP="00866CBA">
            <w:pPr>
              <w:jc w:val="center"/>
              <w:rPr>
                <w:szCs w:val="20"/>
                <w:rtl/>
                <w:lang w:bidi="ar-EG"/>
              </w:rPr>
            </w:pPr>
            <w:r w:rsidRPr="00585122">
              <w:rPr>
                <w:rFonts w:hint="cs"/>
                <w:szCs w:val="20"/>
                <w:rtl/>
                <w:lang w:bidi="ar-EG"/>
              </w:rPr>
              <w:t>6.3</w:t>
            </w:r>
          </w:p>
        </w:tc>
      </w:tr>
    </w:tbl>
    <w:p w:rsidR="00323F16" w:rsidRDefault="00920FF6" w:rsidP="00237F98">
      <w:pPr>
        <w:numPr>
          <w:ilvl w:val="0"/>
          <w:numId w:val="16"/>
        </w:numPr>
        <w:spacing w:before="120" w:after="120"/>
        <w:ind w:left="0" w:firstLine="0"/>
        <w:rPr>
          <w:sz w:val="22"/>
          <w:lang w:bidi="ar-EG"/>
        </w:rPr>
      </w:pPr>
      <w:r>
        <w:rPr>
          <w:rFonts w:hint="cs"/>
          <w:sz w:val="22"/>
          <w:rtl/>
          <w:lang w:bidi="ar-EG"/>
        </w:rPr>
        <w:t xml:space="preserve">وباختصار، </w:t>
      </w:r>
      <w:r w:rsidR="001C1972">
        <w:rPr>
          <w:rFonts w:hint="cs"/>
          <w:sz w:val="22"/>
          <w:rtl/>
          <w:lang w:bidi="ar-EG"/>
        </w:rPr>
        <w:t>تمثل</w:t>
      </w:r>
      <w:r>
        <w:rPr>
          <w:rFonts w:hint="cs"/>
          <w:sz w:val="22"/>
          <w:rtl/>
          <w:lang w:bidi="ar-EG"/>
        </w:rPr>
        <w:t xml:space="preserve"> أثر عقد الاجتماعات بالتزامن </w:t>
      </w:r>
      <w:r w:rsidR="001C1972">
        <w:rPr>
          <w:rFonts w:hint="cs"/>
          <w:sz w:val="22"/>
          <w:rtl/>
          <w:lang w:bidi="ar-EG"/>
        </w:rPr>
        <w:t>في</w:t>
      </w:r>
      <w:r>
        <w:rPr>
          <w:rFonts w:hint="cs"/>
          <w:sz w:val="22"/>
          <w:rtl/>
          <w:lang w:bidi="ar-EG"/>
        </w:rPr>
        <w:t xml:space="preserve"> خفض مدة الاجتماعات</w:t>
      </w:r>
      <w:r w:rsidR="00552A4F">
        <w:rPr>
          <w:rFonts w:hint="cs"/>
          <w:sz w:val="22"/>
          <w:rtl/>
          <w:lang w:bidi="ar-EG"/>
        </w:rPr>
        <w:t>،</w:t>
      </w:r>
      <w:r>
        <w:rPr>
          <w:rFonts w:hint="cs"/>
          <w:sz w:val="22"/>
          <w:rtl/>
          <w:lang w:bidi="ar-EG"/>
        </w:rPr>
        <w:t xml:space="preserve"> وخفض العدد الإجمالي </w:t>
      </w:r>
      <w:r w:rsidRPr="009C7C80">
        <w:rPr>
          <w:rFonts w:hint="cs"/>
          <w:sz w:val="22"/>
          <w:rtl/>
          <w:lang w:bidi="ar-EG"/>
        </w:rPr>
        <w:t xml:space="preserve">للجلسات </w:t>
      </w:r>
      <w:r w:rsidR="00637941" w:rsidRPr="009C7C80">
        <w:rPr>
          <w:rFonts w:hint="cs"/>
          <w:sz w:val="22"/>
          <w:rtl/>
          <w:lang w:bidi="ar-EG"/>
        </w:rPr>
        <w:t>العامة</w:t>
      </w:r>
      <w:r w:rsidRPr="009C7C80">
        <w:rPr>
          <w:rFonts w:hint="cs"/>
          <w:sz w:val="22"/>
          <w:rtl/>
          <w:lang w:bidi="ar-EG"/>
        </w:rPr>
        <w:t xml:space="preserve"> وجلسات </w:t>
      </w:r>
      <w:r w:rsidR="004906CE" w:rsidRPr="009C7C80">
        <w:rPr>
          <w:rFonts w:hint="cs"/>
          <w:sz w:val="22"/>
          <w:rtl/>
          <w:lang w:bidi="ar-EG"/>
        </w:rPr>
        <w:t>الأفرقة</w:t>
      </w:r>
      <w:r w:rsidRPr="009C7C80">
        <w:rPr>
          <w:rFonts w:hint="cs"/>
          <w:sz w:val="22"/>
          <w:rtl/>
          <w:lang w:bidi="ar-EG"/>
        </w:rPr>
        <w:t xml:space="preserve"> الع</w:t>
      </w:r>
      <w:r w:rsidR="004906CE" w:rsidRPr="009C7C80">
        <w:rPr>
          <w:rFonts w:hint="cs"/>
          <w:sz w:val="22"/>
          <w:rtl/>
          <w:lang w:bidi="ar-EG"/>
        </w:rPr>
        <w:t>ا</w:t>
      </w:r>
      <w:r w:rsidRPr="009C7C80">
        <w:rPr>
          <w:rFonts w:hint="cs"/>
          <w:sz w:val="22"/>
          <w:rtl/>
          <w:lang w:bidi="ar-EG"/>
        </w:rPr>
        <w:t>مل</w:t>
      </w:r>
      <w:r w:rsidR="004906CE" w:rsidRPr="009C7C80">
        <w:rPr>
          <w:rFonts w:hint="cs"/>
          <w:sz w:val="22"/>
          <w:rtl/>
          <w:lang w:bidi="ar-EG"/>
        </w:rPr>
        <w:t>ة</w:t>
      </w:r>
      <w:r w:rsidRPr="009C7C80">
        <w:rPr>
          <w:rFonts w:hint="cs"/>
          <w:sz w:val="22"/>
          <w:rtl/>
          <w:lang w:bidi="ar-EG"/>
        </w:rPr>
        <w:t xml:space="preserve">. ويبدو أن ذلك أدى أيضا إلى ارتفاع صغير في متوسط عدد جلسات </w:t>
      </w:r>
      <w:r w:rsidR="004906CE" w:rsidRPr="009C7C80">
        <w:rPr>
          <w:rFonts w:hint="cs"/>
          <w:sz w:val="22"/>
          <w:rtl/>
          <w:lang w:bidi="ar-EG"/>
        </w:rPr>
        <w:t>الأ</w:t>
      </w:r>
      <w:r w:rsidR="00E80F44" w:rsidRPr="009C7C80">
        <w:rPr>
          <w:rFonts w:hint="cs"/>
          <w:sz w:val="22"/>
          <w:rtl/>
          <w:lang w:bidi="ar-EG"/>
        </w:rPr>
        <w:t>فرق</w:t>
      </w:r>
      <w:r w:rsidR="004906CE" w:rsidRPr="009C7C80">
        <w:rPr>
          <w:rFonts w:hint="cs"/>
          <w:sz w:val="22"/>
          <w:rtl/>
          <w:lang w:bidi="ar-EG"/>
        </w:rPr>
        <w:t>ة</w:t>
      </w:r>
      <w:r w:rsidRPr="009C7C80">
        <w:rPr>
          <w:rFonts w:hint="cs"/>
          <w:sz w:val="22"/>
          <w:rtl/>
          <w:lang w:bidi="ar-EG"/>
        </w:rPr>
        <w:t xml:space="preserve"> الع</w:t>
      </w:r>
      <w:r w:rsidR="004906CE" w:rsidRPr="009C7C80">
        <w:rPr>
          <w:rFonts w:hint="cs"/>
          <w:sz w:val="22"/>
          <w:rtl/>
          <w:lang w:bidi="ar-EG"/>
        </w:rPr>
        <w:t>ا</w:t>
      </w:r>
      <w:r w:rsidRPr="009C7C80">
        <w:rPr>
          <w:rFonts w:hint="cs"/>
          <w:sz w:val="22"/>
          <w:rtl/>
          <w:lang w:bidi="ar-EG"/>
        </w:rPr>
        <w:t>مل</w:t>
      </w:r>
      <w:r w:rsidR="004906CE" w:rsidRPr="009C7C80">
        <w:rPr>
          <w:rFonts w:hint="cs"/>
          <w:sz w:val="22"/>
          <w:rtl/>
          <w:lang w:bidi="ar-EG"/>
        </w:rPr>
        <w:t>ة</w:t>
      </w:r>
      <w:r w:rsidRPr="009C7C80">
        <w:rPr>
          <w:rFonts w:hint="cs"/>
          <w:sz w:val="22"/>
          <w:rtl/>
          <w:lang w:bidi="ar-EG"/>
        </w:rPr>
        <w:t xml:space="preserve"> والجلسات </w:t>
      </w:r>
      <w:r w:rsidR="00637941" w:rsidRPr="009C7C80">
        <w:rPr>
          <w:rFonts w:hint="cs"/>
          <w:sz w:val="22"/>
          <w:rtl/>
          <w:lang w:bidi="ar-EG"/>
        </w:rPr>
        <w:t>العامة</w:t>
      </w:r>
      <w:r w:rsidRPr="009C7C80">
        <w:rPr>
          <w:rFonts w:hint="cs"/>
          <w:sz w:val="22"/>
          <w:rtl/>
          <w:lang w:bidi="ar-EG"/>
        </w:rPr>
        <w:t xml:space="preserve"> التي تعقد في اليوم الواحد. </w:t>
      </w:r>
      <w:r w:rsidR="00637941" w:rsidRPr="009C7C80">
        <w:rPr>
          <w:rFonts w:hint="cs"/>
          <w:sz w:val="22"/>
          <w:rtl/>
          <w:lang w:bidi="ar-EG"/>
        </w:rPr>
        <w:t>غير أن</w:t>
      </w:r>
      <w:r w:rsidRPr="009C7C80">
        <w:rPr>
          <w:rFonts w:hint="cs"/>
          <w:sz w:val="22"/>
          <w:rtl/>
          <w:lang w:bidi="ar-EG"/>
        </w:rPr>
        <w:t xml:space="preserve"> هذا الارتفاع </w:t>
      </w:r>
      <w:r w:rsidR="00637941" w:rsidRPr="009C7C80">
        <w:rPr>
          <w:rFonts w:hint="cs"/>
          <w:sz w:val="22"/>
          <w:rtl/>
          <w:lang w:bidi="ar-EG"/>
        </w:rPr>
        <w:t>يكون صغيرا إذا وضعنا في الاعتبار</w:t>
      </w:r>
      <w:r w:rsidRPr="009C7C80">
        <w:rPr>
          <w:rFonts w:hint="cs"/>
          <w:sz w:val="22"/>
          <w:rtl/>
          <w:lang w:bidi="ar-EG"/>
        </w:rPr>
        <w:t xml:space="preserve"> </w:t>
      </w:r>
      <w:r w:rsidR="008D133A" w:rsidRPr="009C7C80">
        <w:rPr>
          <w:rFonts w:hint="cs"/>
          <w:sz w:val="22"/>
          <w:rtl/>
          <w:lang w:bidi="ar-EG"/>
        </w:rPr>
        <w:t xml:space="preserve">جلسات الجزء الرفيع المستوى (بخلاف </w:t>
      </w:r>
      <w:r w:rsidR="00637941" w:rsidRPr="009C7C80">
        <w:rPr>
          <w:rFonts w:hint="cs"/>
          <w:sz w:val="22"/>
          <w:rtl/>
          <w:lang w:bidi="ar-EG"/>
        </w:rPr>
        <w:t xml:space="preserve">جلسات </w:t>
      </w:r>
      <w:r w:rsidR="008D133A" w:rsidRPr="009C7C80">
        <w:rPr>
          <w:rFonts w:hint="cs"/>
          <w:sz w:val="22"/>
          <w:rtl/>
          <w:lang w:bidi="ar-EG"/>
        </w:rPr>
        <w:t xml:space="preserve">الاجتماع الثالث عشر لمؤتمر الأطراف). وعلاوة على ذلك، يبدو أن عقد الاجتماعات بالتزامن أدى إلى عقد المزيد من اجتماعات </w:t>
      </w:r>
      <w:r w:rsidR="004906CE" w:rsidRPr="009C7C80">
        <w:rPr>
          <w:rFonts w:hint="cs"/>
          <w:sz w:val="22"/>
          <w:rtl/>
          <w:lang w:bidi="ar-EG"/>
        </w:rPr>
        <w:t>أفرقة</w:t>
      </w:r>
      <w:r w:rsidR="008D133A" w:rsidRPr="009C7C80">
        <w:rPr>
          <w:rFonts w:hint="cs"/>
          <w:sz w:val="22"/>
          <w:rtl/>
          <w:lang w:bidi="ar-EG"/>
        </w:rPr>
        <w:t xml:space="preserve"> الاتصال وأصدقاء الرئيس. ولذلك، </w:t>
      </w:r>
      <w:r w:rsidR="00552A4F" w:rsidRPr="009C7C80">
        <w:rPr>
          <w:rFonts w:hint="cs"/>
          <w:sz w:val="22"/>
          <w:rtl/>
          <w:lang w:bidi="ar-EG"/>
        </w:rPr>
        <w:t>و</w:t>
      </w:r>
      <w:r w:rsidR="008D133A" w:rsidRPr="009C7C80">
        <w:rPr>
          <w:rFonts w:hint="cs"/>
          <w:sz w:val="22"/>
          <w:rtl/>
          <w:lang w:bidi="ar-EG"/>
        </w:rPr>
        <w:t xml:space="preserve">على الرغم من </w:t>
      </w:r>
      <w:r w:rsidR="00637941" w:rsidRPr="009C7C80">
        <w:rPr>
          <w:rFonts w:hint="cs"/>
          <w:sz w:val="22"/>
          <w:rtl/>
          <w:lang w:bidi="ar-EG"/>
        </w:rPr>
        <w:t xml:space="preserve">أن </w:t>
      </w:r>
      <w:r w:rsidR="008D133A" w:rsidRPr="009C7C80">
        <w:rPr>
          <w:rFonts w:hint="cs"/>
          <w:sz w:val="22"/>
          <w:rtl/>
          <w:lang w:bidi="ar-EG"/>
        </w:rPr>
        <w:t>المدة الإجمالية للاجتماعات</w:t>
      </w:r>
      <w:r w:rsidR="00637941" w:rsidRPr="009C7C80">
        <w:rPr>
          <w:rFonts w:hint="cs"/>
          <w:sz w:val="22"/>
          <w:rtl/>
          <w:lang w:bidi="ar-EG"/>
        </w:rPr>
        <w:t xml:space="preserve"> انخفضت</w:t>
      </w:r>
      <w:r w:rsidR="008D133A" w:rsidRPr="009C7C80">
        <w:rPr>
          <w:rFonts w:hint="cs"/>
          <w:sz w:val="22"/>
          <w:rtl/>
          <w:lang w:bidi="ar-EG"/>
        </w:rPr>
        <w:t>، يبدو</w:t>
      </w:r>
      <w:r w:rsidR="00552A4F" w:rsidRPr="009C7C80">
        <w:rPr>
          <w:rFonts w:hint="cs"/>
          <w:sz w:val="22"/>
          <w:rtl/>
          <w:lang w:bidi="ar-EG"/>
        </w:rPr>
        <w:t xml:space="preserve"> أن</w:t>
      </w:r>
      <w:r w:rsidR="008D133A" w:rsidRPr="009C7C80">
        <w:rPr>
          <w:rFonts w:hint="cs"/>
          <w:sz w:val="22"/>
          <w:rtl/>
          <w:lang w:bidi="ar-EG"/>
        </w:rPr>
        <w:t xml:space="preserve"> شدة المفاوضات قد زادت إلى حد ما للتعويض. إلا أن عدد الجلسات </w:t>
      </w:r>
      <w:r w:rsidR="00637941" w:rsidRPr="009C7C80">
        <w:rPr>
          <w:rFonts w:hint="cs"/>
          <w:sz w:val="22"/>
          <w:rtl/>
          <w:lang w:bidi="ar-EG"/>
        </w:rPr>
        <w:t>العامة</w:t>
      </w:r>
      <w:r w:rsidR="008D133A" w:rsidRPr="009C7C80">
        <w:rPr>
          <w:rFonts w:hint="cs"/>
          <w:sz w:val="22"/>
          <w:rtl/>
          <w:lang w:bidi="ar-EG"/>
        </w:rPr>
        <w:t xml:space="preserve"> وجلسات </w:t>
      </w:r>
      <w:r w:rsidR="004906CE" w:rsidRPr="009C7C80">
        <w:rPr>
          <w:rFonts w:hint="cs"/>
          <w:sz w:val="22"/>
          <w:rtl/>
          <w:lang w:bidi="ar-EG"/>
        </w:rPr>
        <w:t>الأفرقة</w:t>
      </w:r>
      <w:r w:rsidR="008D133A" w:rsidRPr="009C7C80">
        <w:rPr>
          <w:rFonts w:hint="cs"/>
          <w:sz w:val="22"/>
          <w:rtl/>
          <w:lang w:bidi="ar-EG"/>
        </w:rPr>
        <w:t xml:space="preserve"> الع</w:t>
      </w:r>
      <w:r w:rsidR="004906CE" w:rsidRPr="009C7C80">
        <w:rPr>
          <w:rFonts w:hint="cs"/>
          <w:sz w:val="22"/>
          <w:rtl/>
          <w:lang w:bidi="ar-EG"/>
        </w:rPr>
        <w:t>ا</w:t>
      </w:r>
      <w:r w:rsidR="008D133A" w:rsidRPr="009C7C80">
        <w:rPr>
          <w:rFonts w:hint="cs"/>
          <w:sz w:val="22"/>
          <w:rtl/>
          <w:lang w:bidi="ar-EG"/>
        </w:rPr>
        <w:t>مل</w:t>
      </w:r>
      <w:r w:rsidR="004906CE" w:rsidRPr="009C7C80">
        <w:rPr>
          <w:rFonts w:hint="cs"/>
          <w:sz w:val="22"/>
          <w:rtl/>
          <w:lang w:bidi="ar-EG"/>
        </w:rPr>
        <w:t>ة</w:t>
      </w:r>
      <w:r w:rsidR="008D133A" w:rsidRPr="009C7C80">
        <w:rPr>
          <w:rFonts w:hint="cs"/>
          <w:sz w:val="22"/>
          <w:rtl/>
          <w:lang w:bidi="ar-EG"/>
        </w:rPr>
        <w:t xml:space="preserve"> وكذلك عدد اجتماعات </w:t>
      </w:r>
      <w:r w:rsidR="004906CE" w:rsidRPr="009C7C80">
        <w:rPr>
          <w:rFonts w:hint="cs"/>
          <w:sz w:val="22"/>
          <w:rtl/>
          <w:lang w:bidi="ar-EG"/>
        </w:rPr>
        <w:t>أ</w:t>
      </w:r>
      <w:r w:rsidR="003151FC" w:rsidRPr="009C7C80">
        <w:rPr>
          <w:rFonts w:hint="cs"/>
          <w:sz w:val="22"/>
          <w:rtl/>
          <w:lang w:bidi="ar-EG"/>
        </w:rPr>
        <w:t>فرق</w:t>
      </w:r>
      <w:r w:rsidR="004906CE" w:rsidRPr="009C7C80">
        <w:rPr>
          <w:rFonts w:hint="cs"/>
          <w:sz w:val="22"/>
          <w:rtl/>
          <w:lang w:bidi="ar-EG"/>
        </w:rPr>
        <w:t>ة</w:t>
      </w:r>
      <w:r w:rsidR="008D133A" w:rsidRPr="009C7C80">
        <w:rPr>
          <w:rFonts w:hint="cs"/>
          <w:sz w:val="22"/>
          <w:rtl/>
          <w:lang w:bidi="ar-EG"/>
        </w:rPr>
        <w:t xml:space="preserve"> الاتصال وأصدقاء الرئيس تتأثر أيضا </w:t>
      </w:r>
      <w:r w:rsidR="00237F98">
        <w:rPr>
          <w:rFonts w:hint="cs"/>
          <w:sz w:val="22"/>
          <w:rtl/>
          <w:lang w:bidi="ar-EG"/>
        </w:rPr>
        <w:t>بالمسائل</w:t>
      </w:r>
      <w:r w:rsidR="008D133A" w:rsidRPr="009C7C80">
        <w:rPr>
          <w:rFonts w:hint="cs"/>
          <w:sz w:val="22"/>
          <w:rtl/>
          <w:lang w:bidi="ar-EG"/>
        </w:rPr>
        <w:t xml:space="preserve"> التي تتم مناقشتها أثناء الاجتماعات كما يتض</w:t>
      </w:r>
      <w:r w:rsidR="008D133A">
        <w:rPr>
          <w:rFonts w:hint="cs"/>
          <w:sz w:val="22"/>
          <w:rtl/>
          <w:lang w:bidi="ar-EG"/>
        </w:rPr>
        <w:t xml:space="preserve">ح </w:t>
      </w:r>
      <w:r w:rsidR="005C043C">
        <w:rPr>
          <w:rFonts w:hint="cs"/>
          <w:sz w:val="22"/>
          <w:rtl/>
          <w:lang w:bidi="ar-EG"/>
        </w:rPr>
        <w:t xml:space="preserve">من عدد اجتماعات </w:t>
      </w:r>
      <w:r w:rsidR="004906CE">
        <w:rPr>
          <w:rFonts w:hint="cs"/>
          <w:sz w:val="22"/>
          <w:rtl/>
          <w:lang w:bidi="ar-EG"/>
        </w:rPr>
        <w:t>أ</w:t>
      </w:r>
      <w:r w:rsidR="003151FC">
        <w:rPr>
          <w:rFonts w:hint="cs"/>
          <w:sz w:val="22"/>
          <w:rtl/>
          <w:lang w:bidi="ar-EG"/>
        </w:rPr>
        <w:t>فرق</w:t>
      </w:r>
      <w:r w:rsidR="004906CE">
        <w:rPr>
          <w:rFonts w:hint="cs"/>
          <w:sz w:val="22"/>
          <w:rtl/>
          <w:lang w:bidi="ar-EG"/>
        </w:rPr>
        <w:t>ة</w:t>
      </w:r>
      <w:r w:rsidR="005C043C">
        <w:rPr>
          <w:rFonts w:hint="cs"/>
          <w:sz w:val="22"/>
          <w:rtl/>
          <w:lang w:bidi="ar-EG"/>
        </w:rPr>
        <w:t xml:space="preserve"> الاتصال وأصدقاء الرئيس خلال الاجتماع العاشر لمؤتمر الأطراف والاجتماع الخامس لمؤتمر الأطراف العامل كاجتماع للأطراف</w:t>
      </w:r>
      <w:r w:rsidR="0026269C">
        <w:rPr>
          <w:rFonts w:hint="cs"/>
          <w:sz w:val="22"/>
          <w:rtl/>
          <w:lang w:bidi="ar-EG"/>
        </w:rPr>
        <w:t xml:space="preserve"> في بروتوك</w:t>
      </w:r>
      <w:r w:rsidR="0026269C">
        <w:rPr>
          <w:sz w:val="22"/>
          <w:rtl/>
          <w:lang w:bidi="ar-EG"/>
        </w:rPr>
        <w:t>ول</w:t>
      </w:r>
      <w:r w:rsidR="0026269C">
        <w:rPr>
          <w:rFonts w:hint="cs"/>
          <w:sz w:val="22"/>
          <w:rtl/>
          <w:lang w:bidi="ar-EG"/>
        </w:rPr>
        <w:t xml:space="preserve"> قرطاجنة</w:t>
      </w:r>
      <w:r w:rsidR="005C043C">
        <w:rPr>
          <w:rFonts w:hint="cs"/>
          <w:sz w:val="22"/>
          <w:rtl/>
          <w:lang w:bidi="ar-EG"/>
        </w:rPr>
        <w:t>.</w:t>
      </w:r>
    </w:p>
    <w:p w:rsidR="005C043C" w:rsidRPr="00585122" w:rsidRDefault="005C043C" w:rsidP="00A56B49">
      <w:pPr>
        <w:spacing w:before="120" w:after="120"/>
        <w:jc w:val="center"/>
        <w:rPr>
          <w:rFonts w:ascii="Simplified Arabic" w:hAnsi="Simplified Arabic"/>
          <w:b/>
          <w:bCs/>
          <w:sz w:val="28"/>
          <w:szCs w:val="28"/>
          <w:rtl/>
          <w:lang w:bidi="ar-EG"/>
        </w:rPr>
      </w:pPr>
      <w:r w:rsidRPr="00585122">
        <w:rPr>
          <w:rFonts w:ascii="Simplified Arabic" w:hAnsi="Simplified Arabic" w:hint="cs"/>
          <w:b/>
          <w:bCs/>
          <w:sz w:val="28"/>
          <w:szCs w:val="28"/>
          <w:rtl/>
          <w:lang w:bidi="ar-EG"/>
        </w:rPr>
        <w:t>خامسا-</w:t>
      </w:r>
      <w:r w:rsidRPr="00585122">
        <w:rPr>
          <w:rFonts w:ascii="Simplified Arabic" w:hAnsi="Simplified Arabic" w:hint="cs"/>
          <w:b/>
          <w:bCs/>
          <w:sz w:val="28"/>
          <w:szCs w:val="28"/>
          <w:rtl/>
          <w:lang w:bidi="ar-EG"/>
        </w:rPr>
        <w:tab/>
        <w:t>زيادة التكامل بين الاتفاقية وبروتوكول</w:t>
      </w:r>
      <w:r w:rsidR="00A56B49" w:rsidRPr="00585122">
        <w:rPr>
          <w:rFonts w:ascii="Simplified Arabic" w:hAnsi="Simplified Arabic" w:hint="cs"/>
          <w:b/>
          <w:bCs/>
          <w:sz w:val="28"/>
          <w:szCs w:val="28"/>
          <w:rtl/>
          <w:lang w:bidi="ar-EG"/>
        </w:rPr>
        <w:t>ي</w:t>
      </w:r>
      <w:r w:rsidRPr="00585122">
        <w:rPr>
          <w:rFonts w:ascii="Simplified Arabic" w:hAnsi="Simplified Arabic" w:hint="cs"/>
          <w:b/>
          <w:bCs/>
          <w:sz w:val="28"/>
          <w:szCs w:val="28"/>
          <w:rtl/>
          <w:lang w:bidi="ar-EG"/>
        </w:rPr>
        <w:t>ها</w:t>
      </w:r>
    </w:p>
    <w:p w:rsidR="00323F16" w:rsidRPr="009C7C80" w:rsidRDefault="005C043C" w:rsidP="001E2F63">
      <w:pPr>
        <w:numPr>
          <w:ilvl w:val="0"/>
          <w:numId w:val="16"/>
        </w:numPr>
        <w:spacing w:after="120"/>
        <w:ind w:left="0" w:firstLine="0"/>
        <w:rPr>
          <w:sz w:val="22"/>
          <w:rtl/>
          <w:lang w:bidi="ar-EG"/>
        </w:rPr>
      </w:pPr>
      <w:r>
        <w:rPr>
          <w:rFonts w:hint="cs"/>
          <w:sz w:val="22"/>
          <w:rtl/>
          <w:lang w:bidi="ar-EG"/>
        </w:rPr>
        <w:t>رأى ما مجموعه 51 في المائة من الأطراف المجيبين على الإخطار أن معيار زيادة التكامل بين الاتفاقية وبروتوكول</w:t>
      </w:r>
      <w:r w:rsidR="00A56B49">
        <w:rPr>
          <w:rFonts w:hint="cs"/>
          <w:sz w:val="22"/>
          <w:rtl/>
          <w:lang w:bidi="ar-EG"/>
        </w:rPr>
        <w:t>ي</w:t>
      </w:r>
      <w:r>
        <w:rPr>
          <w:rFonts w:hint="cs"/>
          <w:sz w:val="22"/>
          <w:rtl/>
          <w:lang w:bidi="ar-EG"/>
        </w:rPr>
        <w:t xml:space="preserve">ها قد </w:t>
      </w:r>
      <w:r w:rsidR="00B40861">
        <w:rPr>
          <w:rFonts w:hint="cs"/>
          <w:sz w:val="22"/>
          <w:rtl/>
          <w:lang w:bidi="ar-EG"/>
        </w:rPr>
        <w:t>استوفي كليا</w:t>
      </w:r>
      <w:r w:rsidR="00552A4F">
        <w:rPr>
          <w:rFonts w:hint="cs"/>
          <w:sz w:val="22"/>
          <w:rtl/>
          <w:lang w:bidi="ar-EG"/>
        </w:rPr>
        <w:t>،</w:t>
      </w:r>
      <w:r>
        <w:rPr>
          <w:rFonts w:hint="cs"/>
          <w:sz w:val="22"/>
          <w:rtl/>
          <w:lang w:bidi="ar-EG"/>
        </w:rPr>
        <w:t xml:space="preserve"> ورأى 46 في المائة منهم أنه قد استوفي جزئيا</w:t>
      </w:r>
      <w:r w:rsidR="00552A4F">
        <w:rPr>
          <w:rFonts w:hint="cs"/>
          <w:sz w:val="22"/>
          <w:rtl/>
          <w:lang w:bidi="ar-EG"/>
        </w:rPr>
        <w:t>،</w:t>
      </w:r>
      <w:r>
        <w:rPr>
          <w:rFonts w:hint="cs"/>
          <w:sz w:val="22"/>
          <w:rtl/>
          <w:lang w:bidi="ar-EG"/>
        </w:rPr>
        <w:t xml:space="preserve"> ورأى 3 في ا</w:t>
      </w:r>
      <w:r w:rsidR="00552A4F">
        <w:rPr>
          <w:rFonts w:hint="cs"/>
          <w:sz w:val="22"/>
          <w:rtl/>
          <w:lang w:bidi="ar-EG"/>
        </w:rPr>
        <w:t xml:space="preserve">لمائة منهم أنه </w:t>
      </w:r>
      <w:r w:rsidR="002013AF">
        <w:rPr>
          <w:rFonts w:hint="cs"/>
          <w:sz w:val="22"/>
          <w:rtl/>
          <w:lang w:bidi="ar-EG"/>
        </w:rPr>
        <w:t>لم يستوف</w:t>
      </w:r>
      <w:r w:rsidR="00552A4F" w:rsidRPr="009C7C80">
        <w:rPr>
          <w:rFonts w:hint="cs"/>
          <w:sz w:val="22"/>
          <w:rtl/>
          <w:lang w:bidi="ar-EG"/>
        </w:rPr>
        <w:t xml:space="preserve">. ولم </w:t>
      </w:r>
      <w:r w:rsidR="002D09A5" w:rsidRPr="009C7C80">
        <w:rPr>
          <w:rFonts w:hint="cs"/>
          <w:sz w:val="22"/>
          <w:rtl/>
          <w:lang w:bidi="ar-EG"/>
        </w:rPr>
        <w:t>ت</w:t>
      </w:r>
      <w:r w:rsidR="00552A4F" w:rsidRPr="009C7C80">
        <w:rPr>
          <w:rFonts w:hint="cs"/>
          <w:sz w:val="22"/>
          <w:rtl/>
          <w:lang w:bidi="ar-EG"/>
        </w:rPr>
        <w:t>ك</w:t>
      </w:r>
      <w:r w:rsidRPr="009C7C80">
        <w:rPr>
          <w:rFonts w:hint="cs"/>
          <w:sz w:val="22"/>
          <w:rtl/>
          <w:lang w:bidi="ar-EG"/>
        </w:rPr>
        <w:t>ن هناك أي اختلافات تذكر عند النظر في ردود البلدان النامية والبلدان المتقدمة بشكل منفصل، إلا أنه لم تشر أي دولة متقدمة طرف</w:t>
      </w:r>
      <w:r w:rsidR="00A56B49" w:rsidRPr="009C7C80">
        <w:rPr>
          <w:rFonts w:hint="cs"/>
          <w:sz w:val="22"/>
          <w:rtl/>
          <w:lang w:bidi="ar-EG"/>
        </w:rPr>
        <w:t xml:space="preserve"> إلى أن المعيار </w:t>
      </w:r>
      <w:r w:rsidR="002013AF">
        <w:rPr>
          <w:rFonts w:hint="cs"/>
          <w:sz w:val="22"/>
          <w:rtl/>
          <w:lang w:bidi="ar-EG"/>
        </w:rPr>
        <w:t>لم يستوف</w:t>
      </w:r>
      <w:r w:rsidR="00A56B49" w:rsidRPr="009C7C80">
        <w:rPr>
          <w:rFonts w:hint="cs"/>
          <w:sz w:val="22"/>
          <w:rtl/>
          <w:lang w:bidi="ar-EG"/>
        </w:rPr>
        <w:t>.</w:t>
      </w:r>
    </w:p>
    <w:p w:rsidR="00323F16" w:rsidRDefault="00A56B49" w:rsidP="001E2F63">
      <w:pPr>
        <w:numPr>
          <w:ilvl w:val="0"/>
          <w:numId w:val="16"/>
        </w:numPr>
        <w:spacing w:after="120"/>
        <w:ind w:left="0" w:firstLine="0"/>
        <w:rPr>
          <w:sz w:val="22"/>
          <w:lang w:bidi="ar-EG"/>
        </w:rPr>
      </w:pPr>
      <w:r w:rsidRPr="009C7C80">
        <w:rPr>
          <w:rFonts w:hint="cs"/>
          <w:sz w:val="22"/>
          <w:rtl/>
          <w:lang w:bidi="ar-EG"/>
        </w:rPr>
        <w:t xml:space="preserve">وأشار العديد من الأطراف في تعليقاتهم الكتابية </w:t>
      </w:r>
      <w:r w:rsidR="00A71F12">
        <w:rPr>
          <w:rFonts w:hint="cs"/>
          <w:sz w:val="22"/>
          <w:rtl/>
          <w:lang w:bidi="ar-EG"/>
        </w:rPr>
        <w:t xml:space="preserve">إلى </w:t>
      </w:r>
      <w:r w:rsidRPr="009C7C80">
        <w:rPr>
          <w:rFonts w:hint="cs"/>
          <w:sz w:val="22"/>
          <w:rtl/>
          <w:lang w:bidi="ar-EG"/>
        </w:rPr>
        <w:t>أن عقد الاجتماعات بالتزامن يعد خطوة أولى جيدة</w:t>
      </w:r>
      <w:r w:rsidR="002D09A5" w:rsidRPr="009C7C80">
        <w:rPr>
          <w:rFonts w:hint="cs"/>
          <w:sz w:val="22"/>
          <w:rtl/>
          <w:lang w:bidi="ar-EG"/>
        </w:rPr>
        <w:t xml:space="preserve"> وكان له</w:t>
      </w:r>
      <w:r w:rsidRPr="009C7C80">
        <w:rPr>
          <w:rFonts w:hint="cs"/>
          <w:sz w:val="22"/>
          <w:rtl/>
          <w:lang w:bidi="ar-EG"/>
        </w:rPr>
        <w:t xml:space="preserve"> بعض الآثار الإيجابية. ومع ذلك، أشار عدد قليل من الأطراف إلى أنه سيلزم المزيد من الوقت لإمكانية الحكم على هذه المسألة</w:t>
      </w:r>
      <w:r>
        <w:rPr>
          <w:rFonts w:hint="cs"/>
          <w:sz w:val="22"/>
          <w:rtl/>
          <w:lang w:bidi="ar-EG"/>
        </w:rPr>
        <w:t xml:space="preserve"> بطريقة مجدية. ورأى بعض الأطراف أنه قد تم إحراز تقدم أكبر بشأن إدماج المسائل الإجرائية في إطار الاتفاقية وبروتوكوليها </w:t>
      </w:r>
      <w:r w:rsidR="006243C0">
        <w:rPr>
          <w:rFonts w:hint="cs"/>
          <w:sz w:val="22"/>
          <w:rtl/>
          <w:lang w:bidi="ar-EG"/>
        </w:rPr>
        <w:t>مما تم تحقيقه بشأن المسائل الموضوعية. وأشار آخرون إلى أن شكل الاجتماعات المتزامنة يعزز زيادة فهم كيفية ارتباط الاتفاقية وبروتوكوليها ببعضهم البعض.</w:t>
      </w:r>
    </w:p>
    <w:p w:rsidR="006243C0" w:rsidRPr="001E2F63" w:rsidRDefault="00D51A0B" w:rsidP="00D51A0B">
      <w:pPr>
        <w:numPr>
          <w:ilvl w:val="0"/>
          <w:numId w:val="16"/>
        </w:numPr>
        <w:spacing w:after="120"/>
        <w:ind w:left="0" w:firstLine="0"/>
        <w:rPr>
          <w:sz w:val="22"/>
          <w:rtl/>
          <w:lang w:bidi="ar-EG"/>
        </w:rPr>
      </w:pPr>
      <w:r>
        <w:rPr>
          <w:rFonts w:hint="cs"/>
          <w:sz w:val="22"/>
          <w:rtl/>
          <w:lang w:bidi="ar-EG"/>
        </w:rPr>
        <w:t>وكانت</w:t>
      </w:r>
      <w:r w:rsidR="006243C0" w:rsidRPr="001E2F63">
        <w:rPr>
          <w:rFonts w:hint="cs"/>
          <w:sz w:val="22"/>
          <w:rtl/>
          <w:lang w:bidi="ar-EG"/>
        </w:rPr>
        <w:t xml:space="preserve"> ردود المشاركين في الاستقصاء الإلكتروني </w:t>
      </w:r>
      <w:r>
        <w:rPr>
          <w:rFonts w:hint="cs"/>
          <w:sz w:val="22"/>
          <w:rtl/>
          <w:lang w:bidi="ar-EG"/>
        </w:rPr>
        <w:t>مماثلة ل</w:t>
      </w:r>
      <w:r w:rsidR="006243C0" w:rsidRPr="001E2F63">
        <w:rPr>
          <w:rFonts w:hint="cs"/>
          <w:sz w:val="22"/>
          <w:rtl/>
          <w:lang w:bidi="ar-EG"/>
        </w:rPr>
        <w:t xml:space="preserve">ردود الاستبيان الذي وزع على الأطراف. وفيما يخص التكامل بين الاتفاقية وبروتوكوليها، رأت أغلبية المجيبين </w:t>
      </w:r>
      <w:r w:rsidR="00116244" w:rsidRPr="001E2F63">
        <w:rPr>
          <w:rFonts w:hint="cs"/>
          <w:sz w:val="22"/>
          <w:rtl/>
          <w:lang w:bidi="ar-EG"/>
        </w:rPr>
        <w:t>أن عقد اجتماعات متزامنة قد ساعد في هذا الصدد. ووافق بشدة أو وافق ما مجموعه 17 في المائة و52 في المائة على التوالي على</w:t>
      </w:r>
      <w:r w:rsidR="00552A4F" w:rsidRPr="001E2F63">
        <w:rPr>
          <w:rFonts w:hint="cs"/>
          <w:sz w:val="22"/>
          <w:rtl/>
          <w:lang w:bidi="ar-EG"/>
        </w:rPr>
        <w:t xml:space="preserve"> أن</w:t>
      </w:r>
      <w:r w:rsidR="00116244" w:rsidRPr="001E2F63">
        <w:rPr>
          <w:rFonts w:hint="cs"/>
          <w:sz w:val="22"/>
          <w:rtl/>
          <w:lang w:bidi="ar-EG"/>
        </w:rPr>
        <w:t xml:space="preserve"> ذلك هو الحال. وعارض بشدة أو عارض ما مجموعه 7 و3 في المائة على الت</w:t>
      </w:r>
      <w:r w:rsidR="00552A4F" w:rsidRPr="001E2F63">
        <w:rPr>
          <w:rFonts w:hint="cs"/>
          <w:sz w:val="22"/>
          <w:rtl/>
          <w:lang w:bidi="ar-EG"/>
        </w:rPr>
        <w:t>و</w:t>
      </w:r>
      <w:r w:rsidR="00116244" w:rsidRPr="001E2F63">
        <w:rPr>
          <w:rFonts w:hint="cs"/>
          <w:sz w:val="22"/>
          <w:rtl/>
          <w:lang w:bidi="ar-EG"/>
        </w:rPr>
        <w:t>الي. وعلاوة على ذلك، كان لدى 20 في المائة من المجيبين رأي مح</w:t>
      </w:r>
      <w:r w:rsidR="0064614C" w:rsidRPr="001E2F63">
        <w:rPr>
          <w:rFonts w:hint="cs"/>
          <w:sz w:val="22"/>
          <w:rtl/>
          <w:lang w:bidi="ar-EG"/>
        </w:rPr>
        <w:t>ا</w:t>
      </w:r>
      <w:r w:rsidR="00116244" w:rsidRPr="001E2F63">
        <w:rPr>
          <w:rFonts w:hint="cs"/>
          <w:sz w:val="22"/>
          <w:rtl/>
          <w:lang w:bidi="ar-EG"/>
        </w:rPr>
        <w:t xml:space="preserve">يد في هذا الشأن. </w:t>
      </w:r>
      <w:r w:rsidR="002D09A5" w:rsidRPr="001E2F63">
        <w:rPr>
          <w:rFonts w:hint="cs"/>
          <w:sz w:val="22"/>
          <w:rtl/>
          <w:lang w:bidi="ar-EG"/>
        </w:rPr>
        <w:t>وإذا وضع</w:t>
      </w:r>
      <w:r w:rsidR="00F61E87" w:rsidRPr="001E2F63">
        <w:rPr>
          <w:rFonts w:hint="cs"/>
          <w:sz w:val="22"/>
          <w:rtl/>
          <w:lang w:bidi="ar-EG"/>
        </w:rPr>
        <w:t>ن</w:t>
      </w:r>
      <w:r w:rsidR="002D09A5" w:rsidRPr="001E2F63">
        <w:rPr>
          <w:rFonts w:hint="cs"/>
          <w:sz w:val="22"/>
          <w:rtl/>
          <w:lang w:bidi="ar-EG"/>
        </w:rPr>
        <w:t>ا في الاعتبار</w:t>
      </w:r>
      <w:r w:rsidR="002D09A5" w:rsidRPr="001E2F63">
        <w:rPr>
          <w:sz w:val="22"/>
          <w:rtl/>
          <w:lang w:bidi="ar-EG"/>
        </w:rPr>
        <w:t xml:space="preserve"> الردود التي قدمها المشاركون الذين يمثلون الأطراف في الاجتماعات المتزامنة فقط، وافق بشدة 22 في المائة ووافق 51 في المائة على أن عقد اجتماعات متزامنة يزيد من التكامل بين الاتفاقية وبروتوكول</w:t>
      </w:r>
      <w:r>
        <w:rPr>
          <w:rFonts w:hint="cs"/>
          <w:sz w:val="22"/>
          <w:rtl/>
          <w:lang w:bidi="ar-EG"/>
        </w:rPr>
        <w:t>يها</w:t>
      </w:r>
      <w:r w:rsidR="002D09A5" w:rsidRPr="001E2F63">
        <w:rPr>
          <w:sz w:val="22"/>
          <w:rtl/>
          <w:lang w:bidi="ar-EG"/>
        </w:rPr>
        <w:t xml:space="preserve">. وعارض ما مجموعه 7 في المائة، وعارض 2 في المائة بشدة أن </w:t>
      </w:r>
      <w:r>
        <w:rPr>
          <w:rFonts w:hint="cs"/>
          <w:sz w:val="22"/>
          <w:rtl/>
          <w:lang w:bidi="ar-EG"/>
        </w:rPr>
        <w:t>ذلك</w:t>
      </w:r>
      <w:r w:rsidR="002D09A5" w:rsidRPr="001E2F63">
        <w:rPr>
          <w:sz w:val="22"/>
          <w:rtl/>
          <w:lang w:bidi="ar-EG"/>
        </w:rPr>
        <w:t xml:space="preserve"> هو الحال. وكان 18 في المائة من المجيبين محايدين.</w:t>
      </w:r>
    </w:p>
    <w:p w:rsidR="00323F16" w:rsidRPr="001E2F63" w:rsidRDefault="0064614C" w:rsidP="001E2F63">
      <w:pPr>
        <w:numPr>
          <w:ilvl w:val="0"/>
          <w:numId w:val="16"/>
        </w:numPr>
        <w:spacing w:after="120"/>
        <w:ind w:left="0" w:firstLine="0"/>
        <w:rPr>
          <w:sz w:val="22"/>
          <w:rtl/>
          <w:lang w:bidi="ar-EG"/>
        </w:rPr>
      </w:pPr>
      <w:r w:rsidRPr="001E2F63">
        <w:rPr>
          <w:rFonts w:hint="cs"/>
          <w:sz w:val="22"/>
          <w:rtl/>
          <w:lang w:bidi="ar-EG"/>
        </w:rPr>
        <w:t>وكان</w:t>
      </w:r>
      <w:r w:rsidR="00F61E87" w:rsidRPr="001E2F63">
        <w:rPr>
          <w:rFonts w:hint="cs"/>
          <w:sz w:val="22"/>
          <w:rtl/>
          <w:lang w:bidi="ar-EG"/>
        </w:rPr>
        <w:t>ت نظرة</w:t>
      </w:r>
      <w:r w:rsidRPr="001E2F63">
        <w:rPr>
          <w:rFonts w:hint="cs"/>
          <w:sz w:val="22"/>
          <w:rtl/>
          <w:lang w:bidi="ar-EG"/>
        </w:rPr>
        <w:t xml:space="preserve"> المجيب</w:t>
      </w:r>
      <w:r w:rsidR="00F61E87" w:rsidRPr="001E2F63">
        <w:rPr>
          <w:rFonts w:hint="cs"/>
          <w:sz w:val="22"/>
          <w:rtl/>
          <w:lang w:bidi="ar-EG"/>
        </w:rPr>
        <w:t>ي</w:t>
      </w:r>
      <w:r w:rsidRPr="001E2F63">
        <w:rPr>
          <w:rFonts w:hint="cs"/>
          <w:sz w:val="22"/>
          <w:rtl/>
          <w:lang w:bidi="ar-EG"/>
        </w:rPr>
        <w:t>ن المشارك</w:t>
      </w:r>
      <w:r w:rsidR="00F61E87" w:rsidRPr="001E2F63">
        <w:rPr>
          <w:rFonts w:hint="cs"/>
          <w:sz w:val="22"/>
          <w:rtl/>
          <w:lang w:bidi="ar-EG"/>
        </w:rPr>
        <w:t>ي</w:t>
      </w:r>
      <w:r w:rsidRPr="001E2F63">
        <w:rPr>
          <w:rFonts w:hint="cs"/>
          <w:sz w:val="22"/>
          <w:rtl/>
          <w:lang w:bidi="ar-EG"/>
        </w:rPr>
        <w:t>ن في الاجتماعات المتزامنة على الاستقصاء الإلكتروني إيجابي</w:t>
      </w:r>
      <w:r w:rsidR="00F61E87" w:rsidRPr="001E2F63">
        <w:rPr>
          <w:rFonts w:hint="cs"/>
          <w:sz w:val="22"/>
          <w:rtl/>
          <w:lang w:bidi="ar-EG"/>
        </w:rPr>
        <w:t>ة</w:t>
      </w:r>
      <w:r w:rsidRPr="001E2F63">
        <w:rPr>
          <w:rFonts w:hint="cs"/>
          <w:sz w:val="22"/>
          <w:rtl/>
          <w:lang w:bidi="ar-EG"/>
        </w:rPr>
        <w:t xml:space="preserve"> بوجه عام تجاه آثار عقد اجتماعات متزامنة على زيادة التكامل بين الاتفاقية وبروتوكوليها في تعليقاتهم الكتابية. وكانت زيادة الوعي بعمليات الاتفاقات الثلاثة وزيادة المشاورات من بين المسائل التي تم إبرازها. وأشار العديد من المجيبين إلى المناقشات بشأن البيولوجيا </w:t>
      </w:r>
      <w:r w:rsidR="00C267C7" w:rsidRPr="001E2F63">
        <w:rPr>
          <w:rFonts w:hint="cs"/>
          <w:sz w:val="22"/>
          <w:rtl/>
          <w:lang w:bidi="ar-EG"/>
        </w:rPr>
        <w:t>التركيبية</w:t>
      </w:r>
      <w:r w:rsidRPr="001E2F63">
        <w:rPr>
          <w:rFonts w:hint="cs"/>
          <w:sz w:val="22"/>
          <w:rtl/>
          <w:lang w:bidi="ar-EG"/>
        </w:rPr>
        <w:t xml:space="preserve"> ومعلومات التسلسل الرقمي كمثال على زيادة التكامل بين </w:t>
      </w:r>
      <w:r w:rsidR="00C267C7" w:rsidRPr="001E2F63">
        <w:rPr>
          <w:rFonts w:hint="cs"/>
          <w:sz w:val="22"/>
          <w:rtl/>
          <w:lang w:bidi="ar-EG"/>
        </w:rPr>
        <w:t>الصكوك</w:t>
      </w:r>
      <w:r w:rsidRPr="001E2F63">
        <w:rPr>
          <w:rFonts w:hint="cs"/>
          <w:sz w:val="22"/>
          <w:rtl/>
          <w:lang w:bidi="ar-EG"/>
        </w:rPr>
        <w:t xml:space="preserve"> الثلاثة.</w:t>
      </w:r>
      <w:r w:rsidR="005F7330" w:rsidRPr="001E2F63">
        <w:rPr>
          <w:rFonts w:hint="cs"/>
          <w:sz w:val="22"/>
          <w:rtl/>
          <w:lang w:bidi="ar-EG"/>
        </w:rPr>
        <w:t xml:space="preserve"> ومع ذلك، رأى آخرون أن ذلك </w:t>
      </w:r>
      <w:r w:rsidR="00552A4F" w:rsidRPr="001E2F63">
        <w:rPr>
          <w:rFonts w:hint="cs"/>
          <w:sz w:val="22"/>
          <w:rtl/>
          <w:lang w:bidi="ar-EG"/>
        </w:rPr>
        <w:t>أدى</w:t>
      </w:r>
      <w:r w:rsidR="005F7330" w:rsidRPr="001E2F63">
        <w:rPr>
          <w:rFonts w:hint="cs"/>
          <w:sz w:val="22"/>
          <w:rtl/>
          <w:lang w:bidi="ar-EG"/>
        </w:rPr>
        <w:t xml:space="preserve"> لمفاوضات معقدة. </w:t>
      </w:r>
      <w:r w:rsidR="001C1972" w:rsidRPr="001E2F63">
        <w:rPr>
          <w:rFonts w:hint="cs"/>
          <w:sz w:val="22"/>
          <w:rtl/>
          <w:lang w:bidi="ar-EG"/>
        </w:rPr>
        <w:t>وبالإضافة</w:t>
      </w:r>
      <w:r w:rsidR="005F7330" w:rsidRPr="001E2F63">
        <w:rPr>
          <w:rFonts w:hint="cs"/>
          <w:sz w:val="22"/>
          <w:rtl/>
          <w:lang w:bidi="ar-EG"/>
        </w:rPr>
        <w:t xml:space="preserve"> </w:t>
      </w:r>
      <w:r w:rsidR="001C1972" w:rsidRPr="001E2F63">
        <w:rPr>
          <w:rFonts w:hint="cs"/>
          <w:sz w:val="22"/>
          <w:rtl/>
          <w:lang w:bidi="ar-EG"/>
        </w:rPr>
        <w:t>إ</w:t>
      </w:r>
      <w:r w:rsidR="00AF1438" w:rsidRPr="001E2F63">
        <w:rPr>
          <w:rFonts w:hint="cs"/>
          <w:sz w:val="22"/>
          <w:rtl/>
          <w:lang w:bidi="ar-EG"/>
        </w:rPr>
        <w:t>لى ذلك، أشار بعض المجيبين إلى أن عقد اجتماعات متزامنة لم ييسر التكامل</w:t>
      </w:r>
      <w:r w:rsidR="00552A4F" w:rsidRPr="001E2F63">
        <w:rPr>
          <w:rFonts w:hint="cs"/>
          <w:sz w:val="22"/>
          <w:rtl/>
          <w:lang w:bidi="ar-EG"/>
        </w:rPr>
        <w:t>،</w:t>
      </w:r>
      <w:r w:rsidR="00AF1438" w:rsidRPr="001E2F63">
        <w:rPr>
          <w:rFonts w:hint="cs"/>
          <w:sz w:val="22"/>
          <w:rtl/>
          <w:lang w:bidi="ar-EG"/>
        </w:rPr>
        <w:t xml:space="preserve"> وأثار تساؤلات بشأ</w:t>
      </w:r>
      <w:r w:rsidR="005238CD" w:rsidRPr="001E2F63">
        <w:rPr>
          <w:rFonts w:hint="cs"/>
          <w:sz w:val="22"/>
          <w:rtl/>
          <w:lang w:bidi="ar-EG"/>
        </w:rPr>
        <w:t>ن ولايات الاتفاقية والبروتوكولين</w:t>
      </w:r>
      <w:r w:rsidR="00AF1438" w:rsidRPr="001E2F63">
        <w:rPr>
          <w:rFonts w:hint="cs"/>
          <w:sz w:val="22"/>
          <w:rtl/>
          <w:lang w:bidi="ar-EG"/>
        </w:rPr>
        <w:t xml:space="preserve"> بالنسبة للوفود الصغيرة. ورأى آخرون أن عقد اجتماعات متزامنة أدى إلى مناقشات موازية ومشاورات معقدة بدلا من تعزيز التكامل. وأشار بعض المجيبين أيضا إلى أن</w:t>
      </w:r>
      <w:r w:rsidR="00FC694B" w:rsidRPr="001E2F63">
        <w:rPr>
          <w:rFonts w:hint="cs"/>
          <w:sz w:val="22"/>
          <w:rtl/>
          <w:lang w:bidi="ar-EG"/>
        </w:rPr>
        <w:t>ه لا يمكن الحكم على</w:t>
      </w:r>
      <w:r w:rsidR="00AF1438" w:rsidRPr="001E2F63">
        <w:rPr>
          <w:rFonts w:hint="cs"/>
          <w:sz w:val="22"/>
          <w:rtl/>
          <w:lang w:bidi="ar-EG"/>
        </w:rPr>
        <w:t xml:space="preserve"> آثار الاجتماعات المتزامنة </w:t>
      </w:r>
      <w:r w:rsidR="00FC694B" w:rsidRPr="001E2F63">
        <w:rPr>
          <w:rFonts w:hint="cs"/>
          <w:sz w:val="22"/>
          <w:rtl/>
          <w:lang w:bidi="ar-EG"/>
        </w:rPr>
        <w:t xml:space="preserve">فيما يتعلق بالتكامل </w:t>
      </w:r>
      <w:r w:rsidR="00E61C7C" w:rsidRPr="001E2F63">
        <w:rPr>
          <w:rFonts w:hint="cs"/>
          <w:sz w:val="22"/>
          <w:rtl/>
          <w:lang w:bidi="ar-EG"/>
        </w:rPr>
        <w:t>على أساس</w:t>
      </w:r>
      <w:r w:rsidR="00FC694B" w:rsidRPr="001E2F63">
        <w:rPr>
          <w:rFonts w:hint="cs"/>
          <w:sz w:val="22"/>
          <w:rtl/>
          <w:lang w:bidi="ar-EG"/>
        </w:rPr>
        <w:t xml:space="preserve"> نتائج اجتماع واحد</w:t>
      </w:r>
      <w:r w:rsidR="00E61C7C" w:rsidRPr="001E2F63">
        <w:rPr>
          <w:rFonts w:hint="cs"/>
          <w:sz w:val="22"/>
          <w:rtl/>
          <w:lang w:bidi="ar-EG"/>
        </w:rPr>
        <w:t xml:space="preserve"> فقط</w:t>
      </w:r>
      <w:r w:rsidR="00E40B66" w:rsidRPr="001E2F63">
        <w:rPr>
          <w:rFonts w:hint="cs"/>
          <w:sz w:val="22"/>
          <w:rtl/>
          <w:lang w:bidi="ar-EG"/>
        </w:rPr>
        <w:t>،</w:t>
      </w:r>
      <w:r w:rsidR="00FC694B" w:rsidRPr="001E2F63">
        <w:rPr>
          <w:rFonts w:hint="cs"/>
          <w:sz w:val="22"/>
          <w:rtl/>
          <w:lang w:bidi="ar-EG"/>
        </w:rPr>
        <w:t xml:space="preserve"> وأن تحقيق التكامل يحتاج إلى وقت.</w:t>
      </w:r>
    </w:p>
    <w:p w:rsidR="00323F16" w:rsidRPr="001E2F63" w:rsidRDefault="00FC694B" w:rsidP="001E2F63">
      <w:pPr>
        <w:numPr>
          <w:ilvl w:val="0"/>
          <w:numId w:val="16"/>
        </w:numPr>
        <w:spacing w:after="120"/>
        <w:ind w:left="0" w:firstLine="0"/>
        <w:rPr>
          <w:sz w:val="22"/>
          <w:rtl/>
          <w:lang w:bidi="ar-EG"/>
        </w:rPr>
      </w:pPr>
      <w:r w:rsidRPr="001E2F63">
        <w:rPr>
          <w:rFonts w:hint="cs"/>
          <w:sz w:val="22"/>
          <w:rtl/>
          <w:lang w:bidi="ar-EG"/>
        </w:rPr>
        <w:t xml:space="preserve">ونظرت لجنة الامتثال أيضا أثناء الاجتماعات المتزامنة في مسألة التكامل بين الاتفاقية وبروتوكوليها في إطار بروتوكول قرطاجنة للسلامة الأحيائية خلال اجتماعها الرابع عشر. وأشار أعضاء اللجنة أن الاجتماعات المتزامنة أتاحت إجراء مناقشات أفضل وأكثر تكاملا بشأن المسائل المشتركة بين الاتفاقية وبروتوكوليها، بما في ذلك </w:t>
      </w:r>
      <w:r w:rsidR="003D2BEA" w:rsidRPr="001E2F63">
        <w:rPr>
          <w:rFonts w:hint="cs"/>
          <w:sz w:val="22"/>
          <w:rtl/>
          <w:lang w:bidi="ar-EG"/>
        </w:rPr>
        <w:t>التوجيهات المقدمة إلى مرفق البيئة العالمية.</w:t>
      </w:r>
      <w:r w:rsidR="003D2BEA" w:rsidRPr="001E2F63">
        <w:rPr>
          <w:rStyle w:val="FootnoteReference"/>
          <w:sz w:val="22"/>
          <w:rtl/>
        </w:rPr>
        <w:footnoteReference w:id="14"/>
      </w:r>
    </w:p>
    <w:p w:rsidR="00323F16" w:rsidRPr="001E2F63" w:rsidRDefault="003D2BEA" w:rsidP="003D2BEA">
      <w:pPr>
        <w:keepNext/>
        <w:spacing w:after="120"/>
        <w:jc w:val="center"/>
        <w:rPr>
          <w:b/>
          <w:bCs/>
          <w:sz w:val="28"/>
          <w:szCs w:val="28"/>
          <w:rtl/>
          <w:lang w:bidi="ar-EG"/>
        </w:rPr>
      </w:pPr>
      <w:r w:rsidRPr="001E2F63">
        <w:rPr>
          <w:rFonts w:hint="cs"/>
          <w:b/>
          <w:bCs/>
          <w:sz w:val="28"/>
          <w:szCs w:val="28"/>
          <w:rtl/>
          <w:lang w:bidi="ar-EG"/>
        </w:rPr>
        <w:t>سادسا</w:t>
      </w:r>
      <w:r w:rsidR="005040C5" w:rsidRPr="001E2F63">
        <w:rPr>
          <w:rFonts w:hint="cs"/>
          <w:b/>
          <w:bCs/>
          <w:sz w:val="28"/>
          <w:szCs w:val="28"/>
          <w:rtl/>
          <w:lang w:bidi="ar-EG"/>
        </w:rPr>
        <w:t>-</w:t>
      </w:r>
      <w:r w:rsidR="005040C5" w:rsidRPr="001E2F63">
        <w:rPr>
          <w:rFonts w:hint="cs"/>
          <w:b/>
          <w:bCs/>
          <w:sz w:val="28"/>
          <w:szCs w:val="28"/>
          <w:rtl/>
          <w:lang w:bidi="ar-EG"/>
        </w:rPr>
        <w:tab/>
      </w:r>
      <w:r w:rsidRPr="001E2F63">
        <w:rPr>
          <w:rFonts w:hint="cs"/>
          <w:b/>
          <w:bCs/>
          <w:sz w:val="28"/>
          <w:szCs w:val="28"/>
          <w:rtl/>
          <w:lang w:bidi="ar-EG"/>
        </w:rPr>
        <w:t>الفعالية من حيث التكلفة</w:t>
      </w:r>
    </w:p>
    <w:p w:rsidR="00323F16" w:rsidRPr="00C50338" w:rsidRDefault="003D2BEA" w:rsidP="001E2F63">
      <w:pPr>
        <w:numPr>
          <w:ilvl w:val="0"/>
          <w:numId w:val="16"/>
        </w:numPr>
        <w:spacing w:after="120"/>
        <w:ind w:left="0" w:firstLine="0"/>
        <w:rPr>
          <w:sz w:val="22"/>
          <w:rtl/>
          <w:lang w:bidi="ar-EG"/>
        </w:rPr>
      </w:pPr>
      <w:r w:rsidRPr="001E2F63">
        <w:rPr>
          <w:rFonts w:hint="cs"/>
          <w:sz w:val="22"/>
          <w:rtl/>
          <w:lang w:bidi="ar-EG"/>
        </w:rPr>
        <w:t xml:space="preserve">فيما يخص معيار الفعالية من حيث التكلفة، رأى 37 في المائة من الأطراف المجيبين على الاستقصاء أن هذا المعيار قد </w:t>
      </w:r>
      <w:r w:rsidR="00B40861" w:rsidRPr="001E2F63">
        <w:rPr>
          <w:rFonts w:hint="cs"/>
          <w:sz w:val="22"/>
          <w:rtl/>
          <w:lang w:bidi="ar-EG"/>
        </w:rPr>
        <w:t>استوفي كليا</w:t>
      </w:r>
      <w:r w:rsidR="00E40B66" w:rsidRPr="001E2F63">
        <w:rPr>
          <w:rFonts w:hint="cs"/>
          <w:sz w:val="22"/>
          <w:rtl/>
          <w:lang w:bidi="ar-EG"/>
        </w:rPr>
        <w:t>،</w:t>
      </w:r>
      <w:r w:rsidRPr="001E2F63">
        <w:rPr>
          <w:rFonts w:hint="cs"/>
          <w:sz w:val="22"/>
          <w:rtl/>
          <w:lang w:bidi="ar-EG"/>
        </w:rPr>
        <w:t xml:space="preserve"> ورأى 49 في المائة منهم أنه قد استوفي جزئيا</w:t>
      </w:r>
      <w:r w:rsidR="00E40B66" w:rsidRPr="001E2F63">
        <w:rPr>
          <w:rFonts w:hint="cs"/>
          <w:sz w:val="22"/>
          <w:rtl/>
          <w:lang w:bidi="ar-EG"/>
        </w:rPr>
        <w:t>،</w:t>
      </w:r>
      <w:r w:rsidRPr="001E2F63">
        <w:rPr>
          <w:rFonts w:hint="cs"/>
          <w:sz w:val="22"/>
          <w:rtl/>
          <w:lang w:bidi="ar-EG"/>
        </w:rPr>
        <w:t xml:space="preserve"> ورأى 14 في المائة منهم أنه </w:t>
      </w:r>
      <w:r w:rsidR="002013AF">
        <w:rPr>
          <w:rFonts w:hint="cs"/>
          <w:sz w:val="22"/>
          <w:rtl/>
          <w:lang w:bidi="ar-EG"/>
        </w:rPr>
        <w:t>لم يستوف</w:t>
      </w:r>
      <w:r w:rsidRPr="001E2F63">
        <w:rPr>
          <w:rFonts w:hint="cs"/>
          <w:sz w:val="22"/>
          <w:rtl/>
          <w:lang w:bidi="ar-EG"/>
        </w:rPr>
        <w:t xml:space="preserve">. وعند تصنيف النتائج حسب ردود البلدان النامية والبلدان المتقدمة، رأى 45 في المائة من </w:t>
      </w:r>
      <w:r w:rsidR="005238CD" w:rsidRPr="001E2F63">
        <w:rPr>
          <w:rFonts w:hint="cs"/>
          <w:sz w:val="22"/>
          <w:rtl/>
          <w:lang w:bidi="ar-EG"/>
        </w:rPr>
        <w:t>البلدان</w:t>
      </w:r>
      <w:r w:rsidRPr="001E2F63">
        <w:rPr>
          <w:rFonts w:hint="cs"/>
          <w:sz w:val="22"/>
          <w:rtl/>
          <w:lang w:bidi="ar-EG"/>
        </w:rPr>
        <w:t xml:space="preserve"> النامية الأطراف أن هذا المعيار قد </w:t>
      </w:r>
      <w:r w:rsidR="00B40861" w:rsidRPr="001E2F63">
        <w:rPr>
          <w:rFonts w:hint="cs"/>
          <w:sz w:val="22"/>
          <w:rtl/>
          <w:lang w:bidi="ar-EG"/>
        </w:rPr>
        <w:t>استوفي كليا</w:t>
      </w:r>
      <w:r w:rsidR="00E40B66" w:rsidRPr="001E2F63">
        <w:rPr>
          <w:rFonts w:hint="cs"/>
          <w:sz w:val="22"/>
          <w:rtl/>
          <w:lang w:bidi="ar-EG"/>
        </w:rPr>
        <w:t>،</w:t>
      </w:r>
      <w:r w:rsidRPr="001E2F63">
        <w:rPr>
          <w:rFonts w:hint="cs"/>
          <w:sz w:val="22"/>
          <w:rtl/>
          <w:lang w:bidi="ar-EG"/>
        </w:rPr>
        <w:t xml:space="preserve"> ورأى 45 في المائة منهم أنه قد استوفي جزئيا</w:t>
      </w:r>
      <w:r w:rsidR="00E40B66" w:rsidRPr="001E2F63">
        <w:rPr>
          <w:rFonts w:hint="cs"/>
          <w:sz w:val="22"/>
          <w:rtl/>
          <w:lang w:bidi="ar-EG"/>
        </w:rPr>
        <w:t>،</w:t>
      </w:r>
      <w:r w:rsidRPr="001E2F63">
        <w:rPr>
          <w:rFonts w:hint="cs"/>
          <w:sz w:val="22"/>
          <w:rtl/>
          <w:lang w:bidi="ar-EG"/>
        </w:rPr>
        <w:t xml:space="preserve"> ورأى 10 ف</w:t>
      </w:r>
      <w:r>
        <w:rPr>
          <w:rFonts w:hint="cs"/>
          <w:sz w:val="22"/>
          <w:rtl/>
          <w:lang w:bidi="ar-EG"/>
        </w:rPr>
        <w:t xml:space="preserve">ي المائة منهم أنه </w:t>
      </w:r>
      <w:r w:rsidR="002013AF">
        <w:rPr>
          <w:rFonts w:hint="cs"/>
          <w:sz w:val="22"/>
          <w:rtl/>
          <w:lang w:bidi="ar-EG"/>
        </w:rPr>
        <w:t>لم يستوف</w:t>
      </w:r>
      <w:r>
        <w:rPr>
          <w:rFonts w:hint="cs"/>
          <w:sz w:val="22"/>
          <w:rtl/>
          <w:lang w:bidi="ar-EG"/>
        </w:rPr>
        <w:t>. ومن بين البلدان المتقدمة الأطراف، رأى 13 في المائة أن المعيار قد استوفي</w:t>
      </w:r>
      <w:r w:rsidR="00E40B66">
        <w:rPr>
          <w:rFonts w:hint="cs"/>
          <w:sz w:val="22"/>
          <w:rtl/>
          <w:lang w:bidi="ar-EG"/>
        </w:rPr>
        <w:t>،</w:t>
      </w:r>
      <w:r>
        <w:rPr>
          <w:rFonts w:hint="cs"/>
          <w:sz w:val="22"/>
          <w:rtl/>
          <w:lang w:bidi="ar-EG"/>
        </w:rPr>
        <w:t xml:space="preserve"> ورأى 62 في المائة أنه قد استوفي جزئيا</w:t>
      </w:r>
      <w:r w:rsidR="00E40B66">
        <w:rPr>
          <w:rFonts w:hint="cs"/>
          <w:sz w:val="22"/>
          <w:rtl/>
          <w:lang w:bidi="ar-EG"/>
        </w:rPr>
        <w:t>،</w:t>
      </w:r>
      <w:r>
        <w:rPr>
          <w:rFonts w:hint="cs"/>
          <w:sz w:val="22"/>
          <w:rtl/>
          <w:lang w:bidi="ar-EG"/>
        </w:rPr>
        <w:t xml:space="preserve"> ورأى 25 في المائة أنه </w:t>
      </w:r>
      <w:r w:rsidR="002013AF">
        <w:rPr>
          <w:rFonts w:hint="cs"/>
          <w:sz w:val="22"/>
          <w:rtl/>
          <w:lang w:bidi="ar-EG"/>
        </w:rPr>
        <w:t>لم يستوف</w:t>
      </w:r>
      <w:r>
        <w:rPr>
          <w:rFonts w:hint="cs"/>
          <w:sz w:val="22"/>
          <w:rtl/>
          <w:lang w:bidi="ar-EG"/>
        </w:rPr>
        <w:t>.</w:t>
      </w:r>
    </w:p>
    <w:p w:rsidR="00323F16" w:rsidRPr="00C50338" w:rsidRDefault="00C15B2E" w:rsidP="001377A3">
      <w:pPr>
        <w:numPr>
          <w:ilvl w:val="0"/>
          <w:numId w:val="16"/>
        </w:numPr>
        <w:spacing w:after="120"/>
        <w:ind w:left="0" w:firstLine="0"/>
        <w:rPr>
          <w:sz w:val="22"/>
          <w:rtl/>
          <w:lang w:bidi="ar-EG"/>
        </w:rPr>
      </w:pPr>
      <w:r>
        <w:rPr>
          <w:rFonts w:hint="cs"/>
          <w:sz w:val="22"/>
          <w:rtl/>
          <w:lang w:bidi="ar-EG"/>
        </w:rPr>
        <w:t xml:space="preserve">وفيما يخص معيار الفعالية من حيث التكلفة بالنسبة إلى بروتوكول قرطاجنة، أشارت 29 في المائة من الردود إلى أن هذا المعيار قد </w:t>
      </w:r>
      <w:r w:rsidR="00B40861">
        <w:rPr>
          <w:rFonts w:hint="cs"/>
          <w:sz w:val="22"/>
          <w:rtl/>
          <w:lang w:bidi="ar-EG"/>
        </w:rPr>
        <w:t>استوفي كليا</w:t>
      </w:r>
      <w:r w:rsidR="00E40B66">
        <w:rPr>
          <w:rFonts w:hint="cs"/>
          <w:sz w:val="22"/>
          <w:rtl/>
          <w:lang w:bidi="ar-EG"/>
        </w:rPr>
        <w:t>،</w:t>
      </w:r>
      <w:r>
        <w:rPr>
          <w:rFonts w:hint="cs"/>
          <w:sz w:val="22"/>
          <w:rtl/>
          <w:lang w:bidi="ar-EG"/>
        </w:rPr>
        <w:t xml:space="preserve"> وأشارت 43 في المائة من الردود </w:t>
      </w:r>
      <w:r w:rsidR="0036726F">
        <w:rPr>
          <w:rFonts w:hint="cs"/>
          <w:sz w:val="22"/>
          <w:rtl/>
          <w:lang w:bidi="ar-EG"/>
        </w:rPr>
        <w:t xml:space="preserve">إلى </w:t>
      </w:r>
      <w:r>
        <w:rPr>
          <w:rFonts w:hint="cs"/>
          <w:sz w:val="22"/>
          <w:rtl/>
          <w:lang w:bidi="ar-EG"/>
        </w:rPr>
        <w:t>أن المعيار قد استوفي جزئيا</w:t>
      </w:r>
      <w:r w:rsidR="00E40B66">
        <w:rPr>
          <w:rFonts w:hint="cs"/>
          <w:sz w:val="22"/>
          <w:rtl/>
          <w:lang w:bidi="ar-EG"/>
        </w:rPr>
        <w:t>،</w:t>
      </w:r>
      <w:r>
        <w:rPr>
          <w:rFonts w:hint="cs"/>
          <w:sz w:val="22"/>
          <w:rtl/>
          <w:lang w:bidi="ar-EG"/>
        </w:rPr>
        <w:t xml:space="preserve"> وأشارت 29 في المائة منها أن المعيار </w:t>
      </w:r>
      <w:r w:rsidR="002013AF">
        <w:rPr>
          <w:rFonts w:hint="cs"/>
          <w:sz w:val="22"/>
          <w:rtl/>
          <w:lang w:bidi="ar-EG"/>
        </w:rPr>
        <w:t>لم يستوف</w:t>
      </w:r>
      <w:r>
        <w:rPr>
          <w:rFonts w:hint="cs"/>
          <w:sz w:val="22"/>
          <w:rtl/>
          <w:lang w:bidi="ar-EG"/>
        </w:rPr>
        <w:t xml:space="preserve">. </w:t>
      </w:r>
      <w:r w:rsidR="00F05C2E">
        <w:rPr>
          <w:rFonts w:hint="cs"/>
          <w:sz w:val="22"/>
          <w:rtl/>
          <w:lang w:bidi="ar-EG"/>
        </w:rPr>
        <w:t xml:space="preserve">ومقارنة بالمعايير الأخرى، </w:t>
      </w:r>
      <w:bookmarkStart w:id="1" w:name="_GoBack"/>
      <w:bookmarkEnd w:id="1"/>
      <w:r w:rsidR="00F05C2E">
        <w:rPr>
          <w:rFonts w:hint="cs"/>
          <w:sz w:val="22"/>
          <w:rtl/>
          <w:lang w:bidi="ar-EG"/>
        </w:rPr>
        <w:t xml:space="preserve">كان هذا المعيار أكثر معيار حصل على أكبر نسبة من المجيبين </w:t>
      </w:r>
      <w:r w:rsidR="00192DB6">
        <w:rPr>
          <w:rFonts w:hint="cs"/>
          <w:sz w:val="22"/>
          <w:rtl/>
          <w:lang w:bidi="ar-EG"/>
        </w:rPr>
        <w:t>الذي</w:t>
      </w:r>
      <w:r w:rsidR="00255255">
        <w:rPr>
          <w:rFonts w:hint="cs"/>
          <w:sz w:val="22"/>
          <w:rtl/>
          <w:lang w:bidi="ar-EG"/>
        </w:rPr>
        <w:t>ن</w:t>
      </w:r>
      <w:r w:rsidR="00192DB6">
        <w:rPr>
          <w:rFonts w:hint="cs"/>
          <w:sz w:val="22"/>
          <w:rtl/>
          <w:lang w:bidi="ar-EG"/>
        </w:rPr>
        <w:t xml:space="preserve"> </w:t>
      </w:r>
      <w:r w:rsidR="00F05C2E">
        <w:rPr>
          <w:rFonts w:hint="cs"/>
          <w:sz w:val="22"/>
          <w:rtl/>
          <w:lang w:bidi="ar-EG"/>
        </w:rPr>
        <w:t xml:space="preserve">أشاروا إلى أن المعيار </w:t>
      </w:r>
      <w:r w:rsidR="002013AF">
        <w:rPr>
          <w:rFonts w:hint="cs"/>
          <w:sz w:val="22"/>
          <w:rtl/>
          <w:lang w:bidi="ar-EG"/>
        </w:rPr>
        <w:t>لم يستوف</w:t>
      </w:r>
      <w:r w:rsidR="00F05C2E">
        <w:rPr>
          <w:rFonts w:hint="cs"/>
          <w:sz w:val="22"/>
          <w:rtl/>
          <w:lang w:bidi="ar-EG"/>
        </w:rPr>
        <w:t xml:space="preserve">. </w:t>
      </w:r>
      <w:r>
        <w:rPr>
          <w:rFonts w:hint="cs"/>
          <w:sz w:val="22"/>
          <w:rtl/>
          <w:lang w:bidi="ar-EG"/>
        </w:rPr>
        <w:t xml:space="preserve">وعند تصنيف الردود الواردة حسب ردود البلدان النامية والبلدان المتقدمة، رأى 33 في المائة من المجيبين من </w:t>
      </w:r>
      <w:r w:rsidR="005238CD">
        <w:rPr>
          <w:rFonts w:hint="cs"/>
          <w:sz w:val="22"/>
          <w:rtl/>
          <w:lang w:bidi="ar-EG"/>
        </w:rPr>
        <w:t>البلدان</w:t>
      </w:r>
      <w:r>
        <w:rPr>
          <w:rFonts w:hint="cs"/>
          <w:sz w:val="22"/>
          <w:rtl/>
          <w:lang w:bidi="ar-EG"/>
        </w:rPr>
        <w:t xml:space="preserve"> النامية الأطراف</w:t>
      </w:r>
      <w:r w:rsidR="00D972EA">
        <w:rPr>
          <w:rFonts w:hint="cs"/>
          <w:sz w:val="22"/>
          <w:rtl/>
          <w:lang w:bidi="ar-EG"/>
        </w:rPr>
        <w:t xml:space="preserve"> أن المعيار قد استوفي</w:t>
      </w:r>
      <w:r w:rsidR="00E40B66">
        <w:rPr>
          <w:rFonts w:hint="cs"/>
          <w:sz w:val="22"/>
          <w:rtl/>
          <w:lang w:bidi="ar-EG"/>
        </w:rPr>
        <w:t>،</w:t>
      </w:r>
      <w:r w:rsidR="00D972EA">
        <w:rPr>
          <w:rFonts w:hint="cs"/>
          <w:sz w:val="22"/>
          <w:rtl/>
          <w:lang w:bidi="ar-EG"/>
        </w:rPr>
        <w:t xml:space="preserve"> ورأى 48 في المائة منهم أنه قد استوفي جزئيا</w:t>
      </w:r>
      <w:r w:rsidR="00E40B66">
        <w:rPr>
          <w:rFonts w:hint="cs"/>
          <w:sz w:val="22"/>
          <w:rtl/>
          <w:lang w:bidi="ar-EG"/>
        </w:rPr>
        <w:t>،</w:t>
      </w:r>
      <w:r w:rsidR="00D972EA">
        <w:rPr>
          <w:rFonts w:hint="cs"/>
          <w:sz w:val="22"/>
          <w:rtl/>
          <w:lang w:bidi="ar-EG"/>
        </w:rPr>
        <w:t xml:space="preserve"> </w:t>
      </w:r>
      <w:r w:rsidR="001E2F63">
        <w:rPr>
          <w:rFonts w:hint="cs"/>
          <w:sz w:val="22"/>
          <w:rtl/>
          <w:lang w:bidi="ar-EG"/>
        </w:rPr>
        <w:t>و</w:t>
      </w:r>
      <w:r w:rsidR="00E40B66">
        <w:rPr>
          <w:rFonts w:hint="cs"/>
          <w:sz w:val="22"/>
          <w:rtl/>
          <w:lang w:bidi="ar-EG"/>
        </w:rPr>
        <w:t>رأى</w:t>
      </w:r>
      <w:r w:rsidR="00D972EA">
        <w:rPr>
          <w:rFonts w:hint="cs"/>
          <w:sz w:val="22"/>
          <w:rtl/>
          <w:lang w:bidi="ar-EG"/>
        </w:rPr>
        <w:t xml:space="preserve"> 20 في المائة منهم أنه </w:t>
      </w:r>
      <w:r w:rsidR="002013AF">
        <w:rPr>
          <w:rFonts w:hint="cs"/>
          <w:sz w:val="22"/>
          <w:rtl/>
          <w:lang w:bidi="ar-EG"/>
        </w:rPr>
        <w:t>لم يستوف</w:t>
      </w:r>
      <w:r w:rsidR="00D972EA">
        <w:rPr>
          <w:rFonts w:hint="cs"/>
          <w:sz w:val="22"/>
          <w:rtl/>
          <w:lang w:bidi="ar-EG"/>
        </w:rPr>
        <w:t xml:space="preserve">. وبالمقارنة، رأى 19 </w:t>
      </w:r>
      <w:r w:rsidR="003741B6">
        <w:rPr>
          <w:rFonts w:hint="cs"/>
          <w:sz w:val="22"/>
          <w:rtl/>
          <w:lang w:bidi="ar-EG"/>
        </w:rPr>
        <w:t xml:space="preserve">في المائة </w:t>
      </w:r>
      <w:r w:rsidR="00D972EA">
        <w:rPr>
          <w:rFonts w:hint="cs"/>
          <w:sz w:val="22"/>
          <w:rtl/>
          <w:lang w:bidi="ar-EG"/>
        </w:rPr>
        <w:t xml:space="preserve">من المجيبين من البلدان المتقدمة الأطراف أن المعيار قد </w:t>
      </w:r>
      <w:r w:rsidR="00B40861">
        <w:rPr>
          <w:rFonts w:hint="cs"/>
          <w:sz w:val="22"/>
          <w:rtl/>
          <w:lang w:bidi="ar-EG"/>
        </w:rPr>
        <w:t>استوفي كليا</w:t>
      </w:r>
      <w:r w:rsidR="00E40B66">
        <w:rPr>
          <w:rFonts w:hint="cs"/>
          <w:sz w:val="22"/>
          <w:rtl/>
          <w:lang w:bidi="ar-EG"/>
        </w:rPr>
        <w:t>،</w:t>
      </w:r>
      <w:r w:rsidR="00D972EA">
        <w:rPr>
          <w:rFonts w:hint="cs"/>
          <w:sz w:val="22"/>
          <w:rtl/>
          <w:lang w:bidi="ar-EG"/>
        </w:rPr>
        <w:t xml:space="preserve"> ورأى 25 في المائة منهم أنه قد استوفي جزئيا</w:t>
      </w:r>
      <w:r w:rsidR="00E40B66">
        <w:rPr>
          <w:rFonts w:hint="cs"/>
          <w:sz w:val="22"/>
          <w:rtl/>
          <w:lang w:bidi="ar-EG"/>
        </w:rPr>
        <w:t>،</w:t>
      </w:r>
      <w:r w:rsidR="00D972EA">
        <w:rPr>
          <w:rFonts w:hint="cs"/>
          <w:sz w:val="22"/>
          <w:rtl/>
          <w:lang w:bidi="ar-EG"/>
        </w:rPr>
        <w:t xml:space="preserve"> ورأى</w:t>
      </w:r>
      <w:r w:rsidR="00EA653F">
        <w:rPr>
          <w:rFonts w:hint="cs"/>
          <w:sz w:val="22"/>
          <w:rtl/>
          <w:lang w:bidi="ar-EG"/>
        </w:rPr>
        <w:t xml:space="preserve"> </w:t>
      </w:r>
      <w:r w:rsidR="00D972EA">
        <w:rPr>
          <w:rFonts w:hint="cs"/>
          <w:sz w:val="22"/>
          <w:rtl/>
          <w:lang w:bidi="ar-EG"/>
        </w:rPr>
        <w:t xml:space="preserve">56 في المائة منهم أنه </w:t>
      </w:r>
      <w:r w:rsidR="002013AF">
        <w:rPr>
          <w:rFonts w:hint="cs"/>
          <w:sz w:val="22"/>
          <w:rtl/>
          <w:lang w:bidi="ar-EG"/>
        </w:rPr>
        <w:t>لم يستوف</w:t>
      </w:r>
      <w:r w:rsidR="00D972EA">
        <w:rPr>
          <w:rFonts w:hint="cs"/>
          <w:sz w:val="22"/>
          <w:rtl/>
          <w:lang w:bidi="ar-EG"/>
        </w:rPr>
        <w:t>.</w:t>
      </w:r>
    </w:p>
    <w:p w:rsidR="00323F16" w:rsidRPr="00C50338" w:rsidRDefault="00D972EA" w:rsidP="001E2F63">
      <w:pPr>
        <w:numPr>
          <w:ilvl w:val="0"/>
          <w:numId w:val="16"/>
        </w:numPr>
        <w:spacing w:after="120"/>
        <w:ind w:left="0" w:firstLine="0"/>
        <w:rPr>
          <w:sz w:val="22"/>
          <w:rtl/>
          <w:lang w:bidi="ar-EG"/>
        </w:rPr>
      </w:pPr>
      <w:r>
        <w:rPr>
          <w:rFonts w:hint="cs"/>
          <w:sz w:val="22"/>
          <w:rtl/>
          <w:lang w:bidi="ar-EG"/>
        </w:rPr>
        <w:t xml:space="preserve">وأشارت الأطراف في تعليقاتها الكتابية </w:t>
      </w:r>
      <w:r w:rsidR="001543CD">
        <w:rPr>
          <w:rFonts w:hint="cs"/>
          <w:sz w:val="22"/>
          <w:rtl/>
          <w:lang w:bidi="ar-EG"/>
        </w:rPr>
        <w:t xml:space="preserve">إلى </w:t>
      </w:r>
      <w:r>
        <w:rPr>
          <w:rFonts w:hint="cs"/>
          <w:sz w:val="22"/>
          <w:rtl/>
          <w:lang w:bidi="ar-EG"/>
        </w:rPr>
        <w:t>أن عقد اجتماعات متزامنة يحقق وفورات في التكاليف فيما يتعلق ببعض عناصر مشاركتها مثل مسألة حضور أسبوعين فقط من الاجتماعات بدلا من ثلاثة أسابيع، ولكن ذلك أدى أيضا إلى بعض الزيادات في التكاليف.</w:t>
      </w:r>
      <w:r w:rsidR="008C7B4C">
        <w:rPr>
          <w:rFonts w:hint="cs"/>
          <w:sz w:val="22"/>
          <w:rtl/>
          <w:lang w:bidi="ar-EG"/>
        </w:rPr>
        <w:t xml:space="preserve"> وقد أشير بوجه عام إلى </w:t>
      </w:r>
      <w:r w:rsidR="001543CD">
        <w:rPr>
          <w:rFonts w:hint="cs"/>
          <w:sz w:val="22"/>
          <w:rtl/>
          <w:lang w:bidi="ar-EG"/>
        </w:rPr>
        <w:t xml:space="preserve">أن </w:t>
      </w:r>
      <w:r w:rsidR="008C7B4C">
        <w:rPr>
          <w:rFonts w:hint="cs"/>
          <w:sz w:val="22"/>
          <w:rtl/>
          <w:lang w:bidi="ar-EG"/>
        </w:rPr>
        <w:t xml:space="preserve">زيادة التكاليف </w:t>
      </w:r>
      <w:r w:rsidR="001543CD">
        <w:rPr>
          <w:rFonts w:hint="cs"/>
          <w:sz w:val="22"/>
          <w:rtl/>
          <w:lang w:bidi="ar-EG"/>
        </w:rPr>
        <w:t>تتعلق</w:t>
      </w:r>
      <w:r w:rsidR="008C7B4C">
        <w:rPr>
          <w:rFonts w:hint="cs"/>
          <w:sz w:val="22"/>
          <w:rtl/>
          <w:lang w:bidi="ar-EG"/>
        </w:rPr>
        <w:t xml:space="preserve"> بالحاجة إلى أن يحضر مندوبون مسؤولون عن بروتوكولي قرطاجنة وناغويا أسبوعين من الاجتماعات</w:t>
      </w:r>
      <w:r w:rsidR="00323F16" w:rsidRPr="00C50338">
        <w:rPr>
          <w:sz w:val="22"/>
          <w:rtl/>
          <w:lang w:bidi="ar-EG"/>
        </w:rPr>
        <w:t>.</w:t>
      </w:r>
      <w:r w:rsidR="001543CD">
        <w:rPr>
          <w:rFonts w:hint="cs"/>
          <w:sz w:val="22"/>
          <w:rtl/>
          <w:lang w:bidi="ar-EG"/>
        </w:rPr>
        <w:t xml:space="preserve"> وعلاوة على ذلك، لوحظ أن زيادة عدد الجلسات الموازية تطلبت وفودا أكبر من أجل ضمان المشاركة الفعالة.</w:t>
      </w:r>
    </w:p>
    <w:p w:rsidR="00323F16" w:rsidRPr="00C50338" w:rsidRDefault="005859C9" w:rsidP="0084439B">
      <w:pPr>
        <w:numPr>
          <w:ilvl w:val="0"/>
          <w:numId w:val="16"/>
        </w:numPr>
        <w:spacing w:after="120"/>
        <w:ind w:left="0" w:firstLine="0"/>
        <w:rPr>
          <w:sz w:val="22"/>
          <w:rtl/>
          <w:lang w:bidi="ar-EG"/>
        </w:rPr>
      </w:pPr>
      <w:r>
        <w:rPr>
          <w:rFonts w:hint="cs"/>
          <w:sz w:val="22"/>
          <w:rtl/>
          <w:lang w:bidi="ar-EG"/>
        </w:rPr>
        <w:t xml:space="preserve">وبالإضافة إلى التكاليف المتصلة بتمويل المشاركين، هناك </w:t>
      </w:r>
      <w:r w:rsidR="002C7208">
        <w:rPr>
          <w:rFonts w:hint="cs"/>
          <w:sz w:val="22"/>
          <w:rtl/>
          <w:lang w:bidi="ar-EG"/>
        </w:rPr>
        <w:t xml:space="preserve">مجموعة من التكاليف المرتبطة بعقد </w:t>
      </w:r>
      <w:r w:rsidR="005238CD">
        <w:rPr>
          <w:rFonts w:hint="cs"/>
          <w:sz w:val="22"/>
          <w:rtl/>
          <w:lang w:bidi="ar-EG"/>
        </w:rPr>
        <w:t>اجتماعات الاتفاقية والبروتوكولين</w:t>
      </w:r>
      <w:r w:rsidR="002C7208">
        <w:rPr>
          <w:rFonts w:hint="cs"/>
          <w:sz w:val="22"/>
          <w:rtl/>
          <w:lang w:bidi="ar-EG"/>
        </w:rPr>
        <w:t>. و</w:t>
      </w:r>
      <w:r w:rsidR="00EA653F">
        <w:rPr>
          <w:rFonts w:hint="cs"/>
          <w:sz w:val="22"/>
          <w:rtl/>
          <w:lang w:bidi="ar-EG"/>
        </w:rPr>
        <w:t>من الصعب إجراء</w:t>
      </w:r>
      <w:r w:rsidR="007A69FD">
        <w:rPr>
          <w:rFonts w:hint="cs"/>
          <w:sz w:val="22"/>
          <w:rtl/>
          <w:lang w:bidi="ar-EG"/>
        </w:rPr>
        <w:t xml:space="preserve"> </w:t>
      </w:r>
      <w:r w:rsidR="00EA653F">
        <w:rPr>
          <w:rFonts w:hint="cs"/>
          <w:sz w:val="22"/>
          <w:rtl/>
          <w:lang w:bidi="ar-EG"/>
        </w:rPr>
        <w:t xml:space="preserve">مقارنة </w:t>
      </w:r>
      <w:r w:rsidR="007A69FD">
        <w:rPr>
          <w:rFonts w:hint="cs"/>
          <w:sz w:val="22"/>
          <w:rtl/>
          <w:lang w:bidi="ar-EG"/>
        </w:rPr>
        <w:t xml:space="preserve">مباشرة </w:t>
      </w:r>
      <w:r w:rsidR="00EA653F">
        <w:rPr>
          <w:rFonts w:hint="cs"/>
          <w:sz w:val="22"/>
          <w:rtl/>
          <w:lang w:bidi="ar-EG"/>
        </w:rPr>
        <w:t>بين ال</w:t>
      </w:r>
      <w:r w:rsidR="007A69FD">
        <w:rPr>
          <w:rFonts w:hint="cs"/>
          <w:sz w:val="22"/>
          <w:rtl/>
          <w:lang w:bidi="ar-EG"/>
        </w:rPr>
        <w:t>تكاليف نظرا</w:t>
      </w:r>
      <w:r w:rsidR="002C7208">
        <w:rPr>
          <w:rFonts w:hint="cs"/>
          <w:sz w:val="22"/>
          <w:rtl/>
          <w:lang w:bidi="ar-EG"/>
        </w:rPr>
        <w:t xml:space="preserve"> </w:t>
      </w:r>
      <w:r w:rsidR="00EA653F">
        <w:rPr>
          <w:rFonts w:hint="cs"/>
          <w:sz w:val="22"/>
          <w:rtl/>
          <w:lang w:bidi="ar-EG"/>
        </w:rPr>
        <w:t>لاختلاف</w:t>
      </w:r>
      <w:r w:rsidR="007A69FD">
        <w:rPr>
          <w:rFonts w:hint="cs"/>
          <w:sz w:val="22"/>
          <w:rtl/>
          <w:lang w:bidi="ar-EG"/>
        </w:rPr>
        <w:t xml:space="preserve"> الظروف الوطنية للبلدان المضيفة. ومع ذلك، يمكن مقارنة بعض </w:t>
      </w:r>
      <w:r w:rsidR="00044AB8">
        <w:rPr>
          <w:rFonts w:hint="cs"/>
          <w:sz w:val="22"/>
          <w:rtl/>
          <w:lang w:bidi="ar-EG"/>
        </w:rPr>
        <w:t>المسائل من الناحية النسبية</w:t>
      </w:r>
      <w:r w:rsidR="007A69FD">
        <w:rPr>
          <w:rFonts w:hint="cs"/>
          <w:sz w:val="22"/>
          <w:rtl/>
          <w:lang w:bidi="ar-EG"/>
        </w:rPr>
        <w:t xml:space="preserve">. </w:t>
      </w:r>
      <w:r w:rsidR="00044AB8">
        <w:rPr>
          <w:rFonts w:hint="cs"/>
          <w:sz w:val="22"/>
          <w:rtl/>
          <w:lang w:bidi="ar-EG"/>
        </w:rPr>
        <w:t>و</w:t>
      </w:r>
      <w:r w:rsidR="007A69FD">
        <w:rPr>
          <w:rFonts w:hint="cs"/>
          <w:sz w:val="22"/>
          <w:rtl/>
          <w:lang w:bidi="ar-EG"/>
        </w:rPr>
        <w:t xml:space="preserve">على سبيل المثال، تطلبت الاجتماعات المتزامنة </w:t>
      </w:r>
      <w:r w:rsidR="00044AB8">
        <w:rPr>
          <w:rFonts w:hint="cs"/>
          <w:sz w:val="22"/>
          <w:rtl/>
          <w:lang w:bidi="ar-EG"/>
        </w:rPr>
        <w:t xml:space="preserve">التي عقدت في </w:t>
      </w:r>
      <w:r w:rsidR="007A69FD">
        <w:rPr>
          <w:rFonts w:hint="cs"/>
          <w:sz w:val="22"/>
          <w:rtl/>
          <w:lang w:bidi="ar-EG"/>
        </w:rPr>
        <w:t xml:space="preserve">عام 2016 نفس عدد موظفي الأمن من إدارة الأمم المتحدة لشؤون السلامة والأمن </w:t>
      </w:r>
      <w:r w:rsidR="00044AB8">
        <w:rPr>
          <w:rFonts w:hint="cs"/>
          <w:sz w:val="22"/>
          <w:rtl/>
          <w:lang w:bidi="ar-EG"/>
        </w:rPr>
        <w:t xml:space="preserve">الذين حضروا </w:t>
      </w:r>
      <w:r w:rsidR="007A69FD">
        <w:rPr>
          <w:rFonts w:hint="cs"/>
          <w:sz w:val="22"/>
          <w:rtl/>
          <w:lang w:bidi="ar-EG"/>
        </w:rPr>
        <w:t xml:space="preserve">الاجتماعات السابقة لمؤتمر الأطراف واجتماعات </w:t>
      </w:r>
      <w:r w:rsidR="00044AB8">
        <w:rPr>
          <w:rFonts w:hint="cs"/>
          <w:sz w:val="22"/>
          <w:rtl/>
          <w:lang w:bidi="ar-EG"/>
        </w:rPr>
        <w:t>مؤتمر الأطراف العامل كاجتماع ل</w:t>
      </w:r>
      <w:r w:rsidR="007A69FD">
        <w:rPr>
          <w:rFonts w:hint="cs"/>
          <w:sz w:val="22"/>
          <w:rtl/>
          <w:lang w:bidi="ar-EG"/>
        </w:rPr>
        <w:t>لأطراف. غير أنه خلال الاجتماعات المتزامنة، لم يتوجب حضور موظف</w:t>
      </w:r>
      <w:r w:rsidR="003741B6">
        <w:rPr>
          <w:rFonts w:hint="cs"/>
          <w:sz w:val="22"/>
          <w:rtl/>
          <w:lang w:bidi="ar-EG"/>
        </w:rPr>
        <w:t>ي</w:t>
      </w:r>
      <w:r w:rsidR="007A69FD">
        <w:rPr>
          <w:rFonts w:hint="cs"/>
          <w:sz w:val="22"/>
          <w:rtl/>
          <w:lang w:bidi="ar-EG"/>
        </w:rPr>
        <w:t xml:space="preserve"> الأمن إلا لفترة 20 يوما بينما كان وجودهم مطلوبا لمدة تتراوح بين 26 و28 يوما خلال الاجتماعات الأخرى.</w:t>
      </w:r>
    </w:p>
    <w:p w:rsidR="00323F16" w:rsidRPr="00C50338" w:rsidRDefault="00E6684A" w:rsidP="0084439B">
      <w:pPr>
        <w:numPr>
          <w:ilvl w:val="0"/>
          <w:numId w:val="16"/>
        </w:numPr>
        <w:spacing w:after="120"/>
        <w:ind w:left="0" w:firstLine="0"/>
        <w:rPr>
          <w:sz w:val="22"/>
          <w:rtl/>
          <w:lang w:bidi="ar-EG"/>
        </w:rPr>
      </w:pPr>
      <w:r>
        <w:rPr>
          <w:rFonts w:hint="cs"/>
          <w:sz w:val="22"/>
          <w:rtl/>
          <w:lang w:bidi="ar-EG"/>
        </w:rPr>
        <w:t xml:space="preserve">وفيما يتعلق بتكاليف المترجمين الفوريين، تطلبت الاجتماعات المتزامنة لعام 2016 وجود عدد أكبر من المترجمين الفوريين بالمقارنة مع الاجتماعات السابقة لمؤتمر الأطراف </w:t>
      </w:r>
      <w:r w:rsidR="007F4286">
        <w:rPr>
          <w:rFonts w:hint="cs"/>
          <w:sz w:val="22"/>
          <w:rtl/>
          <w:lang w:bidi="ar-EG"/>
        </w:rPr>
        <w:t>واجتماعات مؤتمر الأطراف العامل كاجتماع للأطراف</w:t>
      </w:r>
      <w:r>
        <w:rPr>
          <w:rFonts w:hint="cs"/>
          <w:sz w:val="22"/>
          <w:rtl/>
          <w:lang w:bidi="ar-EG"/>
        </w:rPr>
        <w:t>. إلا أنهم قد ط</w:t>
      </w:r>
      <w:r w:rsidR="00E40B66">
        <w:rPr>
          <w:rFonts w:hint="cs"/>
          <w:sz w:val="22"/>
          <w:rtl/>
          <w:lang w:bidi="ar-EG"/>
        </w:rPr>
        <w:t>ُ</w:t>
      </w:r>
      <w:r>
        <w:rPr>
          <w:rFonts w:hint="cs"/>
          <w:sz w:val="22"/>
          <w:rtl/>
          <w:lang w:bidi="ar-EG"/>
        </w:rPr>
        <w:t xml:space="preserve">لبوا لفترة أقصر. </w:t>
      </w:r>
      <w:r w:rsidR="00E40B66">
        <w:rPr>
          <w:rFonts w:hint="cs"/>
          <w:sz w:val="22"/>
          <w:rtl/>
          <w:lang w:bidi="ar-EG"/>
        </w:rPr>
        <w:t>ف</w:t>
      </w:r>
      <w:r>
        <w:rPr>
          <w:rFonts w:hint="cs"/>
          <w:sz w:val="22"/>
          <w:rtl/>
          <w:lang w:bidi="ar-EG"/>
        </w:rPr>
        <w:t>على سبيل المثال، تطلبت الاجتماعات المتزامنة 756 يوما من المترجمين الفوريين (54 مترجما فوريا لمدة 14 يوما)، بينما تطلب الاجتماع الثاني عشر لمؤتمر الأطراف</w:t>
      </w:r>
      <w:r w:rsidR="00E40B66">
        <w:rPr>
          <w:rFonts w:hint="cs"/>
          <w:sz w:val="22"/>
          <w:rtl/>
          <w:lang w:bidi="ar-EG"/>
        </w:rPr>
        <w:t>،</w:t>
      </w:r>
      <w:r>
        <w:rPr>
          <w:rFonts w:hint="cs"/>
          <w:sz w:val="22"/>
          <w:rtl/>
          <w:lang w:bidi="ar-EG"/>
        </w:rPr>
        <w:t xml:space="preserve"> والاجتماع السادس لمؤتمر الأطراف العامل كاجتماع للأطراف</w:t>
      </w:r>
      <w:r w:rsidR="00E40B66">
        <w:rPr>
          <w:rFonts w:hint="cs"/>
          <w:sz w:val="22"/>
          <w:rtl/>
          <w:lang w:bidi="ar-EG"/>
        </w:rPr>
        <w:t>،</w:t>
      </w:r>
      <w:r>
        <w:rPr>
          <w:rFonts w:hint="cs"/>
          <w:sz w:val="22"/>
          <w:rtl/>
          <w:lang w:bidi="ar-EG"/>
        </w:rPr>
        <w:t xml:space="preserve"> والاجتماع العاشر لمؤتمر الأطراف</w:t>
      </w:r>
      <w:r w:rsidR="00E40B66">
        <w:rPr>
          <w:rFonts w:hint="cs"/>
          <w:sz w:val="22"/>
          <w:rtl/>
          <w:lang w:bidi="ar-EG"/>
        </w:rPr>
        <w:t>،</w:t>
      </w:r>
      <w:r>
        <w:rPr>
          <w:rFonts w:hint="cs"/>
          <w:sz w:val="22"/>
          <w:rtl/>
          <w:lang w:bidi="ar-EG"/>
        </w:rPr>
        <w:t xml:space="preserve"> والاجتماع الخامس لمؤتمر الأطراف العامل كاجتماع للأطراف</w:t>
      </w:r>
      <w:r w:rsidR="00E40B66">
        <w:rPr>
          <w:rFonts w:hint="cs"/>
          <w:sz w:val="22"/>
          <w:rtl/>
          <w:lang w:bidi="ar-EG"/>
        </w:rPr>
        <w:t>،</w:t>
      </w:r>
      <w:r>
        <w:rPr>
          <w:rFonts w:hint="cs"/>
          <w:sz w:val="22"/>
          <w:rtl/>
          <w:lang w:bidi="ar-EG"/>
        </w:rPr>
        <w:t xml:space="preserve"> والاجتماع التاسع لمؤتمر الأطراف</w:t>
      </w:r>
      <w:r w:rsidR="00E40B66">
        <w:rPr>
          <w:rFonts w:hint="cs"/>
          <w:sz w:val="22"/>
          <w:rtl/>
          <w:lang w:bidi="ar-EG"/>
        </w:rPr>
        <w:t>،</w:t>
      </w:r>
      <w:r>
        <w:rPr>
          <w:rFonts w:hint="cs"/>
          <w:sz w:val="22"/>
          <w:rtl/>
          <w:lang w:bidi="ar-EG"/>
        </w:rPr>
        <w:t xml:space="preserve"> والاجتماع الرابع لمؤتمر الأطراف العامل كاجتماع للأطراف 836 يوما من المترجمين الفوريين (44 مترجما فوريا لمدة 19 يوما)، وتطلب الاجتماع الحادي عشر لمؤتمر الأطراف</w:t>
      </w:r>
      <w:r w:rsidR="00E40B66">
        <w:rPr>
          <w:rFonts w:hint="cs"/>
          <w:sz w:val="22"/>
          <w:rtl/>
          <w:lang w:bidi="ar-EG"/>
        </w:rPr>
        <w:t>،</w:t>
      </w:r>
      <w:r>
        <w:rPr>
          <w:rFonts w:hint="cs"/>
          <w:sz w:val="22"/>
          <w:rtl/>
          <w:lang w:bidi="ar-EG"/>
        </w:rPr>
        <w:t xml:space="preserve"> والاجتماع السادس لمؤتمر الأطراف العامل كاجتماع للأطراف 798 يوما من المترجمين الفوريين (42 مترجما لمدة 19 يوما)، وتطلب </w:t>
      </w:r>
      <w:r w:rsidR="0073575F">
        <w:rPr>
          <w:rFonts w:hint="cs"/>
          <w:sz w:val="22"/>
          <w:rtl/>
          <w:lang w:bidi="ar-EG"/>
        </w:rPr>
        <w:t>الاجتماع الثامن لمؤتمر الأطراف</w:t>
      </w:r>
      <w:r w:rsidR="00E40B66">
        <w:rPr>
          <w:rFonts w:hint="cs"/>
          <w:sz w:val="22"/>
          <w:rtl/>
          <w:lang w:bidi="ar-EG"/>
        </w:rPr>
        <w:t>،</w:t>
      </w:r>
      <w:r w:rsidR="0073575F">
        <w:rPr>
          <w:rFonts w:hint="cs"/>
          <w:sz w:val="22"/>
          <w:rtl/>
          <w:lang w:bidi="ar-EG"/>
        </w:rPr>
        <w:t xml:space="preserve"> والاجتماع الثالث لمؤتمر الأطراف العامل كاجتماع للأطراف 722 يوما من المترجمين الفوريين (38 مت</w:t>
      </w:r>
      <w:r w:rsidR="00E911C3">
        <w:rPr>
          <w:rFonts w:hint="cs"/>
          <w:sz w:val="22"/>
          <w:rtl/>
          <w:lang w:bidi="ar-EG"/>
        </w:rPr>
        <w:t>رجما فوريا لمدة 19 يوما) (ا</w:t>
      </w:r>
      <w:r w:rsidR="0073575F">
        <w:rPr>
          <w:rFonts w:hint="cs"/>
          <w:sz w:val="22"/>
          <w:rtl/>
          <w:lang w:bidi="ar-EG"/>
        </w:rPr>
        <w:t>نظر الجدول 2).</w:t>
      </w:r>
      <w:r w:rsidR="00421789">
        <w:rPr>
          <w:rFonts w:hint="cs"/>
          <w:sz w:val="22"/>
          <w:rtl/>
          <w:lang w:bidi="ar-EG"/>
        </w:rPr>
        <w:t xml:space="preserve"> ومع ذلك، فإنه من المهم الإحاطة بأن طول مدة عقد المترجمين الفوريين </w:t>
      </w:r>
      <w:r w:rsidR="00160A70">
        <w:rPr>
          <w:rFonts w:hint="cs"/>
          <w:sz w:val="22"/>
          <w:rtl/>
          <w:lang w:bidi="ar-EG"/>
        </w:rPr>
        <w:t>تستند إلى</w:t>
      </w:r>
      <w:r w:rsidR="00421789">
        <w:rPr>
          <w:rFonts w:hint="cs"/>
          <w:sz w:val="22"/>
          <w:rtl/>
          <w:lang w:bidi="ar-EG"/>
        </w:rPr>
        <w:t xml:space="preserve"> مجموعة من العوامل، بما في ذلك طول مدة الاجتماعات وعدد عطلات نهاية الأسبوع والبلد الذي يسافر منه المترجمون ليبلغوا مكان الاجتماع. وعليه، فإن عقود المترجمين لا تحددها فقط مدة الاجتماع.</w:t>
      </w:r>
    </w:p>
    <w:p w:rsidR="002A7696" w:rsidRDefault="00421789" w:rsidP="0084439B">
      <w:pPr>
        <w:numPr>
          <w:ilvl w:val="0"/>
          <w:numId w:val="16"/>
        </w:numPr>
        <w:spacing w:after="120"/>
        <w:ind w:left="0" w:firstLine="0"/>
        <w:rPr>
          <w:sz w:val="22"/>
          <w:lang w:bidi="ar-EG"/>
        </w:rPr>
      </w:pPr>
      <w:r w:rsidRPr="002A7696">
        <w:rPr>
          <w:rFonts w:hint="cs"/>
          <w:sz w:val="22"/>
          <w:rtl/>
          <w:lang w:bidi="ar-EG"/>
        </w:rPr>
        <w:t xml:space="preserve">وفيما يخص خدمات ترجمة الوثائق، </w:t>
      </w:r>
      <w:r w:rsidR="0084439B">
        <w:rPr>
          <w:rFonts w:hint="cs"/>
          <w:sz w:val="22"/>
          <w:rtl/>
          <w:lang w:bidi="ar-EG"/>
        </w:rPr>
        <w:t>كانت هناك حاجة إلى</w:t>
      </w:r>
      <w:r w:rsidRPr="002A7696">
        <w:rPr>
          <w:rFonts w:hint="cs"/>
          <w:sz w:val="22"/>
          <w:rtl/>
          <w:lang w:bidi="ar-EG"/>
        </w:rPr>
        <w:t xml:space="preserve"> 630 يوما من </w:t>
      </w:r>
      <w:r w:rsidR="0084439B">
        <w:rPr>
          <w:rFonts w:hint="cs"/>
          <w:sz w:val="22"/>
          <w:rtl/>
          <w:lang w:bidi="ar-EG"/>
        </w:rPr>
        <w:t xml:space="preserve">أيام </w:t>
      </w:r>
      <w:r w:rsidRPr="002A7696">
        <w:rPr>
          <w:rFonts w:hint="cs"/>
          <w:sz w:val="22"/>
          <w:rtl/>
          <w:lang w:bidi="ar-EG"/>
        </w:rPr>
        <w:t>المترجمين (45 مترجما لمدة 14 يوما) خلال الاجتماعات المتزامنة لعام 2016</w:t>
      </w:r>
      <w:r w:rsidR="002A7696" w:rsidRPr="002A7696">
        <w:rPr>
          <w:rFonts w:hint="cs"/>
          <w:sz w:val="22"/>
          <w:rtl/>
          <w:lang w:bidi="ar-EG"/>
        </w:rPr>
        <w:t xml:space="preserve">. أما بالنسبة للاجتماعات السابقة لمؤتمر الأطراف </w:t>
      </w:r>
      <w:r w:rsidR="0084439B">
        <w:rPr>
          <w:rFonts w:hint="cs"/>
          <w:sz w:val="22"/>
          <w:rtl/>
          <w:lang w:bidi="ar-EG"/>
        </w:rPr>
        <w:t>واجتماعات مؤتمر الأطراف العامل كاجتماع للأطراف</w:t>
      </w:r>
      <w:r w:rsidR="002A7696" w:rsidRPr="002A7696">
        <w:rPr>
          <w:rFonts w:hint="cs"/>
          <w:sz w:val="22"/>
          <w:rtl/>
          <w:lang w:bidi="ar-EG"/>
        </w:rPr>
        <w:t xml:space="preserve">، فقد كانت الممارسة المتبعة هي استخدام 840 يوما من </w:t>
      </w:r>
      <w:r w:rsidR="0084439B">
        <w:rPr>
          <w:rFonts w:hint="cs"/>
          <w:sz w:val="22"/>
          <w:rtl/>
          <w:lang w:bidi="ar-EG"/>
        </w:rPr>
        <w:t xml:space="preserve">أيام </w:t>
      </w:r>
      <w:r w:rsidR="002A7696" w:rsidRPr="002A7696">
        <w:rPr>
          <w:rFonts w:hint="cs"/>
          <w:sz w:val="22"/>
          <w:rtl/>
          <w:lang w:bidi="ar-EG"/>
        </w:rPr>
        <w:t>المترجمين (40 مترجما لمدة</w:t>
      </w:r>
      <w:r w:rsidR="00EA653F">
        <w:rPr>
          <w:rFonts w:hint="cs"/>
          <w:sz w:val="22"/>
          <w:rtl/>
          <w:lang w:bidi="ar-EG"/>
        </w:rPr>
        <w:t xml:space="preserve"> </w:t>
      </w:r>
      <w:r w:rsidR="002A7696" w:rsidRPr="002A7696">
        <w:rPr>
          <w:rFonts w:hint="cs"/>
          <w:sz w:val="22"/>
          <w:rtl/>
          <w:lang w:bidi="ar-EG"/>
        </w:rPr>
        <w:t xml:space="preserve">21 يوما). بيد أن التجربة المكتسبة خلال الاجتماعات المتزامنة تشير إلى أنه </w:t>
      </w:r>
      <w:r w:rsidR="0084439B">
        <w:rPr>
          <w:rFonts w:hint="cs"/>
          <w:sz w:val="22"/>
          <w:rtl/>
          <w:lang w:bidi="ar-EG"/>
        </w:rPr>
        <w:t xml:space="preserve">في حالة عقد اجتماعات متزامنة في المستقبل </w:t>
      </w:r>
      <w:r w:rsidR="002A7696" w:rsidRPr="002A7696">
        <w:rPr>
          <w:rFonts w:hint="cs"/>
          <w:sz w:val="22"/>
          <w:rtl/>
          <w:lang w:bidi="ar-EG"/>
        </w:rPr>
        <w:t xml:space="preserve">قد يلزم زيادة عدد المترجمين المعينين </w:t>
      </w:r>
      <w:r w:rsidR="00EA653F">
        <w:rPr>
          <w:rFonts w:hint="cs"/>
          <w:sz w:val="22"/>
          <w:rtl/>
          <w:lang w:bidi="ar-EG"/>
        </w:rPr>
        <w:t>و</w:t>
      </w:r>
      <w:r w:rsidR="002A7696" w:rsidRPr="002A7696">
        <w:rPr>
          <w:rFonts w:hint="cs"/>
          <w:sz w:val="22"/>
          <w:rtl/>
          <w:lang w:bidi="ar-EG"/>
        </w:rPr>
        <w:t>/أو</w:t>
      </w:r>
      <w:r w:rsidR="00E40B66">
        <w:rPr>
          <w:rFonts w:hint="cs"/>
          <w:sz w:val="22"/>
          <w:rtl/>
          <w:lang w:bidi="ar-EG"/>
        </w:rPr>
        <w:t xml:space="preserve"> </w:t>
      </w:r>
      <w:r w:rsidR="002A7696" w:rsidRPr="002A7696">
        <w:rPr>
          <w:rFonts w:hint="cs"/>
          <w:sz w:val="22"/>
          <w:rtl/>
          <w:lang w:bidi="ar-EG"/>
        </w:rPr>
        <w:t>إطالة مدة عقودهم إلى حد ما من أجل تلبية احتياجات الاجتماعات بشكل أفضل.</w:t>
      </w:r>
    </w:p>
    <w:p w:rsidR="002A7696" w:rsidRDefault="002A7696" w:rsidP="002A7696">
      <w:pPr>
        <w:spacing w:after="120"/>
        <w:rPr>
          <w:b/>
          <w:bCs/>
          <w:sz w:val="22"/>
          <w:rtl/>
          <w:lang w:bidi="ar-EG"/>
        </w:rPr>
      </w:pPr>
      <w:r>
        <w:rPr>
          <w:rFonts w:hint="cs"/>
          <w:b/>
          <w:bCs/>
          <w:sz w:val="22"/>
          <w:rtl/>
          <w:lang w:bidi="ar-EG"/>
        </w:rPr>
        <w:t>الجدول 2</w:t>
      </w:r>
      <w:r w:rsidR="00866CBA">
        <w:rPr>
          <w:rFonts w:hint="cs"/>
          <w:b/>
          <w:bCs/>
          <w:sz w:val="22"/>
          <w:rtl/>
          <w:lang w:bidi="ar-EG"/>
        </w:rPr>
        <w:t>-</w:t>
      </w:r>
      <w:r>
        <w:rPr>
          <w:rFonts w:hint="cs"/>
          <w:b/>
          <w:bCs/>
          <w:sz w:val="22"/>
          <w:rtl/>
          <w:lang w:bidi="ar-EG"/>
        </w:rPr>
        <w:t xml:space="preserve"> </w:t>
      </w:r>
      <w:r w:rsidR="002C79B6">
        <w:rPr>
          <w:rFonts w:hint="cs"/>
          <w:b/>
          <w:bCs/>
          <w:sz w:val="22"/>
          <w:rtl/>
          <w:lang w:bidi="ar-EG"/>
        </w:rPr>
        <w:t>ال</w:t>
      </w:r>
      <w:r>
        <w:rPr>
          <w:rFonts w:hint="cs"/>
          <w:b/>
          <w:bCs/>
          <w:sz w:val="22"/>
          <w:rtl/>
          <w:lang w:bidi="ar-EG"/>
        </w:rPr>
        <w:t xml:space="preserve">احتياجات </w:t>
      </w:r>
      <w:r w:rsidR="00E911C3">
        <w:rPr>
          <w:rFonts w:hint="cs"/>
          <w:b/>
          <w:bCs/>
          <w:sz w:val="22"/>
          <w:rtl/>
          <w:lang w:bidi="ar-EG"/>
        </w:rPr>
        <w:t xml:space="preserve">من </w:t>
      </w:r>
      <w:r>
        <w:rPr>
          <w:rFonts w:hint="cs"/>
          <w:b/>
          <w:bCs/>
          <w:sz w:val="22"/>
          <w:rtl/>
          <w:lang w:bidi="ar-EG"/>
        </w:rPr>
        <w:t>الترجمة</w:t>
      </w:r>
    </w:p>
    <w:tbl>
      <w:tblPr>
        <w:tblStyle w:val="TableGrid"/>
        <w:bidiVisual/>
        <w:tblW w:w="0" w:type="auto"/>
        <w:tblLook w:val="04A0" w:firstRow="1" w:lastRow="0" w:firstColumn="1" w:lastColumn="0" w:noHBand="0" w:noVBand="1"/>
      </w:tblPr>
      <w:tblGrid>
        <w:gridCol w:w="5778"/>
        <w:gridCol w:w="1260"/>
        <w:gridCol w:w="1260"/>
        <w:gridCol w:w="1170"/>
      </w:tblGrid>
      <w:tr w:rsidR="002A7696" w:rsidTr="00866CBA">
        <w:trPr>
          <w:trHeight w:val="572"/>
        </w:trPr>
        <w:tc>
          <w:tcPr>
            <w:tcW w:w="5778" w:type="dxa"/>
            <w:vAlign w:val="center"/>
          </w:tcPr>
          <w:p w:rsidR="002A7696" w:rsidRPr="0050068B" w:rsidRDefault="002A7696" w:rsidP="00866CBA">
            <w:pPr>
              <w:jc w:val="center"/>
              <w:rPr>
                <w:b/>
                <w:bCs/>
                <w:i/>
                <w:iCs/>
                <w:szCs w:val="20"/>
                <w:rtl/>
                <w:lang w:bidi="ar-EG"/>
              </w:rPr>
            </w:pPr>
            <w:r w:rsidRPr="0050068B">
              <w:rPr>
                <w:rFonts w:hint="cs"/>
                <w:b/>
                <w:bCs/>
                <w:i/>
                <w:iCs/>
                <w:szCs w:val="20"/>
                <w:rtl/>
                <w:lang w:bidi="ar-EG"/>
              </w:rPr>
              <w:t>الاجتماعات</w:t>
            </w:r>
          </w:p>
        </w:tc>
        <w:tc>
          <w:tcPr>
            <w:tcW w:w="1260" w:type="dxa"/>
            <w:vAlign w:val="center"/>
          </w:tcPr>
          <w:p w:rsidR="002A7696" w:rsidRPr="0050068B" w:rsidRDefault="002A7696" w:rsidP="00866CBA">
            <w:pPr>
              <w:jc w:val="center"/>
              <w:rPr>
                <w:b/>
                <w:bCs/>
                <w:i/>
                <w:iCs/>
                <w:szCs w:val="20"/>
                <w:rtl/>
                <w:lang w:bidi="ar-EG"/>
              </w:rPr>
            </w:pPr>
            <w:r w:rsidRPr="0050068B">
              <w:rPr>
                <w:rFonts w:hint="cs"/>
                <w:b/>
                <w:bCs/>
                <w:i/>
                <w:iCs/>
                <w:szCs w:val="20"/>
                <w:rtl/>
                <w:lang w:bidi="ar-EG"/>
              </w:rPr>
              <w:t xml:space="preserve">مدة </w:t>
            </w:r>
            <w:r>
              <w:rPr>
                <w:rFonts w:hint="cs"/>
                <w:b/>
                <w:bCs/>
                <w:i/>
                <w:iCs/>
                <w:szCs w:val="20"/>
                <w:rtl/>
                <w:lang w:bidi="ar-EG"/>
              </w:rPr>
              <w:t>العقد</w:t>
            </w:r>
          </w:p>
          <w:p w:rsidR="002A7696" w:rsidRPr="0050068B" w:rsidRDefault="002A7696" w:rsidP="00866CBA">
            <w:pPr>
              <w:jc w:val="center"/>
              <w:rPr>
                <w:b/>
                <w:bCs/>
                <w:i/>
                <w:iCs/>
                <w:szCs w:val="20"/>
                <w:rtl/>
                <w:lang w:bidi="ar-EG"/>
              </w:rPr>
            </w:pPr>
          </w:p>
        </w:tc>
        <w:tc>
          <w:tcPr>
            <w:tcW w:w="1260" w:type="dxa"/>
            <w:vAlign w:val="center"/>
          </w:tcPr>
          <w:p w:rsidR="002A7696" w:rsidRPr="0050068B" w:rsidRDefault="002A7696" w:rsidP="00866CBA">
            <w:pPr>
              <w:jc w:val="center"/>
              <w:rPr>
                <w:b/>
                <w:bCs/>
                <w:i/>
                <w:iCs/>
                <w:szCs w:val="20"/>
                <w:rtl/>
                <w:lang w:bidi="ar-EG"/>
              </w:rPr>
            </w:pPr>
            <w:r>
              <w:rPr>
                <w:rFonts w:hint="cs"/>
                <w:b/>
                <w:bCs/>
                <w:i/>
                <w:iCs/>
                <w:szCs w:val="20"/>
                <w:rtl/>
                <w:lang w:bidi="ar-EG"/>
              </w:rPr>
              <w:t>العدد المطلوب من المترجمين</w:t>
            </w:r>
          </w:p>
        </w:tc>
        <w:tc>
          <w:tcPr>
            <w:tcW w:w="1170" w:type="dxa"/>
            <w:vAlign w:val="center"/>
          </w:tcPr>
          <w:p w:rsidR="002A7696" w:rsidRPr="0050068B" w:rsidRDefault="002A7696" w:rsidP="00866CBA">
            <w:pPr>
              <w:jc w:val="center"/>
              <w:rPr>
                <w:b/>
                <w:bCs/>
                <w:i/>
                <w:iCs/>
                <w:szCs w:val="20"/>
                <w:rtl/>
                <w:lang w:bidi="ar-EG"/>
              </w:rPr>
            </w:pPr>
            <w:r>
              <w:rPr>
                <w:rFonts w:hint="cs"/>
                <w:b/>
                <w:bCs/>
                <w:i/>
                <w:iCs/>
                <w:szCs w:val="20"/>
                <w:rtl/>
                <w:lang w:bidi="ar-EG"/>
              </w:rPr>
              <w:t>أيام الترجمة</w:t>
            </w:r>
          </w:p>
        </w:tc>
      </w:tr>
      <w:tr w:rsidR="002A7696" w:rsidTr="00D1344F">
        <w:tc>
          <w:tcPr>
            <w:tcW w:w="5778" w:type="dxa"/>
          </w:tcPr>
          <w:p w:rsidR="002A7696" w:rsidRPr="00EA653F" w:rsidRDefault="002A7696" w:rsidP="00866CBA">
            <w:pPr>
              <w:rPr>
                <w:szCs w:val="20"/>
                <w:rtl/>
                <w:lang w:bidi="ar-EG"/>
              </w:rPr>
            </w:pPr>
            <w:r w:rsidRPr="00EA653F">
              <w:rPr>
                <w:rFonts w:hint="cs"/>
                <w:szCs w:val="20"/>
                <w:rtl/>
                <w:lang w:bidi="ar-EG"/>
              </w:rPr>
              <w:t xml:space="preserve">الاجتماع </w:t>
            </w:r>
            <w:r w:rsidR="00D1344F" w:rsidRPr="00EA653F">
              <w:rPr>
                <w:rFonts w:hint="cs"/>
                <w:szCs w:val="20"/>
                <w:rtl/>
                <w:lang w:bidi="ar-EG"/>
              </w:rPr>
              <w:t>الثامن</w:t>
            </w:r>
            <w:r w:rsidRPr="00EA653F">
              <w:rPr>
                <w:rFonts w:hint="cs"/>
                <w:szCs w:val="20"/>
                <w:rtl/>
                <w:lang w:bidi="ar-EG"/>
              </w:rPr>
              <w:t xml:space="preserve"> لمؤتمر الأطراف والاجتماع </w:t>
            </w:r>
            <w:r w:rsidR="00D1344F" w:rsidRPr="00EA653F">
              <w:rPr>
                <w:rFonts w:hint="cs"/>
                <w:szCs w:val="20"/>
                <w:rtl/>
                <w:lang w:bidi="ar-EG"/>
              </w:rPr>
              <w:t>الثالث</w:t>
            </w:r>
            <w:r w:rsidRPr="00EA653F">
              <w:rPr>
                <w:rFonts w:hint="cs"/>
                <w:szCs w:val="20"/>
                <w:rtl/>
                <w:lang w:bidi="ar-EG"/>
              </w:rPr>
              <w:t xml:space="preserve"> لمؤتمر الأطراف العامل كاجتماع للأطراف</w:t>
            </w:r>
            <w:r w:rsidR="00D1344F" w:rsidRPr="00EA653F">
              <w:rPr>
                <w:rFonts w:hint="cs"/>
                <w:szCs w:val="20"/>
                <w:rtl/>
                <w:lang w:bidi="ar-EG"/>
              </w:rPr>
              <w:t xml:space="preserve"> في بروتوكول قرطاجنة</w:t>
            </w:r>
          </w:p>
        </w:tc>
        <w:tc>
          <w:tcPr>
            <w:tcW w:w="1260" w:type="dxa"/>
            <w:vAlign w:val="center"/>
          </w:tcPr>
          <w:p w:rsidR="002A7696" w:rsidRPr="00EA653F" w:rsidRDefault="00D1344F" w:rsidP="00866CBA">
            <w:pPr>
              <w:jc w:val="center"/>
              <w:rPr>
                <w:szCs w:val="20"/>
                <w:rtl/>
                <w:lang w:bidi="ar-EG"/>
              </w:rPr>
            </w:pPr>
            <w:r w:rsidRPr="00EA653F">
              <w:rPr>
                <w:rFonts w:hint="cs"/>
                <w:szCs w:val="20"/>
                <w:rtl/>
                <w:lang w:bidi="ar-EG"/>
              </w:rPr>
              <w:t>19</w:t>
            </w:r>
          </w:p>
        </w:tc>
        <w:tc>
          <w:tcPr>
            <w:tcW w:w="1260" w:type="dxa"/>
            <w:vAlign w:val="center"/>
          </w:tcPr>
          <w:p w:rsidR="002A7696" w:rsidRPr="00EA653F" w:rsidRDefault="00D1344F" w:rsidP="00866CBA">
            <w:pPr>
              <w:jc w:val="center"/>
              <w:rPr>
                <w:szCs w:val="20"/>
                <w:rtl/>
                <w:lang w:bidi="ar-EG"/>
              </w:rPr>
            </w:pPr>
            <w:r w:rsidRPr="00EA653F">
              <w:rPr>
                <w:rFonts w:hint="cs"/>
                <w:szCs w:val="20"/>
                <w:rtl/>
                <w:lang w:bidi="ar-EG"/>
              </w:rPr>
              <w:t>38</w:t>
            </w:r>
          </w:p>
        </w:tc>
        <w:tc>
          <w:tcPr>
            <w:tcW w:w="1170" w:type="dxa"/>
            <w:vAlign w:val="center"/>
          </w:tcPr>
          <w:p w:rsidR="002A7696" w:rsidRPr="00EA653F" w:rsidRDefault="00D1344F" w:rsidP="00866CBA">
            <w:pPr>
              <w:jc w:val="center"/>
              <w:rPr>
                <w:szCs w:val="20"/>
                <w:rtl/>
                <w:lang w:bidi="ar-EG"/>
              </w:rPr>
            </w:pPr>
            <w:r w:rsidRPr="00EA653F">
              <w:rPr>
                <w:rFonts w:hint="cs"/>
                <w:szCs w:val="20"/>
                <w:rtl/>
                <w:lang w:bidi="ar-EG"/>
              </w:rPr>
              <w:t>722</w:t>
            </w:r>
          </w:p>
        </w:tc>
      </w:tr>
      <w:tr w:rsidR="002A7696" w:rsidTr="00D1344F">
        <w:tc>
          <w:tcPr>
            <w:tcW w:w="5778" w:type="dxa"/>
          </w:tcPr>
          <w:p w:rsidR="002A7696" w:rsidRPr="00EA653F" w:rsidRDefault="002A7696" w:rsidP="00866CBA">
            <w:pPr>
              <w:rPr>
                <w:szCs w:val="20"/>
                <w:rtl/>
                <w:lang w:bidi="ar-EG"/>
              </w:rPr>
            </w:pPr>
            <w:r w:rsidRPr="00EA653F">
              <w:rPr>
                <w:rFonts w:hint="cs"/>
                <w:szCs w:val="20"/>
                <w:rtl/>
                <w:lang w:bidi="ar-EG"/>
              </w:rPr>
              <w:t xml:space="preserve">الاجتماع </w:t>
            </w:r>
            <w:r w:rsidR="00D1344F" w:rsidRPr="00EA653F">
              <w:rPr>
                <w:rFonts w:hint="cs"/>
                <w:szCs w:val="20"/>
                <w:rtl/>
                <w:lang w:bidi="ar-EG"/>
              </w:rPr>
              <w:t>التاسع</w:t>
            </w:r>
            <w:r w:rsidRPr="00EA653F">
              <w:rPr>
                <w:rFonts w:hint="cs"/>
                <w:szCs w:val="20"/>
                <w:rtl/>
                <w:lang w:bidi="ar-EG"/>
              </w:rPr>
              <w:t xml:space="preserve"> لمؤتمر الأطراف والاجتماع </w:t>
            </w:r>
            <w:r w:rsidR="00D1344F" w:rsidRPr="00EA653F">
              <w:rPr>
                <w:rFonts w:hint="cs"/>
                <w:szCs w:val="20"/>
                <w:rtl/>
                <w:lang w:bidi="ar-EG"/>
              </w:rPr>
              <w:t>الرابع</w:t>
            </w:r>
            <w:r w:rsidRPr="00EA653F">
              <w:rPr>
                <w:rFonts w:hint="cs"/>
                <w:szCs w:val="20"/>
                <w:rtl/>
                <w:lang w:bidi="ar-EG"/>
              </w:rPr>
              <w:t xml:space="preserve"> لمؤتمر الأطراف العامل كاجتماع للأطراف</w:t>
            </w:r>
            <w:r w:rsidR="00D1344F" w:rsidRPr="00EA653F">
              <w:rPr>
                <w:rFonts w:hint="cs"/>
                <w:szCs w:val="20"/>
                <w:rtl/>
                <w:lang w:bidi="ar-EG"/>
              </w:rPr>
              <w:t xml:space="preserve"> في بروتوكول قرطاجنة</w:t>
            </w:r>
          </w:p>
        </w:tc>
        <w:tc>
          <w:tcPr>
            <w:tcW w:w="1260" w:type="dxa"/>
            <w:vAlign w:val="center"/>
          </w:tcPr>
          <w:p w:rsidR="002A7696" w:rsidRPr="00EA653F" w:rsidRDefault="00D1344F" w:rsidP="00866CBA">
            <w:pPr>
              <w:jc w:val="center"/>
              <w:rPr>
                <w:szCs w:val="20"/>
                <w:rtl/>
                <w:lang w:bidi="ar-EG"/>
              </w:rPr>
            </w:pPr>
            <w:r w:rsidRPr="00EA653F">
              <w:rPr>
                <w:rFonts w:hint="cs"/>
                <w:szCs w:val="20"/>
                <w:rtl/>
                <w:lang w:bidi="ar-EG"/>
              </w:rPr>
              <w:t>19</w:t>
            </w:r>
          </w:p>
        </w:tc>
        <w:tc>
          <w:tcPr>
            <w:tcW w:w="1260" w:type="dxa"/>
            <w:vAlign w:val="center"/>
          </w:tcPr>
          <w:p w:rsidR="002A7696" w:rsidRPr="00EA653F" w:rsidRDefault="00D1344F" w:rsidP="00866CBA">
            <w:pPr>
              <w:jc w:val="center"/>
              <w:rPr>
                <w:szCs w:val="20"/>
                <w:rtl/>
                <w:lang w:bidi="ar-EG"/>
              </w:rPr>
            </w:pPr>
            <w:r w:rsidRPr="00EA653F">
              <w:rPr>
                <w:rFonts w:hint="cs"/>
                <w:szCs w:val="20"/>
                <w:rtl/>
                <w:lang w:bidi="ar-EG"/>
              </w:rPr>
              <w:t>44</w:t>
            </w:r>
          </w:p>
        </w:tc>
        <w:tc>
          <w:tcPr>
            <w:tcW w:w="1170" w:type="dxa"/>
            <w:vAlign w:val="center"/>
          </w:tcPr>
          <w:p w:rsidR="002A7696" w:rsidRPr="00EA653F" w:rsidRDefault="00D1344F" w:rsidP="00866CBA">
            <w:pPr>
              <w:jc w:val="center"/>
              <w:rPr>
                <w:szCs w:val="20"/>
                <w:rtl/>
                <w:lang w:bidi="ar-EG"/>
              </w:rPr>
            </w:pPr>
            <w:r w:rsidRPr="00EA653F">
              <w:rPr>
                <w:rFonts w:hint="cs"/>
                <w:szCs w:val="20"/>
                <w:rtl/>
                <w:lang w:bidi="ar-EG"/>
              </w:rPr>
              <w:t>836</w:t>
            </w:r>
          </w:p>
        </w:tc>
      </w:tr>
      <w:tr w:rsidR="002A7696" w:rsidTr="00D1344F">
        <w:tc>
          <w:tcPr>
            <w:tcW w:w="5778" w:type="dxa"/>
          </w:tcPr>
          <w:p w:rsidR="002A7696" w:rsidRPr="00EA653F" w:rsidRDefault="002A7696" w:rsidP="00866CBA">
            <w:pPr>
              <w:rPr>
                <w:szCs w:val="20"/>
                <w:rtl/>
                <w:lang w:bidi="ar-EG"/>
              </w:rPr>
            </w:pPr>
            <w:r w:rsidRPr="00EA653F">
              <w:rPr>
                <w:rFonts w:hint="cs"/>
                <w:szCs w:val="20"/>
                <w:rtl/>
                <w:lang w:bidi="ar-EG"/>
              </w:rPr>
              <w:t xml:space="preserve">الاجتماع </w:t>
            </w:r>
            <w:r w:rsidR="00D1344F" w:rsidRPr="00EA653F">
              <w:rPr>
                <w:rFonts w:hint="cs"/>
                <w:szCs w:val="20"/>
                <w:rtl/>
                <w:lang w:bidi="ar-EG"/>
              </w:rPr>
              <w:t>العا</w:t>
            </w:r>
            <w:r w:rsidRPr="00EA653F">
              <w:rPr>
                <w:rFonts w:hint="cs"/>
                <w:szCs w:val="20"/>
                <w:rtl/>
                <w:lang w:bidi="ar-EG"/>
              </w:rPr>
              <w:t xml:space="preserve">شر لمؤتمر الأطراف والاجتماع </w:t>
            </w:r>
            <w:r w:rsidR="00D1344F" w:rsidRPr="00EA653F">
              <w:rPr>
                <w:rFonts w:hint="cs"/>
                <w:szCs w:val="20"/>
                <w:rtl/>
                <w:lang w:bidi="ar-EG"/>
              </w:rPr>
              <w:t>الخامس</w:t>
            </w:r>
            <w:r w:rsidRPr="00EA653F">
              <w:rPr>
                <w:rFonts w:hint="cs"/>
                <w:szCs w:val="20"/>
                <w:rtl/>
                <w:lang w:bidi="ar-EG"/>
              </w:rPr>
              <w:t xml:space="preserve"> لمؤتمر الأطراف العامل كاجتماع للأطراف</w:t>
            </w:r>
            <w:r w:rsidR="00D1344F" w:rsidRPr="00EA653F">
              <w:rPr>
                <w:rFonts w:hint="cs"/>
                <w:szCs w:val="20"/>
                <w:rtl/>
                <w:lang w:bidi="ar-EG"/>
              </w:rPr>
              <w:t xml:space="preserve"> في بروتوكول قرطاجنة</w:t>
            </w:r>
          </w:p>
        </w:tc>
        <w:tc>
          <w:tcPr>
            <w:tcW w:w="1260" w:type="dxa"/>
            <w:vAlign w:val="center"/>
          </w:tcPr>
          <w:p w:rsidR="002A7696" w:rsidRPr="00EA653F" w:rsidRDefault="00D1344F" w:rsidP="00866CBA">
            <w:pPr>
              <w:jc w:val="center"/>
              <w:rPr>
                <w:szCs w:val="20"/>
                <w:rtl/>
                <w:lang w:bidi="ar-EG"/>
              </w:rPr>
            </w:pPr>
            <w:r w:rsidRPr="00EA653F">
              <w:rPr>
                <w:rFonts w:hint="cs"/>
                <w:szCs w:val="20"/>
                <w:rtl/>
                <w:lang w:bidi="ar-EG"/>
              </w:rPr>
              <w:t>19</w:t>
            </w:r>
          </w:p>
        </w:tc>
        <w:tc>
          <w:tcPr>
            <w:tcW w:w="1260" w:type="dxa"/>
            <w:vAlign w:val="center"/>
          </w:tcPr>
          <w:p w:rsidR="002A7696" w:rsidRPr="00EA653F" w:rsidRDefault="00D1344F" w:rsidP="00866CBA">
            <w:pPr>
              <w:jc w:val="center"/>
              <w:rPr>
                <w:szCs w:val="20"/>
                <w:rtl/>
                <w:lang w:bidi="ar-EG"/>
              </w:rPr>
            </w:pPr>
            <w:r w:rsidRPr="00EA653F">
              <w:rPr>
                <w:rFonts w:hint="cs"/>
                <w:szCs w:val="20"/>
                <w:rtl/>
                <w:lang w:bidi="ar-EG"/>
              </w:rPr>
              <w:t>44</w:t>
            </w:r>
          </w:p>
        </w:tc>
        <w:tc>
          <w:tcPr>
            <w:tcW w:w="1170" w:type="dxa"/>
            <w:vAlign w:val="center"/>
          </w:tcPr>
          <w:p w:rsidR="002A7696" w:rsidRPr="00EA653F" w:rsidRDefault="00D1344F" w:rsidP="00866CBA">
            <w:pPr>
              <w:jc w:val="center"/>
              <w:rPr>
                <w:szCs w:val="20"/>
                <w:rtl/>
                <w:lang w:bidi="ar-EG"/>
              </w:rPr>
            </w:pPr>
            <w:r w:rsidRPr="00EA653F">
              <w:rPr>
                <w:rFonts w:hint="cs"/>
                <w:szCs w:val="20"/>
                <w:rtl/>
                <w:lang w:bidi="ar-EG"/>
              </w:rPr>
              <w:t>836</w:t>
            </w:r>
          </w:p>
        </w:tc>
      </w:tr>
      <w:tr w:rsidR="00D1344F" w:rsidTr="00D1344F">
        <w:tc>
          <w:tcPr>
            <w:tcW w:w="5778" w:type="dxa"/>
          </w:tcPr>
          <w:p w:rsidR="00D1344F" w:rsidRPr="00EA653F" w:rsidRDefault="00D1344F" w:rsidP="00866CBA">
            <w:pPr>
              <w:rPr>
                <w:szCs w:val="20"/>
                <w:rtl/>
                <w:lang w:bidi="ar-EG"/>
              </w:rPr>
            </w:pPr>
            <w:r w:rsidRPr="00EA653F">
              <w:rPr>
                <w:rFonts w:hint="cs"/>
                <w:szCs w:val="20"/>
                <w:rtl/>
                <w:lang w:bidi="ar-EG"/>
              </w:rPr>
              <w:t>الاجتماع الحادي عشر لمؤتمر الأطراف والاجتماع السادس والأول لمؤتمر الأطراف العامل كاجتماع للأطراف في بروتوكول قرطاجنة</w:t>
            </w:r>
          </w:p>
        </w:tc>
        <w:tc>
          <w:tcPr>
            <w:tcW w:w="1260" w:type="dxa"/>
            <w:vAlign w:val="center"/>
          </w:tcPr>
          <w:p w:rsidR="00D1344F" w:rsidRPr="00EA653F" w:rsidRDefault="00D1344F" w:rsidP="00866CBA">
            <w:pPr>
              <w:jc w:val="center"/>
              <w:rPr>
                <w:szCs w:val="20"/>
                <w:rtl/>
                <w:lang w:bidi="ar-EG"/>
              </w:rPr>
            </w:pPr>
            <w:r w:rsidRPr="00EA653F">
              <w:rPr>
                <w:rFonts w:hint="cs"/>
                <w:szCs w:val="20"/>
                <w:rtl/>
                <w:lang w:bidi="ar-EG"/>
              </w:rPr>
              <w:t>19</w:t>
            </w:r>
          </w:p>
        </w:tc>
        <w:tc>
          <w:tcPr>
            <w:tcW w:w="1260" w:type="dxa"/>
            <w:vAlign w:val="center"/>
          </w:tcPr>
          <w:p w:rsidR="00D1344F" w:rsidRPr="00EA653F" w:rsidRDefault="00D1344F" w:rsidP="00866CBA">
            <w:pPr>
              <w:jc w:val="center"/>
              <w:rPr>
                <w:szCs w:val="20"/>
                <w:rtl/>
                <w:lang w:bidi="ar-EG"/>
              </w:rPr>
            </w:pPr>
            <w:r w:rsidRPr="00EA653F">
              <w:rPr>
                <w:rFonts w:hint="cs"/>
                <w:szCs w:val="20"/>
                <w:rtl/>
                <w:lang w:bidi="ar-EG"/>
              </w:rPr>
              <w:t>42</w:t>
            </w:r>
          </w:p>
        </w:tc>
        <w:tc>
          <w:tcPr>
            <w:tcW w:w="1170" w:type="dxa"/>
            <w:vAlign w:val="center"/>
          </w:tcPr>
          <w:p w:rsidR="00D1344F" w:rsidRPr="00EA653F" w:rsidRDefault="00D1344F" w:rsidP="00866CBA">
            <w:pPr>
              <w:jc w:val="center"/>
              <w:rPr>
                <w:szCs w:val="20"/>
                <w:rtl/>
                <w:lang w:bidi="ar-EG"/>
              </w:rPr>
            </w:pPr>
            <w:r w:rsidRPr="00EA653F">
              <w:rPr>
                <w:rFonts w:hint="cs"/>
                <w:szCs w:val="20"/>
                <w:rtl/>
                <w:lang w:bidi="ar-EG"/>
              </w:rPr>
              <w:t>798</w:t>
            </w:r>
          </w:p>
        </w:tc>
      </w:tr>
      <w:tr w:rsidR="002A7696" w:rsidTr="00D1344F">
        <w:tc>
          <w:tcPr>
            <w:tcW w:w="5778" w:type="dxa"/>
          </w:tcPr>
          <w:p w:rsidR="002A7696" w:rsidRPr="00EA653F" w:rsidRDefault="002A7696" w:rsidP="00866CBA">
            <w:pPr>
              <w:rPr>
                <w:szCs w:val="20"/>
                <w:rtl/>
                <w:lang w:bidi="ar-EG"/>
              </w:rPr>
            </w:pPr>
            <w:r w:rsidRPr="00EA653F">
              <w:rPr>
                <w:rFonts w:hint="cs"/>
                <w:szCs w:val="20"/>
                <w:rtl/>
                <w:lang w:bidi="ar-EG"/>
              </w:rPr>
              <w:t>الاجتماع الثاني عشر لمؤتمر الأطراف والاجتماع السابع لمؤتمر الأطراف العامل كاجتماع للأطراف</w:t>
            </w:r>
            <w:r w:rsidR="00D1344F" w:rsidRPr="00EA653F">
              <w:rPr>
                <w:rFonts w:hint="cs"/>
                <w:szCs w:val="20"/>
                <w:rtl/>
                <w:lang w:bidi="ar-EG"/>
              </w:rPr>
              <w:t xml:space="preserve"> في بروتوكول قرطاجنة والاجتماع الأول لمؤتمر الأطراف العامل كاجتماع للأطراف في بروتوكول ناغويا</w:t>
            </w:r>
          </w:p>
        </w:tc>
        <w:tc>
          <w:tcPr>
            <w:tcW w:w="1260" w:type="dxa"/>
            <w:vAlign w:val="center"/>
          </w:tcPr>
          <w:p w:rsidR="002A7696" w:rsidRPr="00EA653F" w:rsidRDefault="00D1344F" w:rsidP="00866CBA">
            <w:pPr>
              <w:jc w:val="center"/>
              <w:rPr>
                <w:szCs w:val="20"/>
                <w:rtl/>
                <w:lang w:bidi="ar-EG"/>
              </w:rPr>
            </w:pPr>
            <w:r w:rsidRPr="00EA653F">
              <w:rPr>
                <w:rFonts w:hint="cs"/>
                <w:szCs w:val="20"/>
                <w:rtl/>
                <w:lang w:bidi="ar-EG"/>
              </w:rPr>
              <w:t>19</w:t>
            </w:r>
          </w:p>
        </w:tc>
        <w:tc>
          <w:tcPr>
            <w:tcW w:w="1260" w:type="dxa"/>
            <w:vAlign w:val="center"/>
          </w:tcPr>
          <w:p w:rsidR="002A7696" w:rsidRPr="00EA653F" w:rsidRDefault="00D1344F" w:rsidP="00866CBA">
            <w:pPr>
              <w:jc w:val="center"/>
              <w:rPr>
                <w:szCs w:val="20"/>
                <w:rtl/>
                <w:lang w:bidi="ar-EG"/>
              </w:rPr>
            </w:pPr>
            <w:r w:rsidRPr="00EA653F">
              <w:rPr>
                <w:rFonts w:hint="cs"/>
                <w:szCs w:val="20"/>
                <w:rtl/>
                <w:lang w:bidi="ar-EG"/>
              </w:rPr>
              <w:t>44</w:t>
            </w:r>
          </w:p>
        </w:tc>
        <w:tc>
          <w:tcPr>
            <w:tcW w:w="1170" w:type="dxa"/>
            <w:vAlign w:val="center"/>
          </w:tcPr>
          <w:p w:rsidR="002A7696" w:rsidRPr="00EA653F" w:rsidRDefault="00D1344F" w:rsidP="00866CBA">
            <w:pPr>
              <w:jc w:val="center"/>
              <w:rPr>
                <w:szCs w:val="20"/>
                <w:rtl/>
                <w:lang w:bidi="ar-EG"/>
              </w:rPr>
            </w:pPr>
            <w:r w:rsidRPr="00EA653F">
              <w:rPr>
                <w:rFonts w:hint="cs"/>
                <w:szCs w:val="20"/>
                <w:rtl/>
                <w:lang w:bidi="ar-EG"/>
              </w:rPr>
              <w:t>836</w:t>
            </w:r>
          </w:p>
        </w:tc>
      </w:tr>
      <w:tr w:rsidR="002A7696" w:rsidTr="00D1344F">
        <w:tc>
          <w:tcPr>
            <w:tcW w:w="5778" w:type="dxa"/>
          </w:tcPr>
          <w:p w:rsidR="002A7696" w:rsidRPr="00EA653F" w:rsidRDefault="002A7696" w:rsidP="00866CBA">
            <w:pPr>
              <w:rPr>
                <w:szCs w:val="20"/>
                <w:rtl/>
                <w:lang w:bidi="ar-EG"/>
              </w:rPr>
            </w:pPr>
            <w:r w:rsidRPr="00EA653F">
              <w:rPr>
                <w:rFonts w:hint="cs"/>
                <w:szCs w:val="20"/>
                <w:rtl/>
                <w:lang w:bidi="ar-EG"/>
              </w:rPr>
              <w:t xml:space="preserve">الاجتماع الثالث عشر لمؤتمر الأطراف والاجتماع </w:t>
            </w:r>
            <w:r w:rsidR="00D1344F" w:rsidRPr="00EA653F">
              <w:rPr>
                <w:rFonts w:hint="cs"/>
                <w:szCs w:val="20"/>
                <w:rtl/>
                <w:lang w:bidi="ar-EG"/>
              </w:rPr>
              <w:t xml:space="preserve">الثامن </w:t>
            </w:r>
            <w:r w:rsidRPr="00EA653F">
              <w:rPr>
                <w:rFonts w:hint="cs"/>
                <w:szCs w:val="20"/>
                <w:rtl/>
                <w:lang w:bidi="ar-EG"/>
              </w:rPr>
              <w:t>لمؤتمر الأطراف العامل كاجتماع للأطراف</w:t>
            </w:r>
            <w:r w:rsidR="00E40B66" w:rsidRPr="00EA653F">
              <w:rPr>
                <w:rFonts w:hint="cs"/>
                <w:szCs w:val="20"/>
                <w:rtl/>
                <w:lang w:bidi="ar-EG"/>
              </w:rPr>
              <w:t xml:space="preserve"> في بروتوكول قرطاجنة</w:t>
            </w:r>
            <w:r w:rsidR="00D1344F" w:rsidRPr="00EA653F">
              <w:rPr>
                <w:rFonts w:hint="cs"/>
                <w:szCs w:val="20"/>
                <w:rtl/>
                <w:lang w:bidi="ar-EG"/>
              </w:rPr>
              <w:t xml:space="preserve"> والاجتماع الثاني لمؤتمر الأطراف العامل كاجتماع للأطراف في بروتوكول ناغويا</w:t>
            </w:r>
          </w:p>
        </w:tc>
        <w:tc>
          <w:tcPr>
            <w:tcW w:w="1260" w:type="dxa"/>
            <w:vAlign w:val="center"/>
          </w:tcPr>
          <w:p w:rsidR="002A7696" w:rsidRPr="00EA653F" w:rsidRDefault="00D1344F" w:rsidP="00866CBA">
            <w:pPr>
              <w:jc w:val="center"/>
              <w:rPr>
                <w:szCs w:val="20"/>
                <w:rtl/>
                <w:lang w:bidi="ar-EG"/>
              </w:rPr>
            </w:pPr>
            <w:r w:rsidRPr="00EA653F">
              <w:rPr>
                <w:rFonts w:hint="cs"/>
                <w:szCs w:val="20"/>
                <w:rtl/>
                <w:lang w:bidi="ar-EG"/>
              </w:rPr>
              <w:t>14</w:t>
            </w:r>
          </w:p>
        </w:tc>
        <w:tc>
          <w:tcPr>
            <w:tcW w:w="1260" w:type="dxa"/>
            <w:vAlign w:val="center"/>
          </w:tcPr>
          <w:p w:rsidR="002A7696" w:rsidRPr="00EA653F" w:rsidRDefault="00D1344F" w:rsidP="00866CBA">
            <w:pPr>
              <w:jc w:val="center"/>
              <w:rPr>
                <w:szCs w:val="20"/>
                <w:rtl/>
                <w:lang w:bidi="ar-EG"/>
              </w:rPr>
            </w:pPr>
            <w:r w:rsidRPr="00EA653F">
              <w:rPr>
                <w:rFonts w:hint="cs"/>
                <w:szCs w:val="20"/>
                <w:rtl/>
                <w:lang w:bidi="ar-EG"/>
              </w:rPr>
              <w:t>54</w:t>
            </w:r>
          </w:p>
        </w:tc>
        <w:tc>
          <w:tcPr>
            <w:tcW w:w="1170" w:type="dxa"/>
            <w:vAlign w:val="center"/>
          </w:tcPr>
          <w:p w:rsidR="002A7696" w:rsidRPr="00EA653F" w:rsidRDefault="00D1344F" w:rsidP="00866CBA">
            <w:pPr>
              <w:jc w:val="center"/>
              <w:rPr>
                <w:szCs w:val="20"/>
                <w:rtl/>
                <w:lang w:bidi="ar-EG"/>
              </w:rPr>
            </w:pPr>
            <w:r w:rsidRPr="00EA653F">
              <w:rPr>
                <w:rFonts w:hint="cs"/>
                <w:szCs w:val="20"/>
                <w:rtl/>
                <w:lang w:bidi="ar-EG"/>
              </w:rPr>
              <w:t>756</w:t>
            </w:r>
          </w:p>
        </w:tc>
      </w:tr>
    </w:tbl>
    <w:p w:rsidR="00E40F30" w:rsidRPr="00EA653F" w:rsidRDefault="00E40F30" w:rsidP="007A4971">
      <w:pPr>
        <w:keepNext/>
        <w:spacing w:before="120" w:after="120"/>
        <w:jc w:val="center"/>
        <w:rPr>
          <w:b/>
          <w:bCs/>
          <w:sz w:val="28"/>
          <w:szCs w:val="28"/>
          <w:rtl/>
          <w:lang w:bidi="ar-EG"/>
        </w:rPr>
      </w:pPr>
      <w:r w:rsidRPr="00EA653F">
        <w:rPr>
          <w:rFonts w:hint="cs"/>
          <w:b/>
          <w:bCs/>
          <w:sz w:val="28"/>
          <w:szCs w:val="28"/>
          <w:rtl/>
          <w:lang w:bidi="ar-EG"/>
        </w:rPr>
        <w:t>سابعا-</w:t>
      </w:r>
      <w:r w:rsidRPr="00EA653F">
        <w:rPr>
          <w:rFonts w:hint="cs"/>
          <w:b/>
          <w:bCs/>
          <w:sz w:val="28"/>
          <w:szCs w:val="28"/>
          <w:rtl/>
          <w:lang w:bidi="ar-EG"/>
        </w:rPr>
        <w:tab/>
        <w:t xml:space="preserve">تحسين المشاورات والتنسيق والتآزر بين </w:t>
      </w:r>
      <w:r w:rsidR="00272B07">
        <w:rPr>
          <w:rFonts w:hint="cs"/>
          <w:b/>
          <w:bCs/>
          <w:sz w:val="28"/>
          <w:szCs w:val="28"/>
          <w:rtl/>
          <w:lang w:bidi="ar-EG"/>
        </w:rPr>
        <w:t>نقاط</w:t>
      </w:r>
      <w:r w:rsidR="00E40B66" w:rsidRPr="00EA653F">
        <w:rPr>
          <w:rFonts w:hint="cs"/>
          <w:b/>
          <w:bCs/>
          <w:sz w:val="28"/>
          <w:szCs w:val="28"/>
          <w:rtl/>
          <w:lang w:bidi="ar-EG"/>
        </w:rPr>
        <w:t xml:space="preserve"> </w:t>
      </w:r>
      <w:r w:rsidRPr="00EA653F">
        <w:rPr>
          <w:rFonts w:hint="cs"/>
          <w:b/>
          <w:bCs/>
          <w:sz w:val="28"/>
          <w:szCs w:val="28"/>
          <w:rtl/>
          <w:lang w:bidi="ar-EG"/>
        </w:rPr>
        <w:t>الاتصال الوطنية</w:t>
      </w:r>
    </w:p>
    <w:p w:rsidR="00323F16" w:rsidRPr="00E40F30" w:rsidRDefault="00701A90" w:rsidP="001E26C7">
      <w:pPr>
        <w:pStyle w:val="ListParagraph"/>
        <w:numPr>
          <w:ilvl w:val="0"/>
          <w:numId w:val="16"/>
        </w:numPr>
        <w:bidi/>
        <w:spacing w:after="120"/>
        <w:ind w:left="0" w:firstLine="0"/>
        <w:rPr>
          <w:rFonts w:ascii="Simplified Arabic" w:hAnsi="Simplified Arabic" w:cs="Simplified Arabic"/>
          <w:rtl/>
          <w:lang w:bidi="ar-EG"/>
        </w:rPr>
      </w:pPr>
      <w:r>
        <w:rPr>
          <w:rFonts w:ascii="Simplified Arabic" w:hAnsi="Simplified Arabic" w:cs="Simplified Arabic" w:hint="cs"/>
          <w:rtl/>
          <w:lang w:bidi="ar-EG"/>
        </w:rPr>
        <w:t xml:space="preserve">أشارت ردود الأطراف على الإخطار </w:t>
      </w:r>
      <w:r w:rsidR="009331D8">
        <w:rPr>
          <w:rFonts w:ascii="Simplified Arabic" w:hAnsi="Simplified Arabic" w:cs="Simplified Arabic" w:hint="cs"/>
          <w:rtl/>
          <w:lang w:bidi="ar-EG"/>
        </w:rPr>
        <w:t xml:space="preserve">إلى </w:t>
      </w:r>
      <w:r>
        <w:rPr>
          <w:rFonts w:ascii="Simplified Arabic" w:hAnsi="Simplified Arabic" w:cs="Simplified Arabic" w:hint="cs"/>
          <w:rtl/>
          <w:lang w:bidi="ar-EG"/>
        </w:rPr>
        <w:t>أنهم يرون بوجه عام أن عقد اجتماعات الاتفاقية وبروتوكول قرطاجنة وبروتوكول ناغويا بالتزامن قد حس</w:t>
      </w:r>
      <w:r w:rsidR="00E40B66">
        <w:rPr>
          <w:rFonts w:ascii="Simplified Arabic" w:hAnsi="Simplified Arabic" w:cs="Simplified Arabic" w:hint="cs"/>
          <w:rtl/>
          <w:lang w:bidi="ar-EG"/>
        </w:rPr>
        <w:t>َّ</w:t>
      </w:r>
      <w:r>
        <w:rPr>
          <w:rFonts w:ascii="Simplified Arabic" w:hAnsi="Simplified Arabic" w:cs="Simplified Arabic" w:hint="cs"/>
          <w:rtl/>
          <w:lang w:bidi="ar-EG"/>
        </w:rPr>
        <w:t xml:space="preserve">ن </w:t>
      </w:r>
      <w:r w:rsidR="00E40B66">
        <w:rPr>
          <w:rFonts w:ascii="Simplified Arabic" w:hAnsi="Simplified Arabic" w:cs="Simplified Arabic" w:hint="cs"/>
          <w:rtl/>
          <w:lang w:bidi="ar-EG"/>
        </w:rPr>
        <w:t xml:space="preserve">من </w:t>
      </w:r>
      <w:r>
        <w:rPr>
          <w:rFonts w:ascii="Simplified Arabic" w:hAnsi="Simplified Arabic" w:cs="Simplified Arabic" w:hint="cs"/>
          <w:rtl/>
          <w:lang w:bidi="ar-EG"/>
        </w:rPr>
        <w:t>المشاورات والتنسيق</w:t>
      </w:r>
      <w:r w:rsidR="00E40B66">
        <w:rPr>
          <w:rFonts w:ascii="Simplified Arabic" w:hAnsi="Simplified Arabic" w:cs="Simplified Arabic" w:hint="cs"/>
          <w:rtl/>
          <w:lang w:bidi="ar-EG"/>
        </w:rPr>
        <w:t xml:space="preserve"> </w:t>
      </w:r>
      <w:r>
        <w:rPr>
          <w:rFonts w:ascii="Simplified Arabic" w:hAnsi="Simplified Arabic" w:cs="Simplified Arabic" w:hint="cs"/>
          <w:rtl/>
          <w:lang w:bidi="ar-EG"/>
        </w:rPr>
        <w:t xml:space="preserve">والتآزر بين نقاط الاتصال الوطنية. وأشارت غالبية الردود إلى أن هذا المعيار قد </w:t>
      </w:r>
      <w:r w:rsidR="00B40861">
        <w:rPr>
          <w:rFonts w:ascii="Simplified Arabic" w:hAnsi="Simplified Arabic" w:cs="Simplified Arabic" w:hint="cs"/>
          <w:rtl/>
          <w:lang w:bidi="ar-EG"/>
        </w:rPr>
        <w:t>استوفي كليا</w:t>
      </w:r>
      <w:r>
        <w:rPr>
          <w:rFonts w:ascii="Simplified Arabic" w:hAnsi="Simplified Arabic" w:cs="Simplified Arabic" w:hint="cs"/>
          <w:rtl/>
          <w:lang w:bidi="ar-EG"/>
        </w:rPr>
        <w:t xml:space="preserve"> (58 في المائة). </w:t>
      </w:r>
      <w:r w:rsidR="00E911C3">
        <w:rPr>
          <w:rFonts w:ascii="Simplified Arabic" w:hAnsi="Simplified Arabic" w:cs="Simplified Arabic" w:hint="cs"/>
          <w:rtl/>
          <w:lang w:bidi="ar-EG"/>
        </w:rPr>
        <w:t>وبالإضافة</w:t>
      </w:r>
      <w:r>
        <w:rPr>
          <w:rFonts w:ascii="Simplified Arabic" w:hAnsi="Simplified Arabic" w:cs="Simplified Arabic" w:hint="cs"/>
          <w:rtl/>
          <w:lang w:bidi="ar-EG"/>
        </w:rPr>
        <w:t xml:space="preserve"> </w:t>
      </w:r>
      <w:r w:rsidR="00E911C3">
        <w:rPr>
          <w:rFonts w:ascii="Simplified Arabic" w:hAnsi="Simplified Arabic" w:cs="Simplified Arabic" w:hint="cs"/>
          <w:rtl/>
          <w:lang w:bidi="ar-EG"/>
        </w:rPr>
        <w:t>إ</w:t>
      </w:r>
      <w:r>
        <w:rPr>
          <w:rFonts w:ascii="Simplified Arabic" w:hAnsi="Simplified Arabic" w:cs="Simplified Arabic" w:hint="cs"/>
          <w:rtl/>
          <w:lang w:bidi="ar-EG"/>
        </w:rPr>
        <w:t>لى ذلك أشارت 35 في الما</w:t>
      </w:r>
      <w:r w:rsidR="003019E3">
        <w:rPr>
          <w:rFonts w:ascii="Simplified Arabic" w:hAnsi="Simplified Arabic" w:cs="Simplified Arabic" w:hint="cs"/>
          <w:rtl/>
          <w:lang w:bidi="ar-EG"/>
        </w:rPr>
        <w:t>ئ</w:t>
      </w:r>
      <w:r>
        <w:rPr>
          <w:rFonts w:ascii="Simplified Arabic" w:hAnsi="Simplified Arabic" w:cs="Simplified Arabic" w:hint="cs"/>
          <w:rtl/>
          <w:lang w:bidi="ar-EG"/>
        </w:rPr>
        <w:t>ة من الردود إلى أن هذا المعيار قد استوفي جزئيا</w:t>
      </w:r>
      <w:r w:rsidR="003019E3">
        <w:rPr>
          <w:rFonts w:ascii="Simplified Arabic" w:hAnsi="Simplified Arabic" w:cs="Simplified Arabic" w:hint="cs"/>
          <w:rtl/>
          <w:lang w:bidi="ar-EG"/>
        </w:rPr>
        <w:t>،</w:t>
      </w:r>
      <w:r>
        <w:rPr>
          <w:rFonts w:ascii="Simplified Arabic" w:hAnsi="Simplified Arabic" w:cs="Simplified Arabic" w:hint="cs"/>
          <w:rtl/>
          <w:lang w:bidi="ar-EG"/>
        </w:rPr>
        <w:t xml:space="preserve"> وأشارت 8 في المائة من الردود أنه </w:t>
      </w:r>
      <w:r w:rsidR="002013AF">
        <w:rPr>
          <w:rFonts w:ascii="Simplified Arabic" w:hAnsi="Simplified Arabic" w:cs="Simplified Arabic" w:hint="cs"/>
          <w:rtl/>
          <w:lang w:bidi="ar-EG"/>
        </w:rPr>
        <w:t>لم يستوف</w:t>
      </w:r>
      <w:r>
        <w:rPr>
          <w:rFonts w:ascii="Simplified Arabic" w:hAnsi="Simplified Arabic" w:cs="Simplified Arabic" w:hint="cs"/>
          <w:rtl/>
          <w:lang w:bidi="ar-EG"/>
        </w:rPr>
        <w:t xml:space="preserve">. ولم تكن هناك اختلافات ملحوظة بين ردود البلدان النامية والبلدان المتقدمة عندما </w:t>
      </w:r>
      <w:r w:rsidR="001E26C7">
        <w:rPr>
          <w:rFonts w:ascii="Simplified Arabic" w:hAnsi="Simplified Arabic" w:cs="Simplified Arabic" w:hint="cs"/>
          <w:rtl/>
          <w:lang w:bidi="ar-EG"/>
        </w:rPr>
        <w:t xml:space="preserve">النظر إلى </w:t>
      </w:r>
      <w:r>
        <w:rPr>
          <w:rFonts w:ascii="Simplified Arabic" w:hAnsi="Simplified Arabic" w:cs="Simplified Arabic" w:hint="cs"/>
          <w:rtl/>
          <w:lang w:bidi="ar-EG"/>
        </w:rPr>
        <w:t>كل منها على حدى.</w:t>
      </w:r>
    </w:p>
    <w:p w:rsidR="00323F16" w:rsidRPr="00C22F26" w:rsidRDefault="00701A90" w:rsidP="00237F98">
      <w:pPr>
        <w:numPr>
          <w:ilvl w:val="0"/>
          <w:numId w:val="16"/>
        </w:numPr>
        <w:spacing w:after="120"/>
        <w:ind w:left="0" w:firstLine="0"/>
        <w:rPr>
          <w:sz w:val="22"/>
          <w:rtl/>
          <w:lang w:bidi="ar-EG"/>
        </w:rPr>
      </w:pPr>
      <w:r>
        <w:rPr>
          <w:rFonts w:hint="cs"/>
          <w:sz w:val="22"/>
          <w:rtl/>
          <w:lang w:bidi="ar-EG"/>
        </w:rPr>
        <w:t>وأشار</w:t>
      </w:r>
      <w:r w:rsidR="003019E3">
        <w:rPr>
          <w:rFonts w:hint="cs"/>
          <w:sz w:val="22"/>
          <w:rtl/>
          <w:lang w:bidi="ar-EG"/>
        </w:rPr>
        <w:t>ت</w:t>
      </w:r>
      <w:r>
        <w:rPr>
          <w:rFonts w:hint="cs"/>
          <w:sz w:val="22"/>
          <w:rtl/>
          <w:lang w:bidi="ar-EG"/>
        </w:rPr>
        <w:t xml:space="preserve"> بعض الأطراف في تعليقاته</w:t>
      </w:r>
      <w:r w:rsidR="003019E3">
        <w:rPr>
          <w:rFonts w:hint="cs"/>
          <w:sz w:val="22"/>
          <w:rtl/>
          <w:lang w:bidi="ar-EG"/>
        </w:rPr>
        <w:t>ا</w:t>
      </w:r>
      <w:r>
        <w:rPr>
          <w:rFonts w:hint="cs"/>
          <w:sz w:val="22"/>
          <w:rtl/>
          <w:lang w:bidi="ar-EG"/>
        </w:rPr>
        <w:t xml:space="preserve"> الكتابية </w:t>
      </w:r>
      <w:r w:rsidR="003019E3">
        <w:rPr>
          <w:rFonts w:hint="cs"/>
          <w:sz w:val="22"/>
          <w:rtl/>
          <w:lang w:bidi="ar-EG"/>
        </w:rPr>
        <w:t xml:space="preserve">إلى </w:t>
      </w:r>
      <w:r>
        <w:rPr>
          <w:rFonts w:hint="cs"/>
          <w:sz w:val="22"/>
          <w:rtl/>
          <w:lang w:bidi="ar-EG"/>
        </w:rPr>
        <w:t>أن عقد اجتماعات متزامنة قد يسر التن</w:t>
      </w:r>
      <w:r w:rsidR="003019E3">
        <w:rPr>
          <w:rFonts w:hint="cs"/>
          <w:sz w:val="22"/>
          <w:rtl/>
          <w:lang w:bidi="ar-EG"/>
        </w:rPr>
        <w:t>س</w:t>
      </w:r>
      <w:r>
        <w:rPr>
          <w:rFonts w:hint="cs"/>
          <w:sz w:val="22"/>
          <w:rtl/>
          <w:lang w:bidi="ar-EG"/>
        </w:rPr>
        <w:t xml:space="preserve">يق والتشاور. غير أن بعض الأطراف الأخرى أشارت إلى أنها لم تلحظ أي تغيير يذكر في هذا الصدد. </w:t>
      </w:r>
      <w:r w:rsidR="00C22F26">
        <w:rPr>
          <w:rFonts w:hint="cs"/>
          <w:sz w:val="22"/>
          <w:rtl/>
          <w:lang w:bidi="ar-EG"/>
        </w:rPr>
        <w:t xml:space="preserve">وتمت الإحاطة أيضا أن جميع </w:t>
      </w:r>
      <w:r w:rsidR="00237F98">
        <w:rPr>
          <w:rFonts w:hint="cs"/>
          <w:sz w:val="22"/>
          <w:rtl/>
          <w:lang w:bidi="ar-EG"/>
        </w:rPr>
        <w:t>المسائل</w:t>
      </w:r>
      <w:r w:rsidR="00C22F26">
        <w:rPr>
          <w:rFonts w:hint="cs"/>
          <w:sz w:val="22"/>
          <w:rtl/>
          <w:lang w:bidi="ar-EG"/>
        </w:rPr>
        <w:t xml:space="preserve"> المتعلقة بالبروتوكولين قد تمت معالجتها في </w:t>
      </w:r>
      <w:r w:rsidR="0047381D">
        <w:rPr>
          <w:rFonts w:hint="cs"/>
          <w:sz w:val="22"/>
          <w:rtl/>
          <w:lang w:bidi="ar-EG"/>
        </w:rPr>
        <w:t>فريق عامل</w:t>
      </w:r>
      <w:r w:rsidR="00C22F26">
        <w:rPr>
          <w:rFonts w:hint="cs"/>
          <w:sz w:val="22"/>
          <w:rtl/>
          <w:lang w:bidi="ar-EG"/>
        </w:rPr>
        <w:t xml:space="preserve"> واحدة</w:t>
      </w:r>
      <w:r w:rsidR="003019E3">
        <w:rPr>
          <w:rFonts w:hint="cs"/>
          <w:sz w:val="22"/>
          <w:rtl/>
          <w:lang w:bidi="ar-EG"/>
        </w:rPr>
        <w:t>،</w:t>
      </w:r>
      <w:r w:rsidR="00C22F26">
        <w:rPr>
          <w:rFonts w:hint="cs"/>
          <w:sz w:val="22"/>
          <w:rtl/>
          <w:lang w:bidi="ar-EG"/>
        </w:rPr>
        <w:t xml:space="preserve"> مما حدَّ من المشاورات والتنسيق. ولاحظ عدد قليل من البلدان النامية أنه لم يدعم إلا مشارك واحد لكل وفد لحضور الاجتماع مما حدَّ من قدرتهم على التنسيق والتشاور.</w:t>
      </w:r>
    </w:p>
    <w:p w:rsidR="00323F16" w:rsidRPr="001E2F63" w:rsidRDefault="00C22F26" w:rsidP="003741B6">
      <w:pPr>
        <w:numPr>
          <w:ilvl w:val="0"/>
          <w:numId w:val="16"/>
        </w:numPr>
        <w:spacing w:after="120"/>
        <w:ind w:left="0" w:firstLine="0"/>
        <w:rPr>
          <w:sz w:val="22"/>
          <w:rtl/>
          <w:lang w:bidi="ar-EG"/>
        </w:rPr>
      </w:pPr>
      <w:r>
        <w:rPr>
          <w:rFonts w:hint="cs"/>
          <w:sz w:val="22"/>
          <w:rtl/>
          <w:lang w:bidi="ar-EG"/>
        </w:rPr>
        <w:t>و</w:t>
      </w:r>
      <w:r w:rsidR="00E911C3">
        <w:rPr>
          <w:rFonts w:hint="cs"/>
          <w:sz w:val="22"/>
          <w:rtl/>
          <w:lang w:bidi="ar-EG"/>
        </w:rPr>
        <w:t>كانت</w:t>
      </w:r>
      <w:r>
        <w:rPr>
          <w:rFonts w:hint="cs"/>
          <w:sz w:val="22"/>
          <w:rtl/>
          <w:lang w:bidi="ar-EG"/>
        </w:rPr>
        <w:t xml:space="preserve"> الردود الواردة من استقصاء المشاركين في الاجتماعات المتزامنة </w:t>
      </w:r>
      <w:r w:rsidR="00E911C3">
        <w:rPr>
          <w:rFonts w:hint="cs"/>
          <w:sz w:val="22"/>
          <w:rtl/>
          <w:lang w:bidi="ar-EG"/>
        </w:rPr>
        <w:t>مماثلة</w:t>
      </w:r>
      <w:r>
        <w:rPr>
          <w:rFonts w:hint="cs"/>
          <w:sz w:val="22"/>
          <w:rtl/>
          <w:lang w:bidi="ar-EG"/>
        </w:rPr>
        <w:t xml:space="preserve"> </w:t>
      </w:r>
      <w:r w:rsidR="00E911C3">
        <w:rPr>
          <w:rFonts w:hint="cs"/>
          <w:sz w:val="22"/>
          <w:rtl/>
          <w:lang w:bidi="ar-EG"/>
        </w:rPr>
        <w:t>ل</w:t>
      </w:r>
      <w:r>
        <w:rPr>
          <w:rFonts w:hint="cs"/>
          <w:sz w:val="22"/>
          <w:rtl/>
          <w:lang w:bidi="ar-EG"/>
        </w:rPr>
        <w:t xml:space="preserve">ردود الأطراف على الإخطار. </w:t>
      </w:r>
      <w:r w:rsidR="00A56669">
        <w:rPr>
          <w:rFonts w:hint="cs"/>
          <w:sz w:val="22"/>
          <w:rtl/>
          <w:lang w:bidi="ar-EG"/>
        </w:rPr>
        <w:t xml:space="preserve">ورأى معظم المجيبين أن عقد اجتماعات متزامنة قد يسر التشاور والتنسيق بين الوفود. ووافق </w:t>
      </w:r>
      <w:r w:rsidR="003019E3">
        <w:rPr>
          <w:rFonts w:hint="cs"/>
          <w:sz w:val="22"/>
          <w:rtl/>
          <w:lang w:bidi="ar-EG"/>
        </w:rPr>
        <w:t>بشدة</w:t>
      </w:r>
      <w:r w:rsidR="00A56669">
        <w:rPr>
          <w:rFonts w:hint="cs"/>
          <w:sz w:val="22"/>
          <w:rtl/>
          <w:lang w:bidi="ar-EG"/>
        </w:rPr>
        <w:t xml:space="preserve"> ما مجموعه </w:t>
      </w:r>
      <w:r w:rsidR="003019E3">
        <w:rPr>
          <w:rFonts w:hint="cs"/>
          <w:sz w:val="22"/>
          <w:rtl/>
          <w:lang w:bidi="ar-EG"/>
        </w:rPr>
        <w:t xml:space="preserve">16 </w:t>
      </w:r>
      <w:r w:rsidR="00A56669">
        <w:rPr>
          <w:rFonts w:hint="cs"/>
          <w:sz w:val="22"/>
          <w:rtl/>
          <w:lang w:bidi="ar-EG"/>
        </w:rPr>
        <w:t>في المائة من المجيبين</w:t>
      </w:r>
      <w:r w:rsidR="003019E3">
        <w:rPr>
          <w:rFonts w:hint="cs"/>
          <w:sz w:val="22"/>
          <w:rtl/>
          <w:lang w:bidi="ar-EG"/>
        </w:rPr>
        <w:t>،</w:t>
      </w:r>
      <w:r w:rsidR="00A56669">
        <w:rPr>
          <w:rFonts w:hint="cs"/>
          <w:sz w:val="22"/>
          <w:rtl/>
          <w:lang w:bidi="ar-EG"/>
        </w:rPr>
        <w:t xml:space="preserve"> ووافق 51 في المائة منهم على أن ذلك هو الحال. وعارض ما مجموعه 9 في المائة من المجيبين</w:t>
      </w:r>
      <w:r w:rsidR="003019E3">
        <w:rPr>
          <w:rFonts w:hint="cs"/>
          <w:sz w:val="22"/>
          <w:rtl/>
          <w:lang w:bidi="ar-EG"/>
        </w:rPr>
        <w:t>،</w:t>
      </w:r>
      <w:r w:rsidR="00A56669">
        <w:rPr>
          <w:rFonts w:hint="cs"/>
          <w:sz w:val="22"/>
          <w:rtl/>
          <w:lang w:bidi="ar-EG"/>
        </w:rPr>
        <w:t xml:space="preserve"> وعارض بشدة 2 في المائة من المجيبين. وكان لما مجموعه 22 في المائة من المجيبين رأي محايد بشأن هذه القضية. وكانت النتائج مماثلة عند النظر فقط في الردود الواردة من المجيبين الذين مثلوا الأطراف خلال الاجتماعات المتزامنة. حيث وافق بشدة ما مجموعه 20 في المائة من المجيبين</w:t>
      </w:r>
      <w:r w:rsidR="003019E3">
        <w:rPr>
          <w:rFonts w:hint="cs"/>
          <w:sz w:val="22"/>
          <w:rtl/>
          <w:lang w:bidi="ar-EG"/>
        </w:rPr>
        <w:t>،</w:t>
      </w:r>
      <w:r w:rsidR="00A56669">
        <w:rPr>
          <w:rFonts w:hint="cs"/>
          <w:sz w:val="22"/>
          <w:rtl/>
          <w:lang w:bidi="ar-EG"/>
        </w:rPr>
        <w:t xml:space="preserve"> ووافق 51 في المائة </w:t>
      </w:r>
      <w:r w:rsidR="003019E3">
        <w:rPr>
          <w:rFonts w:hint="cs"/>
          <w:sz w:val="22"/>
          <w:rtl/>
          <w:lang w:bidi="ar-EG"/>
        </w:rPr>
        <w:t xml:space="preserve">منهم </w:t>
      </w:r>
      <w:r w:rsidR="00A56669">
        <w:rPr>
          <w:rFonts w:hint="cs"/>
          <w:sz w:val="22"/>
          <w:rtl/>
          <w:lang w:bidi="ar-EG"/>
        </w:rPr>
        <w:t>على أن الاجتماعات المتزامنة قد يسرت المشاورات والتنسيق</w:t>
      </w:r>
      <w:r w:rsidR="00A56669" w:rsidRPr="001E2F63">
        <w:rPr>
          <w:rFonts w:hint="cs"/>
          <w:sz w:val="22"/>
          <w:rtl/>
          <w:lang w:bidi="ar-EG"/>
        </w:rPr>
        <w:t>. وعارض ما مجموعه 8 في المائة من المجيبين</w:t>
      </w:r>
      <w:r w:rsidR="003019E3" w:rsidRPr="001E2F63">
        <w:rPr>
          <w:rFonts w:hint="cs"/>
          <w:sz w:val="22"/>
          <w:rtl/>
          <w:lang w:bidi="ar-EG"/>
        </w:rPr>
        <w:t>،</w:t>
      </w:r>
      <w:r w:rsidR="00A56669" w:rsidRPr="001E2F63">
        <w:rPr>
          <w:rFonts w:hint="cs"/>
          <w:sz w:val="22"/>
          <w:rtl/>
          <w:lang w:bidi="ar-EG"/>
        </w:rPr>
        <w:t xml:space="preserve"> وعارض بشدة 2 في المائة </w:t>
      </w:r>
      <w:r w:rsidR="009C0BA7" w:rsidRPr="001E2F63">
        <w:rPr>
          <w:rFonts w:hint="cs"/>
          <w:sz w:val="22"/>
          <w:rtl/>
          <w:lang w:bidi="ar-EG"/>
        </w:rPr>
        <w:t>كون ذلك هو الحال. وكان لما مجموعه 18 في المائة رأي محايد.</w:t>
      </w:r>
    </w:p>
    <w:p w:rsidR="00323F16" w:rsidRDefault="009C0BA7" w:rsidP="00B80213">
      <w:pPr>
        <w:numPr>
          <w:ilvl w:val="0"/>
          <w:numId w:val="16"/>
        </w:numPr>
        <w:spacing w:after="120"/>
        <w:ind w:left="0" w:firstLine="0"/>
        <w:rPr>
          <w:sz w:val="22"/>
          <w:lang w:bidi="ar-EG"/>
        </w:rPr>
      </w:pPr>
      <w:r>
        <w:rPr>
          <w:rFonts w:hint="cs"/>
          <w:sz w:val="22"/>
          <w:rtl/>
          <w:lang w:bidi="ar-EG"/>
        </w:rPr>
        <w:t xml:space="preserve">وأشار عدد قليل من المجيبين </w:t>
      </w:r>
      <w:r w:rsidR="00597297">
        <w:rPr>
          <w:rFonts w:hint="cs"/>
          <w:sz w:val="22"/>
          <w:rtl/>
          <w:lang w:bidi="ar-EG"/>
        </w:rPr>
        <w:t xml:space="preserve">في تعليقاتهم الكتابية </w:t>
      </w:r>
      <w:r w:rsidR="003019E3">
        <w:rPr>
          <w:rFonts w:hint="cs"/>
          <w:sz w:val="22"/>
          <w:rtl/>
          <w:lang w:bidi="ar-EG"/>
        </w:rPr>
        <w:t xml:space="preserve">إلى </w:t>
      </w:r>
      <w:r>
        <w:rPr>
          <w:rFonts w:hint="cs"/>
          <w:sz w:val="22"/>
          <w:rtl/>
          <w:lang w:bidi="ar-EG"/>
        </w:rPr>
        <w:t xml:space="preserve">أن الاجتماعات المتزامنة </w:t>
      </w:r>
      <w:r w:rsidR="00B80213">
        <w:rPr>
          <w:rFonts w:hint="cs"/>
          <w:sz w:val="22"/>
          <w:rtl/>
          <w:lang w:bidi="ar-EG"/>
        </w:rPr>
        <w:t>تتيح</w:t>
      </w:r>
      <w:r>
        <w:rPr>
          <w:rFonts w:hint="cs"/>
          <w:sz w:val="22"/>
          <w:rtl/>
          <w:lang w:bidi="ar-EG"/>
        </w:rPr>
        <w:t xml:space="preserve"> فرص للتواصل. غير أن آخرين </w:t>
      </w:r>
      <w:r w:rsidR="00B80213">
        <w:rPr>
          <w:rFonts w:hint="cs"/>
          <w:sz w:val="22"/>
          <w:rtl/>
          <w:lang w:bidi="ar-EG"/>
        </w:rPr>
        <w:t>أشاروا إلى</w:t>
      </w:r>
      <w:r>
        <w:rPr>
          <w:rFonts w:hint="cs"/>
          <w:sz w:val="22"/>
          <w:rtl/>
          <w:lang w:bidi="ar-EG"/>
        </w:rPr>
        <w:t xml:space="preserve"> أن الاجتماعات المتزامنة إلى جانب جدول الأعمال الثقيل </w:t>
      </w:r>
      <w:r w:rsidR="00B80213">
        <w:rPr>
          <w:rFonts w:hint="cs"/>
          <w:sz w:val="22"/>
          <w:rtl/>
          <w:lang w:bidi="ar-EG"/>
        </w:rPr>
        <w:t>يقللان</w:t>
      </w:r>
      <w:r>
        <w:rPr>
          <w:rFonts w:hint="cs"/>
          <w:sz w:val="22"/>
          <w:rtl/>
          <w:lang w:bidi="ar-EG"/>
        </w:rPr>
        <w:t xml:space="preserve"> الوقت المتاح للتنسيق والتشاور</w:t>
      </w:r>
      <w:r w:rsidR="00323F16" w:rsidRPr="00C50338">
        <w:rPr>
          <w:sz w:val="22"/>
          <w:rtl/>
          <w:lang w:bidi="ar-EG"/>
        </w:rPr>
        <w:t>.</w:t>
      </w:r>
      <w:r>
        <w:rPr>
          <w:rFonts w:hint="cs"/>
          <w:sz w:val="22"/>
          <w:rtl/>
          <w:lang w:bidi="ar-EG"/>
        </w:rPr>
        <w:t xml:space="preserve"> </w:t>
      </w:r>
      <w:r w:rsidR="00B80213">
        <w:rPr>
          <w:rFonts w:hint="cs"/>
          <w:sz w:val="22"/>
          <w:rtl/>
          <w:lang w:bidi="ar-EG"/>
        </w:rPr>
        <w:t>وأشير إلى أن</w:t>
      </w:r>
      <w:r>
        <w:rPr>
          <w:rFonts w:hint="cs"/>
          <w:sz w:val="22"/>
          <w:rtl/>
          <w:lang w:bidi="ar-EG"/>
        </w:rPr>
        <w:t xml:space="preserve"> الحال كذلك </w:t>
      </w:r>
      <w:r w:rsidR="00B80213">
        <w:rPr>
          <w:rFonts w:hint="cs"/>
          <w:sz w:val="22"/>
          <w:rtl/>
          <w:lang w:bidi="ar-EG"/>
        </w:rPr>
        <w:t xml:space="preserve">ولا سيما </w:t>
      </w:r>
      <w:r>
        <w:rPr>
          <w:rFonts w:hint="cs"/>
          <w:sz w:val="22"/>
          <w:rtl/>
          <w:lang w:bidi="ar-EG"/>
        </w:rPr>
        <w:t>بالنسبة إلى الوفود الصغيرة</w:t>
      </w:r>
      <w:r w:rsidR="00B80213">
        <w:rPr>
          <w:rFonts w:hint="cs"/>
          <w:sz w:val="22"/>
          <w:rtl/>
          <w:lang w:bidi="ar-EG"/>
        </w:rPr>
        <w:t>.</w:t>
      </w:r>
    </w:p>
    <w:p w:rsidR="009C0BA7" w:rsidRPr="00EA653F" w:rsidRDefault="00EA653F" w:rsidP="00B80213">
      <w:pPr>
        <w:spacing w:after="120"/>
        <w:jc w:val="center"/>
        <w:rPr>
          <w:b/>
          <w:bCs/>
          <w:sz w:val="28"/>
          <w:szCs w:val="28"/>
          <w:rtl/>
          <w:lang w:bidi="ar-EG"/>
        </w:rPr>
      </w:pPr>
      <w:r w:rsidRPr="00EA653F">
        <w:rPr>
          <w:rFonts w:hint="cs"/>
          <w:b/>
          <w:bCs/>
          <w:sz w:val="28"/>
          <w:szCs w:val="28"/>
          <w:rtl/>
          <w:lang w:bidi="ar-EG"/>
        </w:rPr>
        <w:t>ثامنا-</w:t>
      </w:r>
      <w:r w:rsidRPr="00EA653F">
        <w:rPr>
          <w:rFonts w:hint="cs"/>
          <w:b/>
          <w:bCs/>
          <w:sz w:val="28"/>
          <w:szCs w:val="28"/>
          <w:rtl/>
          <w:lang w:bidi="ar-EG"/>
        </w:rPr>
        <w:tab/>
      </w:r>
      <w:r w:rsidR="00B80213">
        <w:rPr>
          <w:rFonts w:hint="cs"/>
          <w:b/>
          <w:bCs/>
          <w:sz w:val="28"/>
          <w:szCs w:val="28"/>
          <w:rtl/>
          <w:lang w:bidi="ar-EG"/>
        </w:rPr>
        <w:t>المسائل</w:t>
      </w:r>
      <w:r w:rsidR="009C0BA7" w:rsidRPr="00EA653F">
        <w:rPr>
          <w:rFonts w:hint="cs"/>
          <w:b/>
          <w:bCs/>
          <w:sz w:val="28"/>
          <w:szCs w:val="28"/>
          <w:rtl/>
          <w:lang w:bidi="ar-EG"/>
        </w:rPr>
        <w:t xml:space="preserve"> الأخرى</w:t>
      </w:r>
    </w:p>
    <w:p w:rsidR="00323F16" w:rsidRPr="00C50338" w:rsidRDefault="009C0BA7" w:rsidP="00237F98">
      <w:pPr>
        <w:numPr>
          <w:ilvl w:val="0"/>
          <w:numId w:val="16"/>
        </w:numPr>
        <w:spacing w:after="120"/>
        <w:ind w:left="0" w:firstLine="0"/>
        <w:rPr>
          <w:sz w:val="22"/>
          <w:lang w:bidi="ar-EG"/>
        </w:rPr>
      </w:pPr>
      <w:r>
        <w:rPr>
          <w:rFonts w:hint="cs"/>
          <w:sz w:val="22"/>
          <w:rtl/>
          <w:lang w:bidi="ar-EG"/>
        </w:rPr>
        <w:t xml:space="preserve">أثارت الأطراف عددا من </w:t>
      </w:r>
      <w:r w:rsidR="00237F98">
        <w:rPr>
          <w:rFonts w:hint="cs"/>
          <w:sz w:val="22"/>
          <w:rtl/>
          <w:lang w:bidi="ar-EG"/>
        </w:rPr>
        <w:t>المسائل</w:t>
      </w:r>
      <w:r>
        <w:rPr>
          <w:rFonts w:hint="cs"/>
          <w:sz w:val="22"/>
          <w:rtl/>
          <w:lang w:bidi="ar-EG"/>
        </w:rPr>
        <w:t xml:space="preserve"> الإضافية في تقاريره</w:t>
      </w:r>
      <w:r w:rsidR="006D1483">
        <w:rPr>
          <w:rFonts w:hint="cs"/>
          <w:sz w:val="22"/>
          <w:rtl/>
          <w:lang w:bidi="ar-EG"/>
        </w:rPr>
        <w:t>م</w:t>
      </w:r>
      <w:r>
        <w:rPr>
          <w:rFonts w:hint="cs"/>
          <w:sz w:val="22"/>
          <w:rtl/>
          <w:lang w:bidi="ar-EG"/>
        </w:rPr>
        <w:t xml:space="preserve"> ردا على الإخطار. </w:t>
      </w:r>
      <w:r w:rsidR="006E5E37">
        <w:rPr>
          <w:rFonts w:hint="cs"/>
          <w:sz w:val="22"/>
          <w:rtl/>
          <w:lang w:bidi="ar-EG"/>
        </w:rPr>
        <w:t>وأشار عدد من المجيبين إلى أن عقد اجتماعات متزامنة كان فكرة جيدة بوجه عام</w:t>
      </w:r>
      <w:r w:rsidR="003019E3">
        <w:rPr>
          <w:rFonts w:hint="cs"/>
          <w:sz w:val="22"/>
          <w:rtl/>
          <w:lang w:bidi="ar-EG"/>
        </w:rPr>
        <w:t>،</w:t>
      </w:r>
      <w:r w:rsidR="006E5E37">
        <w:rPr>
          <w:rFonts w:hint="cs"/>
          <w:sz w:val="22"/>
          <w:rtl/>
          <w:lang w:bidi="ar-EG"/>
        </w:rPr>
        <w:t xml:space="preserve"> </w:t>
      </w:r>
      <w:r w:rsidR="00884937">
        <w:rPr>
          <w:rFonts w:hint="cs"/>
          <w:sz w:val="22"/>
          <w:rtl/>
          <w:lang w:bidi="ar-EG"/>
        </w:rPr>
        <w:t>ولكن</w:t>
      </w:r>
      <w:r w:rsidR="006E5E37">
        <w:rPr>
          <w:rFonts w:hint="cs"/>
          <w:sz w:val="22"/>
          <w:rtl/>
          <w:lang w:bidi="ar-EG"/>
        </w:rPr>
        <w:t xml:space="preserve"> هناك حاجة إلى حل عدد من </w:t>
      </w:r>
      <w:r w:rsidR="00237F98">
        <w:rPr>
          <w:rFonts w:hint="cs"/>
          <w:sz w:val="22"/>
          <w:rtl/>
          <w:lang w:bidi="ar-EG"/>
        </w:rPr>
        <w:t>المسائل</w:t>
      </w:r>
      <w:r w:rsidR="006E5E37">
        <w:rPr>
          <w:rFonts w:hint="cs"/>
          <w:sz w:val="22"/>
          <w:rtl/>
          <w:lang w:bidi="ar-EG"/>
        </w:rPr>
        <w:t xml:space="preserve"> المعلقة من أجل ضمان فعالية العملية. وكان ضمان التمثيل المناسب للبلدان النامية</w:t>
      </w:r>
      <w:r w:rsidR="003019E3">
        <w:rPr>
          <w:rFonts w:hint="cs"/>
          <w:sz w:val="22"/>
          <w:rtl/>
          <w:lang w:bidi="ar-EG"/>
        </w:rPr>
        <w:t>،</w:t>
      </w:r>
      <w:r w:rsidR="006E5E37">
        <w:rPr>
          <w:rFonts w:hint="cs"/>
          <w:sz w:val="22"/>
          <w:rtl/>
          <w:lang w:bidi="ar-EG"/>
        </w:rPr>
        <w:t xml:space="preserve"> وتنظيم جداول الأعمال للاجتماعات الثلاثة لتبسيطها بقدر الإمكان</w:t>
      </w:r>
      <w:r w:rsidR="003019E3">
        <w:rPr>
          <w:rFonts w:hint="cs"/>
          <w:sz w:val="22"/>
          <w:rtl/>
          <w:lang w:bidi="ar-EG"/>
        </w:rPr>
        <w:t>،</w:t>
      </w:r>
      <w:r w:rsidR="006E5E37">
        <w:rPr>
          <w:rFonts w:hint="cs"/>
          <w:sz w:val="22"/>
          <w:rtl/>
          <w:lang w:bidi="ar-EG"/>
        </w:rPr>
        <w:t xml:space="preserve"> والحد من الحاجة إلى اجتماعات </w:t>
      </w:r>
      <w:r w:rsidR="001164B3">
        <w:rPr>
          <w:rFonts w:hint="cs"/>
          <w:sz w:val="22"/>
          <w:rtl/>
          <w:lang w:bidi="ar-EG"/>
        </w:rPr>
        <w:t>أفرقة</w:t>
      </w:r>
      <w:r w:rsidR="006E5E37">
        <w:rPr>
          <w:rFonts w:hint="cs"/>
          <w:sz w:val="22"/>
          <w:rtl/>
          <w:lang w:bidi="ar-EG"/>
        </w:rPr>
        <w:t xml:space="preserve"> الاتصال وأصدقاء الرئيس من بين </w:t>
      </w:r>
      <w:r w:rsidR="00237F98">
        <w:rPr>
          <w:rFonts w:hint="cs"/>
          <w:sz w:val="22"/>
          <w:rtl/>
          <w:lang w:bidi="ar-EG"/>
        </w:rPr>
        <w:t>المسائل</w:t>
      </w:r>
      <w:r w:rsidR="006E5E37">
        <w:rPr>
          <w:rFonts w:hint="cs"/>
          <w:sz w:val="22"/>
          <w:rtl/>
          <w:lang w:bidi="ar-EG"/>
        </w:rPr>
        <w:t xml:space="preserve"> التي تم تحديدها. وقد لوحظ أيضا أنه ينبغي إعطاء وقت كاف </w:t>
      </w:r>
      <w:r w:rsidR="00374DBD">
        <w:rPr>
          <w:rFonts w:hint="cs"/>
          <w:sz w:val="22"/>
          <w:rtl/>
          <w:lang w:bidi="ar-EG"/>
        </w:rPr>
        <w:t>للصكوك</w:t>
      </w:r>
      <w:r w:rsidR="006E5E37">
        <w:rPr>
          <w:rFonts w:hint="cs"/>
          <w:sz w:val="22"/>
          <w:rtl/>
          <w:lang w:bidi="ar-EG"/>
        </w:rPr>
        <w:t xml:space="preserve"> الثلاثة جميعها. واقترحت بعض الأطراف أن تقتصر المناقشات التي تجرى في إطار البروتوكول</w:t>
      </w:r>
      <w:r w:rsidR="005238CD">
        <w:rPr>
          <w:rFonts w:hint="cs"/>
          <w:sz w:val="22"/>
          <w:rtl/>
          <w:lang w:bidi="ar-EG"/>
        </w:rPr>
        <w:t>ين</w:t>
      </w:r>
      <w:r w:rsidR="006E5E37">
        <w:rPr>
          <w:rFonts w:hint="cs"/>
          <w:sz w:val="22"/>
          <w:rtl/>
          <w:lang w:bidi="ar-EG"/>
        </w:rPr>
        <w:t xml:space="preserve"> </w:t>
      </w:r>
      <w:r w:rsidR="007D432A">
        <w:rPr>
          <w:rFonts w:hint="cs"/>
          <w:sz w:val="22"/>
          <w:rtl/>
          <w:lang w:bidi="ar-EG"/>
        </w:rPr>
        <w:t xml:space="preserve">على الأسبوع الأول من الاجتماعات </w:t>
      </w:r>
      <w:r w:rsidR="003019E3">
        <w:rPr>
          <w:rFonts w:hint="cs"/>
          <w:sz w:val="22"/>
          <w:rtl/>
          <w:lang w:bidi="ar-EG"/>
        </w:rPr>
        <w:t>أثناء</w:t>
      </w:r>
      <w:r w:rsidR="007D432A">
        <w:rPr>
          <w:rFonts w:hint="cs"/>
          <w:sz w:val="22"/>
          <w:rtl/>
          <w:lang w:bidi="ar-EG"/>
        </w:rPr>
        <w:t xml:space="preserve"> الاجتماعات المتزامنة في المستقبل. وعلقت بعض الأطراف أيضا على توقيت الجزء الرفيع المستوى وتساءلت عما إذا كان من الأفضل عقده في بداية</w:t>
      </w:r>
      <w:r w:rsidR="007D432A">
        <w:rPr>
          <w:rStyle w:val="FootnoteReference"/>
          <w:sz w:val="22"/>
          <w:rtl/>
        </w:rPr>
        <w:footnoteReference w:id="15"/>
      </w:r>
      <w:r w:rsidR="007D432A">
        <w:rPr>
          <w:rFonts w:hint="cs"/>
          <w:sz w:val="22"/>
          <w:rtl/>
          <w:lang w:bidi="ar-EG"/>
        </w:rPr>
        <w:t xml:space="preserve"> أو نهاية</w:t>
      </w:r>
      <w:r w:rsidR="007D432A">
        <w:rPr>
          <w:rStyle w:val="FootnoteReference"/>
          <w:sz w:val="22"/>
          <w:rtl/>
        </w:rPr>
        <w:footnoteReference w:id="16"/>
      </w:r>
      <w:r w:rsidR="007D432A">
        <w:rPr>
          <w:rFonts w:hint="cs"/>
          <w:sz w:val="22"/>
          <w:rtl/>
          <w:lang w:bidi="ar-EG"/>
        </w:rPr>
        <w:t xml:space="preserve"> الاجتماعات المتزامنة. </w:t>
      </w:r>
    </w:p>
    <w:p w:rsidR="00323F16" w:rsidRDefault="009D37D1" w:rsidP="005A584E">
      <w:pPr>
        <w:numPr>
          <w:ilvl w:val="0"/>
          <w:numId w:val="16"/>
        </w:numPr>
        <w:spacing w:after="120"/>
        <w:ind w:left="0" w:firstLine="0"/>
        <w:rPr>
          <w:sz w:val="22"/>
          <w:lang w:bidi="ar-EG"/>
        </w:rPr>
      </w:pPr>
      <w:r>
        <w:rPr>
          <w:rFonts w:hint="cs"/>
          <w:sz w:val="22"/>
          <w:rtl/>
          <w:lang w:bidi="ar-EG"/>
        </w:rPr>
        <w:t>وتم النظر أيضا في</w:t>
      </w:r>
      <w:r w:rsidR="007D432A">
        <w:rPr>
          <w:rFonts w:hint="cs"/>
          <w:sz w:val="22"/>
          <w:rtl/>
          <w:lang w:bidi="ar-EG"/>
        </w:rPr>
        <w:t xml:space="preserve"> الجزء الرفيع المستوى كجزء من الاستقصاء الإلكتروني الموزع على المشاركين في الاجتماعات المتزامنة. وقد أشير إلى أن مشاركة </w:t>
      </w:r>
      <w:r w:rsidR="00CA250E">
        <w:rPr>
          <w:rFonts w:hint="cs"/>
          <w:sz w:val="22"/>
          <w:rtl/>
          <w:lang w:bidi="ar-EG"/>
        </w:rPr>
        <w:t>القطاعات ال</w:t>
      </w:r>
      <w:r w:rsidR="007D432A">
        <w:rPr>
          <w:rFonts w:hint="cs"/>
          <w:sz w:val="22"/>
          <w:rtl/>
          <w:lang w:bidi="ar-EG"/>
        </w:rPr>
        <w:t xml:space="preserve">مختلف والوزراء في الجزء الرفيع المستوى قد عززت النظر في تعميم وتعزيز الحوار. </w:t>
      </w:r>
      <w:r w:rsidR="00BC672F">
        <w:rPr>
          <w:rFonts w:hint="cs"/>
          <w:sz w:val="22"/>
          <w:rtl/>
          <w:lang w:bidi="ar-EG"/>
        </w:rPr>
        <w:t>غير أن</w:t>
      </w:r>
      <w:r w:rsidR="007D432A">
        <w:rPr>
          <w:rFonts w:hint="cs"/>
          <w:sz w:val="22"/>
          <w:rtl/>
          <w:lang w:bidi="ar-EG"/>
        </w:rPr>
        <w:t xml:space="preserve"> </w:t>
      </w:r>
      <w:r w:rsidR="00BC672F">
        <w:rPr>
          <w:rFonts w:hint="cs"/>
          <w:sz w:val="22"/>
          <w:rtl/>
          <w:lang w:bidi="ar-EG"/>
        </w:rPr>
        <w:t xml:space="preserve">عددا من المجيبين </w:t>
      </w:r>
      <w:r w:rsidR="007D432A">
        <w:rPr>
          <w:rFonts w:hint="cs"/>
          <w:sz w:val="22"/>
          <w:rtl/>
          <w:lang w:bidi="ar-EG"/>
        </w:rPr>
        <w:t>أشار</w:t>
      </w:r>
      <w:r w:rsidR="00BC672F">
        <w:rPr>
          <w:rFonts w:hint="cs"/>
          <w:sz w:val="22"/>
          <w:rtl/>
          <w:lang w:bidi="ar-EG"/>
        </w:rPr>
        <w:t>وا</w:t>
      </w:r>
      <w:r w:rsidR="007D432A">
        <w:rPr>
          <w:rFonts w:hint="cs"/>
          <w:sz w:val="22"/>
          <w:rtl/>
          <w:lang w:bidi="ar-EG"/>
        </w:rPr>
        <w:t xml:space="preserve"> إلى </w:t>
      </w:r>
      <w:r w:rsidR="000A5E7F">
        <w:rPr>
          <w:rFonts w:hint="cs"/>
          <w:sz w:val="22"/>
          <w:rtl/>
          <w:lang w:bidi="ar-EG"/>
        </w:rPr>
        <w:t>أن</w:t>
      </w:r>
      <w:r w:rsidR="00BC672F">
        <w:rPr>
          <w:rFonts w:hint="cs"/>
          <w:sz w:val="22"/>
          <w:rtl/>
          <w:lang w:bidi="ar-EG"/>
        </w:rPr>
        <w:t>ه لكان من الممكن أن تكون</w:t>
      </w:r>
      <w:r w:rsidR="000A5E7F">
        <w:rPr>
          <w:rFonts w:hint="cs"/>
          <w:sz w:val="22"/>
          <w:rtl/>
          <w:lang w:bidi="ar-EG"/>
        </w:rPr>
        <w:t xml:space="preserve"> </w:t>
      </w:r>
      <w:r w:rsidR="00CA250E">
        <w:rPr>
          <w:rFonts w:hint="cs"/>
          <w:sz w:val="22"/>
          <w:rtl/>
          <w:lang w:bidi="ar-EG"/>
        </w:rPr>
        <w:t xml:space="preserve">الفعالية </w:t>
      </w:r>
      <w:r w:rsidR="00BC672F">
        <w:rPr>
          <w:rFonts w:hint="cs"/>
          <w:sz w:val="22"/>
          <w:rtl/>
          <w:lang w:bidi="ar-EG"/>
        </w:rPr>
        <w:t>أكبر</w:t>
      </w:r>
      <w:r w:rsidR="00CA250E">
        <w:rPr>
          <w:rFonts w:hint="cs"/>
          <w:sz w:val="22"/>
          <w:rtl/>
          <w:lang w:bidi="ar-EG"/>
        </w:rPr>
        <w:t xml:space="preserve"> إذا أتيحت</w:t>
      </w:r>
      <w:r w:rsidR="000A5E7F">
        <w:rPr>
          <w:rFonts w:hint="cs"/>
          <w:sz w:val="22"/>
          <w:rtl/>
          <w:lang w:bidi="ar-EG"/>
        </w:rPr>
        <w:t xml:space="preserve"> فرص أك</w:t>
      </w:r>
      <w:r w:rsidR="00CA250E">
        <w:rPr>
          <w:rFonts w:hint="cs"/>
          <w:sz w:val="22"/>
          <w:rtl/>
          <w:lang w:bidi="ar-EG"/>
        </w:rPr>
        <w:t>ب</w:t>
      </w:r>
      <w:r w:rsidR="000A5E7F">
        <w:rPr>
          <w:rFonts w:hint="cs"/>
          <w:sz w:val="22"/>
          <w:rtl/>
          <w:lang w:bidi="ar-EG"/>
        </w:rPr>
        <w:t xml:space="preserve">ر للمناقشات. وفيما يخص توقيت الجزء الرفيع المستوى، رأى المجيبون بوجه عام أن عقده قبل بدء الاجتماعات المتزامنة رسميا كان فعالا. غير أن بعض المجيبين أشاروا إلى أن ذلك قد </w:t>
      </w:r>
      <w:r w:rsidR="00BC672F">
        <w:rPr>
          <w:rFonts w:hint="cs"/>
          <w:sz w:val="22"/>
          <w:rtl/>
          <w:lang w:bidi="ar-EG"/>
        </w:rPr>
        <w:t>أدى إلى بعض الصعوبات</w:t>
      </w:r>
      <w:r w:rsidR="003019E3">
        <w:rPr>
          <w:rFonts w:hint="cs"/>
          <w:sz w:val="22"/>
          <w:rtl/>
          <w:lang w:bidi="ar-EG"/>
        </w:rPr>
        <w:t>،</w:t>
      </w:r>
      <w:r w:rsidR="000A5E7F">
        <w:rPr>
          <w:rFonts w:hint="cs"/>
          <w:sz w:val="22"/>
          <w:rtl/>
          <w:lang w:bidi="ar-EG"/>
        </w:rPr>
        <w:t xml:space="preserve"> لأن بعض المشاركين رفيعي المستوى لم يكونوا متاحين للمساعدة في معالجة </w:t>
      </w:r>
      <w:r w:rsidR="00237F98">
        <w:rPr>
          <w:rFonts w:hint="cs"/>
          <w:sz w:val="22"/>
          <w:rtl/>
          <w:lang w:bidi="ar-EG"/>
        </w:rPr>
        <w:t>المسائل</w:t>
      </w:r>
      <w:r w:rsidR="000A5E7F">
        <w:rPr>
          <w:rFonts w:hint="cs"/>
          <w:sz w:val="22"/>
          <w:rtl/>
          <w:lang w:bidi="ar-EG"/>
        </w:rPr>
        <w:t xml:space="preserve"> الخلافية التي نشأت </w:t>
      </w:r>
      <w:r w:rsidR="00CA2FCF">
        <w:rPr>
          <w:rFonts w:hint="cs"/>
          <w:sz w:val="22"/>
          <w:rtl/>
          <w:lang w:bidi="ar-EG"/>
        </w:rPr>
        <w:t xml:space="preserve">قرب </w:t>
      </w:r>
      <w:r w:rsidR="003B7902">
        <w:rPr>
          <w:rFonts w:hint="cs"/>
          <w:sz w:val="22"/>
          <w:rtl/>
          <w:lang w:bidi="ar-EG"/>
        </w:rPr>
        <w:t xml:space="preserve">نهاية الاجتماعات المتزامنة. وفيما يتعلق بتوقيت الأجزاء الرفيعة المستوى في المستقبل، في حين </w:t>
      </w:r>
      <w:r w:rsidR="00BC672F">
        <w:rPr>
          <w:rFonts w:hint="cs"/>
          <w:sz w:val="22"/>
          <w:rtl/>
          <w:lang w:bidi="ar-EG"/>
        </w:rPr>
        <w:t>أشار</w:t>
      </w:r>
      <w:r w:rsidR="003B7902">
        <w:rPr>
          <w:rFonts w:hint="cs"/>
          <w:sz w:val="22"/>
          <w:rtl/>
          <w:lang w:bidi="ar-EG"/>
        </w:rPr>
        <w:t xml:space="preserve"> أغلبية المجيبين إلى</w:t>
      </w:r>
      <w:r w:rsidR="003A2662">
        <w:rPr>
          <w:rFonts w:hint="cs"/>
          <w:sz w:val="22"/>
          <w:rtl/>
          <w:lang w:bidi="ar-EG"/>
        </w:rPr>
        <w:t xml:space="preserve"> أنه ينبغي استمرار عقدها قبل </w:t>
      </w:r>
      <w:r w:rsidR="005A584E">
        <w:rPr>
          <w:rFonts w:hint="cs"/>
          <w:sz w:val="22"/>
          <w:rtl/>
          <w:lang w:bidi="ar-EG"/>
        </w:rPr>
        <w:t>ال</w:t>
      </w:r>
      <w:r w:rsidR="003A2662">
        <w:rPr>
          <w:rFonts w:hint="cs"/>
          <w:sz w:val="22"/>
          <w:rtl/>
          <w:lang w:bidi="ar-EG"/>
        </w:rPr>
        <w:t xml:space="preserve">بدء </w:t>
      </w:r>
      <w:r w:rsidR="005A584E">
        <w:rPr>
          <w:rFonts w:hint="cs"/>
          <w:sz w:val="22"/>
          <w:rtl/>
          <w:lang w:bidi="ar-EG"/>
        </w:rPr>
        <w:t>الرسمي ل</w:t>
      </w:r>
      <w:r w:rsidR="003A2662">
        <w:rPr>
          <w:rFonts w:hint="cs"/>
          <w:sz w:val="22"/>
          <w:rtl/>
          <w:lang w:bidi="ar-EG"/>
        </w:rPr>
        <w:t>لاجتماعات المتزامنة</w:t>
      </w:r>
      <w:r w:rsidR="00BC672F">
        <w:rPr>
          <w:rFonts w:hint="cs"/>
          <w:sz w:val="22"/>
          <w:rtl/>
          <w:lang w:bidi="ar-EG"/>
        </w:rPr>
        <w:t>، فإن المجيبون كانوا أكثر انقساما في وجهات نظرهم</w:t>
      </w:r>
      <w:r w:rsidR="003A2662">
        <w:rPr>
          <w:rFonts w:hint="cs"/>
          <w:sz w:val="22"/>
          <w:rtl/>
          <w:lang w:bidi="ar-EG"/>
        </w:rPr>
        <w:t xml:space="preserve">. </w:t>
      </w:r>
      <w:r w:rsidR="00E911C3">
        <w:rPr>
          <w:rFonts w:hint="cs"/>
          <w:sz w:val="22"/>
          <w:rtl/>
          <w:lang w:bidi="ar-EG"/>
        </w:rPr>
        <w:t>وبالإضافة</w:t>
      </w:r>
      <w:r w:rsidR="003A2662">
        <w:rPr>
          <w:rFonts w:hint="cs"/>
          <w:sz w:val="22"/>
          <w:rtl/>
          <w:lang w:bidi="ar-EG"/>
        </w:rPr>
        <w:t xml:space="preserve"> </w:t>
      </w:r>
      <w:r w:rsidR="00E911C3">
        <w:rPr>
          <w:rFonts w:hint="cs"/>
          <w:sz w:val="22"/>
          <w:rtl/>
          <w:lang w:bidi="ar-EG"/>
        </w:rPr>
        <w:t>إ</w:t>
      </w:r>
      <w:r w:rsidR="003A2662">
        <w:rPr>
          <w:rFonts w:hint="cs"/>
          <w:sz w:val="22"/>
          <w:rtl/>
          <w:lang w:bidi="ar-EG"/>
        </w:rPr>
        <w:t xml:space="preserve">لى ذلك، رأى العديد من المجيبين أن توقيت الجزء الرفيع المستوى ينبغي أن </w:t>
      </w:r>
      <w:r w:rsidR="00BC672F">
        <w:rPr>
          <w:rFonts w:hint="cs"/>
          <w:sz w:val="22"/>
          <w:rtl/>
          <w:lang w:bidi="ar-EG"/>
        </w:rPr>
        <w:t xml:space="preserve">يستند إلى أهدافه </w:t>
      </w:r>
      <w:r w:rsidR="003A2662">
        <w:rPr>
          <w:rFonts w:hint="cs"/>
          <w:sz w:val="22"/>
          <w:rtl/>
          <w:lang w:bidi="ar-EG"/>
        </w:rPr>
        <w:t>و</w:t>
      </w:r>
      <w:r w:rsidR="003019E3">
        <w:rPr>
          <w:rFonts w:hint="cs"/>
          <w:sz w:val="22"/>
          <w:rtl/>
          <w:lang w:bidi="ar-EG"/>
        </w:rPr>
        <w:t xml:space="preserve">على </w:t>
      </w:r>
      <w:r w:rsidR="00237F98">
        <w:rPr>
          <w:rFonts w:hint="cs"/>
          <w:sz w:val="22"/>
          <w:rtl/>
          <w:lang w:bidi="ar-EG"/>
        </w:rPr>
        <w:t>المسائل</w:t>
      </w:r>
      <w:r w:rsidR="003A2662">
        <w:rPr>
          <w:rFonts w:hint="cs"/>
          <w:sz w:val="22"/>
          <w:rtl/>
          <w:lang w:bidi="ar-EG"/>
        </w:rPr>
        <w:t xml:space="preserve"> التي تجري مناقشتها.</w:t>
      </w:r>
    </w:p>
    <w:p w:rsidR="003A2662" w:rsidRPr="00866CBA" w:rsidRDefault="003A2662" w:rsidP="003A2662">
      <w:pPr>
        <w:spacing w:after="120"/>
        <w:jc w:val="center"/>
        <w:rPr>
          <w:b/>
          <w:bCs/>
          <w:sz w:val="28"/>
          <w:szCs w:val="28"/>
          <w:rtl/>
          <w:lang w:bidi="ar-EG"/>
        </w:rPr>
      </w:pPr>
      <w:r w:rsidRPr="00866CBA">
        <w:rPr>
          <w:rFonts w:hint="cs"/>
          <w:b/>
          <w:bCs/>
          <w:sz w:val="28"/>
          <w:szCs w:val="28"/>
          <w:rtl/>
          <w:lang w:bidi="ar-EG"/>
        </w:rPr>
        <w:t>تاسعا-</w:t>
      </w:r>
      <w:r w:rsidRPr="00866CBA">
        <w:rPr>
          <w:rFonts w:hint="cs"/>
          <w:b/>
          <w:bCs/>
          <w:sz w:val="28"/>
          <w:szCs w:val="28"/>
          <w:rtl/>
          <w:lang w:bidi="ar-EG"/>
        </w:rPr>
        <w:tab/>
        <w:t xml:space="preserve"> الملخص</w:t>
      </w:r>
    </w:p>
    <w:p w:rsidR="00323F16" w:rsidRPr="00C50338" w:rsidRDefault="003A2662" w:rsidP="001E2F63">
      <w:pPr>
        <w:numPr>
          <w:ilvl w:val="0"/>
          <w:numId w:val="16"/>
        </w:numPr>
        <w:spacing w:after="120"/>
        <w:ind w:left="0" w:firstLine="0"/>
        <w:rPr>
          <w:sz w:val="22"/>
          <w:rtl/>
          <w:lang w:bidi="ar-EG"/>
        </w:rPr>
      </w:pPr>
      <w:r>
        <w:rPr>
          <w:rFonts w:hint="cs"/>
          <w:sz w:val="22"/>
          <w:rtl/>
          <w:lang w:bidi="ar-EG"/>
        </w:rPr>
        <w:t>تنشأ عدة ملاحظات من استعراض الخبرة في عقد اجتماعات مؤتمر الأطراف في الاتفاقية واجتماعات الأطراف في البروتوكولين بالتزامن:</w:t>
      </w:r>
    </w:p>
    <w:p w:rsidR="00323F16" w:rsidRDefault="003A2662" w:rsidP="00003833">
      <w:pPr>
        <w:numPr>
          <w:ilvl w:val="1"/>
          <w:numId w:val="16"/>
        </w:numPr>
        <w:spacing w:after="120"/>
        <w:ind w:left="0" w:firstLine="720"/>
        <w:rPr>
          <w:sz w:val="22"/>
          <w:lang w:bidi="ar-EG"/>
        </w:rPr>
      </w:pPr>
      <w:r>
        <w:rPr>
          <w:rFonts w:hint="cs"/>
          <w:sz w:val="22"/>
          <w:rtl/>
          <w:lang w:bidi="ar-EG"/>
        </w:rPr>
        <w:t xml:space="preserve">بالنسبة لمعظم </w:t>
      </w:r>
      <w:r w:rsidR="00567F13">
        <w:rPr>
          <w:rFonts w:hint="cs"/>
          <w:sz w:val="22"/>
          <w:rtl/>
          <w:lang w:bidi="ar-EG"/>
        </w:rPr>
        <w:t>المعايير المحددة في المقررات 13/26 و</w:t>
      </w:r>
      <w:r w:rsidR="00567F13">
        <w:rPr>
          <w:sz w:val="22"/>
          <w:lang w:bidi="ar-EG"/>
        </w:rPr>
        <w:t>CP</w:t>
      </w:r>
      <w:r w:rsidR="00567F13">
        <w:rPr>
          <w:sz w:val="22"/>
        </w:rPr>
        <w:t xml:space="preserve"> 8/10</w:t>
      </w:r>
      <w:r w:rsidR="00567F13">
        <w:rPr>
          <w:rFonts w:hint="cs"/>
          <w:sz w:val="22"/>
          <w:rtl/>
        </w:rPr>
        <w:t xml:space="preserve"> و</w:t>
      </w:r>
      <w:r w:rsidR="00567F13">
        <w:rPr>
          <w:sz w:val="22"/>
        </w:rPr>
        <w:t>NP 2/12</w:t>
      </w:r>
      <w:r w:rsidR="00567F13">
        <w:rPr>
          <w:rFonts w:hint="cs"/>
          <w:sz w:val="22"/>
          <w:rtl/>
        </w:rPr>
        <w:t>، كانت نسبة الأطراف التي رأت أن المعيار قد استوفي أكبر من نسبة الأطراف ال</w:t>
      </w:r>
      <w:r w:rsidR="003019E3">
        <w:rPr>
          <w:rFonts w:hint="cs"/>
          <w:sz w:val="22"/>
          <w:rtl/>
        </w:rPr>
        <w:t>تي</w:t>
      </w:r>
      <w:r w:rsidR="00567F13">
        <w:rPr>
          <w:rFonts w:hint="cs"/>
          <w:sz w:val="22"/>
          <w:rtl/>
        </w:rPr>
        <w:t xml:space="preserve"> رأ</w:t>
      </w:r>
      <w:r w:rsidR="003019E3">
        <w:rPr>
          <w:rFonts w:hint="cs"/>
          <w:sz w:val="22"/>
          <w:rtl/>
        </w:rPr>
        <w:t>ت</w:t>
      </w:r>
      <w:r w:rsidR="00E911C3">
        <w:rPr>
          <w:rFonts w:hint="cs"/>
          <w:sz w:val="22"/>
          <w:rtl/>
        </w:rPr>
        <w:t xml:space="preserve"> أنه </w:t>
      </w:r>
      <w:r w:rsidR="002013AF">
        <w:rPr>
          <w:rFonts w:hint="cs"/>
          <w:sz w:val="22"/>
          <w:rtl/>
        </w:rPr>
        <w:t>لم يستوف</w:t>
      </w:r>
      <w:r w:rsidR="00E911C3">
        <w:rPr>
          <w:rFonts w:hint="cs"/>
          <w:sz w:val="22"/>
          <w:rtl/>
        </w:rPr>
        <w:t xml:space="preserve"> (ا</w:t>
      </w:r>
      <w:r w:rsidR="00567F13">
        <w:rPr>
          <w:rFonts w:hint="cs"/>
          <w:sz w:val="22"/>
          <w:rtl/>
        </w:rPr>
        <w:t>نظر الشكل 1)</w:t>
      </w:r>
      <w:r w:rsidR="00323F16" w:rsidRPr="00C50338">
        <w:rPr>
          <w:sz w:val="22"/>
          <w:rtl/>
          <w:lang w:bidi="ar-EG"/>
        </w:rPr>
        <w:t>.</w:t>
      </w:r>
      <w:r w:rsidR="00567F13">
        <w:rPr>
          <w:rFonts w:hint="cs"/>
          <w:sz w:val="22"/>
          <w:rtl/>
          <w:lang w:bidi="ar-EG"/>
        </w:rPr>
        <w:t xml:space="preserve"> غير أن معظم الأطراف رأت أن معظم المعايير قد استوفيت جزئيا. وهكذا، </w:t>
      </w:r>
      <w:r w:rsidR="003019E3">
        <w:rPr>
          <w:rFonts w:hint="cs"/>
          <w:sz w:val="22"/>
          <w:rtl/>
          <w:lang w:bidi="ar-EG"/>
        </w:rPr>
        <w:t>و</w:t>
      </w:r>
      <w:r w:rsidR="00567F13">
        <w:rPr>
          <w:rFonts w:hint="cs"/>
          <w:sz w:val="22"/>
          <w:rtl/>
          <w:lang w:bidi="ar-EG"/>
        </w:rPr>
        <w:t xml:space="preserve">في حين يرى الكثيرون أن تجربة عقد اجتماعات متزامنة </w:t>
      </w:r>
      <w:r w:rsidR="00003833">
        <w:rPr>
          <w:rFonts w:hint="cs"/>
          <w:sz w:val="22"/>
          <w:rtl/>
          <w:lang w:bidi="ar-EG"/>
        </w:rPr>
        <w:t>كانت</w:t>
      </w:r>
      <w:r w:rsidR="00567F13">
        <w:rPr>
          <w:rFonts w:hint="cs"/>
          <w:sz w:val="22"/>
          <w:rtl/>
          <w:lang w:bidi="ar-EG"/>
        </w:rPr>
        <w:t xml:space="preserve"> إيجابية بوجه عام، من الواضح أن هناك حاجة إلى مزيد من العمل لجعل الاجتماعات المتزامنة أكثر فعالية ولضمان </w:t>
      </w:r>
      <w:r w:rsidR="00003833">
        <w:rPr>
          <w:rFonts w:hint="cs"/>
          <w:sz w:val="22"/>
          <w:rtl/>
          <w:lang w:bidi="ar-EG"/>
        </w:rPr>
        <w:t xml:space="preserve">استيفاء </w:t>
      </w:r>
      <w:r w:rsidR="00567F13">
        <w:rPr>
          <w:rFonts w:hint="cs"/>
          <w:sz w:val="22"/>
          <w:rtl/>
          <w:lang w:bidi="ar-EG"/>
        </w:rPr>
        <w:t>جميع المعايير</w:t>
      </w:r>
      <w:r w:rsidR="00003833">
        <w:rPr>
          <w:rFonts w:hint="cs"/>
          <w:sz w:val="22"/>
          <w:rtl/>
          <w:lang w:bidi="ar-EG"/>
        </w:rPr>
        <w:t xml:space="preserve"> بشكل كامل</w:t>
      </w:r>
      <w:r w:rsidR="00567F13">
        <w:rPr>
          <w:rFonts w:hint="cs"/>
          <w:sz w:val="22"/>
          <w:rtl/>
          <w:lang w:bidi="ar-EG"/>
        </w:rPr>
        <w:t>؛</w:t>
      </w:r>
    </w:p>
    <w:p w:rsidR="00567F13" w:rsidRDefault="00567F13" w:rsidP="002D071A">
      <w:pPr>
        <w:numPr>
          <w:ilvl w:val="1"/>
          <w:numId w:val="16"/>
        </w:numPr>
        <w:spacing w:after="120"/>
        <w:ind w:left="0" w:firstLine="720"/>
        <w:rPr>
          <w:sz w:val="22"/>
          <w:lang w:bidi="ar-EG"/>
        </w:rPr>
      </w:pPr>
      <w:r>
        <w:rPr>
          <w:rFonts w:hint="cs"/>
          <w:sz w:val="22"/>
          <w:rtl/>
          <w:lang w:bidi="ar-EG"/>
        </w:rPr>
        <w:t xml:space="preserve">وفقا للاستعراض، تتعلق </w:t>
      </w:r>
      <w:r w:rsidR="002D071A">
        <w:rPr>
          <w:rFonts w:hint="cs"/>
          <w:sz w:val="22"/>
          <w:rtl/>
          <w:lang w:bidi="ar-EG"/>
        </w:rPr>
        <w:t xml:space="preserve">أكثر </w:t>
      </w:r>
      <w:r>
        <w:rPr>
          <w:rFonts w:hint="cs"/>
          <w:sz w:val="22"/>
          <w:rtl/>
          <w:lang w:bidi="ar-EG"/>
        </w:rPr>
        <w:t xml:space="preserve">الجوانب نجاحا </w:t>
      </w:r>
      <w:r w:rsidR="002D071A">
        <w:rPr>
          <w:rFonts w:hint="cs"/>
          <w:sz w:val="22"/>
          <w:rtl/>
          <w:lang w:bidi="ar-EG"/>
        </w:rPr>
        <w:t xml:space="preserve">من </w:t>
      </w:r>
      <w:r>
        <w:rPr>
          <w:rFonts w:hint="cs"/>
          <w:sz w:val="22"/>
          <w:rtl/>
          <w:lang w:bidi="ar-EG"/>
        </w:rPr>
        <w:t>تجربة عقد اجتماعات متزامنة</w:t>
      </w:r>
      <w:r w:rsidR="00924632">
        <w:rPr>
          <w:rFonts w:hint="cs"/>
          <w:sz w:val="22"/>
          <w:rtl/>
          <w:lang w:bidi="ar-EG"/>
        </w:rPr>
        <w:t xml:space="preserve"> بما يلي:</w:t>
      </w:r>
    </w:p>
    <w:p w:rsidR="00924632" w:rsidRPr="00EA653F" w:rsidRDefault="00B74F78" w:rsidP="001E2F63">
      <w:pPr>
        <w:pStyle w:val="ListParagraph"/>
        <w:numPr>
          <w:ilvl w:val="2"/>
          <w:numId w:val="16"/>
        </w:numPr>
        <w:bidi/>
        <w:spacing w:after="120"/>
        <w:rPr>
          <w:lang w:bidi="ar-EG"/>
        </w:rPr>
      </w:pPr>
      <w:r>
        <w:rPr>
          <w:rFonts w:hint="cs"/>
          <w:rtl/>
          <w:lang w:bidi="ar-EG"/>
        </w:rPr>
        <w:t>الإعداد</w:t>
      </w:r>
      <w:r w:rsidR="00924632" w:rsidRPr="00EA653F">
        <w:rPr>
          <w:rFonts w:hint="cs"/>
          <w:rtl/>
          <w:lang w:bidi="ar-EG"/>
        </w:rPr>
        <w:t xml:space="preserve"> الفعال لنتائج </w:t>
      </w:r>
      <w:r w:rsidR="00E911C3">
        <w:rPr>
          <w:rFonts w:hint="cs"/>
          <w:rtl/>
          <w:lang w:bidi="ar-EG"/>
        </w:rPr>
        <w:t xml:space="preserve">اجتماع </w:t>
      </w:r>
      <w:r w:rsidR="00924632" w:rsidRPr="00EA653F">
        <w:rPr>
          <w:rFonts w:hint="cs"/>
          <w:rtl/>
          <w:lang w:bidi="ar-EG"/>
        </w:rPr>
        <w:t>مؤتمر الأطراف؛</w:t>
      </w:r>
    </w:p>
    <w:p w:rsidR="00924632" w:rsidRDefault="00924632" w:rsidP="001E2F63">
      <w:pPr>
        <w:numPr>
          <w:ilvl w:val="2"/>
          <w:numId w:val="16"/>
        </w:numPr>
        <w:spacing w:after="120"/>
        <w:rPr>
          <w:sz w:val="22"/>
          <w:lang w:bidi="ar-EG"/>
        </w:rPr>
      </w:pPr>
      <w:r>
        <w:rPr>
          <w:rFonts w:hint="cs"/>
          <w:sz w:val="22"/>
          <w:rtl/>
          <w:lang w:bidi="ar-EG"/>
        </w:rPr>
        <w:t>زيادة الت</w:t>
      </w:r>
      <w:r w:rsidR="005238CD">
        <w:rPr>
          <w:rFonts w:hint="cs"/>
          <w:sz w:val="22"/>
          <w:rtl/>
          <w:lang w:bidi="ar-EG"/>
        </w:rPr>
        <w:t>كامل بين الاتفاقية والبروتوكولين</w:t>
      </w:r>
      <w:r>
        <w:rPr>
          <w:rFonts w:hint="cs"/>
          <w:sz w:val="22"/>
          <w:rtl/>
          <w:lang w:bidi="ar-EG"/>
        </w:rPr>
        <w:t>؛</w:t>
      </w:r>
    </w:p>
    <w:p w:rsidR="00924632" w:rsidRDefault="00924632" w:rsidP="001E2F63">
      <w:pPr>
        <w:numPr>
          <w:ilvl w:val="2"/>
          <w:numId w:val="16"/>
        </w:numPr>
        <w:spacing w:after="120"/>
        <w:rPr>
          <w:sz w:val="22"/>
          <w:lang w:bidi="ar-EG"/>
        </w:rPr>
      </w:pPr>
      <w:r>
        <w:rPr>
          <w:rFonts w:hint="cs"/>
          <w:sz w:val="22"/>
          <w:rtl/>
          <w:lang w:bidi="ar-EG"/>
        </w:rPr>
        <w:t>تحسين المشاورات والتنسيق والتآزر بين نقاط الاتصال الوطنية.</w:t>
      </w:r>
    </w:p>
    <w:p w:rsidR="00924632" w:rsidRDefault="00924632" w:rsidP="00374DBD">
      <w:pPr>
        <w:spacing w:after="120"/>
        <w:rPr>
          <w:sz w:val="22"/>
          <w:rtl/>
          <w:lang w:bidi="ar-EG"/>
        </w:rPr>
      </w:pPr>
      <w:r>
        <w:rPr>
          <w:rFonts w:hint="cs"/>
          <w:sz w:val="22"/>
          <w:rtl/>
          <w:lang w:bidi="ar-EG"/>
        </w:rPr>
        <w:t xml:space="preserve">ورأى نصف عدد الأطراف تقريبا أن هذه المعايير قد استوفيت </w:t>
      </w:r>
      <w:r w:rsidR="00374DBD">
        <w:rPr>
          <w:rFonts w:hint="cs"/>
          <w:sz w:val="22"/>
          <w:rtl/>
          <w:lang w:bidi="ar-EG"/>
        </w:rPr>
        <w:t>كليا</w:t>
      </w:r>
      <w:r>
        <w:rPr>
          <w:rFonts w:hint="cs"/>
          <w:sz w:val="22"/>
          <w:rtl/>
          <w:lang w:bidi="ar-EG"/>
        </w:rPr>
        <w:t xml:space="preserve"> ورأى معظم الآخرين أنها قد استوفيت جزئيا؛</w:t>
      </w:r>
    </w:p>
    <w:p w:rsidR="00924632" w:rsidRDefault="00924632" w:rsidP="002202A1">
      <w:pPr>
        <w:spacing w:after="120"/>
        <w:ind w:firstLine="720"/>
        <w:rPr>
          <w:rtl/>
          <w:lang w:bidi="ar-EG"/>
        </w:rPr>
      </w:pPr>
      <w:r>
        <w:rPr>
          <w:rFonts w:hint="cs"/>
          <w:rtl/>
          <w:lang w:bidi="ar-EG"/>
        </w:rPr>
        <w:t>(ج)</w:t>
      </w:r>
      <w:r>
        <w:rPr>
          <w:rFonts w:hint="cs"/>
          <w:rtl/>
          <w:lang w:bidi="ar-EG"/>
        </w:rPr>
        <w:tab/>
      </w:r>
      <w:r w:rsidR="0093211A">
        <w:rPr>
          <w:rFonts w:hint="cs"/>
          <w:rtl/>
          <w:lang w:bidi="ar-EG"/>
        </w:rPr>
        <w:t xml:space="preserve">وفقا للاستعراض، كانت </w:t>
      </w:r>
      <w:r w:rsidR="00EF5CDB">
        <w:rPr>
          <w:rFonts w:hint="cs"/>
          <w:rtl/>
          <w:lang w:bidi="ar-EG"/>
        </w:rPr>
        <w:t xml:space="preserve">أقل </w:t>
      </w:r>
      <w:r w:rsidR="0093211A">
        <w:rPr>
          <w:rFonts w:hint="cs"/>
          <w:rtl/>
          <w:lang w:bidi="ar-EG"/>
        </w:rPr>
        <w:t>الجوانب نجاحا تتعلق بالفعالية من حيث التكلفة بالنسبة لبروتوكول قرطاجنة</w:t>
      </w:r>
      <w:r w:rsidR="00800BC7">
        <w:rPr>
          <w:rFonts w:hint="cs"/>
          <w:rtl/>
          <w:lang w:bidi="ar-EG"/>
        </w:rPr>
        <w:t>،</w:t>
      </w:r>
      <w:r w:rsidR="0093211A">
        <w:rPr>
          <w:rFonts w:hint="cs"/>
          <w:rtl/>
          <w:lang w:bidi="ar-EG"/>
        </w:rPr>
        <w:t xml:space="preserve"> </w:t>
      </w:r>
      <w:r w:rsidR="00150A6B">
        <w:rPr>
          <w:rFonts w:hint="cs"/>
          <w:rtl/>
          <w:lang w:bidi="ar-EG"/>
        </w:rPr>
        <w:t>و</w:t>
      </w:r>
      <w:r w:rsidR="0093211A">
        <w:rPr>
          <w:rFonts w:hint="cs"/>
          <w:rtl/>
          <w:lang w:bidi="ar-EG"/>
        </w:rPr>
        <w:t xml:space="preserve">الذي كان فيه عدد الأطراف </w:t>
      </w:r>
      <w:r w:rsidR="00800BC7">
        <w:rPr>
          <w:rFonts w:hint="cs"/>
          <w:rtl/>
          <w:lang w:bidi="ar-EG"/>
        </w:rPr>
        <w:t>التي</w:t>
      </w:r>
      <w:r w:rsidR="0093211A">
        <w:rPr>
          <w:rFonts w:hint="cs"/>
          <w:rtl/>
          <w:lang w:bidi="ar-EG"/>
        </w:rPr>
        <w:t xml:space="preserve"> رأ</w:t>
      </w:r>
      <w:r w:rsidR="00800BC7">
        <w:rPr>
          <w:rFonts w:hint="cs"/>
          <w:rtl/>
          <w:lang w:bidi="ar-EG"/>
        </w:rPr>
        <w:t>ت</w:t>
      </w:r>
      <w:r w:rsidR="0093211A">
        <w:rPr>
          <w:rFonts w:hint="cs"/>
          <w:rtl/>
          <w:lang w:bidi="ar-EG"/>
        </w:rPr>
        <w:t xml:space="preserve"> أن المعيار قد استوفي هو نفس عدد الأطراف ا</w:t>
      </w:r>
      <w:r w:rsidR="00150A6B">
        <w:rPr>
          <w:rFonts w:hint="cs"/>
          <w:rtl/>
          <w:lang w:bidi="ar-EG"/>
        </w:rPr>
        <w:t>ل</w:t>
      </w:r>
      <w:r w:rsidR="00800BC7">
        <w:rPr>
          <w:rFonts w:hint="cs"/>
          <w:rtl/>
          <w:lang w:bidi="ar-EG"/>
        </w:rPr>
        <w:t>تي</w:t>
      </w:r>
      <w:r w:rsidR="0093211A">
        <w:rPr>
          <w:rFonts w:hint="cs"/>
          <w:rtl/>
          <w:lang w:bidi="ar-EG"/>
        </w:rPr>
        <w:t xml:space="preserve"> رأ</w:t>
      </w:r>
      <w:r w:rsidR="00800BC7">
        <w:rPr>
          <w:rFonts w:hint="cs"/>
          <w:rtl/>
          <w:lang w:bidi="ar-EG"/>
        </w:rPr>
        <w:t>ت</w:t>
      </w:r>
      <w:r w:rsidR="0093211A">
        <w:rPr>
          <w:rFonts w:hint="cs"/>
          <w:rtl/>
          <w:lang w:bidi="ar-EG"/>
        </w:rPr>
        <w:t xml:space="preserve"> أنه </w:t>
      </w:r>
      <w:r w:rsidR="002013AF">
        <w:rPr>
          <w:rFonts w:hint="cs"/>
          <w:rtl/>
          <w:lang w:bidi="ar-EG"/>
        </w:rPr>
        <w:t>لم يستوف</w:t>
      </w:r>
      <w:r w:rsidR="0093211A">
        <w:rPr>
          <w:rFonts w:hint="cs"/>
          <w:rtl/>
          <w:lang w:bidi="ar-EG"/>
        </w:rPr>
        <w:t xml:space="preserve">. ومن بين </w:t>
      </w:r>
      <w:r w:rsidR="00237F98">
        <w:rPr>
          <w:rFonts w:hint="cs"/>
          <w:rtl/>
          <w:lang w:bidi="ar-EG"/>
        </w:rPr>
        <w:t>المسائل</w:t>
      </w:r>
      <w:r w:rsidR="0093211A">
        <w:rPr>
          <w:rFonts w:hint="cs"/>
          <w:rtl/>
          <w:lang w:bidi="ar-EG"/>
        </w:rPr>
        <w:t xml:space="preserve"> التي حددتها الأطراف لتحسين عقد الاجتماعات الحالية هناك (</w:t>
      </w:r>
      <w:r w:rsidR="00EA653F">
        <w:rPr>
          <w:rFonts w:hint="cs"/>
          <w:rtl/>
          <w:lang w:bidi="ar-EG"/>
        </w:rPr>
        <w:t>1</w:t>
      </w:r>
      <w:r w:rsidR="0093211A">
        <w:rPr>
          <w:rFonts w:hint="cs"/>
          <w:rtl/>
          <w:lang w:bidi="ar-EG"/>
        </w:rPr>
        <w:t>)</w:t>
      </w:r>
      <w:r w:rsidR="002202A1">
        <w:rPr>
          <w:rFonts w:hint="cs"/>
          <w:rtl/>
          <w:lang w:bidi="ar-EG"/>
        </w:rPr>
        <w:t> </w:t>
      </w:r>
      <w:r w:rsidR="0093211A">
        <w:rPr>
          <w:rFonts w:hint="cs"/>
          <w:rtl/>
          <w:lang w:bidi="ar-EG"/>
        </w:rPr>
        <w:t>الحاجة إلى ضمان التمثيل المناسب للبلدان النامية</w:t>
      </w:r>
      <w:r w:rsidR="00800BC7">
        <w:rPr>
          <w:rFonts w:hint="cs"/>
          <w:rtl/>
          <w:lang w:bidi="ar-EG"/>
        </w:rPr>
        <w:t>،</w:t>
      </w:r>
      <w:r w:rsidR="001F60D5">
        <w:rPr>
          <w:rFonts w:hint="cs"/>
          <w:rtl/>
          <w:lang w:bidi="ar-EG"/>
        </w:rPr>
        <w:t xml:space="preserve"> </w:t>
      </w:r>
      <w:r w:rsidR="0093211A">
        <w:rPr>
          <w:rFonts w:hint="cs"/>
          <w:rtl/>
          <w:lang w:bidi="ar-EG"/>
        </w:rPr>
        <w:t>(</w:t>
      </w:r>
      <w:r w:rsidR="00EA653F">
        <w:rPr>
          <w:rFonts w:hint="cs"/>
          <w:rtl/>
          <w:lang w:bidi="ar-EG"/>
        </w:rPr>
        <w:t>2</w:t>
      </w:r>
      <w:r w:rsidR="0093211A">
        <w:rPr>
          <w:rFonts w:hint="cs"/>
          <w:rtl/>
          <w:lang w:bidi="ar-EG"/>
        </w:rPr>
        <w:t>)</w:t>
      </w:r>
      <w:r w:rsidR="002202A1">
        <w:rPr>
          <w:rFonts w:hint="cs"/>
          <w:rtl/>
          <w:lang w:bidi="ar-EG"/>
        </w:rPr>
        <w:t> </w:t>
      </w:r>
      <w:r w:rsidR="0093211A">
        <w:rPr>
          <w:rFonts w:hint="cs"/>
          <w:rtl/>
          <w:lang w:bidi="ar-EG"/>
        </w:rPr>
        <w:t xml:space="preserve">الحاجة إلى إتاحة الوقت الكافي </w:t>
      </w:r>
      <w:r w:rsidR="00B87312">
        <w:rPr>
          <w:rFonts w:hint="cs"/>
          <w:rtl/>
          <w:lang w:bidi="ar-EG"/>
        </w:rPr>
        <w:t>للصكوك الثلاثة في جلسات التفاوض</w:t>
      </w:r>
      <w:r w:rsidR="00800BC7">
        <w:rPr>
          <w:rFonts w:hint="cs"/>
          <w:rtl/>
          <w:lang w:bidi="ar-EG"/>
        </w:rPr>
        <w:t>،</w:t>
      </w:r>
      <w:r w:rsidR="0093211A">
        <w:rPr>
          <w:rFonts w:hint="cs"/>
          <w:rtl/>
          <w:lang w:bidi="ar-EG"/>
        </w:rPr>
        <w:t xml:space="preserve"> (</w:t>
      </w:r>
      <w:r w:rsidR="00EA653F">
        <w:rPr>
          <w:rFonts w:hint="cs"/>
          <w:rtl/>
          <w:lang w:bidi="ar-EG"/>
        </w:rPr>
        <w:t>3</w:t>
      </w:r>
      <w:r w:rsidR="0093211A">
        <w:rPr>
          <w:rFonts w:hint="cs"/>
          <w:rtl/>
          <w:lang w:bidi="ar-EG"/>
        </w:rPr>
        <w:t>)</w:t>
      </w:r>
      <w:r w:rsidR="002202A1">
        <w:rPr>
          <w:rFonts w:hint="cs"/>
          <w:rtl/>
          <w:lang w:bidi="ar-EG"/>
        </w:rPr>
        <w:t> </w:t>
      </w:r>
      <w:r w:rsidR="0093211A">
        <w:rPr>
          <w:rFonts w:hint="cs"/>
          <w:rtl/>
          <w:lang w:bidi="ar-EG"/>
        </w:rPr>
        <w:t xml:space="preserve">الحاجة إلى تبسيط </w:t>
      </w:r>
      <w:r w:rsidR="001F60D5">
        <w:rPr>
          <w:rFonts w:hint="cs"/>
          <w:rtl/>
          <w:lang w:bidi="ar-EG"/>
        </w:rPr>
        <w:t xml:space="preserve">جداول الأعمال للاجتماعات بقدر الإمكان بهدف تقليل الحاجة إلى </w:t>
      </w:r>
      <w:r w:rsidR="001164B3">
        <w:rPr>
          <w:rFonts w:hint="cs"/>
          <w:rtl/>
          <w:lang w:bidi="ar-EG"/>
        </w:rPr>
        <w:t>أفرقة</w:t>
      </w:r>
      <w:r w:rsidR="001F60D5">
        <w:rPr>
          <w:rFonts w:hint="cs"/>
          <w:rtl/>
          <w:lang w:bidi="ar-EG"/>
        </w:rPr>
        <w:t xml:space="preserve"> الاتصال</w:t>
      </w:r>
      <w:r w:rsidR="00800BC7">
        <w:rPr>
          <w:rFonts w:hint="cs"/>
          <w:rtl/>
          <w:lang w:bidi="ar-EG"/>
        </w:rPr>
        <w:t>،</w:t>
      </w:r>
      <w:r w:rsidR="001F60D5">
        <w:rPr>
          <w:rFonts w:hint="cs"/>
          <w:rtl/>
          <w:lang w:bidi="ar-EG"/>
        </w:rPr>
        <w:t xml:space="preserve"> (</w:t>
      </w:r>
      <w:r w:rsidR="00EA653F">
        <w:rPr>
          <w:rFonts w:hint="cs"/>
          <w:rtl/>
          <w:lang w:bidi="ar-EG"/>
        </w:rPr>
        <w:t>4</w:t>
      </w:r>
      <w:r w:rsidR="001F60D5">
        <w:rPr>
          <w:rFonts w:hint="cs"/>
          <w:rtl/>
          <w:lang w:bidi="ar-EG"/>
        </w:rPr>
        <w:t>)</w:t>
      </w:r>
      <w:r w:rsidR="002202A1">
        <w:rPr>
          <w:rFonts w:hint="cs"/>
          <w:rtl/>
          <w:lang w:bidi="ar-EG"/>
        </w:rPr>
        <w:t> </w:t>
      </w:r>
      <w:r w:rsidR="001F60D5">
        <w:rPr>
          <w:rFonts w:hint="cs"/>
          <w:rtl/>
          <w:lang w:bidi="ar-EG"/>
        </w:rPr>
        <w:t>الحاجة إلى استكشاف طرق للحد من الوقت الذي يتعين على الوفود المسؤولة قضاؤه في الاجتماعات المتزامنة؛</w:t>
      </w:r>
    </w:p>
    <w:p w:rsidR="001F60D5" w:rsidRPr="00924632" w:rsidRDefault="001F60D5" w:rsidP="002448E1">
      <w:pPr>
        <w:spacing w:after="120"/>
        <w:ind w:firstLine="720"/>
        <w:rPr>
          <w:rtl/>
          <w:lang w:bidi="ar-EG"/>
        </w:rPr>
      </w:pPr>
      <w:r>
        <w:rPr>
          <w:rFonts w:hint="cs"/>
          <w:rtl/>
          <w:lang w:bidi="ar-EG"/>
        </w:rPr>
        <w:t>(د)</w:t>
      </w:r>
      <w:r>
        <w:rPr>
          <w:rFonts w:hint="cs"/>
          <w:rtl/>
          <w:lang w:bidi="ar-EG"/>
        </w:rPr>
        <w:tab/>
        <w:t xml:space="preserve">تقدم الردود الواردة </w:t>
      </w:r>
      <w:r w:rsidR="00750FED">
        <w:rPr>
          <w:rFonts w:hint="cs"/>
          <w:rtl/>
          <w:lang w:bidi="ar-EG"/>
        </w:rPr>
        <w:t>من الاستقصاء الإلكتروني والذي أجاب فيه المشاركون بصفتهم الشخصية صورة مماثلة لتلك التي قدمها الاستبيان الذي وزع على الأطراف. وعموما، رأى المجيبون على الاستقصاء بوجه عام أن عقد اجتماعات متزامنة لاتفاقية التنوع البيولوجي</w:t>
      </w:r>
      <w:r w:rsidR="00800BC7">
        <w:rPr>
          <w:rFonts w:hint="cs"/>
          <w:rtl/>
          <w:lang w:bidi="ar-EG"/>
        </w:rPr>
        <w:t>،</w:t>
      </w:r>
      <w:r w:rsidR="00750FED">
        <w:rPr>
          <w:rFonts w:hint="cs"/>
          <w:rtl/>
          <w:lang w:bidi="ar-EG"/>
        </w:rPr>
        <w:t xml:space="preserve"> وبروتوكول قرطاجنة</w:t>
      </w:r>
      <w:r w:rsidR="00800BC7">
        <w:rPr>
          <w:rFonts w:hint="cs"/>
          <w:rtl/>
          <w:lang w:bidi="ar-EG"/>
        </w:rPr>
        <w:t>،</w:t>
      </w:r>
      <w:r w:rsidR="00750FED">
        <w:rPr>
          <w:rFonts w:hint="cs"/>
          <w:rtl/>
          <w:lang w:bidi="ar-EG"/>
        </w:rPr>
        <w:t xml:space="preserve"> وبروتوكول ناغويا يتسم بالكفاءة والفعالية من حيث التكلفة</w:t>
      </w:r>
      <w:r w:rsidR="0037456B">
        <w:rPr>
          <w:rFonts w:hint="cs"/>
          <w:rtl/>
          <w:lang w:bidi="ar-EG"/>
        </w:rPr>
        <w:t xml:space="preserve">. ورأى المجيبون أيضا أن ذلك قد </w:t>
      </w:r>
      <w:r w:rsidR="002448E1">
        <w:rPr>
          <w:rFonts w:hint="cs"/>
          <w:rtl/>
          <w:lang w:bidi="ar-EG"/>
        </w:rPr>
        <w:t>أدى إلى زيادة</w:t>
      </w:r>
      <w:r w:rsidR="0037456B">
        <w:rPr>
          <w:rFonts w:hint="cs"/>
          <w:rtl/>
          <w:lang w:bidi="ar-EG"/>
        </w:rPr>
        <w:t xml:space="preserve"> التكامل ويسر التشاور</w:t>
      </w:r>
      <w:r w:rsidR="00374DBD">
        <w:rPr>
          <w:rFonts w:hint="cs"/>
          <w:rtl/>
          <w:lang w:bidi="ar-EG"/>
        </w:rPr>
        <w:t xml:space="preserve"> بوجه عام</w:t>
      </w:r>
      <w:r w:rsidR="0037456B">
        <w:rPr>
          <w:rFonts w:hint="cs"/>
          <w:rtl/>
          <w:lang w:bidi="ar-EG"/>
        </w:rPr>
        <w:t xml:space="preserve">. غير أن العديد من المجيبين أشاروا إلى أن ذلك لا ينطبق دائما على الوفود الصغيرة وأن نجاح عقد اجتماعات متزامنة </w:t>
      </w:r>
      <w:r w:rsidR="002448E1">
        <w:rPr>
          <w:rFonts w:hint="cs"/>
          <w:rtl/>
          <w:lang w:bidi="ar-EG"/>
        </w:rPr>
        <w:t>يعتمد</w:t>
      </w:r>
      <w:r w:rsidR="0037456B">
        <w:rPr>
          <w:rFonts w:hint="cs"/>
          <w:rtl/>
          <w:lang w:bidi="ar-EG"/>
        </w:rPr>
        <w:t xml:space="preserve"> على ضمان تمثيل جميع الأطراف على نحو ملائم.</w:t>
      </w:r>
    </w:p>
    <w:p w:rsidR="00323F16" w:rsidRPr="00C50338" w:rsidRDefault="0037456B" w:rsidP="002270CF">
      <w:pPr>
        <w:numPr>
          <w:ilvl w:val="0"/>
          <w:numId w:val="16"/>
        </w:numPr>
        <w:spacing w:after="120"/>
        <w:ind w:left="0" w:firstLine="0"/>
        <w:rPr>
          <w:sz w:val="22"/>
          <w:rtl/>
          <w:lang w:bidi="ar-EG"/>
        </w:rPr>
      </w:pPr>
      <w:r>
        <w:rPr>
          <w:rFonts w:hint="cs"/>
          <w:sz w:val="22"/>
          <w:rtl/>
          <w:lang w:bidi="ar-EG"/>
        </w:rPr>
        <w:t xml:space="preserve">ومن المتوقع </w:t>
      </w:r>
      <w:r w:rsidR="00866CBA">
        <w:rPr>
          <w:rFonts w:hint="cs"/>
          <w:sz w:val="22"/>
          <w:rtl/>
          <w:lang w:bidi="ar-EG"/>
        </w:rPr>
        <w:t>استكمال</w:t>
      </w:r>
      <w:r>
        <w:rPr>
          <w:rFonts w:hint="cs"/>
          <w:sz w:val="22"/>
          <w:rtl/>
          <w:lang w:bidi="ar-EG"/>
        </w:rPr>
        <w:t xml:space="preserve"> الاستعراض الحالي </w:t>
      </w:r>
      <w:r w:rsidR="00866CBA">
        <w:rPr>
          <w:rFonts w:hint="cs"/>
          <w:sz w:val="22"/>
          <w:rtl/>
          <w:lang w:bidi="ar-EG"/>
        </w:rPr>
        <w:t>لتجربة</w:t>
      </w:r>
      <w:r>
        <w:rPr>
          <w:rFonts w:hint="cs"/>
          <w:sz w:val="22"/>
          <w:rtl/>
          <w:lang w:bidi="ar-EG"/>
        </w:rPr>
        <w:t xml:space="preserve"> عقد </w:t>
      </w:r>
      <w:r w:rsidR="00E5680A">
        <w:rPr>
          <w:rFonts w:hint="cs"/>
          <w:sz w:val="22"/>
          <w:rtl/>
          <w:lang w:bidi="ar-EG"/>
        </w:rPr>
        <w:t>الاجتماعات بالتزامن</w:t>
      </w:r>
      <w:r>
        <w:rPr>
          <w:rFonts w:hint="cs"/>
          <w:sz w:val="22"/>
          <w:rtl/>
          <w:lang w:bidi="ar-EG"/>
        </w:rPr>
        <w:t xml:space="preserve"> </w:t>
      </w:r>
      <w:r w:rsidR="00CD7875">
        <w:rPr>
          <w:rFonts w:hint="cs"/>
          <w:sz w:val="22"/>
          <w:rtl/>
          <w:lang w:bidi="ar-EG"/>
        </w:rPr>
        <w:t>بموجب</w:t>
      </w:r>
      <w:r>
        <w:rPr>
          <w:rFonts w:hint="cs"/>
          <w:sz w:val="22"/>
          <w:rtl/>
          <w:lang w:bidi="ar-EG"/>
        </w:rPr>
        <w:t xml:space="preserve"> المقرر 13/26، </w:t>
      </w:r>
      <w:r w:rsidR="00866CBA">
        <w:rPr>
          <w:rFonts w:hint="cs"/>
          <w:sz w:val="22"/>
          <w:rtl/>
          <w:lang w:bidi="ar-EG"/>
        </w:rPr>
        <w:t>ومواصلة تطويره</w:t>
      </w:r>
      <w:r>
        <w:rPr>
          <w:rFonts w:hint="cs"/>
          <w:sz w:val="22"/>
          <w:rtl/>
          <w:lang w:bidi="ar-EG"/>
        </w:rPr>
        <w:t xml:space="preserve"> في ضو</w:t>
      </w:r>
      <w:r w:rsidR="00E5680A">
        <w:rPr>
          <w:rFonts w:hint="cs"/>
          <w:sz w:val="22"/>
          <w:rtl/>
          <w:lang w:bidi="ar-EG"/>
        </w:rPr>
        <w:t>ء الخبرة المكتسبة من الاجتماع</w:t>
      </w:r>
      <w:r w:rsidR="00150A6B">
        <w:rPr>
          <w:rFonts w:hint="cs"/>
          <w:sz w:val="22"/>
          <w:rtl/>
          <w:lang w:bidi="ar-EG"/>
        </w:rPr>
        <w:t>ات</w:t>
      </w:r>
      <w:r w:rsidR="00E5680A">
        <w:rPr>
          <w:rFonts w:hint="cs"/>
          <w:sz w:val="22"/>
          <w:rtl/>
          <w:lang w:bidi="ar-EG"/>
        </w:rPr>
        <w:t xml:space="preserve"> المتزامنة التي ستعقد في شرم الشيخ في مصر من 10 إلى 22 نوفمبر/تشرين الثاني 2018</w:t>
      </w:r>
      <w:r w:rsidR="00323F16" w:rsidRPr="00C50338">
        <w:rPr>
          <w:sz w:val="22"/>
          <w:rtl/>
          <w:lang w:bidi="ar-EG"/>
        </w:rPr>
        <w:t>.</w:t>
      </w:r>
      <w:r w:rsidR="00CD7875">
        <w:rPr>
          <w:rFonts w:hint="cs"/>
          <w:sz w:val="22"/>
          <w:rtl/>
          <w:lang w:bidi="ar-EG"/>
        </w:rPr>
        <w:t xml:space="preserve"> </w:t>
      </w:r>
    </w:p>
    <w:p w:rsidR="00FB1D5F" w:rsidRPr="00150A6B" w:rsidRDefault="0092533D" w:rsidP="00150A6B">
      <w:pPr>
        <w:pStyle w:val="Para1"/>
        <w:numPr>
          <w:ilvl w:val="0"/>
          <w:numId w:val="0"/>
        </w:numPr>
        <w:spacing w:before="0" w:line="216" w:lineRule="auto"/>
        <w:jc w:val="center"/>
        <w:rPr>
          <w:snapToGrid/>
          <w:kern w:val="22"/>
          <w:rtl/>
        </w:rPr>
      </w:pPr>
      <w:r w:rsidRPr="00C50338">
        <w:rPr>
          <w:snapToGrid/>
          <w:kern w:val="22"/>
        </w:rPr>
        <w:t>__________</w:t>
      </w:r>
    </w:p>
    <w:sectPr w:rsidR="00FB1D5F" w:rsidRPr="00150A6B" w:rsidSect="007A4971">
      <w:headerReference w:type="even" r:id="rId20"/>
      <w:headerReference w:type="default" r:id="rId21"/>
      <w:pgSz w:w="12240" w:h="15840" w:code="1"/>
      <w:pgMar w:top="907" w:right="1440" w:bottom="907" w:left="1440" w:header="45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ABD" w:rsidRDefault="00D93ABD">
      <w:r>
        <w:separator/>
      </w:r>
    </w:p>
  </w:endnote>
  <w:endnote w:type="continuationSeparator" w:id="0">
    <w:p w:rsidR="00D93ABD" w:rsidRDefault="00D9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ABD" w:rsidRDefault="00D93ABD">
      <w:r>
        <w:separator/>
      </w:r>
    </w:p>
  </w:footnote>
  <w:footnote w:type="continuationSeparator" w:id="0">
    <w:p w:rsidR="00D93ABD" w:rsidRDefault="00D93ABD">
      <w:r>
        <w:continuationSeparator/>
      </w:r>
    </w:p>
  </w:footnote>
  <w:footnote w:id="1">
    <w:p w:rsidR="00D972EA" w:rsidRPr="00BE2F3A" w:rsidRDefault="00D972EA" w:rsidP="00A06F9A">
      <w:pPr>
        <w:pStyle w:val="FootnoteText"/>
        <w:rPr>
          <w:lang w:bidi="ar-EG"/>
        </w:rPr>
      </w:pPr>
      <w:r w:rsidRPr="00BE2F3A">
        <w:rPr>
          <w:rStyle w:val="FootnoteReference"/>
          <w:rtl/>
        </w:rPr>
        <w:t>*</w:t>
      </w:r>
      <w:r w:rsidRPr="00BE2F3A">
        <w:rPr>
          <w:rtl/>
        </w:rPr>
        <w:t xml:space="preserve"> </w:t>
      </w:r>
      <w:hyperlink r:id="rId1" w:history="1">
        <w:r w:rsidRPr="00F15D69">
          <w:rPr>
            <w:rStyle w:val="Hyperlink"/>
            <w:lang w:val="en-CA"/>
          </w:rPr>
          <w:t>CBD/SBI/2/1</w:t>
        </w:r>
      </w:hyperlink>
      <w:r w:rsidRPr="00BE2F3A">
        <w:rPr>
          <w:rFonts w:hint="cs"/>
          <w:rtl/>
          <w:lang w:val="en-CA" w:bidi="ar-EG"/>
        </w:rPr>
        <w:t>.</w:t>
      </w:r>
    </w:p>
  </w:footnote>
  <w:footnote w:id="2">
    <w:p w:rsidR="00D972EA" w:rsidRDefault="00D972EA" w:rsidP="001046FD">
      <w:pPr>
        <w:pStyle w:val="FootnoteText"/>
      </w:pPr>
      <w:r>
        <w:rPr>
          <w:rStyle w:val="FootnoteReference"/>
        </w:rPr>
        <w:footnoteRef/>
      </w:r>
      <w:r>
        <w:rPr>
          <w:rtl/>
        </w:rPr>
        <w:t xml:space="preserve"> </w:t>
      </w:r>
      <w:r>
        <w:rPr>
          <w:rFonts w:hint="cs"/>
          <w:rtl/>
        </w:rPr>
        <w:t>لسهولة المرجعية، يشار في هذه الوثيقة إلى كافة هذه الاجتماعات "بالاجتماعات المتزامنة".</w:t>
      </w:r>
    </w:p>
  </w:footnote>
  <w:footnote w:id="3">
    <w:p w:rsidR="00D972EA" w:rsidRDefault="00D972EA" w:rsidP="00A04C36">
      <w:pPr>
        <w:pStyle w:val="FootnoteText"/>
      </w:pPr>
      <w:r>
        <w:rPr>
          <w:rStyle w:val="FootnoteReference"/>
        </w:rPr>
        <w:footnoteRef/>
      </w:r>
      <w:r>
        <w:rPr>
          <w:rtl/>
        </w:rPr>
        <w:t xml:space="preserve"> </w:t>
      </w:r>
      <w:r>
        <w:rPr>
          <w:rFonts w:hint="cs"/>
          <w:rtl/>
        </w:rPr>
        <w:t xml:space="preserve">صدر الإخطار في 22 فبراير/شباط 2017 مع تحديد موعد نهائي في 24 مارس/آذار 2017. وفي وقت لاحق، تم تمديد الموعد النهائي </w:t>
      </w:r>
      <w:r w:rsidR="00A04C36">
        <w:rPr>
          <w:rFonts w:hint="cs"/>
          <w:rtl/>
        </w:rPr>
        <w:t xml:space="preserve">لتقديم </w:t>
      </w:r>
      <w:r>
        <w:rPr>
          <w:rFonts w:hint="cs"/>
          <w:rtl/>
        </w:rPr>
        <w:t>التعليقات إلى 10 أبريل/نيسان 2017.</w:t>
      </w:r>
    </w:p>
  </w:footnote>
  <w:footnote w:id="4">
    <w:p w:rsidR="00D972EA" w:rsidRDefault="00D972EA" w:rsidP="0010703D">
      <w:pPr>
        <w:pStyle w:val="FootnoteText"/>
      </w:pPr>
      <w:r>
        <w:rPr>
          <w:rStyle w:val="FootnoteReference"/>
        </w:rPr>
        <w:footnoteRef/>
      </w:r>
      <w:r>
        <w:rPr>
          <w:rtl/>
        </w:rPr>
        <w:t xml:space="preserve"> </w:t>
      </w:r>
      <w:r>
        <w:rPr>
          <w:rFonts w:hint="cs"/>
          <w:rtl/>
        </w:rPr>
        <w:t xml:space="preserve">تم توزيع هذا الاستقصاء في 22 فبراير/شباط 2017 وبقي مفتوحا </w:t>
      </w:r>
      <w:r w:rsidR="0010703D">
        <w:rPr>
          <w:rFonts w:hint="cs"/>
          <w:rtl/>
        </w:rPr>
        <w:t>حتى</w:t>
      </w:r>
      <w:r>
        <w:rPr>
          <w:rFonts w:hint="cs"/>
          <w:rtl/>
        </w:rPr>
        <w:t xml:space="preserve"> 10 </w:t>
      </w:r>
      <w:r w:rsidRPr="009C7C80">
        <w:rPr>
          <w:rFonts w:hint="cs"/>
          <w:rtl/>
        </w:rPr>
        <w:t>مارس/</w:t>
      </w:r>
      <w:r w:rsidR="001C5148" w:rsidRPr="009C7C80">
        <w:rPr>
          <w:rFonts w:hint="cs"/>
          <w:rtl/>
        </w:rPr>
        <w:t>آذار</w:t>
      </w:r>
      <w:r w:rsidRPr="009C7C80">
        <w:rPr>
          <w:rFonts w:hint="cs"/>
          <w:rtl/>
        </w:rPr>
        <w:t xml:space="preserve"> 2017</w:t>
      </w:r>
      <w:r>
        <w:rPr>
          <w:rFonts w:hint="cs"/>
          <w:rtl/>
        </w:rPr>
        <w:t xml:space="preserve">. وأرسلت </w:t>
      </w:r>
      <w:r w:rsidR="0010703D">
        <w:rPr>
          <w:rFonts w:hint="cs"/>
          <w:rtl/>
        </w:rPr>
        <w:t>رسائل تذكيرية</w:t>
      </w:r>
      <w:r>
        <w:rPr>
          <w:rFonts w:hint="cs"/>
          <w:rtl/>
        </w:rPr>
        <w:t xml:space="preserve"> لاستكمال الاستقصاء في 3 مارس/آذار 2017 و9 مارس</w:t>
      </w:r>
      <w:r w:rsidR="002A39AC">
        <w:rPr>
          <w:rFonts w:hint="cs"/>
          <w:rtl/>
        </w:rPr>
        <w:t>/آذار</w:t>
      </w:r>
      <w:r>
        <w:rPr>
          <w:rFonts w:hint="cs"/>
          <w:rtl/>
        </w:rPr>
        <w:t xml:space="preserve"> 2017.</w:t>
      </w:r>
    </w:p>
  </w:footnote>
  <w:footnote w:id="5">
    <w:p w:rsidR="00D972EA" w:rsidRDefault="00D972EA">
      <w:pPr>
        <w:pStyle w:val="FootnoteText"/>
      </w:pPr>
      <w:r>
        <w:rPr>
          <w:rStyle w:val="FootnoteReference"/>
        </w:rPr>
        <w:footnoteRef/>
      </w:r>
      <w:r>
        <w:rPr>
          <w:rtl/>
        </w:rPr>
        <w:t xml:space="preserve"> </w:t>
      </w:r>
      <w:r>
        <w:t>UNEP/CBD/SBI/2/INF/1</w:t>
      </w:r>
      <w:r>
        <w:rPr>
          <w:rFonts w:hint="cs"/>
          <w:rtl/>
        </w:rPr>
        <w:t xml:space="preserve"> و</w:t>
      </w:r>
      <w:r>
        <w:t>UNEP/CBD/SBI/2/INF/2</w:t>
      </w:r>
      <w:r w:rsidR="0006153E">
        <w:rPr>
          <w:rFonts w:hint="cs"/>
          <w:rtl/>
        </w:rPr>
        <w:t>.</w:t>
      </w:r>
    </w:p>
  </w:footnote>
  <w:footnote w:id="6">
    <w:p w:rsidR="00D972EA" w:rsidRDefault="00D972EA" w:rsidP="005A7194">
      <w:pPr>
        <w:pStyle w:val="FootnoteText"/>
        <w:rPr>
          <w:rtl/>
        </w:rPr>
      </w:pPr>
      <w:r>
        <w:rPr>
          <w:rStyle w:val="FootnoteReference"/>
        </w:rPr>
        <w:footnoteRef/>
      </w:r>
      <w:r>
        <w:rPr>
          <w:rtl/>
        </w:rPr>
        <w:t xml:space="preserve"> </w:t>
      </w:r>
      <w:r>
        <w:rPr>
          <w:rFonts w:hint="cs"/>
          <w:rtl/>
        </w:rPr>
        <w:t>وردت تعليقات من بلجيكا ومدغشقر والمكسيك وجمهورية إيران الإسلامية، فضلا عن الأنديز تشينشاسويو من إكوادور وشبكة نساء الشعوب الأصلية المعنية بالتنوع البيولوجي من أمريكا اللاتينية والكاريبي.</w:t>
      </w:r>
    </w:p>
  </w:footnote>
  <w:footnote w:id="7">
    <w:p w:rsidR="00D972EA" w:rsidRDefault="00D972EA" w:rsidP="002443E3">
      <w:pPr>
        <w:pStyle w:val="FootnoteText"/>
      </w:pPr>
      <w:r>
        <w:rPr>
          <w:rStyle w:val="FootnoteReference"/>
        </w:rPr>
        <w:footnoteRef/>
      </w:r>
      <w:r>
        <w:rPr>
          <w:rtl/>
        </w:rPr>
        <w:t xml:space="preserve"> </w:t>
      </w:r>
      <w:r>
        <w:rPr>
          <w:rFonts w:hint="cs"/>
          <w:rtl/>
        </w:rPr>
        <w:t xml:space="preserve">الجزائر وأنتيغوا وبربودا والأرجنتين والنمسا وبيلاروس وبلجيكا وبنن وبوليفيا والبوسنة والهرسك وبلغاريا وبوروندي وكابو فيردي وكندا والصين وكولومبيا وكوستاريكا </w:t>
      </w:r>
      <w:r w:rsidR="00206535">
        <w:rPr>
          <w:rFonts w:hint="cs"/>
          <w:rtl/>
        </w:rPr>
        <w:t>وكوت ديفوار</w:t>
      </w:r>
      <w:r>
        <w:rPr>
          <w:rFonts w:hint="cs"/>
          <w:rtl/>
        </w:rPr>
        <w:t xml:space="preserve"> وكوبا</w:t>
      </w:r>
      <w:r w:rsidR="00D63D6F">
        <w:rPr>
          <w:rFonts w:hint="cs"/>
          <w:rtl/>
        </w:rPr>
        <w:t xml:space="preserve"> وتشيكيا وجمهورية الكونغو الديم</w:t>
      </w:r>
      <w:r>
        <w:rPr>
          <w:rFonts w:hint="cs"/>
          <w:rtl/>
        </w:rPr>
        <w:t>قراطية والد</w:t>
      </w:r>
      <w:r w:rsidR="00D63D6F">
        <w:rPr>
          <w:rFonts w:hint="cs"/>
          <w:rtl/>
        </w:rPr>
        <w:t>ا</w:t>
      </w:r>
      <w:r>
        <w:rPr>
          <w:rFonts w:hint="cs"/>
          <w:rtl/>
        </w:rPr>
        <w:t>نمرك وإكوادور وغينيا الاستوائية والاتحاد الأوروبي وفنلندا وألمانيا وغانا وغرينادا وغواتيمالا وغينيا</w:t>
      </w:r>
      <w:r w:rsidR="00D63D6F">
        <w:rPr>
          <w:rFonts w:hint="cs"/>
          <w:rtl/>
        </w:rPr>
        <w:t xml:space="preserve"> بيساو وهندوراس والهند وإيران (</w:t>
      </w:r>
      <w:r>
        <w:rPr>
          <w:rFonts w:hint="cs"/>
          <w:rtl/>
        </w:rPr>
        <w:t xml:space="preserve">جمهورية </w:t>
      </w:r>
      <w:r w:rsidR="00D63D6F">
        <w:rPr>
          <w:rFonts w:hint="cs"/>
          <w:rtl/>
        </w:rPr>
        <w:t xml:space="preserve">- </w:t>
      </w:r>
      <w:r>
        <w:rPr>
          <w:rFonts w:hint="cs"/>
          <w:rtl/>
        </w:rPr>
        <w:t>الإسلامية) وجامايكا والكويت ومدغشقر وماليزيا ومالي والمكسيك والمغرب وموز</w:t>
      </w:r>
      <w:r w:rsidR="00D63D6F">
        <w:rPr>
          <w:rFonts w:hint="cs"/>
          <w:rtl/>
        </w:rPr>
        <w:t>ا</w:t>
      </w:r>
      <w:r>
        <w:rPr>
          <w:rFonts w:hint="cs"/>
          <w:rtl/>
        </w:rPr>
        <w:t>مبيق ونيبال وهولندا والنيجر والنرويج وباكستان وبيرو والفليبين وجمهورية كوريا وساو تومي وبرينسيب</w:t>
      </w:r>
      <w:r w:rsidR="00D63D6F">
        <w:rPr>
          <w:rFonts w:hint="cs"/>
          <w:rtl/>
        </w:rPr>
        <w:t>ي</w:t>
      </w:r>
      <w:r>
        <w:rPr>
          <w:rFonts w:hint="cs"/>
          <w:rtl/>
        </w:rPr>
        <w:t xml:space="preserve"> والسنغال وسيشيل وسلوفاكيا وسلوفينيا وجنوب أفريقيا و</w:t>
      </w:r>
      <w:r w:rsidR="00D63D6F">
        <w:rPr>
          <w:rFonts w:hint="cs"/>
          <w:rtl/>
        </w:rPr>
        <w:t>إ</w:t>
      </w:r>
      <w:r>
        <w:rPr>
          <w:rFonts w:hint="cs"/>
          <w:rtl/>
        </w:rPr>
        <w:t>سبانيا وسانت كيتس ونيفيس والسودان وسويسرا و</w:t>
      </w:r>
      <w:r w:rsidR="00D63D6F">
        <w:rPr>
          <w:rFonts w:hint="cs"/>
          <w:rtl/>
        </w:rPr>
        <w:t>تونس وأوغندا وأكرانيا واليمن وز</w:t>
      </w:r>
      <w:r>
        <w:rPr>
          <w:rFonts w:hint="cs"/>
          <w:rtl/>
        </w:rPr>
        <w:t>مبابوي. وبالإضافة إلى ذلك، أشار أحد الأطراف (العراق) إلى تعذر استجابته إلى الإخطار لعدم إمكانية مشاركته في الاجتماعات المتزامنة لأسباب تتعلق بالتأشيرة.</w:t>
      </w:r>
    </w:p>
  </w:footnote>
  <w:footnote w:id="8">
    <w:p w:rsidR="00D972EA" w:rsidRDefault="00D972EA" w:rsidP="00A543DE">
      <w:pPr>
        <w:pStyle w:val="FootnoteText"/>
      </w:pPr>
      <w:r>
        <w:rPr>
          <w:rStyle w:val="FootnoteReference"/>
        </w:rPr>
        <w:footnoteRef/>
      </w:r>
      <w:r>
        <w:rPr>
          <w:rtl/>
        </w:rPr>
        <w:t xml:space="preserve"> </w:t>
      </w:r>
      <w:r>
        <w:rPr>
          <w:rFonts w:hint="cs"/>
          <w:rtl/>
        </w:rPr>
        <w:t>جمعت عناوين البريد الإلكتروني من قائمة المشاركين المسجلين في مؤتمر الأمم المتحدة للتنوع البيولوجي. ولم يكن من الممكن الاتصال بجميع المشاركين المسجلين لأن بعض المشاركين لم يقدموا عنوان بريد إلكتروني و/أو قاموا بالتسجيل مستخدمين بريدا إلكترونيا مؤسسي</w:t>
      </w:r>
      <w:r w:rsidR="00A543DE">
        <w:rPr>
          <w:rFonts w:hint="cs"/>
          <w:rtl/>
        </w:rPr>
        <w:t>ا</w:t>
      </w:r>
      <w:r>
        <w:rPr>
          <w:rFonts w:hint="cs"/>
          <w:rtl/>
        </w:rPr>
        <w:t xml:space="preserve"> عام</w:t>
      </w:r>
      <w:r w:rsidR="00A543DE">
        <w:rPr>
          <w:rFonts w:hint="cs"/>
          <w:rtl/>
        </w:rPr>
        <w:t>ا</w:t>
      </w:r>
      <w:r>
        <w:rPr>
          <w:rFonts w:hint="cs"/>
          <w:rtl/>
        </w:rPr>
        <w:t>. ولم يوزع الاستقصاء على الموظفين الذين يخدمون الاجتماعات أو موظفي الأمن التابعين للأمم المتحدة أو المترجمين</w:t>
      </w:r>
      <w:r w:rsidR="00B62773">
        <w:rPr>
          <w:rFonts w:hint="cs"/>
          <w:rtl/>
        </w:rPr>
        <w:t xml:space="preserve"> الفوريين</w:t>
      </w:r>
      <w:r>
        <w:rPr>
          <w:rFonts w:hint="cs"/>
          <w:rtl/>
        </w:rPr>
        <w:t xml:space="preserve"> أو الموظفين المحليين أو المتطوعين أو الأفراد الذين لم يحضروا سوى حدث</w:t>
      </w:r>
      <w:r w:rsidR="00A543DE">
        <w:rPr>
          <w:rFonts w:hint="cs"/>
          <w:rtl/>
        </w:rPr>
        <w:t>ا</w:t>
      </w:r>
      <w:r>
        <w:rPr>
          <w:rFonts w:hint="cs"/>
          <w:rtl/>
        </w:rPr>
        <w:t xml:space="preserve"> معين</w:t>
      </w:r>
      <w:r w:rsidR="00A543DE">
        <w:rPr>
          <w:rFonts w:hint="cs"/>
          <w:rtl/>
        </w:rPr>
        <w:t>ا</w:t>
      </w:r>
      <w:r>
        <w:rPr>
          <w:rFonts w:hint="cs"/>
          <w:rtl/>
        </w:rPr>
        <w:t xml:space="preserve"> </w:t>
      </w:r>
      <w:r w:rsidR="00A543DE">
        <w:rPr>
          <w:rFonts w:hint="cs"/>
          <w:rtl/>
        </w:rPr>
        <w:t>ع</w:t>
      </w:r>
      <w:r>
        <w:rPr>
          <w:rFonts w:hint="cs"/>
          <w:rtl/>
        </w:rPr>
        <w:t>قد على هامش المؤتمر.</w:t>
      </w:r>
    </w:p>
  </w:footnote>
  <w:footnote w:id="9">
    <w:p w:rsidR="00D972EA" w:rsidRDefault="00D972EA" w:rsidP="0017111A">
      <w:pPr>
        <w:pStyle w:val="FootnoteText"/>
      </w:pPr>
      <w:r>
        <w:rPr>
          <w:rStyle w:val="FootnoteReference"/>
        </w:rPr>
        <w:footnoteRef/>
      </w:r>
      <w:r>
        <w:rPr>
          <w:rtl/>
        </w:rPr>
        <w:t xml:space="preserve"> </w:t>
      </w:r>
      <w:r>
        <w:rPr>
          <w:rFonts w:hint="cs"/>
          <w:rtl/>
        </w:rPr>
        <w:t xml:space="preserve">بيد أنه في بعض الحالات مثلا، تم دعم العديد من المشاركين من نفس الطرف إذا ما كان أحد المشاركين من بلد نام عضوا في مكتب مؤتمر الأطراف. </w:t>
      </w:r>
    </w:p>
  </w:footnote>
  <w:footnote w:id="10">
    <w:p w:rsidR="00D972EA" w:rsidRDefault="00D972EA" w:rsidP="00B24F06">
      <w:pPr>
        <w:pStyle w:val="FootnoteText"/>
      </w:pPr>
      <w:r>
        <w:rPr>
          <w:rStyle w:val="FootnoteReference"/>
        </w:rPr>
        <w:footnoteRef/>
      </w:r>
      <w:r>
        <w:rPr>
          <w:rtl/>
        </w:rPr>
        <w:t xml:space="preserve"> </w:t>
      </w:r>
      <w:r>
        <w:rPr>
          <w:rFonts w:hint="cs"/>
          <w:rtl/>
        </w:rPr>
        <w:t xml:space="preserve">لاحظ أن عدد الأطراف المؤهلة للحصول على الدعم المالي قد ازداد مع مرور الوقت. فقد كان هناك 135 طرفا مؤهلا </w:t>
      </w:r>
      <w:r w:rsidR="00B24F06">
        <w:rPr>
          <w:rFonts w:hint="cs"/>
          <w:rtl/>
        </w:rPr>
        <w:t>في</w:t>
      </w:r>
      <w:r>
        <w:rPr>
          <w:rFonts w:hint="cs"/>
          <w:rtl/>
        </w:rPr>
        <w:t xml:space="preserve"> الاجتماع الخامس لمؤتمر الأطراف العامل كاجتماع للأطراف</w:t>
      </w:r>
      <w:r w:rsidR="00A66F9F">
        <w:rPr>
          <w:rFonts w:hint="cs"/>
          <w:rtl/>
        </w:rPr>
        <w:t>،</w:t>
      </w:r>
      <w:r>
        <w:rPr>
          <w:rFonts w:hint="cs"/>
          <w:rtl/>
        </w:rPr>
        <w:t xml:space="preserve"> و141 طرفا مؤهلا </w:t>
      </w:r>
      <w:r w:rsidR="00B24F06">
        <w:rPr>
          <w:rFonts w:hint="cs"/>
          <w:rtl/>
        </w:rPr>
        <w:t>في الاجتماع السادس</w:t>
      </w:r>
      <w:r w:rsidR="00A66F9F">
        <w:rPr>
          <w:rFonts w:hint="cs"/>
          <w:rtl/>
        </w:rPr>
        <w:t>،</w:t>
      </w:r>
      <w:r>
        <w:rPr>
          <w:rFonts w:hint="cs"/>
          <w:rtl/>
        </w:rPr>
        <w:t xml:space="preserve"> و143 طرفا مؤهلا </w:t>
      </w:r>
      <w:r w:rsidR="00B24F06">
        <w:rPr>
          <w:rFonts w:hint="cs"/>
          <w:rtl/>
        </w:rPr>
        <w:t>في الاجتماع السابع</w:t>
      </w:r>
      <w:r w:rsidR="00A66F9F">
        <w:rPr>
          <w:rFonts w:hint="cs"/>
          <w:rtl/>
        </w:rPr>
        <w:t>،</w:t>
      </w:r>
      <w:r>
        <w:rPr>
          <w:rFonts w:hint="cs"/>
          <w:rtl/>
        </w:rPr>
        <w:t xml:space="preserve"> و145 طرفا مؤهلا </w:t>
      </w:r>
      <w:r w:rsidR="00B24F06">
        <w:rPr>
          <w:rFonts w:hint="cs"/>
          <w:rtl/>
        </w:rPr>
        <w:t>في</w:t>
      </w:r>
      <w:r>
        <w:rPr>
          <w:rFonts w:hint="cs"/>
          <w:rtl/>
        </w:rPr>
        <w:t xml:space="preserve"> الاجتماع الثامن.</w:t>
      </w:r>
    </w:p>
  </w:footnote>
  <w:footnote w:id="11">
    <w:p w:rsidR="00D972EA" w:rsidRDefault="00D972EA" w:rsidP="001E1CBE">
      <w:pPr>
        <w:pStyle w:val="FootnoteText"/>
      </w:pPr>
      <w:r>
        <w:rPr>
          <w:rStyle w:val="FootnoteReference"/>
        </w:rPr>
        <w:footnoteRef/>
      </w:r>
      <w:r>
        <w:rPr>
          <w:rtl/>
        </w:rPr>
        <w:t xml:space="preserve"> </w:t>
      </w:r>
      <w:r>
        <w:rPr>
          <w:rFonts w:hint="cs"/>
          <w:rtl/>
        </w:rPr>
        <w:t>س</w:t>
      </w:r>
      <w:r w:rsidR="001E1CBE">
        <w:rPr>
          <w:rFonts w:hint="cs"/>
          <w:rtl/>
        </w:rPr>
        <w:t>ت</w:t>
      </w:r>
      <w:r>
        <w:rPr>
          <w:rFonts w:hint="cs"/>
          <w:rtl/>
        </w:rPr>
        <w:t>تم مواصلة استكشاف مسألة دعم البلدان النامية الأطراف للمشاركة في اجتماعات مؤتمر الأطراف والبروتوكولين خلال الاجتماع الثاني للهيئة الفرعية للتنفيذ في إطار البند 17 من جدول الأعمال (الصندوق الاستئماني لتيسير مشاركة الأطراف في عملية الاتفاقية: تخصيص الموارد وإمكانية إشراك القطاع الخاص). وستقدم الوثائق ذات الصلة المعدة لهذا البند من جدول الأعمال مزيدا من المعلومات عن هذه المسألة.</w:t>
      </w:r>
    </w:p>
  </w:footnote>
  <w:footnote w:id="12">
    <w:p w:rsidR="00D972EA" w:rsidRDefault="00D972EA" w:rsidP="00B7465A">
      <w:pPr>
        <w:pStyle w:val="FootnoteText"/>
      </w:pPr>
      <w:r>
        <w:rPr>
          <w:rStyle w:val="FootnoteReference"/>
        </w:rPr>
        <w:footnoteRef/>
      </w:r>
      <w:r>
        <w:rPr>
          <w:rtl/>
        </w:rPr>
        <w:t xml:space="preserve"> </w:t>
      </w:r>
      <w:r>
        <w:rPr>
          <w:rFonts w:hint="cs"/>
          <w:rtl/>
        </w:rPr>
        <w:t>تشير النسبة المئوية إلى نسبة جميع البلدان النامية الأطراف المشارك</w:t>
      </w:r>
      <w:r w:rsidR="00B7465A">
        <w:rPr>
          <w:rFonts w:hint="cs"/>
          <w:rtl/>
        </w:rPr>
        <w:t>ة</w:t>
      </w:r>
      <w:r>
        <w:rPr>
          <w:rFonts w:hint="cs"/>
          <w:rtl/>
        </w:rPr>
        <w:t xml:space="preserve"> في الاجتماع. وتستند هذه النسب إلى عدد </w:t>
      </w:r>
      <w:r w:rsidR="005238CD">
        <w:rPr>
          <w:rFonts w:hint="cs"/>
          <w:rtl/>
        </w:rPr>
        <w:t>البلدان</w:t>
      </w:r>
      <w:r>
        <w:rPr>
          <w:rFonts w:hint="cs"/>
          <w:rtl/>
        </w:rPr>
        <w:t xml:space="preserve"> النامية الأطراف في وقت انعقاد الاجتماع.</w:t>
      </w:r>
    </w:p>
  </w:footnote>
  <w:footnote w:id="13">
    <w:p w:rsidR="00D972EA" w:rsidRDefault="00D972EA" w:rsidP="00585122">
      <w:pPr>
        <w:pStyle w:val="FootnoteText"/>
        <w:rPr>
          <w:rtl/>
        </w:rPr>
      </w:pPr>
      <w:r>
        <w:rPr>
          <w:rStyle w:val="FootnoteReference"/>
        </w:rPr>
        <w:footnoteRef/>
      </w:r>
      <w:r>
        <w:rPr>
          <w:rtl/>
        </w:rPr>
        <w:t xml:space="preserve"> </w:t>
      </w:r>
      <w:r w:rsidR="001543CD">
        <w:rPr>
          <w:rFonts w:hint="cs"/>
          <w:rtl/>
        </w:rPr>
        <w:t xml:space="preserve">لا يتضمن عدد الجلسات تلك التي عقدت </w:t>
      </w:r>
      <w:r w:rsidR="00585122">
        <w:rPr>
          <w:rFonts w:hint="cs"/>
          <w:rtl/>
        </w:rPr>
        <w:t>ضمن</w:t>
      </w:r>
      <w:r w:rsidR="001543CD">
        <w:rPr>
          <w:rFonts w:hint="cs"/>
          <w:rtl/>
        </w:rPr>
        <w:t xml:space="preserve"> الجزء الرفيع المستوى</w:t>
      </w:r>
      <w:r w:rsidR="00985A6B">
        <w:rPr>
          <w:rFonts w:hint="cs"/>
          <w:rtl/>
        </w:rPr>
        <w:t xml:space="preserve"> والذي يضم أربع جلسات لكل اجتماع. وخلال الاجتماعات المتزامنة لعام 2016، تم عقد الجزء الرفيع المستوى قبيل البداية الرسمية للاجتماع، على عكس الاجتماعات السابقة حيث تم عقده في نفس الوقت.</w:t>
      </w:r>
    </w:p>
  </w:footnote>
  <w:footnote w:id="14">
    <w:p w:rsidR="00D972EA" w:rsidRPr="001543CD" w:rsidRDefault="00D972EA" w:rsidP="005F7077">
      <w:pPr>
        <w:pStyle w:val="FootnoteText"/>
        <w:rPr>
          <w:color w:val="548DD4" w:themeColor="text2" w:themeTint="99"/>
        </w:rPr>
      </w:pPr>
      <w:r>
        <w:rPr>
          <w:rStyle w:val="FootnoteReference"/>
        </w:rPr>
        <w:footnoteRef/>
      </w:r>
      <w:r>
        <w:rPr>
          <w:rtl/>
        </w:rPr>
        <w:t xml:space="preserve"> </w:t>
      </w:r>
      <w:r w:rsidR="001543CD">
        <w:rPr>
          <w:rFonts w:hint="cs"/>
          <w:rtl/>
        </w:rPr>
        <w:t xml:space="preserve">لمزيد من المعلومات، </w:t>
      </w:r>
      <w:r w:rsidR="005F7077" w:rsidRPr="003741B6">
        <w:rPr>
          <w:rFonts w:hint="cs"/>
          <w:rtl/>
        </w:rPr>
        <w:t>انظر</w:t>
      </w:r>
      <w:r w:rsidR="001543CD" w:rsidRPr="003741B6">
        <w:rPr>
          <w:rFonts w:hint="cs"/>
          <w:rtl/>
        </w:rPr>
        <w:t xml:space="preserve"> </w:t>
      </w:r>
      <w:r w:rsidR="001543CD" w:rsidRPr="00F05C2E">
        <w:rPr>
          <w:color w:val="0000FF"/>
          <w:u w:val="single"/>
        </w:rPr>
        <w:t>CBD/CP/CC/14/5</w:t>
      </w:r>
      <w:r w:rsidR="00F05C2E" w:rsidRPr="00F05C2E">
        <w:rPr>
          <w:rFonts w:hint="cs"/>
          <w:rtl/>
        </w:rPr>
        <w:t>.</w:t>
      </w:r>
    </w:p>
  </w:footnote>
  <w:footnote w:id="15">
    <w:p w:rsidR="007D432A" w:rsidRDefault="007D432A">
      <w:pPr>
        <w:pStyle w:val="FootnoteText"/>
      </w:pPr>
      <w:r>
        <w:rPr>
          <w:rStyle w:val="FootnoteReference"/>
        </w:rPr>
        <w:footnoteRef/>
      </w:r>
      <w:r>
        <w:rPr>
          <w:rtl/>
        </w:rPr>
        <w:t xml:space="preserve"> </w:t>
      </w:r>
      <w:r w:rsidR="00EA653F">
        <w:rPr>
          <w:rFonts w:hint="cs"/>
          <w:rtl/>
        </w:rPr>
        <w:t>أي بعد اف</w:t>
      </w:r>
      <w:r w:rsidR="00025EBD">
        <w:rPr>
          <w:rFonts w:hint="cs"/>
          <w:rtl/>
        </w:rPr>
        <w:t>تتاح الاجتماعات المتزامنة رسميا وخلال فترة الأسبوعين.</w:t>
      </w:r>
    </w:p>
  </w:footnote>
  <w:footnote w:id="16">
    <w:p w:rsidR="007D432A" w:rsidRDefault="007D432A">
      <w:pPr>
        <w:pStyle w:val="FootnoteText"/>
      </w:pPr>
      <w:r>
        <w:rPr>
          <w:rStyle w:val="FootnoteReference"/>
        </w:rPr>
        <w:footnoteRef/>
      </w:r>
      <w:r>
        <w:rPr>
          <w:rtl/>
        </w:rPr>
        <w:t xml:space="preserve"> </w:t>
      </w:r>
      <w:r w:rsidR="00025EBD">
        <w:rPr>
          <w:rFonts w:hint="cs"/>
          <w:rtl/>
        </w:rPr>
        <w:t>أي قبل بضعة أيام من اختتام الاجتماعات المتزامنة.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EA" w:rsidRPr="00B43431" w:rsidRDefault="00D972EA" w:rsidP="00D94B6D">
    <w:pPr>
      <w:tabs>
        <w:tab w:val="left" w:pos="6379"/>
      </w:tabs>
      <w:bidi w:val="0"/>
      <w:ind w:left="6379"/>
      <w:jc w:val="right"/>
      <w:rPr>
        <w:szCs w:val="20"/>
        <w:lang w:val="fr-FR"/>
      </w:rPr>
    </w:pPr>
    <w:r w:rsidRPr="00B43431">
      <w:rPr>
        <w:szCs w:val="20"/>
        <w:lang w:val="fr-FR"/>
      </w:rPr>
      <w:t>CBD/SBI/</w:t>
    </w:r>
    <w:r w:rsidR="00D94B6D">
      <w:rPr>
        <w:szCs w:val="20"/>
        <w:lang w:val="fr-FR"/>
      </w:rPr>
      <w:t>2</w:t>
    </w:r>
    <w:r w:rsidRPr="00B43431">
      <w:rPr>
        <w:szCs w:val="20"/>
        <w:lang w:val="fr-FR"/>
      </w:rPr>
      <w:t>/</w:t>
    </w:r>
    <w:r w:rsidR="00D94B6D">
      <w:rPr>
        <w:szCs w:val="20"/>
        <w:lang w:val="fr-FR"/>
      </w:rPr>
      <w:t>16</w:t>
    </w:r>
    <w:r w:rsidRPr="00B43431">
      <w:rPr>
        <w:szCs w:val="20"/>
        <w:lang w:val="fr-FR"/>
      </w:rPr>
      <w:t>/Add.</w:t>
    </w:r>
    <w:r w:rsidR="00D94B6D">
      <w:rPr>
        <w:szCs w:val="20"/>
        <w:lang w:val="fr-FR"/>
      </w:rPr>
      <w:t>1</w:t>
    </w:r>
  </w:p>
  <w:p w:rsidR="00D972EA" w:rsidRPr="00B43431" w:rsidRDefault="00D972EA" w:rsidP="0095550F">
    <w:pPr>
      <w:tabs>
        <w:tab w:val="left" w:pos="6379"/>
      </w:tabs>
      <w:bidi w:val="0"/>
      <w:ind w:left="6379"/>
      <w:jc w:val="right"/>
      <w:rPr>
        <w:szCs w:val="20"/>
        <w:lang w:val="fr-FR"/>
      </w:rPr>
    </w:pPr>
    <w:r w:rsidRPr="00B43431">
      <w:rPr>
        <w:szCs w:val="20"/>
        <w:lang w:val="fr-FR"/>
      </w:rPr>
      <w:t xml:space="preserve">Page </w:t>
    </w:r>
    <w:r w:rsidRPr="00641275">
      <w:rPr>
        <w:szCs w:val="20"/>
      </w:rPr>
      <w:fldChar w:fldCharType="begin"/>
    </w:r>
    <w:r w:rsidRPr="00B43431">
      <w:rPr>
        <w:szCs w:val="20"/>
        <w:lang w:val="fr-FR"/>
      </w:rPr>
      <w:instrText xml:space="preserve">PAGE  </w:instrText>
    </w:r>
    <w:r w:rsidRPr="00641275">
      <w:rPr>
        <w:szCs w:val="20"/>
      </w:rPr>
      <w:fldChar w:fldCharType="separate"/>
    </w:r>
    <w:r w:rsidR="00DF3061">
      <w:rPr>
        <w:noProof/>
        <w:szCs w:val="20"/>
      </w:rPr>
      <w:t>10</w:t>
    </w:r>
    <w:r w:rsidRPr="00641275">
      <w:rPr>
        <w:szCs w:val="20"/>
      </w:rPr>
      <w:fldChar w:fldCharType="end"/>
    </w:r>
  </w:p>
  <w:p w:rsidR="00D972EA" w:rsidRPr="00B43431" w:rsidRDefault="00D972EA" w:rsidP="0095550F">
    <w:pPr>
      <w:pStyle w:val="Header"/>
      <w:bidi w:val="0"/>
      <w:jc w:val="right"/>
      <w:rPr>
        <w:sz w:val="18"/>
        <w:szCs w:val="22"/>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EA" w:rsidRPr="00B43431" w:rsidRDefault="00D972EA" w:rsidP="00D94B6D">
    <w:pPr>
      <w:tabs>
        <w:tab w:val="left" w:pos="6379"/>
      </w:tabs>
      <w:bidi w:val="0"/>
      <w:jc w:val="left"/>
      <w:rPr>
        <w:sz w:val="22"/>
        <w:szCs w:val="22"/>
        <w:lang w:val="fr-FR"/>
      </w:rPr>
    </w:pPr>
    <w:r w:rsidRPr="00B43431">
      <w:rPr>
        <w:sz w:val="22"/>
        <w:szCs w:val="22"/>
        <w:lang w:val="fr-FR"/>
      </w:rPr>
      <w:t>CBD/SBI/</w:t>
    </w:r>
    <w:r w:rsidR="00D94B6D">
      <w:rPr>
        <w:sz w:val="22"/>
        <w:szCs w:val="22"/>
        <w:lang w:val="fr-FR"/>
      </w:rPr>
      <w:t>2</w:t>
    </w:r>
    <w:r w:rsidRPr="00B43431">
      <w:rPr>
        <w:sz w:val="22"/>
        <w:szCs w:val="22"/>
        <w:lang w:val="fr-FR"/>
      </w:rPr>
      <w:t>/</w:t>
    </w:r>
    <w:r w:rsidR="00D94B6D">
      <w:rPr>
        <w:sz w:val="22"/>
        <w:szCs w:val="22"/>
        <w:lang w:val="fr-FR"/>
      </w:rPr>
      <w:t>16</w:t>
    </w:r>
    <w:r w:rsidRPr="00B43431">
      <w:rPr>
        <w:sz w:val="22"/>
        <w:szCs w:val="22"/>
        <w:lang w:val="fr-FR"/>
      </w:rPr>
      <w:t>/Add.</w:t>
    </w:r>
    <w:r w:rsidR="00D94B6D">
      <w:rPr>
        <w:sz w:val="22"/>
        <w:szCs w:val="22"/>
        <w:lang w:val="fr-FR"/>
      </w:rPr>
      <w:t>1</w:t>
    </w:r>
  </w:p>
  <w:p w:rsidR="00D972EA" w:rsidRPr="00B43431" w:rsidRDefault="00D972EA" w:rsidP="00FF65D5">
    <w:pPr>
      <w:tabs>
        <w:tab w:val="left" w:pos="6379"/>
      </w:tabs>
      <w:bidi w:val="0"/>
      <w:jc w:val="left"/>
      <w:rPr>
        <w:sz w:val="22"/>
        <w:szCs w:val="22"/>
        <w:lang w:val="fr-FR"/>
      </w:rPr>
    </w:pPr>
    <w:r w:rsidRPr="00B43431">
      <w:rPr>
        <w:sz w:val="22"/>
        <w:szCs w:val="22"/>
        <w:lang w:val="fr-FR"/>
      </w:rPr>
      <w:t xml:space="preserve">Page </w:t>
    </w:r>
    <w:r w:rsidRPr="00BF5722">
      <w:rPr>
        <w:sz w:val="22"/>
        <w:szCs w:val="22"/>
      </w:rPr>
      <w:fldChar w:fldCharType="begin"/>
    </w:r>
    <w:r w:rsidRPr="00B43431">
      <w:rPr>
        <w:sz w:val="22"/>
        <w:szCs w:val="22"/>
        <w:lang w:val="fr-FR"/>
      </w:rPr>
      <w:instrText xml:space="preserve">PAGE  </w:instrText>
    </w:r>
    <w:r w:rsidRPr="00BF5722">
      <w:rPr>
        <w:sz w:val="22"/>
        <w:szCs w:val="22"/>
      </w:rPr>
      <w:fldChar w:fldCharType="separate"/>
    </w:r>
    <w:r w:rsidR="00DF3061">
      <w:rPr>
        <w:noProof/>
        <w:sz w:val="22"/>
        <w:szCs w:val="22"/>
      </w:rPr>
      <w:t>13</w:t>
    </w:r>
    <w:r w:rsidRPr="00BF5722">
      <w:rPr>
        <w:sz w:val="22"/>
        <w:szCs w:val="22"/>
      </w:rPr>
      <w:fldChar w:fldCharType="end"/>
    </w:r>
  </w:p>
  <w:p w:rsidR="00D972EA" w:rsidRPr="00B43431" w:rsidRDefault="00D972EA" w:rsidP="00FF65D5">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6752B2"/>
    <w:multiLevelType w:val="hybridMultilevel"/>
    <w:tmpl w:val="7460FFB2"/>
    <w:lvl w:ilvl="0" w:tplc="2DF20E26">
      <w:start w:val="2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E8357CF"/>
    <w:multiLevelType w:val="hybridMultilevel"/>
    <w:tmpl w:val="AF90BA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2B2FDD"/>
    <w:multiLevelType w:val="hybridMultilevel"/>
    <w:tmpl w:val="D2EA0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A4630C4"/>
    <w:multiLevelType w:val="hybridMultilevel"/>
    <w:tmpl w:val="0BF29AAA"/>
    <w:lvl w:ilvl="0" w:tplc="268AE566">
      <w:start w:val="1"/>
      <w:numFmt w:val="decimal"/>
      <w:lvlText w:val="%1-"/>
      <w:lvlJc w:val="left"/>
      <w:pPr>
        <w:ind w:left="1080" w:hanging="720"/>
      </w:pPr>
      <w:rPr>
        <w:rFonts w:hint="default"/>
        <w:b w:val="0"/>
        <w:bCs w:val="0"/>
      </w:rPr>
    </w:lvl>
    <w:lvl w:ilvl="1" w:tplc="FC82B464">
      <w:start w:val="1"/>
      <w:numFmt w:val="arabicAbjad"/>
      <w:lvlText w:val="(%2)"/>
      <w:lvlJc w:val="left"/>
      <w:pPr>
        <w:ind w:left="1440" w:hanging="360"/>
      </w:pPr>
      <w:rPr>
        <w:rFonts w:hint="default"/>
        <w:sz w:val="24"/>
      </w:rPr>
    </w:lvl>
    <w:lvl w:ilvl="2" w:tplc="1B3071BC">
      <w:start w:val="1"/>
      <w:numFmt w:val="decimal"/>
      <w:lvlText w:val="(%3)"/>
      <w:lvlJc w:val="left"/>
      <w:pPr>
        <w:ind w:left="2160" w:hanging="180"/>
      </w:pPr>
      <w:rPr>
        <w:rFonts w:ascii="Times New Roman" w:eastAsia="YouYuan" w:hAnsi="Times New Roman" w:cs="Simplified Arabic"/>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ABE6A9F"/>
    <w:multiLevelType w:val="hybridMultilevel"/>
    <w:tmpl w:val="DA5A404C"/>
    <w:lvl w:ilvl="0" w:tplc="02F269F4">
      <w:start w:val="1"/>
      <w:numFmt w:val="upperRoman"/>
      <w:lvlText w:val="%1."/>
      <w:lvlJc w:val="righ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8">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A67057E"/>
    <w:multiLevelType w:val="hybridMultilevel"/>
    <w:tmpl w:val="CF2C7274"/>
    <w:lvl w:ilvl="0" w:tplc="7842FAD6">
      <w:start w:val="2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3936FB2"/>
    <w:multiLevelType w:val="hybridMultilevel"/>
    <w:tmpl w:val="D486B980"/>
    <w:lvl w:ilvl="0" w:tplc="C45228C6">
      <w:start w:val="27"/>
      <w:numFmt w:val="decimal"/>
      <w:lvlText w:val="%1-"/>
      <w:lvlJc w:val="left"/>
      <w:pPr>
        <w:ind w:left="1080" w:hanging="720"/>
      </w:pPr>
      <w:rPr>
        <w:rFonts w:hint="default"/>
        <w:b w:val="0"/>
        <w:bCs w:val="0"/>
      </w:rPr>
    </w:lvl>
    <w:lvl w:ilvl="1" w:tplc="FC82B464">
      <w:start w:val="1"/>
      <w:numFmt w:val="arabicAbjad"/>
      <w:lvlText w:val="(%2)"/>
      <w:lvlJc w:val="left"/>
      <w:pPr>
        <w:ind w:left="1440" w:hanging="360"/>
      </w:pPr>
      <w:rPr>
        <w:rFonts w:hint="default"/>
        <w:sz w:val="24"/>
      </w:rPr>
    </w:lvl>
    <w:lvl w:ilvl="2" w:tplc="1B3071BC">
      <w:start w:val="1"/>
      <w:numFmt w:val="decimal"/>
      <w:lvlText w:val="(%3)"/>
      <w:lvlJc w:val="left"/>
      <w:pPr>
        <w:ind w:left="2160" w:hanging="180"/>
      </w:pPr>
      <w:rPr>
        <w:rFonts w:ascii="Times New Roman" w:eastAsia="YouYuan" w:hAnsi="Times New Roman" w:cs="Simplified Arabic"/>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1"/>
  </w:num>
  <w:num w:numId="2">
    <w:abstractNumId w:val="14"/>
  </w:num>
  <w:num w:numId="3">
    <w:abstractNumId w:val="9"/>
  </w:num>
  <w:num w:numId="4">
    <w:abstractNumId w:val="8"/>
  </w:num>
  <w:num w:numId="5">
    <w:abstractNumId w:val="0"/>
  </w:num>
  <w:num w:numId="6">
    <w:abstractNumId w:val="5"/>
  </w:num>
  <w:num w:numId="7">
    <w:abstractNumId w:val="12"/>
  </w:num>
  <w:num w:numId="8">
    <w:abstractNumId w:val="15"/>
  </w:num>
  <w:num w:numId="9">
    <w:abstractNumId w:val="7"/>
  </w:num>
  <w:num w:numId="10">
    <w:abstractNumId w:val="3"/>
  </w:num>
  <w:num w:numId="11">
    <w:abstractNumId w:val="4"/>
  </w:num>
  <w:num w:numId="12">
    <w:abstractNumId w:val="10"/>
  </w:num>
  <w:num w:numId="13">
    <w:abstractNumId w:val="1"/>
  </w:num>
  <w:num w:numId="14">
    <w:abstractNumId w:val="6"/>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24"/>
    <w:rsid w:val="00000127"/>
    <w:rsid w:val="00001033"/>
    <w:rsid w:val="00001335"/>
    <w:rsid w:val="00001FD1"/>
    <w:rsid w:val="00003746"/>
    <w:rsid w:val="00003833"/>
    <w:rsid w:val="000039B6"/>
    <w:rsid w:val="00003EE9"/>
    <w:rsid w:val="00004E02"/>
    <w:rsid w:val="00004F1B"/>
    <w:rsid w:val="000056A7"/>
    <w:rsid w:val="00005C6B"/>
    <w:rsid w:val="000061FC"/>
    <w:rsid w:val="00006287"/>
    <w:rsid w:val="0000629F"/>
    <w:rsid w:val="00006B3C"/>
    <w:rsid w:val="00007338"/>
    <w:rsid w:val="0000770F"/>
    <w:rsid w:val="00007E58"/>
    <w:rsid w:val="00010100"/>
    <w:rsid w:val="00010F2A"/>
    <w:rsid w:val="0001141A"/>
    <w:rsid w:val="000144D3"/>
    <w:rsid w:val="00014C62"/>
    <w:rsid w:val="00014DC6"/>
    <w:rsid w:val="00015DC4"/>
    <w:rsid w:val="00016B4E"/>
    <w:rsid w:val="00017621"/>
    <w:rsid w:val="00017D1A"/>
    <w:rsid w:val="000213DE"/>
    <w:rsid w:val="00021E70"/>
    <w:rsid w:val="00022D4B"/>
    <w:rsid w:val="00022FBA"/>
    <w:rsid w:val="00023967"/>
    <w:rsid w:val="00024250"/>
    <w:rsid w:val="0002474B"/>
    <w:rsid w:val="0002523A"/>
    <w:rsid w:val="00025E2A"/>
    <w:rsid w:val="00025EBD"/>
    <w:rsid w:val="000266B7"/>
    <w:rsid w:val="00027140"/>
    <w:rsid w:val="000272C6"/>
    <w:rsid w:val="00027F72"/>
    <w:rsid w:val="000300D1"/>
    <w:rsid w:val="00030485"/>
    <w:rsid w:val="00030C8C"/>
    <w:rsid w:val="000312BC"/>
    <w:rsid w:val="0003135B"/>
    <w:rsid w:val="00031468"/>
    <w:rsid w:val="00031D97"/>
    <w:rsid w:val="00031FBE"/>
    <w:rsid w:val="000326E4"/>
    <w:rsid w:val="00033817"/>
    <w:rsid w:val="00033F9A"/>
    <w:rsid w:val="00034043"/>
    <w:rsid w:val="00034DEB"/>
    <w:rsid w:val="00036F64"/>
    <w:rsid w:val="00040172"/>
    <w:rsid w:val="00040213"/>
    <w:rsid w:val="000408ED"/>
    <w:rsid w:val="00040FA5"/>
    <w:rsid w:val="00041FD9"/>
    <w:rsid w:val="00043D1B"/>
    <w:rsid w:val="00044AAF"/>
    <w:rsid w:val="00044AB8"/>
    <w:rsid w:val="00044EB4"/>
    <w:rsid w:val="0004504F"/>
    <w:rsid w:val="00045E3C"/>
    <w:rsid w:val="00046170"/>
    <w:rsid w:val="000518A5"/>
    <w:rsid w:val="000518AA"/>
    <w:rsid w:val="00051A6E"/>
    <w:rsid w:val="00052817"/>
    <w:rsid w:val="00053725"/>
    <w:rsid w:val="0005429D"/>
    <w:rsid w:val="0005468E"/>
    <w:rsid w:val="000555C6"/>
    <w:rsid w:val="00056818"/>
    <w:rsid w:val="000569D7"/>
    <w:rsid w:val="00056B97"/>
    <w:rsid w:val="00057C94"/>
    <w:rsid w:val="00060817"/>
    <w:rsid w:val="00060B86"/>
    <w:rsid w:val="00060E6E"/>
    <w:rsid w:val="0006113B"/>
    <w:rsid w:val="00061240"/>
    <w:rsid w:val="00061387"/>
    <w:rsid w:val="0006153E"/>
    <w:rsid w:val="0006179B"/>
    <w:rsid w:val="000617F5"/>
    <w:rsid w:val="00061A70"/>
    <w:rsid w:val="00061F32"/>
    <w:rsid w:val="00062717"/>
    <w:rsid w:val="00062CBF"/>
    <w:rsid w:val="0006356C"/>
    <w:rsid w:val="00064081"/>
    <w:rsid w:val="00064142"/>
    <w:rsid w:val="00064701"/>
    <w:rsid w:val="000647C5"/>
    <w:rsid w:val="00065187"/>
    <w:rsid w:val="000655EB"/>
    <w:rsid w:val="000659D4"/>
    <w:rsid w:val="00065D74"/>
    <w:rsid w:val="00065EAD"/>
    <w:rsid w:val="00066168"/>
    <w:rsid w:val="000673FE"/>
    <w:rsid w:val="00071AA3"/>
    <w:rsid w:val="00072556"/>
    <w:rsid w:val="000727D3"/>
    <w:rsid w:val="000730AE"/>
    <w:rsid w:val="0007477C"/>
    <w:rsid w:val="000748F0"/>
    <w:rsid w:val="00074A52"/>
    <w:rsid w:val="00075A8A"/>
    <w:rsid w:val="000770F3"/>
    <w:rsid w:val="000777DF"/>
    <w:rsid w:val="00077DAB"/>
    <w:rsid w:val="0008009F"/>
    <w:rsid w:val="00080B30"/>
    <w:rsid w:val="00081999"/>
    <w:rsid w:val="00081AAD"/>
    <w:rsid w:val="000839A2"/>
    <w:rsid w:val="00084BB4"/>
    <w:rsid w:val="00085341"/>
    <w:rsid w:val="000867EE"/>
    <w:rsid w:val="00086ADE"/>
    <w:rsid w:val="0008758D"/>
    <w:rsid w:val="00087C19"/>
    <w:rsid w:val="000904A8"/>
    <w:rsid w:val="00090807"/>
    <w:rsid w:val="000916BE"/>
    <w:rsid w:val="00091948"/>
    <w:rsid w:val="00092667"/>
    <w:rsid w:val="0009290C"/>
    <w:rsid w:val="00093760"/>
    <w:rsid w:val="00093F2D"/>
    <w:rsid w:val="00094391"/>
    <w:rsid w:val="00094D7F"/>
    <w:rsid w:val="00095854"/>
    <w:rsid w:val="00095DC3"/>
    <w:rsid w:val="00096F83"/>
    <w:rsid w:val="00097021"/>
    <w:rsid w:val="00097777"/>
    <w:rsid w:val="000A043F"/>
    <w:rsid w:val="000A05B7"/>
    <w:rsid w:val="000A0836"/>
    <w:rsid w:val="000A0B70"/>
    <w:rsid w:val="000A10E4"/>
    <w:rsid w:val="000A1281"/>
    <w:rsid w:val="000A151F"/>
    <w:rsid w:val="000A1E30"/>
    <w:rsid w:val="000A2405"/>
    <w:rsid w:val="000A2F22"/>
    <w:rsid w:val="000A52DA"/>
    <w:rsid w:val="000A5398"/>
    <w:rsid w:val="000A5B08"/>
    <w:rsid w:val="000A5E7F"/>
    <w:rsid w:val="000A792D"/>
    <w:rsid w:val="000B013A"/>
    <w:rsid w:val="000B0213"/>
    <w:rsid w:val="000B100E"/>
    <w:rsid w:val="000B1E95"/>
    <w:rsid w:val="000B2606"/>
    <w:rsid w:val="000B3249"/>
    <w:rsid w:val="000B3997"/>
    <w:rsid w:val="000B4102"/>
    <w:rsid w:val="000B4E04"/>
    <w:rsid w:val="000B5A15"/>
    <w:rsid w:val="000B5A66"/>
    <w:rsid w:val="000B5A77"/>
    <w:rsid w:val="000B69DD"/>
    <w:rsid w:val="000B731D"/>
    <w:rsid w:val="000B737A"/>
    <w:rsid w:val="000B7D90"/>
    <w:rsid w:val="000C1221"/>
    <w:rsid w:val="000C1320"/>
    <w:rsid w:val="000C14D0"/>
    <w:rsid w:val="000C1FF3"/>
    <w:rsid w:val="000C2402"/>
    <w:rsid w:val="000C2493"/>
    <w:rsid w:val="000C2729"/>
    <w:rsid w:val="000C2D35"/>
    <w:rsid w:val="000C2D6E"/>
    <w:rsid w:val="000C2F26"/>
    <w:rsid w:val="000C381A"/>
    <w:rsid w:val="000C3D18"/>
    <w:rsid w:val="000C4896"/>
    <w:rsid w:val="000C48B3"/>
    <w:rsid w:val="000C5662"/>
    <w:rsid w:val="000C6625"/>
    <w:rsid w:val="000C697A"/>
    <w:rsid w:val="000C6F97"/>
    <w:rsid w:val="000C7332"/>
    <w:rsid w:val="000D09E6"/>
    <w:rsid w:val="000D0AC3"/>
    <w:rsid w:val="000D0E3C"/>
    <w:rsid w:val="000D19AB"/>
    <w:rsid w:val="000D19CD"/>
    <w:rsid w:val="000D1FD4"/>
    <w:rsid w:val="000D2896"/>
    <w:rsid w:val="000D481D"/>
    <w:rsid w:val="000D48C6"/>
    <w:rsid w:val="000D4B21"/>
    <w:rsid w:val="000D5725"/>
    <w:rsid w:val="000D6011"/>
    <w:rsid w:val="000D6602"/>
    <w:rsid w:val="000D707B"/>
    <w:rsid w:val="000E01B6"/>
    <w:rsid w:val="000E01D6"/>
    <w:rsid w:val="000E1BBD"/>
    <w:rsid w:val="000E1BD9"/>
    <w:rsid w:val="000E272A"/>
    <w:rsid w:val="000E2BE2"/>
    <w:rsid w:val="000E3556"/>
    <w:rsid w:val="000E3599"/>
    <w:rsid w:val="000E35EF"/>
    <w:rsid w:val="000E3C24"/>
    <w:rsid w:val="000E409E"/>
    <w:rsid w:val="000E49AD"/>
    <w:rsid w:val="000E4FE4"/>
    <w:rsid w:val="000E4FE5"/>
    <w:rsid w:val="000E5105"/>
    <w:rsid w:val="000E5220"/>
    <w:rsid w:val="000E52C8"/>
    <w:rsid w:val="000E556E"/>
    <w:rsid w:val="000E581E"/>
    <w:rsid w:val="000E5C64"/>
    <w:rsid w:val="000E6574"/>
    <w:rsid w:val="000F0C9E"/>
    <w:rsid w:val="000F18DF"/>
    <w:rsid w:val="000F22B2"/>
    <w:rsid w:val="000F235F"/>
    <w:rsid w:val="000F29B8"/>
    <w:rsid w:val="000F3E31"/>
    <w:rsid w:val="000F4052"/>
    <w:rsid w:val="000F41E0"/>
    <w:rsid w:val="000F5748"/>
    <w:rsid w:val="000F58C1"/>
    <w:rsid w:val="000F5B3D"/>
    <w:rsid w:val="000F63A7"/>
    <w:rsid w:val="000F7C9C"/>
    <w:rsid w:val="001000A9"/>
    <w:rsid w:val="00102599"/>
    <w:rsid w:val="00103222"/>
    <w:rsid w:val="00103AE0"/>
    <w:rsid w:val="001046FD"/>
    <w:rsid w:val="00104898"/>
    <w:rsid w:val="00104FDC"/>
    <w:rsid w:val="00105BFB"/>
    <w:rsid w:val="001061E2"/>
    <w:rsid w:val="0010703D"/>
    <w:rsid w:val="0010710C"/>
    <w:rsid w:val="0010717E"/>
    <w:rsid w:val="0010734B"/>
    <w:rsid w:val="001074AA"/>
    <w:rsid w:val="00107AB9"/>
    <w:rsid w:val="00107C58"/>
    <w:rsid w:val="00107E92"/>
    <w:rsid w:val="00110E2E"/>
    <w:rsid w:val="0011130E"/>
    <w:rsid w:val="00111693"/>
    <w:rsid w:val="00111839"/>
    <w:rsid w:val="0011229F"/>
    <w:rsid w:val="00112A0C"/>
    <w:rsid w:val="00112AC9"/>
    <w:rsid w:val="00113131"/>
    <w:rsid w:val="00113889"/>
    <w:rsid w:val="00113B50"/>
    <w:rsid w:val="00113C4A"/>
    <w:rsid w:val="00114272"/>
    <w:rsid w:val="0011477C"/>
    <w:rsid w:val="00114E21"/>
    <w:rsid w:val="00115980"/>
    <w:rsid w:val="00115994"/>
    <w:rsid w:val="00116244"/>
    <w:rsid w:val="001164B3"/>
    <w:rsid w:val="00117321"/>
    <w:rsid w:val="0011791F"/>
    <w:rsid w:val="00117DE2"/>
    <w:rsid w:val="0012044D"/>
    <w:rsid w:val="001207B2"/>
    <w:rsid w:val="0012117C"/>
    <w:rsid w:val="00121E3A"/>
    <w:rsid w:val="00122BDE"/>
    <w:rsid w:val="00123B3D"/>
    <w:rsid w:val="001243B6"/>
    <w:rsid w:val="001255C5"/>
    <w:rsid w:val="00126DCB"/>
    <w:rsid w:val="001306C4"/>
    <w:rsid w:val="00130D85"/>
    <w:rsid w:val="00131C2E"/>
    <w:rsid w:val="00132236"/>
    <w:rsid w:val="001329A4"/>
    <w:rsid w:val="001333F6"/>
    <w:rsid w:val="001344FD"/>
    <w:rsid w:val="00134F62"/>
    <w:rsid w:val="001359E9"/>
    <w:rsid w:val="00136622"/>
    <w:rsid w:val="00136BDC"/>
    <w:rsid w:val="001376BF"/>
    <w:rsid w:val="001377A3"/>
    <w:rsid w:val="0013785E"/>
    <w:rsid w:val="0014028D"/>
    <w:rsid w:val="00141238"/>
    <w:rsid w:val="0014128C"/>
    <w:rsid w:val="00141B5B"/>
    <w:rsid w:val="00141DCF"/>
    <w:rsid w:val="00141F12"/>
    <w:rsid w:val="00142099"/>
    <w:rsid w:val="0014267A"/>
    <w:rsid w:val="00142CE1"/>
    <w:rsid w:val="00143020"/>
    <w:rsid w:val="00143185"/>
    <w:rsid w:val="001433E8"/>
    <w:rsid w:val="001438E4"/>
    <w:rsid w:val="00144281"/>
    <w:rsid w:val="00144511"/>
    <w:rsid w:val="00144673"/>
    <w:rsid w:val="0014581D"/>
    <w:rsid w:val="00145D0E"/>
    <w:rsid w:val="0014606A"/>
    <w:rsid w:val="00146A70"/>
    <w:rsid w:val="00146C0B"/>
    <w:rsid w:val="0014701D"/>
    <w:rsid w:val="00150A6B"/>
    <w:rsid w:val="00152087"/>
    <w:rsid w:val="00152FDC"/>
    <w:rsid w:val="00153A4B"/>
    <w:rsid w:val="00153D62"/>
    <w:rsid w:val="00153EB0"/>
    <w:rsid w:val="001543CD"/>
    <w:rsid w:val="001545AB"/>
    <w:rsid w:val="0015460F"/>
    <w:rsid w:val="00154685"/>
    <w:rsid w:val="00155463"/>
    <w:rsid w:val="0015737E"/>
    <w:rsid w:val="00160A70"/>
    <w:rsid w:val="00161C76"/>
    <w:rsid w:val="00162099"/>
    <w:rsid w:val="001635E6"/>
    <w:rsid w:val="00163E06"/>
    <w:rsid w:val="00163EB7"/>
    <w:rsid w:val="0016566C"/>
    <w:rsid w:val="0016621D"/>
    <w:rsid w:val="001676FE"/>
    <w:rsid w:val="00167D0C"/>
    <w:rsid w:val="0017009A"/>
    <w:rsid w:val="0017111A"/>
    <w:rsid w:val="00171A91"/>
    <w:rsid w:val="001721C4"/>
    <w:rsid w:val="001727CC"/>
    <w:rsid w:val="001728CF"/>
    <w:rsid w:val="00172EF1"/>
    <w:rsid w:val="00173FC2"/>
    <w:rsid w:val="0017757C"/>
    <w:rsid w:val="00177826"/>
    <w:rsid w:val="00181695"/>
    <w:rsid w:val="00181A29"/>
    <w:rsid w:val="00181C37"/>
    <w:rsid w:val="00182117"/>
    <w:rsid w:val="00183A60"/>
    <w:rsid w:val="00184104"/>
    <w:rsid w:val="0018508B"/>
    <w:rsid w:val="00185DC3"/>
    <w:rsid w:val="0018650B"/>
    <w:rsid w:val="00186890"/>
    <w:rsid w:val="00187013"/>
    <w:rsid w:val="001904F0"/>
    <w:rsid w:val="001905D4"/>
    <w:rsid w:val="00190DE9"/>
    <w:rsid w:val="001910DD"/>
    <w:rsid w:val="001910F3"/>
    <w:rsid w:val="0019279D"/>
    <w:rsid w:val="00192DB6"/>
    <w:rsid w:val="0019349C"/>
    <w:rsid w:val="00194B47"/>
    <w:rsid w:val="00195913"/>
    <w:rsid w:val="00195BE3"/>
    <w:rsid w:val="00195EA9"/>
    <w:rsid w:val="001964E7"/>
    <w:rsid w:val="001A0740"/>
    <w:rsid w:val="001A0BB5"/>
    <w:rsid w:val="001A0FE9"/>
    <w:rsid w:val="001A11D0"/>
    <w:rsid w:val="001A1396"/>
    <w:rsid w:val="001A2111"/>
    <w:rsid w:val="001A3186"/>
    <w:rsid w:val="001A3254"/>
    <w:rsid w:val="001A46DB"/>
    <w:rsid w:val="001A54D5"/>
    <w:rsid w:val="001A5503"/>
    <w:rsid w:val="001A7344"/>
    <w:rsid w:val="001A79A3"/>
    <w:rsid w:val="001B2191"/>
    <w:rsid w:val="001B2595"/>
    <w:rsid w:val="001B3654"/>
    <w:rsid w:val="001B404D"/>
    <w:rsid w:val="001B4262"/>
    <w:rsid w:val="001B4E40"/>
    <w:rsid w:val="001B6250"/>
    <w:rsid w:val="001B6F23"/>
    <w:rsid w:val="001B7F92"/>
    <w:rsid w:val="001C0AA6"/>
    <w:rsid w:val="001C17FA"/>
    <w:rsid w:val="001C1972"/>
    <w:rsid w:val="001C200E"/>
    <w:rsid w:val="001C2717"/>
    <w:rsid w:val="001C44E3"/>
    <w:rsid w:val="001C5148"/>
    <w:rsid w:val="001C52BF"/>
    <w:rsid w:val="001C5805"/>
    <w:rsid w:val="001C597D"/>
    <w:rsid w:val="001C5AEE"/>
    <w:rsid w:val="001C6CFD"/>
    <w:rsid w:val="001C7861"/>
    <w:rsid w:val="001C7F36"/>
    <w:rsid w:val="001D0DF6"/>
    <w:rsid w:val="001D3114"/>
    <w:rsid w:val="001D3924"/>
    <w:rsid w:val="001D45C6"/>
    <w:rsid w:val="001D5B04"/>
    <w:rsid w:val="001D6114"/>
    <w:rsid w:val="001D6EAC"/>
    <w:rsid w:val="001D7ADB"/>
    <w:rsid w:val="001D7F8A"/>
    <w:rsid w:val="001E1144"/>
    <w:rsid w:val="001E1A32"/>
    <w:rsid w:val="001E1B00"/>
    <w:rsid w:val="001E1CBE"/>
    <w:rsid w:val="001E2692"/>
    <w:rsid w:val="001E26C7"/>
    <w:rsid w:val="001E2F63"/>
    <w:rsid w:val="001E3A23"/>
    <w:rsid w:val="001E3DC9"/>
    <w:rsid w:val="001E6145"/>
    <w:rsid w:val="001E6E2F"/>
    <w:rsid w:val="001E720C"/>
    <w:rsid w:val="001E755B"/>
    <w:rsid w:val="001F05BB"/>
    <w:rsid w:val="001F116D"/>
    <w:rsid w:val="001F3917"/>
    <w:rsid w:val="001F4ADF"/>
    <w:rsid w:val="001F550E"/>
    <w:rsid w:val="001F60D5"/>
    <w:rsid w:val="001F6492"/>
    <w:rsid w:val="001F655A"/>
    <w:rsid w:val="001F7070"/>
    <w:rsid w:val="001F70BC"/>
    <w:rsid w:val="001F7699"/>
    <w:rsid w:val="001F7E62"/>
    <w:rsid w:val="00200285"/>
    <w:rsid w:val="002008DD"/>
    <w:rsid w:val="002013AF"/>
    <w:rsid w:val="00202230"/>
    <w:rsid w:val="0020291E"/>
    <w:rsid w:val="00202A7D"/>
    <w:rsid w:val="00202EEA"/>
    <w:rsid w:val="002036DD"/>
    <w:rsid w:val="0020597A"/>
    <w:rsid w:val="00206535"/>
    <w:rsid w:val="0020663F"/>
    <w:rsid w:val="0020679B"/>
    <w:rsid w:val="00206C65"/>
    <w:rsid w:val="0020757C"/>
    <w:rsid w:val="00207B78"/>
    <w:rsid w:val="00210FEF"/>
    <w:rsid w:val="002121DF"/>
    <w:rsid w:val="00212288"/>
    <w:rsid w:val="00213677"/>
    <w:rsid w:val="00214074"/>
    <w:rsid w:val="00215B52"/>
    <w:rsid w:val="00215CDC"/>
    <w:rsid w:val="002165F8"/>
    <w:rsid w:val="00216892"/>
    <w:rsid w:val="00216CC5"/>
    <w:rsid w:val="00216D4D"/>
    <w:rsid w:val="00217152"/>
    <w:rsid w:val="0021743C"/>
    <w:rsid w:val="002202A1"/>
    <w:rsid w:val="0022077F"/>
    <w:rsid w:val="002207FF"/>
    <w:rsid w:val="0022129C"/>
    <w:rsid w:val="002214C4"/>
    <w:rsid w:val="002224DB"/>
    <w:rsid w:val="00222D10"/>
    <w:rsid w:val="002237BC"/>
    <w:rsid w:val="00224D4B"/>
    <w:rsid w:val="00224E4C"/>
    <w:rsid w:val="0022666F"/>
    <w:rsid w:val="002270CF"/>
    <w:rsid w:val="00227E29"/>
    <w:rsid w:val="00230B45"/>
    <w:rsid w:val="002328A5"/>
    <w:rsid w:val="00232DEC"/>
    <w:rsid w:val="002366DF"/>
    <w:rsid w:val="00237F98"/>
    <w:rsid w:val="0024021E"/>
    <w:rsid w:val="0024076D"/>
    <w:rsid w:val="00240788"/>
    <w:rsid w:val="00241753"/>
    <w:rsid w:val="00241D35"/>
    <w:rsid w:val="0024218B"/>
    <w:rsid w:val="002425E8"/>
    <w:rsid w:val="00242DB7"/>
    <w:rsid w:val="002443E3"/>
    <w:rsid w:val="002448E1"/>
    <w:rsid w:val="00244971"/>
    <w:rsid w:val="0024513B"/>
    <w:rsid w:val="002475E9"/>
    <w:rsid w:val="002502C9"/>
    <w:rsid w:val="002511E1"/>
    <w:rsid w:val="002512B0"/>
    <w:rsid w:val="0025133F"/>
    <w:rsid w:val="00251CE7"/>
    <w:rsid w:val="00251EC6"/>
    <w:rsid w:val="00252349"/>
    <w:rsid w:val="00252BBD"/>
    <w:rsid w:val="0025370D"/>
    <w:rsid w:val="00253F95"/>
    <w:rsid w:val="0025456E"/>
    <w:rsid w:val="00255255"/>
    <w:rsid w:val="00255450"/>
    <w:rsid w:val="00255635"/>
    <w:rsid w:val="00255A49"/>
    <w:rsid w:val="002568AD"/>
    <w:rsid w:val="002576AB"/>
    <w:rsid w:val="00260288"/>
    <w:rsid w:val="00260E72"/>
    <w:rsid w:val="00261832"/>
    <w:rsid w:val="00261ECE"/>
    <w:rsid w:val="002622E7"/>
    <w:rsid w:val="00262590"/>
    <w:rsid w:val="0026269C"/>
    <w:rsid w:val="00262988"/>
    <w:rsid w:val="002629CA"/>
    <w:rsid w:val="00262C67"/>
    <w:rsid w:val="002632E2"/>
    <w:rsid w:val="00263AD8"/>
    <w:rsid w:val="00264564"/>
    <w:rsid w:val="002658A1"/>
    <w:rsid w:val="00265A5D"/>
    <w:rsid w:val="00265BBA"/>
    <w:rsid w:val="00267D60"/>
    <w:rsid w:val="00267DD1"/>
    <w:rsid w:val="00270F95"/>
    <w:rsid w:val="00271024"/>
    <w:rsid w:val="00272866"/>
    <w:rsid w:val="00272959"/>
    <w:rsid w:val="00272B07"/>
    <w:rsid w:val="00272DEB"/>
    <w:rsid w:val="0027387D"/>
    <w:rsid w:val="00273A8B"/>
    <w:rsid w:val="00273E98"/>
    <w:rsid w:val="00275585"/>
    <w:rsid w:val="00275B93"/>
    <w:rsid w:val="00276E61"/>
    <w:rsid w:val="0027728D"/>
    <w:rsid w:val="002805CE"/>
    <w:rsid w:val="002807C8"/>
    <w:rsid w:val="002813E7"/>
    <w:rsid w:val="002815A7"/>
    <w:rsid w:val="00282324"/>
    <w:rsid w:val="00282461"/>
    <w:rsid w:val="00282D8E"/>
    <w:rsid w:val="00282EC5"/>
    <w:rsid w:val="00283D43"/>
    <w:rsid w:val="002859CC"/>
    <w:rsid w:val="00285E6A"/>
    <w:rsid w:val="00286812"/>
    <w:rsid w:val="00286ED1"/>
    <w:rsid w:val="00287EAE"/>
    <w:rsid w:val="00287F71"/>
    <w:rsid w:val="00290527"/>
    <w:rsid w:val="00290B5C"/>
    <w:rsid w:val="0029356F"/>
    <w:rsid w:val="00293A63"/>
    <w:rsid w:val="00294864"/>
    <w:rsid w:val="0029504E"/>
    <w:rsid w:val="00296069"/>
    <w:rsid w:val="002A04CE"/>
    <w:rsid w:val="002A202D"/>
    <w:rsid w:val="002A265B"/>
    <w:rsid w:val="002A27D4"/>
    <w:rsid w:val="002A2880"/>
    <w:rsid w:val="002A28DA"/>
    <w:rsid w:val="002A2E4B"/>
    <w:rsid w:val="002A397D"/>
    <w:rsid w:val="002A39AC"/>
    <w:rsid w:val="002A434B"/>
    <w:rsid w:val="002A4553"/>
    <w:rsid w:val="002A4572"/>
    <w:rsid w:val="002A4D72"/>
    <w:rsid w:val="002A6240"/>
    <w:rsid w:val="002A646F"/>
    <w:rsid w:val="002A6E58"/>
    <w:rsid w:val="002A7696"/>
    <w:rsid w:val="002A7996"/>
    <w:rsid w:val="002B1D05"/>
    <w:rsid w:val="002B1DAE"/>
    <w:rsid w:val="002B2C75"/>
    <w:rsid w:val="002B2CD5"/>
    <w:rsid w:val="002B2EB6"/>
    <w:rsid w:val="002B3414"/>
    <w:rsid w:val="002B415A"/>
    <w:rsid w:val="002B6431"/>
    <w:rsid w:val="002B6A2F"/>
    <w:rsid w:val="002B6AE5"/>
    <w:rsid w:val="002C0205"/>
    <w:rsid w:val="002C0932"/>
    <w:rsid w:val="002C0EA1"/>
    <w:rsid w:val="002C12CA"/>
    <w:rsid w:val="002C1407"/>
    <w:rsid w:val="002C34CE"/>
    <w:rsid w:val="002C3948"/>
    <w:rsid w:val="002C3CE2"/>
    <w:rsid w:val="002C4F7A"/>
    <w:rsid w:val="002C544C"/>
    <w:rsid w:val="002C5A7E"/>
    <w:rsid w:val="002C62C6"/>
    <w:rsid w:val="002C7208"/>
    <w:rsid w:val="002C7811"/>
    <w:rsid w:val="002C79B6"/>
    <w:rsid w:val="002D04AA"/>
    <w:rsid w:val="002D071A"/>
    <w:rsid w:val="002D09A5"/>
    <w:rsid w:val="002D0B34"/>
    <w:rsid w:val="002D0C4E"/>
    <w:rsid w:val="002D1ADE"/>
    <w:rsid w:val="002D1CAB"/>
    <w:rsid w:val="002D2302"/>
    <w:rsid w:val="002D2437"/>
    <w:rsid w:val="002D24DC"/>
    <w:rsid w:val="002D25F5"/>
    <w:rsid w:val="002D2F37"/>
    <w:rsid w:val="002D3EE9"/>
    <w:rsid w:val="002D4279"/>
    <w:rsid w:val="002D4A9A"/>
    <w:rsid w:val="002D56EB"/>
    <w:rsid w:val="002D5C13"/>
    <w:rsid w:val="002D5C2C"/>
    <w:rsid w:val="002D6006"/>
    <w:rsid w:val="002D677E"/>
    <w:rsid w:val="002D7DA9"/>
    <w:rsid w:val="002E0C4A"/>
    <w:rsid w:val="002E0D57"/>
    <w:rsid w:val="002E2443"/>
    <w:rsid w:val="002E2B45"/>
    <w:rsid w:val="002E2EBC"/>
    <w:rsid w:val="002E32D6"/>
    <w:rsid w:val="002E4241"/>
    <w:rsid w:val="002E5922"/>
    <w:rsid w:val="002E5BAA"/>
    <w:rsid w:val="002E6312"/>
    <w:rsid w:val="002E649F"/>
    <w:rsid w:val="002E78F5"/>
    <w:rsid w:val="002E7ED3"/>
    <w:rsid w:val="002F05DD"/>
    <w:rsid w:val="002F159D"/>
    <w:rsid w:val="002F159E"/>
    <w:rsid w:val="002F1744"/>
    <w:rsid w:val="002F437F"/>
    <w:rsid w:val="002F4DB8"/>
    <w:rsid w:val="002F51C1"/>
    <w:rsid w:val="002F6084"/>
    <w:rsid w:val="002F7451"/>
    <w:rsid w:val="0030012E"/>
    <w:rsid w:val="00300A5B"/>
    <w:rsid w:val="00300B62"/>
    <w:rsid w:val="00300E35"/>
    <w:rsid w:val="003019E3"/>
    <w:rsid w:val="003020FD"/>
    <w:rsid w:val="003025BD"/>
    <w:rsid w:val="003047D0"/>
    <w:rsid w:val="00306C34"/>
    <w:rsid w:val="003071F4"/>
    <w:rsid w:val="003073D2"/>
    <w:rsid w:val="00310720"/>
    <w:rsid w:val="00310CB8"/>
    <w:rsid w:val="003111B5"/>
    <w:rsid w:val="0031246C"/>
    <w:rsid w:val="00313667"/>
    <w:rsid w:val="00314132"/>
    <w:rsid w:val="003151FC"/>
    <w:rsid w:val="00315923"/>
    <w:rsid w:val="00315BDA"/>
    <w:rsid w:val="00315EBE"/>
    <w:rsid w:val="00316F74"/>
    <w:rsid w:val="003171A8"/>
    <w:rsid w:val="003178D1"/>
    <w:rsid w:val="00317E03"/>
    <w:rsid w:val="00320A3D"/>
    <w:rsid w:val="003212F2"/>
    <w:rsid w:val="00321CA7"/>
    <w:rsid w:val="00321CE0"/>
    <w:rsid w:val="00322217"/>
    <w:rsid w:val="0032335B"/>
    <w:rsid w:val="00323F16"/>
    <w:rsid w:val="003248EA"/>
    <w:rsid w:val="003251A2"/>
    <w:rsid w:val="0032547E"/>
    <w:rsid w:val="00325CF6"/>
    <w:rsid w:val="003275D9"/>
    <w:rsid w:val="00330071"/>
    <w:rsid w:val="003301CD"/>
    <w:rsid w:val="00330382"/>
    <w:rsid w:val="003303D8"/>
    <w:rsid w:val="00331001"/>
    <w:rsid w:val="00334735"/>
    <w:rsid w:val="00334A81"/>
    <w:rsid w:val="00335CA2"/>
    <w:rsid w:val="00336150"/>
    <w:rsid w:val="00336B26"/>
    <w:rsid w:val="00336BDF"/>
    <w:rsid w:val="00336E1A"/>
    <w:rsid w:val="0033739A"/>
    <w:rsid w:val="00337739"/>
    <w:rsid w:val="00337F61"/>
    <w:rsid w:val="00340341"/>
    <w:rsid w:val="003417CB"/>
    <w:rsid w:val="00341981"/>
    <w:rsid w:val="00341F3B"/>
    <w:rsid w:val="00342299"/>
    <w:rsid w:val="00342BEA"/>
    <w:rsid w:val="00342E1F"/>
    <w:rsid w:val="003430E9"/>
    <w:rsid w:val="00343736"/>
    <w:rsid w:val="00343AED"/>
    <w:rsid w:val="00343F2A"/>
    <w:rsid w:val="00344090"/>
    <w:rsid w:val="00345C3F"/>
    <w:rsid w:val="00346218"/>
    <w:rsid w:val="00346B08"/>
    <w:rsid w:val="0034745D"/>
    <w:rsid w:val="00347D0B"/>
    <w:rsid w:val="003505C3"/>
    <w:rsid w:val="00350FAA"/>
    <w:rsid w:val="00351B41"/>
    <w:rsid w:val="00351E54"/>
    <w:rsid w:val="003520FE"/>
    <w:rsid w:val="003522D7"/>
    <w:rsid w:val="00352FE0"/>
    <w:rsid w:val="00353BAB"/>
    <w:rsid w:val="00353F71"/>
    <w:rsid w:val="0035440C"/>
    <w:rsid w:val="00354666"/>
    <w:rsid w:val="00354669"/>
    <w:rsid w:val="00354700"/>
    <w:rsid w:val="003548FB"/>
    <w:rsid w:val="00356878"/>
    <w:rsid w:val="00357070"/>
    <w:rsid w:val="003603BF"/>
    <w:rsid w:val="00360460"/>
    <w:rsid w:val="00360E58"/>
    <w:rsid w:val="00361B24"/>
    <w:rsid w:val="00361ED7"/>
    <w:rsid w:val="003624B5"/>
    <w:rsid w:val="003624D2"/>
    <w:rsid w:val="003640F5"/>
    <w:rsid w:val="003651A1"/>
    <w:rsid w:val="00365BCC"/>
    <w:rsid w:val="0036629A"/>
    <w:rsid w:val="0036706C"/>
    <w:rsid w:val="0036726F"/>
    <w:rsid w:val="00367700"/>
    <w:rsid w:val="00367DD4"/>
    <w:rsid w:val="00370973"/>
    <w:rsid w:val="0037101B"/>
    <w:rsid w:val="003714DD"/>
    <w:rsid w:val="00371CCD"/>
    <w:rsid w:val="00372ACA"/>
    <w:rsid w:val="00373250"/>
    <w:rsid w:val="0037331F"/>
    <w:rsid w:val="00373912"/>
    <w:rsid w:val="003741B6"/>
    <w:rsid w:val="0037456B"/>
    <w:rsid w:val="003746B2"/>
    <w:rsid w:val="00374733"/>
    <w:rsid w:val="00374DBD"/>
    <w:rsid w:val="00375AA5"/>
    <w:rsid w:val="00375E6A"/>
    <w:rsid w:val="00376D5B"/>
    <w:rsid w:val="0037789A"/>
    <w:rsid w:val="003801E4"/>
    <w:rsid w:val="003806BF"/>
    <w:rsid w:val="003806D2"/>
    <w:rsid w:val="00380E2B"/>
    <w:rsid w:val="0038201D"/>
    <w:rsid w:val="0038206B"/>
    <w:rsid w:val="00382C4D"/>
    <w:rsid w:val="003831FF"/>
    <w:rsid w:val="0038449B"/>
    <w:rsid w:val="003848BF"/>
    <w:rsid w:val="00384CAD"/>
    <w:rsid w:val="00386A9E"/>
    <w:rsid w:val="00387245"/>
    <w:rsid w:val="003872C8"/>
    <w:rsid w:val="00387932"/>
    <w:rsid w:val="00387C63"/>
    <w:rsid w:val="00390045"/>
    <w:rsid w:val="00390F4A"/>
    <w:rsid w:val="003922FA"/>
    <w:rsid w:val="0039297B"/>
    <w:rsid w:val="0039388E"/>
    <w:rsid w:val="00393B97"/>
    <w:rsid w:val="00394948"/>
    <w:rsid w:val="00395560"/>
    <w:rsid w:val="00396FD1"/>
    <w:rsid w:val="003971F2"/>
    <w:rsid w:val="003A11EE"/>
    <w:rsid w:val="003A20AF"/>
    <w:rsid w:val="003A2662"/>
    <w:rsid w:val="003A2B7D"/>
    <w:rsid w:val="003A2B97"/>
    <w:rsid w:val="003A4CFA"/>
    <w:rsid w:val="003A4DF0"/>
    <w:rsid w:val="003A76B3"/>
    <w:rsid w:val="003A7759"/>
    <w:rsid w:val="003A7A87"/>
    <w:rsid w:val="003A7B25"/>
    <w:rsid w:val="003A7D34"/>
    <w:rsid w:val="003B2F19"/>
    <w:rsid w:val="003B3906"/>
    <w:rsid w:val="003B3CB4"/>
    <w:rsid w:val="003B478A"/>
    <w:rsid w:val="003B5981"/>
    <w:rsid w:val="003B6F3C"/>
    <w:rsid w:val="003B70E0"/>
    <w:rsid w:val="003B7902"/>
    <w:rsid w:val="003B7B9D"/>
    <w:rsid w:val="003C134B"/>
    <w:rsid w:val="003C13F1"/>
    <w:rsid w:val="003C3739"/>
    <w:rsid w:val="003C3963"/>
    <w:rsid w:val="003C457F"/>
    <w:rsid w:val="003C45A3"/>
    <w:rsid w:val="003C4A7A"/>
    <w:rsid w:val="003C5470"/>
    <w:rsid w:val="003C6972"/>
    <w:rsid w:val="003C7075"/>
    <w:rsid w:val="003C7BFB"/>
    <w:rsid w:val="003D04D7"/>
    <w:rsid w:val="003D04FD"/>
    <w:rsid w:val="003D2BEA"/>
    <w:rsid w:val="003D2EBE"/>
    <w:rsid w:val="003D3614"/>
    <w:rsid w:val="003D3F82"/>
    <w:rsid w:val="003D441B"/>
    <w:rsid w:val="003D512D"/>
    <w:rsid w:val="003D5D71"/>
    <w:rsid w:val="003D761D"/>
    <w:rsid w:val="003D7970"/>
    <w:rsid w:val="003E045F"/>
    <w:rsid w:val="003E094E"/>
    <w:rsid w:val="003E0966"/>
    <w:rsid w:val="003E0D3E"/>
    <w:rsid w:val="003E0EE3"/>
    <w:rsid w:val="003E1D48"/>
    <w:rsid w:val="003E34A3"/>
    <w:rsid w:val="003E3FA9"/>
    <w:rsid w:val="003E6B08"/>
    <w:rsid w:val="003F07D6"/>
    <w:rsid w:val="003F2531"/>
    <w:rsid w:val="003F31CF"/>
    <w:rsid w:val="003F3EE1"/>
    <w:rsid w:val="003F4577"/>
    <w:rsid w:val="003F49B2"/>
    <w:rsid w:val="003F50A1"/>
    <w:rsid w:val="003F5168"/>
    <w:rsid w:val="003F7000"/>
    <w:rsid w:val="003F756C"/>
    <w:rsid w:val="004013A2"/>
    <w:rsid w:val="00401FD8"/>
    <w:rsid w:val="004020F7"/>
    <w:rsid w:val="004028EE"/>
    <w:rsid w:val="00402FAA"/>
    <w:rsid w:val="00403853"/>
    <w:rsid w:val="00403E8C"/>
    <w:rsid w:val="004045A7"/>
    <w:rsid w:val="00406AB0"/>
    <w:rsid w:val="00407375"/>
    <w:rsid w:val="00407514"/>
    <w:rsid w:val="004077DC"/>
    <w:rsid w:val="004110AD"/>
    <w:rsid w:val="0041136A"/>
    <w:rsid w:val="0041177C"/>
    <w:rsid w:val="004121B1"/>
    <w:rsid w:val="0041306B"/>
    <w:rsid w:val="004133F6"/>
    <w:rsid w:val="0041442C"/>
    <w:rsid w:val="004145EB"/>
    <w:rsid w:val="00415BCE"/>
    <w:rsid w:val="00416071"/>
    <w:rsid w:val="0041654F"/>
    <w:rsid w:val="00416A13"/>
    <w:rsid w:val="00416BB7"/>
    <w:rsid w:val="00417A26"/>
    <w:rsid w:val="00417A9D"/>
    <w:rsid w:val="00417EC1"/>
    <w:rsid w:val="00417ED8"/>
    <w:rsid w:val="00417FA5"/>
    <w:rsid w:val="00420252"/>
    <w:rsid w:val="004204F8"/>
    <w:rsid w:val="00420C8B"/>
    <w:rsid w:val="00421789"/>
    <w:rsid w:val="00422D6F"/>
    <w:rsid w:val="0042356D"/>
    <w:rsid w:val="004237CF"/>
    <w:rsid w:val="004245C1"/>
    <w:rsid w:val="00424615"/>
    <w:rsid w:val="004265FC"/>
    <w:rsid w:val="004270E9"/>
    <w:rsid w:val="00427BA5"/>
    <w:rsid w:val="00431C8C"/>
    <w:rsid w:val="00432773"/>
    <w:rsid w:val="00432F9B"/>
    <w:rsid w:val="0043311F"/>
    <w:rsid w:val="00433B07"/>
    <w:rsid w:val="00434855"/>
    <w:rsid w:val="00435749"/>
    <w:rsid w:val="00435795"/>
    <w:rsid w:val="00436043"/>
    <w:rsid w:val="00436362"/>
    <w:rsid w:val="0043785F"/>
    <w:rsid w:val="00437B06"/>
    <w:rsid w:val="00437E3E"/>
    <w:rsid w:val="00441DFC"/>
    <w:rsid w:val="00441ECA"/>
    <w:rsid w:val="00442BF4"/>
    <w:rsid w:val="00443524"/>
    <w:rsid w:val="00444EE2"/>
    <w:rsid w:val="004467B1"/>
    <w:rsid w:val="00447582"/>
    <w:rsid w:val="00450394"/>
    <w:rsid w:val="00450820"/>
    <w:rsid w:val="00450E94"/>
    <w:rsid w:val="00451562"/>
    <w:rsid w:val="004516E0"/>
    <w:rsid w:val="00451C96"/>
    <w:rsid w:val="00453D3B"/>
    <w:rsid w:val="004551A3"/>
    <w:rsid w:val="00455334"/>
    <w:rsid w:val="0045566E"/>
    <w:rsid w:val="004558A4"/>
    <w:rsid w:val="0045611A"/>
    <w:rsid w:val="0045712F"/>
    <w:rsid w:val="004600CC"/>
    <w:rsid w:val="00460A01"/>
    <w:rsid w:val="00461F46"/>
    <w:rsid w:val="004628F6"/>
    <w:rsid w:val="0046512E"/>
    <w:rsid w:val="00465D31"/>
    <w:rsid w:val="00466704"/>
    <w:rsid w:val="0046688C"/>
    <w:rsid w:val="004669FE"/>
    <w:rsid w:val="00471A29"/>
    <w:rsid w:val="0047207D"/>
    <w:rsid w:val="004721F1"/>
    <w:rsid w:val="00473190"/>
    <w:rsid w:val="004735A1"/>
    <w:rsid w:val="0047381D"/>
    <w:rsid w:val="0047425F"/>
    <w:rsid w:val="0047672D"/>
    <w:rsid w:val="00476CE3"/>
    <w:rsid w:val="00477286"/>
    <w:rsid w:val="004778A2"/>
    <w:rsid w:val="0048049E"/>
    <w:rsid w:val="00480D07"/>
    <w:rsid w:val="00482299"/>
    <w:rsid w:val="0048277D"/>
    <w:rsid w:val="004841A0"/>
    <w:rsid w:val="004841BC"/>
    <w:rsid w:val="004855E6"/>
    <w:rsid w:val="00486A22"/>
    <w:rsid w:val="0048724B"/>
    <w:rsid w:val="00487786"/>
    <w:rsid w:val="0049054D"/>
    <w:rsid w:val="004906CE"/>
    <w:rsid w:val="00491B4B"/>
    <w:rsid w:val="0049363B"/>
    <w:rsid w:val="00493925"/>
    <w:rsid w:val="00493DE0"/>
    <w:rsid w:val="00494130"/>
    <w:rsid w:val="0049415A"/>
    <w:rsid w:val="004944FB"/>
    <w:rsid w:val="00497003"/>
    <w:rsid w:val="004A1056"/>
    <w:rsid w:val="004A1BB2"/>
    <w:rsid w:val="004A1BBF"/>
    <w:rsid w:val="004A208D"/>
    <w:rsid w:val="004A2776"/>
    <w:rsid w:val="004A38B2"/>
    <w:rsid w:val="004A42BB"/>
    <w:rsid w:val="004A5072"/>
    <w:rsid w:val="004A5D09"/>
    <w:rsid w:val="004A6386"/>
    <w:rsid w:val="004B1245"/>
    <w:rsid w:val="004B47F5"/>
    <w:rsid w:val="004B4C87"/>
    <w:rsid w:val="004B5873"/>
    <w:rsid w:val="004B5C58"/>
    <w:rsid w:val="004C0749"/>
    <w:rsid w:val="004C0B31"/>
    <w:rsid w:val="004C127E"/>
    <w:rsid w:val="004C1D41"/>
    <w:rsid w:val="004C24EA"/>
    <w:rsid w:val="004C3A7B"/>
    <w:rsid w:val="004C3AFD"/>
    <w:rsid w:val="004C40F7"/>
    <w:rsid w:val="004C512C"/>
    <w:rsid w:val="004C56FF"/>
    <w:rsid w:val="004C59E0"/>
    <w:rsid w:val="004C6651"/>
    <w:rsid w:val="004C6D68"/>
    <w:rsid w:val="004C77CA"/>
    <w:rsid w:val="004D0C18"/>
    <w:rsid w:val="004D139F"/>
    <w:rsid w:val="004D1F2D"/>
    <w:rsid w:val="004D277D"/>
    <w:rsid w:val="004D2A41"/>
    <w:rsid w:val="004D2BDA"/>
    <w:rsid w:val="004D3A13"/>
    <w:rsid w:val="004D56ED"/>
    <w:rsid w:val="004D5802"/>
    <w:rsid w:val="004E0161"/>
    <w:rsid w:val="004E01DB"/>
    <w:rsid w:val="004E04BB"/>
    <w:rsid w:val="004E11A7"/>
    <w:rsid w:val="004E20B4"/>
    <w:rsid w:val="004E348C"/>
    <w:rsid w:val="004E4D36"/>
    <w:rsid w:val="004E6BDC"/>
    <w:rsid w:val="004E70BC"/>
    <w:rsid w:val="004E735F"/>
    <w:rsid w:val="004F0DD1"/>
    <w:rsid w:val="004F1000"/>
    <w:rsid w:val="004F163F"/>
    <w:rsid w:val="004F1B86"/>
    <w:rsid w:val="004F1F24"/>
    <w:rsid w:val="004F203A"/>
    <w:rsid w:val="004F25C6"/>
    <w:rsid w:val="004F2F7E"/>
    <w:rsid w:val="004F2FDC"/>
    <w:rsid w:val="004F38C4"/>
    <w:rsid w:val="004F3E33"/>
    <w:rsid w:val="004F43F5"/>
    <w:rsid w:val="004F56CD"/>
    <w:rsid w:val="004F5EA7"/>
    <w:rsid w:val="004F6CAD"/>
    <w:rsid w:val="004F7065"/>
    <w:rsid w:val="004F7666"/>
    <w:rsid w:val="0050068B"/>
    <w:rsid w:val="00500A15"/>
    <w:rsid w:val="00500D9D"/>
    <w:rsid w:val="00503554"/>
    <w:rsid w:val="005038A9"/>
    <w:rsid w:val="005040C5"/>
    <w:rsid w:val="00504179"/>
    <w:rsid w:val="00505533"/>
    <w:rsid w:val="00505A4A"/>
    <w:rsid w:val="00506AF8"/>
    <w:rsid w:val="00506CE5"/>
    <w:rsid w:val="00506FFB"/>
    <w:rsid w:val="0050780D"/>
    <w:rsid w:val="00511F69"/>
    <w:rsid w:val="00512A03"/>
    <w:rsid w:val="00513171"/>
    <w:rsid w:val="00513C3F"/>
    <w:rsid w:val="00514D49"/>
    <w:rsid w:val="00515742"/>
    <w:rsid w:val="00516460"/>
    <w:rsid w:val="00517861"/>
    <w:rsid w:val="00520153"/>
    <w:rsid w:val="0052075C"/>
    <w:rsid w:val="00520DF4"/>
    <w:rsid w:val="00521EBE"/>
    <w:rsid w:val="00522231"/>
    <w:rsid w:val="005225B9"/>
    <w:rsid w:val="00523006"/>
    <w:rsid w:val="00523170"/>
    <w:rsid w:val="005238CD"/>
    <w:rsid w:val="00524D8A"/>
    <w:rsid w:val="00525218"/>
    <w:rsid w:val="00525C68"/>
    <w:rsid w:val="00525C9C"/>
    <w:rsid w:val="005261FF"/>
    <w:rsid w:val="00527119"/>
    <w:rsid w:val="005271EA"/>
    <w:rsid w:val="005274FE"/>
    <w:rsid w:val="00527AB0"/>
    <w:rsid w:val="00527BCB"/>
    <w:rsid w:val="0053036B"/>
    <w:rsid w:val="0053062B"/>
    <w:rsid w:val="005306E4"/>
    <w:rsid w:val="0053157E"/>
    <w:rsid w:val="00531B33"/>
    <w:rsid w:val="00531E0F"/>
    <w:rsid w:val="005320B7"/>
    <w:rsid w:val="005320DC"/>
    <w:rsid w:val="00532ECD"/>
    <w:rsid w:val="005331D8"/>
    <w:rsid w:val="005332A0"/>
    <w:rsid w:val="005337A9"/>
    <w:rsid w:val="005337BD"/>
    <w:rsid w:val="00533D9C"/>
    <w:rsid w:val="00534418"/>
    <w:rsid w:val="0053449E"/>
    <w:rsid w:val="00534D8C"/>
    <w:rsid w:val="005351D7"/>
    <w:rsid w:val="00535A29"/>
    <w:rsid w:val="00535C14"/>
    <w:rsid w:val="00535D28"/>
    <w:rsid w:val="005367FF"/>
    <w:rsid w:val="00540A17"/>
    <w:rsid w:val="00541374"/>
    <w:rsid w:val="0054142A"/>
    <w:rsid w:val="00541B98"/>
    <w:rsid w:val="00542381"/>
    <w:rsid w:val="00542935"/>
    <w:rsid w:val="00542DC7"/>
    <w:rsid w:val="00542E76"/>
    <w:rsid w:val="00543517"/>
    <w:rsid w:val="00545633"/>
    <w:rsid w:val="00545F1B"/>
    <w:rsid w:val="00546407"/>
    <w:rsid w:val="00546C2A"/>
    <w:rsid w:val="0054725C"/>
    <w:rsid w:val="005479CB"/>
    <w:rsid w:val="00547D38"/>
    <w:rsid w:val="00547F2E"/>
    <w:rsid w:val="005509F2"/>
    <w:rsid w:val="0055147D"/>
    <w:rsid w:val="00551C85"/>
    <w:rsid w:val="00552447"/>
    <w:rsid w:val="00552A4F"/>
    <w:rsid w:val="00553725"/>
    <w:rsid w:val="00553751"/>
    <w:rsid w:val="0055396D"/>
    <w:rsid w:val="00555095"/>
    <w:rsid w:val="00555503"/>
    <w:rsid w:val="005557D3"/>
    <w:rsid w:val="00555890"/>
    <w:rsid w:val="00555AFE"/>
    <w:rsid w:val="00557177"/>
    <w:rsid w:val="00557B75"/>
    <w:rsid w:val="00560613"/>
    <w:rsid w:val="00560C14"/>
    <w:rsid w:val="00560F23"/>
    <w:rsid w:val="00561CA6"/>
    <w:rsid w:val="0056205E"/>
    <w:rsid w:val="0056262A"/>
    <w:rsid w:val="005628AE"/>
    <w:rsid w:val="00562B54"/>
    <w:rsid w:val="00562D09"/>
    <w:rsid w:val="005635A5"/>
    <w:rsid w:val="005636DA"/>
    <w:rsid w:val="00564206"/>
    <w:rsid w:val="00566B9A"/>
    <w:rsid w:val="00566E46"/>
    <w:rsid w:val="00567DE6"/>
    <w:rsid w:val="00567F13"/>
    <w:rsid w:val="00570B3F"/>
    <w:rsid w:val="00570FBD"/>
    <w:rsid w:val="00571734"/>
    <w:rsid w:val="00572023"/>
    <w:rsid w:val="00572E1B"/>
    <w:rsid w:val="00573EC7"/>
    <w:rsid w:val="0057497F"/>
    <w:rsid w:val="00574D73"/>
    <w:rsid w:val="0057591D"/>
    <w:rsid w:val="00575C3C"/>
    <w:rsid w:val="00575D10"/>
    <w:rsid w:val="0057655E"/>
    <w:rsid w:val="005770DB"/>
    <w:rsid w:val="0057768F"/>
    <w:rsid w:val="00580193"/>
    <w:rsid w:val="005808B2"/>
    <w:rsid w:val="0058126D"/>
    <w:rsid w:val="0058132E"/>
    <w:rsid w:val="00581881"/>
    <w:rsid w:val="00581C93"/>
    <w:rsid w:val="005823AC"/>
    <w:rsid w:val="00582916"/>
    <w:rsid w:val="00582EAA"/>
    <w:rsid w:val="0058362F"/>
    <w:rsid w:val="00585122"/>
    <w:rsid w:val="0058522E"/>
    <w:rsid w:val="005859C9"/>
    <w:rsid w:val="00585C07"/>
    <w:rsid w:val="00585F6F"/>
    <w:rsid w:val="005861A7"/>
    <w:rsid w:val="00586227"/>
    <w:rsid w:val="00586FD3"/>
    <w:rsid w:val="005907F2"/>
    <w:rsid w:val="005915B8"/>
    <w:rsid w:val="005917A8"/>
    <w:rsid w:val="00591E00"/>
    <w:rsid w:val="00592408"/>
    <w:rsid w:val="005924C0"/>
    <w:rsid w:val="00592D9E"/>
    <w:rsid w:val="00594444"/>
    <w:rsid w:val="005954CB"/>
    <w:rsid w:val="00595C2F"/>
    <w:rsid w:val="00596432"/>
    <w:rsid w:val="00596BEB"/>
    <w:rsid w:val="00597238"/>
    <w:rsid w:val="00597297"/>
    <w:rsid w:val="005A21F7"/>
    <w:rsid w:val="005A2AC9"/>
    <w:rsid w:val="005A33B2"/>
    <w:rsid w:val="005A53A8"/>
    <w:rsid w:val="005A55BF"/>
    <w:rsid w:val="005A584E"/>
    <w:rsid w:val="005A5EE4"/>
    <w:rsid w:val="005A6062"/>
    <w:rsid w:val="005A7194"/>
    <w:rsid w:val="005B0779"/>
    <w:rsid w:val="005B1600"/>
    <w:rsid w:val="005B227B"/>
    <w:rsid w:val="005B2354"/>
    <w:rsid w:val="005B3181"/>
    <w:rsid w:val="005B3696"/>
    <w:rsid w:val="005B5E97"/>
    <w:rsid w:val="005B6241"/>
    <w:rsid w:val="005B6918"/>
    <w:rsid w:val="005B6990"/>
    <w:rsid w:val="005B6D78"/>
    <w:rsid w:val="005B76E4"/>
    <w:rsid w:val="005C02D6"/>
    <w:rsid w:val="005C034F"/>
    <w:rsid w:val="005C043C"/>
    <w:rsid w:val="005C0EE0"/>
    <w:rsid w:val="005C1EE2"/>
    <w:rsid w:val="005C4E86"/>
    <w:rsid w:val="005C5746"/>
    <w:rsid w:val="005C5788"/>
    <w:rsid w:val="005C5820"/>
    <w:rsid w:val="005C5D3A"/>
    <w:rsid w:val="005C7011"/>
    <w:rsid w:val="005D190B"/>
    <w:rsid w:val="005D279B"/>
    <w:rsid w:val="005D2D20"/>
    <w:rsid w:val="005D306F"/>
    <w:rsid w:val="005D390E"/>
    <w:rsid w:val="005D5664"/>
    <w:rsid w:val="005D5986"/>
    <w:rsid w:val="005D6865"/>
    <w:rsid w:val="005D69C3"/>
    <w:rsid w:val="005D6BF8"/>
    <w:rsid w:val="005D7453"/>
    <w:rsid w:val="005D763F"/>
    <w:rsid w:val="005D76F3"/>
    <w:rsid w:val="005D781D"/>
    <w:rsid w:val="005D785F"/>
    <w:rsid w:val="005E0DF3"/>
    <w:rsid w:val="005E134F"/>
    <w:rsid w:val="005E1986"/>
    <w:rsid w:val="005E2FBF"/>
    <w:rsid w:val="005E3B64"/>
    <w:rsid w:val="005E425C"/>
    <w:rsid w:val="005E4C7A"/>
    <w:rsid w:val="005E4F2C"/>
    <w:rsid w:val="005E542B"/>
    <w:rsid w:val="005E6BCA"/>
    <w:rsid w:val="005E6E1D"/>
    <w:rsid w:val="005E71E0"/>
    <w:rsid w:val="005F003B"/>
    <w:rsid w:val="005F055E"/>
    <w:rsid w:val="005F0560"/>
    <w:rsid w:val="005F06EE"/>
    <w:rsid w:val="005F085F"/>
    <w:rsid w:val="005F0A23"/>
    <w:rsid w:val="005F16BB"/>
    <w:rsid w:val="005F21DD"/>
    <w:rsid w:val="005F3277"/>
    <w:rsid w:val="005F3620"/>
    <w:rsid w:val="005F398A"/>
    <w:rsid w:val="005F4087"/>
    <w:rsid w:val="005F41B8"/>
    <w:rsid w:val="005F4335"/>
    <w:rsid w:val="005F46F7"/>
    <w:rsid w:val="005F6E9F"/>
    <w:rsid w:val="005F7077"/>
    <w:rsid w:val="005F7330"/>
    <w:rsid w:val="00600A04"/>
    <w:rsid w:val="00600F43"/>
    <w:rsid w:val="00601E8C"/>
    <w:rsid w:val="006023CC"/>
    <w:rsid w:val="006057FC"/>
    <w:rsid w:val="00605AE5"/>
    <w:rsid w:val="00605CFA"/>
    <w:rsid w:val="00606E77"/>
    <w:rsid w:val="006070FC"/>
    <w:rsid w:val="00607997"/>
    <w:rsid w:val="006101C7"/>
    <w:rsid w:val="00610E00"/>
    <w:rsid w:val="00611359"/>
    <w:rsid w:val="00611426"/>
    <w:rsid w:val="006116CB"/>
    <w:rsid w:val="006118CF"/>
    <w:rsid w:val="00611B0E"/>
    <w:rsid w:val="00612665"/>
    <w:rsid w:val="006136BD"/>
    <w:rsid w:val="00613908"/>
    <w:rsid w:val="00613CA1"/>
    <w:rsid w:val="00613F1D"/>
    <w:rsid w:val="006144E5"/>
    <w:rsid w:val="006153C5"/>
    <w:rsid w:val="00615F18"/>
    <w:rsid w:val="0061761A"/>
    <w:rsid w:val="00617826"/>
    <w:rsid w:val="00617AD9"/>
    <w:rsid w:val="00617C91"/>
    <w:rsid w:val="00617D2B"/>
    <w:rsid w:val="0062046E"/>
    <w:rsid w:val="00620E8E"/>
    <w:rsid w:val="00621034"/>
    <w:rsid w:val="006223E5"/>
    <w:rsid w:val="0062293F"/>
    <w:rsid w:val="00622BE7"/>
    <w:rsid w:val="0062356D"/>
    <w:rsid w:val="006239B3"/>
    <w:rsid w:val="006243C0"/>
    <w:rsid w:val="00624A8B"/>
    <w:rsid w:val="006250E3"/>
    <w:rsid w:val="00626010"/>
    <w:rsid w:val="00626A9A"/>
    <w:rsid w:val="00627F09"/>
    <w:rsid w:val="0063116C"/>
    <w:rsid w:val="0063222E"/>
    <w:rsid w:val="00632835"/>
    <w:rsid w:val="0063354D"/>
    <w:rsid w:val="00633E08"/>
    <w:rsid w:val="00633F21"/>
    <w:rsid w:val="0063476C"/>
    <w:rsid w:val="006358CC"/>
    <w:rsid w:val="006361B8"/>
    <w:rsid w:val="0063638D"/>
    <w:rsid w:val="00636454"/>
    <w:rsid w:val="00636513"/>
    <w:rsid w:val="006365D6"/>
    <w:rsid w:val="00636790"/>
    <w:rsid w:val="00636850"/>
    <w:rsid w:val="006370FC"/>
    <w:rsid w:val="00637941"/>
    <w:rsid w:val="00637F18"/>
    <w:rsid w:val="006406C2"/>
    <w:rsid w:val="00640A6B"/>
    <w:rsid w:val="0064126B"/>
    <w:rsid w:val="00641275"/>
    <w:rsid w:val="0064158A"/>
    <w:rsid w:val="0064255F"/>
    <w:rsid w:val="00642C40"/>
    <w:rsid w:val="006449B4"/>
    <w:rsid w:val="00644D62"/>
    <w:rsid w:val="006454C3"/>
    <w:rsid w:val="0064614C"/>
    <w:rsid w:val="00647BF8"/>
    <w:rsid w:val="0065031D"/>
    <w:rsid w:val="00650F1E"/>
    <w:rsid w:val="00651417"/>
    <w:rsid w:val="00651850"/>
    <w:rsid w:val="00654CD5"/>
    <w:rsid w:val="00654E4E"/>
    <w:rsid w:val="00655149"/>
    <w:rsid w:val="00655156"/>
    <w:rsid w:val="00655D9A"/>
    <w:rsid w:val="00657838"/>
    <w:rsid w:val="00660C7F"/>
    <w:rsid w:val="0066189D"/>
    <w:rsid w:val="00661C36"/>
    <w:rsid w:val="00662377"/>
    <w:rsid w:val="006623EF"/>
    <w:rsid w:val="00662C90"/>
    <w:rsid w:val="0066409F"/>
    <w:rsid w:val="0066467C"/>
    <w:rsid w:val="00664B08"/>
    <w:rsid w:val="00664E83"/>
    <w:rsid w:val="00664F99"/>
    <w:rsid w:val="0066582C"/>
    <w:rsid w:val="00666C8B"/>
    <w:rsid w:val="00670D20"/>
    <w:rsid w:val="006717CD"/>
    <w:rsid w:val="0067257C"/>
    <w:rsid w:val="006726E5"/>
    <w:rsid w:val="00674640"/>
    <w:rsid w:val="006759DC"/>
    <w:rsid w:val="00675BEB"/>
    <w:rsid w:val="00675CAA"/>
    <w:rsid w:val="00675D31"/>
    <w:rsid w:val="00676BB1"/>
    <w:rsid w:val="00677004"/>
    <w:rsid w:val="006804BA"/>
    <w:rsid w:val="006804FA"/>
    <w:rsid w:val="006809FF"/>
    <w:rsid w:val="00680B31"/>
    <w:rsid w:val="00681A64"/>
    <w:rsid w:val="006824ED"/>
    <w:rsid w:val="00682527"/>
    <w:rsid w:val="00682817"/>
    <w:rsid w:val="00682DE7"/>
    <w:rsid w:val="0068346D"/>
    <w:rsid w:val="00683754"/>
    <w:rsid w:val="00684BA2"/>
    <w:rsid w:val="00685DEA"/>
    <w:rsid w:val="0068618B"/>
    <w:rsid w:val="00690E8E"/>
    <w:rsid w:val="006910A3"/>
    <w:rsid w:val="006910D5"/>
    <w:rsid w:val="0069125C"/>
    <w:rsid w:val="006914D2"/>
    <w:rsid w:val="006920C8"/>
    <w:rsid w:val="0069215E"/>
    <w:rsid w:val="00693478"/>
    <w:rsid w:val="006937F8"/>
    <w:rsid w:val="006939FA"/>
    <w:rsid w:val="00693AD2"/>
    <w:rsid w:val="006956CA"/>
    <w:rsid w:val="00695A16"/>
    <w:rsid w:val="00695B12"/>
    <w:rsid w:val="00696AEE"/>
    <w:rsid w:val="00696F25"/>
    <w:rsid w:val="006973A6"/>
    <w:rsid w:val="00697664"/>
    <w:rsid w:val="006A11EE"/>
    <w:rsid w:val="006A1CC5"/>
    <w:rsid w:val="006A3052"/>
    <w:rsid w:val="006A361E"/>
    <w:rsid w:val="006A378F"/>
    <w:rsid w:val="006A3C6A"/>
    <w:rsid w:val="006A4423"/>
    <w:rsid w:val="006A46BB"/>
    <w:rsid w:val="006A4DF4"/>
    <w:rsid w:val="006A4E39"/>
    <w:rsid w:val="006A5520"/>
    <w:rsid w:val="006A567A"/>
    <w:rsid w:val="006A5804"/>
    <w:rsid w:val="006A6D3B"/>
    <w:rsid w:val="006A7CAB"/>
    <w:rsid w:val="006A7D68"/>
    <w:rsid w:val="006B05F4"/>
    <w:rsid w:val="006B06D2"/>
    <w:rsid w:val="006B103D"/>
    <w:rsid w:val="006B1A90"/>
    <w:rsid w:val="006B1E79"/>
    <w:rsid w:val="006B2DA8"/>
    <w:rsid w:val="006B46CD"/>
    <w:rsid w:val="006B511B"/>
    <w:rsid w:val="006B58B9"/>
    <w:rsid w:val="006B606D"/>
    <w:rsid w:val="006B6CAE"/>
    <w:rsid w:val="006B6F47"/>
    <w:rsid w:val="006B738D"/>
    <w:rsid w:val="006B75D1"/>
    <w:rsid w:val="006B7628"/>
    <w:rsid w:val="006B7C72"/>
    <w:rsid w:val="006C0B9E"/>
    <w:rsid w:val="006C0E3D"/>
    <w:rsid w:val="006C16B4"/>
    <w:rsid w:val="006C20A5"/>
    <w:rsid w:val="006C2D57"/>
    <w:rsid w:val="006C3788"/>
    <w:rsid w:val="006C3D8A"/>
    <w:rsid w:val="006C41C2"/>
    <w:rsid w:val="006C43A3"/>
    <w:rsid w:val="006C46D8"/>
    <w:rsid w:val="006C5519"/>
    <w:rsid w:val="006C75ED"/>
    <w:rsid w:val="006C7DC4"/>
    <w:rsid w:val="006C7F65"/>
    <w:rsid w:val="006D0340"/>
    <w:rsid w:val="006D04ED"/>
    <w:rsid w:val="006D08CD"/>
    <w:rsid w:val="006D1288"/>
    <w:rsid w:val="006D1483"/>
    <w:rsid w:val="006D29B4"/>
    <w:rsid w:val="006D2EEA"/>
    <w:rsid w:val="006D39AF"/>
    <w:rsid w:val="006D5A94"/>
    <w:rsid w:val="006D76B6"/>
    <w:rsid w:val="006D788D"/>
    <w:rsid w:val="006E046A"/>
    <w:rsid w:val="006E099B"/>
    <w:rsid w:val="006E0DAE"/>
    <w:rsid w:val="006E2B7F"/>
    <w:rsid w:val="006E2D0A"/>
    <w:rsid w:val="006E3861"/>
    <w:rsid w:val="006E3F37"/>
    <w:rsid w:val="006E4105"/>
    <w:rsid w:val="006E594A"/>
    <w:rsid w:val="006E5E37"/>
    <w:rsid w:val="006E6E41"/>
    <w:rsid w:val="006E724A"/>
    <w:rsid w:val="006F15FF"/>
    <w:rsid w:val="006F355B"/>
    <w:rsid w:val="006F37E7"/>
    <w:rsid w:val="006F3ADE"/>
    <w:rsid w:val="006F3F38"/>
    <w:rsid w:val="006F42FD"/>
    <w:rsid w:val="006F4E14"/>
    <w:rsid w:val="006F53AD"/>
    <w:rsid w:val="006F581D"/>
    <w:rsid w:val="006F6AC1"/>
    <w:rsid w:val="006F7839"/>
    <w:rsid w:val="00700E94"/>
    <w:rsid w:val="007011BE"/>
    <w:rsid w:val="007015CC"/>
    <w:rsid w:val="00701747"/>
    <w:rsid w:val="00701A90"/>
    <w:rsid w:val="00701D2C"/>
    <w:rsid w:val="00701DB0"/>
    <w:rsid w:val="00701F58"/>
    <w:rsid w:val="00702460"/>
    <w:rsid w:val="00703042"/>
    <w:rsid w:val="007037C0"/>
    <w:rsid w:val="007041C0"/>
    <w:rsid w:val="00705275"/>
    <w:rsid w:val="0070566E"/>
    <w:rsid w:val="007058FA"/>
    <w:rsid w:val="007068A4"/>
    <w:rsid w:val="00706BB7"/>
    <w:rsid w:val="00707A3A"/>
    <w:rsid w:val="00710309"/>
    <w:rsid w:val="007104E5"/>
    <w:rsid w:val="007106BB"/>
    <w:rsid w:val="00710990"/>
    <w:rsid w:val="00710C59"/>
    <w:rsid w:val="00710ECE"/>
    <w:rsid w:val="007120D7"/>
    <w:rsid w:val="00713991"/>
    <w:rsid w:val="00713C9E"/>
    <w:rsid w:val="00716C5A"/>
    <w:rsid w:val="0071705C"/>
    <w:rsid w:val="00717A79"/>
    <w:rsid w:val="00720BEC"/>
    <w:rsid w:val="00721C44"/>
    <w:rsid w:val="00721FD9"/>
    <w:rsid w:val="00722755"/>
    <w:rsid w:val="00723282"/>
    <w:rsid w:val="007238CF"/>
    <w:rsid w:val="00723EC7"/>
    <w:rsid w:val="00725D13"/>
    <w:rsid w:val="00726C25"/>
    <w:rsid w:val="00727B22"/>
    <w:rsid w:val="0073049F"/>
    <w:rsid w:val="0073052F"/>
    <w:rsid w:val="00731E0E"/>
    <w:rsid w:val="00732DF5"/>
    <w:rsid w:val="007330F9"/>
    <w:rsid w:val="0073343B"/>
    <w:rsid w:val="00733552"/>
    <w:rsid w:val="00733EA0"/>
    <w:rsid w:val="00734817"/>
    <w:rsid w:val="00735007"/>
    <w:rsid w:val="0073575F"/>
    <w:rsid w:val="007378D5"/>
    <w:rsid w:val="007402D1"/>
    <w:rsid w:val="00740FE2"/>
    <w:rsid w:val="0074129A"/>
    <w:rsid w:val="00741922"/>
    <w:rsid w:val="0074225A"/>
    <w:rsid w:val="00742493"/>
    <w:rsid w:val="0074311E"/>
    <w:rsid w:val="0074349F"/>
    <w:rsid w:val="00744B30"/>
    <w:rsid w:val="007455B0"/>
    <w:rsid w:val="00745A26"/>
    <w:rsid w:val="00747C1B"/>
    <w:rsid w:val="007508BE"/>
    <w:rsid w:val="00750FED"/>
    <w:rsid w:val="007511D1"/>
    <w:rsid w:val="007512F6"/>
    <w:rsid w:val="00751E35"/>
    <w:rsid w:val="0075239D"/>
    <w:rsid w:val="00753383"/>
    <w:rsid w:val="00753787"/>
    <w:rsid w:val="00753827"/>
    <w:rsid w:val="00753DFA"/>
    <w:rsid w:val="00754A65"/>
    <w:rsid w:val="007573CA"/>
    <w:rsid w:val="00757435"/>
    <w:rsid w:val="00757A12"/>
    <w:rsid w:val="00760415"/>
    <w:rsid w:val="0076042E"/>
    <w:rsid w:val="0076054F"/>
    <w:rsid w:val="00760BF7"/>
    <w:rsid w:val="007615AC"/>
    <w:rsid w:val="007619FB"/>
    <w:rsid w:val="007625B1"/>
    <w:rsid w:val="00764FA1"/>
    <w:rsid w:val="00765445"/>
    <w:rsid w:val="00765497"/>
    <w:rsid w:val="00766380"/>
    <w:rsid w:val="00766BBE"/>
    <w:rsid w:val="00767306"/>
    <w:rsid w:val="00767945"/>
    <w:rsid w:val="007707CD"/>
    <w:rsid w:val="00770FD7"/>
    <w:rsid w:val="00772494"/>
    <w:rsid w:val="0077385B"/>
    <w:rsid w:val="00774798"/>
    <w:rsid w:val="007751F1"/>
    <w:rsid w:val="0077664D"/>
    <w:rsid w:val="007766E0"/>
    <w:rsid w:val="0078083B"/>
    <w:rsid w:val="0078175C"/>
    <w:rsid w:val="00781924"/>
    <w:rsid w:val="00781BA5"/>
    <w:rsid w:val="007825AD"/>
    <w:rsid w:val="00782CD8"/>
    <w:rsid w:val="00783446"/>
    <w:rsid w:val="007838AE"/>
    <w:rsid w:val="007839AA"/>
    <w:rsid w:val="007868C9"/>
    <w:rsid w:val="00786E19"/>
    <w:rsid w:val="00790103"/>
    <w:rsid w:val="00791161"/>
    <w:rsid w:val="007918DB"/>
    <w:rsid w:val="00791BC9"/>
    <w:rsid w:val="00791C8B"/>
    <w:rsid w:val="007920F1"/>
    <w:rsid w:val="007923D0"/>
    <w:rsid w:val="007938C7"/>
    <w:rsid w:val="00793992"/>
    <w:rsid w:val="00793A5D"/>
    <w:rsid w:val="00794CD2"/>
    <w:rsid w:val="00795A3F"/>
    <w:rsid w:val="0079627E"/>
    <w:rsid w:val="0079691F"/>
    <w:rsid w:val="00797592"/>
    <w:rsid w:val="007A022B"/>
    <w:rsid w:val="007A0E6A"/>
    <w:rsid w:val="007A17A7"/>
    <w:rsid w:val="007A1DB7"/>
    <w:rsid w:val="007A29BC"/>
    <w:rsid w:val="007A309A"/>
    <w:rsid w:val="007A3989"/>
    <w:rsid w:val="007A3A1E"/>
    <w:rsid w:val="007A4569"/>
    <w:rsid w:val="007A4971"/>
    <w:rsid w:val="007A51D3"/>
    <w:rsid w:val="007A65A5"/>
    <w:rsid w:val="007A69FD"/>
    <w:rsid w:val="007A74B5"/>
    <w:rsid w:val="007A7736"/>
    <w:rsid w:val="007B0324"/>
    <w:rsid w:val="007B1468"/>
    <w:rsid w:val="007B1B01"/>
    <w:rsid w:val="007B1C85"/>
    <w:rsid w:val="007B28E1"/>
    <w:rsid w:val="007B358B"/>
    <w:rsid w:val="007B459A"/>
    <w:rsid w:val="007B491B"/>
    <w:rsid w:val="007B5BDD"/>
    <w:rsid w:val="007B5FB0"/>
    <w:rsid w:val="007B626B"/>
    <w:rsid w:val="007B636E"/>
    <w:rsid w:val="007B6F0C"/>
    <w:rsid w:val="007C0025"/>
    <w:rsid w:val="007C0774"/>
    <w:rsid w:val="007C118D"/>
    <w:rsid w:val="007C1448"/>
    <w:rsid w:val="007C146E"/>
    <w:rsid w:val="007C1A3B"/>
    <w:rsid w:val="007C1E2F"/>
    <w:rsid w:val="007C235C"/>
    <w:rsid w:val="007C2F1F"/>
    <w:rsid w:val="007C4936"/>
    <w:rsid w:val="007C5506"/>
    <w:rsid w:val="007C5DC9"/>
    <w:rsid w:val="007C606C"/>
    <w:rsid w:val="007C6226"/>
    <w:rsid w:val="007C6A48"/>
    <w:rsid w:val="007C6F88"/>
    <w:rsid w:val="007C709C"/>
    <w:rsid w:val="007D0DC2"/>
    <w:rsid w:val="007D11B4"/>
    <w:rsid w:val="007D1727"/>
    <w:rsid w:val="007D1A23"/>
    <w:rsid w:val="007D216E"/>
    <w:rsid w:val="007D286D"/>
    <w:rsid w:val="007D2F4F"/>
    <w:rsid w:val="007D34DE"/>
    <w:rsid w:val="007D3882"/>
    <w:rsid w:val="007D431E"/>
    <w:rsid w:val="007D432A"/>
    <w:rsid w:val="007D557B"/>
    <w:rsid w:val="007D68CD"/>
    <w:rsid w:val="007D7559"/>
    <w:rsid w:val="007D7670"/>
    <w:rsid w:val="007E05D3"/>
    <w:rsid w:val="007E144C"/>
    <w:rsid w:val="007E2F69"/>
    <w:rsid w:val="007E343D"/>
    <w:rsid w:val="007E38BF"/>
    <w:rsid w:val="007E3EA3"/>
    <w:rsid w:val="007E4AF6"/>
    <w:rsid w:val="007E527D"/>
    <w:rsid w:val="007E5B09"/>
    <w:rsid w:val="007E6D33"/>
    <w:rsid w:val="007E6FF5"/>
    <w:rsid w:val="007E79E2"/>
    <w:rsid w:val="007E7C24"/>
    <w:rsid w:val="007F0C58"/>
    <w:rsid w:val="007F16FC"/>
    <w:rsid w:val="007F33E9"/>
    <w:rsid w:val="007F41DC"/>
    <w:rsid w:val="007F4286"/>
    <w:rsid w:val="007F463E"/>
    <w:rsid w:val="007F47E1"/>
    <w:rsid w:val="007F6AD1"/>
    <w:rsid w:val="007F6C89"/>
    <w:rsid w:val="00800631"/>
    <w:rsid w:val="00800855"/>
    <w:rsid w:val="00800BC7"/>
    <w:rsid w:val="00801EA4"/>
    <w:rsid w:val="008022A3"/>
    <w:rsid w:val="008029CF"/>
    <w:rsid w:val="00803A5C"/>
    <w:rsid w:val="00803C3F"/>
    <w:rsid w:val="00804099"/>
    <w:rsid w:val="008049E8"/>
    <w:rsid w:val="0080705F"/>
    <w:rsid w:val="00807316"/>
    <w:rsid w:val="00807E98"/>
    <w:rsid w:val="0081046F"/>
    <w:rsid w:val="00810796"/>
    <w:rsid w:val="00810D20"/>
    <w:rsid w:val="00812A12"/>
    <w:rsid w:val="00813B1B"/>
    <w:rsid w:val="00813F7D"/>
    <w:rsid w:val="00815B06"/>
    <w:rsid w:val="00816915"/>
    <w:rsid w:val="00821023"/>
    <w:rsid w:val="00821416"/>
    <w:rsid w:val="0082465E"/>
    <w:rsid w:val="00825BDE"/>
    <w:rsid w:val="00827C2E"/>
    <w:rsid w:val="00827D97"/>
    <w:rsid w:val="00831048"/>
    <w:rsid w:val="008320A8"/>
    <w:rsid w:val="00832633"/>
    <w:rsid w:val="0083266C"/>
    <w:rsid w:val="0083302C"/>
    <w:rsid w:val="00833243"/>
    <w:rsid w:val="008333C6"/>
    <w:rsid w:val="008339F2"/>
    <w:rsid w:val="00833F4A"/>
    <w:rsid w:val="008345AA"/>
    <w:rsid w:val="0083477C"/>
    <w:rsid w:val="0083520B"/>
    <w:rsid w:val="00835689"/>
    <w:rsid w:val="008357D3"/>
    <w:rsid w:val="0083589F"/>
    <w:rsid w:val="00835E21"/>
    <w:rsid w:val="00835F53"/>
    <w:rsid w:val="00835FA3"/>
    <w:rsid w:val="00836253"/>
    <w:rsid w:val="0083630F"/>
    <w:rsid w:val="00836E03"/>
    <w:rsid w:val="008374D3"/>
    <w:rsid w:val="0084008D"/>
    <w:rsid w:val="008413D2"/>
    <w:rsid w:val="008418BE"/>
    <w:rsid w:val="0084439B"/>
    <w:rsid w:val="00844A7E"/>
    <w:rsid w:val="00844B7C"/>
    <w:rsid w:val="00845373"/>
    <w:rsid w:val="008455D3"/>
    <w:rsid w:val="008457DB"/>
    <w:rsid w:val="00845A54"/>
    <w:rsid w:val="00846227"/>
    <w:rsid w:val="00846604"/>
    <w:rsid w:val="00846A1F"/>
    <w:rsid w:val="00847640"/>
    <w:rsid w:val="008509B5"/>
    <w:rsid w:val="00851C45"/>
    <w:rsid w:val="0085230C"/>
    <w:rsid w:val="00852A87"/>
    <w:rsid w:val="00852B33"/>
    <w:rsid w:val="00852E08"/>
    <w:rsid w:val="00853E85"/>
    <w:rsid w:val="008553E8"/>
    <w:rsid w:val="008565ED"/>
    <w:rsid w:val="00856699"/>
    <w:rsid w:val="00857785"/>
    <w:rsid w:val="008607E2"/>
    <w:rsid w:val="00860B13"/>
    <w:rsid w:val="00860F4B"/>
    <w:rsid w:val="0086158A"/>
    <w:rsid w:val="008630C9"/>
    <w:rsid w:val="00863DCB"/>
    <w:rsid w:val="00864A73"/>
    <w:rsid w:val="008655E2"/>
    <w:rsid w:val="00865A3E"/>
    <w:rsid w:val="00865CF9"/>
    <w:rsid w:val="0086622F"/>
    <w:rsid w:val="00866CBA"/>
    <w:rsid w:val="00867103"/>
    <w:rsid w:val="008715BA"/>
    <w:rsid w:val="008716AE"/>
    <w:rsid w:val="0087196F"/>
    <w:rsid w:val="00872311"/>
    <w:rsid w:val="0087255E"/>
    <w:rsid w:val="008727C1"/>
    <w:rsid w:val="008729ED"/>
    <w:rsid w:val="00872B30"/>
    <w:rsid w:val="008743C0"/>
    <w:rsid w:val="0087589E"/>
    <w:rsid w:val="008759A8"/>
    <w:rsid w:val="00875A6B"/>
    <w:rsid w:val="008773E0"/>
    <w:rsid w:val="008806FA"/>
    <w:rsid w:val="00882035"/>
    <w:rsid w:val="00882448"/>
    <w:rsid w:val="0088267B"/>
    <w:rsid w:val="00882DF9"/>
    <w:rsid w:val="0088306A"/>
    <w:rsid w:val="008848E0"/>
    <w:rsid w:val="00884937"/>
    <w:rsid w:val="00884A8B"/>
    <w:rsid w:val="00885E02"/>
    <w:rsid w:val="00885E43"/>
    <w:rsid w:val="00887115"/>
    <w:rsid w:val="008877D4"/>
    <w:rsid w:val="00887A7A"/>
    <w:rsid w:val="00887CE0"/>
    <w:rsid w:val="00887F66"/>
    <w:rsid w:val="00890358"/>
    <w:rsid w:val="00890D58"/>
    <w:rsid w:val="00892319"/>
    <w:rsid w:val="00893570"/>
    <w:rsid w:val="008950F8"/>
    <w:rsid w:val="008957C5"/>
    <w:rsid w:val="0089619F"/>
    <w:rsid w:val="00896904"/>
    <w:rsid w:val="008969B5"/>
    <w:rsid w:val="00896FF3"/>
    <w:rsid w:val="0089745F"/>
    <w:rsid w:val="00897C87"/>
    <w:rsid w:val="008A2282"/>
    <w:rsid w:val="008A2844"/>
    <w:rsid w:val="008A43A4"/>
    <w:rsid w:val="008A60E0"/>
    <w:rsid w:val="008A6268"/>
    <w:rsid w:val="008A6B5A"/>
    <w:rsid w:val="008A7FBF"/>
    <w:rsid w:val="008B12F7"/>
    <w:rsid w:val="008B1D90"/>
    <w:rsid w:val="008B1E37"/>
    <w:rsid w:val="008B2182"/>
    <w:rsid w:val="008B2437"/>
    <w:rsid w:val="008B2B0B"/>
    <w:rsid w:val="008B4849"/>
    <w:rsid w:val="008B797F"/>
    <w:rsid w:val="008C0B3B"/>
    <w:rsid w:val="008C0C2A"/>
    <w:rsid w:val="008C0DAB"/>
    <w:rsid w:val="008C20A1"/>
    <w:rsid w:val="008C27D2"/>
    <w:rsid w:val="008C30B7"/>
    <w:rsid w:val="008C4651"/>
    <w:rsid w:val="008C4E37"/>
    <w:rsid w:val="008C556F"/>
    <w:rsid w:val="008C56C2"/>
    <w:rsid w:val="008C5901"/>
    <w:rsid w:val="008C5DF1"/>
    <w:rsid w:val="008C60BF"/>
    <w:rsid w:val="008C6E84"/>
    <w:rsid w:val="008C70C3"/>
    <w:rsid w:val="008C7B4C"/>
    <w:rsid w:val="008D0EA7"/>
    <w:rsid w:val="008D133A"/>
    <w:rsid w:val="008D20D2"/>
    <w:rsid w:val="008D2129"/>
    <w:rsid w:val="008D24E1"/>
    <w:rsid w:val="008D25CB"/>
    <w:rsid w:val="008D2728"/>
    <w:rsid w:val="008D2C1A"/>
    <w:rsid w:val="008D358C"/>
    <w:rsid w:val="008D3677"/>
    <w:rsid w:val="008D47CA"/>
    <w:rsid w:val="008D4EFD"/>
    <w:rsid w:val="008D6135"/>
    <w:rsid w:val="008D65A3"/>
    <w:rsid w:val="008D6ABB"/>
    <w:rsid w:val="008D7C15"/>
    <w:rsid w:val="008E0168"/>
    <w:rsid w:val="008E0654"/>
    <w:rsid w:val="008E099E"/>
    <w:rsid w:val="008E124F"/>
    <w:rsid w:val="008E1845"/>
    <w:rsid w:val="008E1877"/>
    <w:rsid w:val="008E209E"/>
    <w:rsid w:val="008E2ABE"/>
    <w:rsid w:val="008E2BC9"/>
    <w:rsid w:val="008E4BC9"/>
    <w:rsid w:val="008E5A97"/>
    <w:rsid w:val="008E62BE"/>
    <w:rsid w:val="008E68C0"/>
    <w:rsid w:val="008E7181"/>
    <w:rsid w:val="008F19C9"/>
    <w:rsid w:val="008F1D4D"/>
    <w:rsid w:val="008F2729"/>
    <w:rsid w:val="008F2893"/>
    <w:rsid w:val="008F3083"/>
    <w:rsid w:val="008F356C"/>
    <w:rsid w:val="008F4111"/>
    <w:rsid w:val="008F4BE5"/>
    <w:rsid w:val="008F50CA"/>
    <w:rsid w:val="008F576E"/>
    <w:rsid w:val="008F70E3"/>
    <w:rsid w:val="008F77CB"/>
    <w:rsid w:val="00901150"/>
    <w:rsid w:val="009015E3"/>
    <w:rsid w:val="00901B99"/>
    <w:rsid w:val="00902036"/>
    <w:rsid w:val="0090330C"/>
    <w:rsid w:val="00903D27"/>
    <w:rsid w:val="00905EC8"/>
    <w:rsid w:val="00907897"/>
    <w:rsid w:val="0090797C"/>
    <w:rsid w:val="00907CAD"/>
    <w:rsid w:val="00910864"/>
    <w:rsid w:val="00910D80"/>
    <w:rsid w:val="0091120C"/>
    <w:rsid w:val="00912FC1"/>
    <w:rsid w:val="0091308E"/>
    <w:rsid w:val="009130C4"/>
    <w:rsid w:val="00914011"/>
    <w:rsid w:val="00914511"/>
    <w:rsid w:val="00914D37"/>
    <w:rsid w:val="009154B0"/>
    <w:rsid w:val="0091569E"/>
    <w:rsid w:val="00915906"/>
    <w:rsid w:val="00915A1C"/>
    <w:rsid w:val="00915E67"/>
    <w:rsid w:val="00917792"/>
    <w:rsid w:val="0092009D"/>
    <w:rsid w:val="00920EBB"/>
    <w:rsid w:val="00920FF6"/>
    <w:rsid w:val="00921B02"/>
    <w:rsid w:val="00922486"/>
    <w:rsid w:val="009226FE"/>
    <w:rsid w:val="009227DF"/>
    <w:rsid w:val="009228EE"/>
    <w:rsid w:val="0092291B"/>
    <w:rsid w:val="00923A23"/>
    <w:rsid w:val="00924632"/>
    <w:rsid w:val="0092478F"/>
    <w:rsid w:val="0092495C"/>
    <w:rsid w:val="0092533D"/>
    <w:rsid w:val="00925A12"/>
    <w:rsid w:val="009262D9"/>
    <w:rsid w:val="0093026E"/>
    <w:rsid w:val="009316F2"/>
    <w:rsid w:val="00932013"/>
    <w:rsid w:val="0093211A"/>
    <w:rsid w:val="00932A6B"/>
    <w:rsid w:val="00932C34"/>
    <w:rsid w:val="00932E96"/>
    <w:rsid w:val="00932F6D"/>
    <w:rsid w:val="009331D8"/>
    <w:rsid w:val="00933333"/>
    <w:rsid w:val="00934EEE"/>
    <w:rsid w:val="0093601D"/>
    <w:rsid w:val="0093674B"/>
    <w:rsid w:val="00936F68"/>
    <w:rsid w:val="00937A7E"/>
    <w:rsid w:val="00940E80"/>
    <w:rsid w:val="00940E96"/>
    <w:rsid w:val="00940FB9"/>
    <w:rsid w:val="00942D4B"/>
    <w:rsid w:val="00943872"/>
    <w:rsid w:val="00943FF9"/>
    <w:rsid w:val="00944341"/>
    <w:rsid w:val="00946EE9"/>
    <w:rsid w:val="0094702A"/>
    <w:rsid w:val="00947600"/>
    <w:rsid w:val="00947C8C"/>
    <w:rsid w:val="00947EEB"/>
    <w:rsid w:val="009500CA"/>
    <w:rsid w:val="00950A1B"/>
    <w:rsid w:val="00950BFB"/>
    <w:rsid w:val="009511F3"/>
    <w:rsid w:val="00951A1A"/>
    <w:rsid w:val="00951AE4"/>
    <w:rsid w:val="00951C12"/>
    <w:rsid w:val="00952267"/>
    <w:rsid w:val="00953627"/>
    <w:rsid w:val="00954348"/>
    <w:rsid w:val="0095550F"/>
    <w:rsid w:val="00956487"/>
    <w:rsid w:val="0095798B"/>
    <w:rsid w:val="009604FC"/>
    <w:rsid w:val="009612EA"/>
    <w:rsid w:val="009616DC"/>
    <w:rsid w:val="0096205E"/>
    <w:rsid w:val="009626A7"/>
    <w:rsid w:val="009628B7"/>
    <w:rsid w:val="009634D7"/>
    <w:rsid w:val="0096393E"/>
    <w:rsid w:val="00964CEF"/>
    <w:rsid w:val="00964DA0"/>
    <w:rsid w:val="00964F77"/>
    <w:rsid w:val="009655F8"/>
    <w:rsid w:val="00967804"/>
    <w:rsid w:val="00967F7F"/>
    <w:rsid w:val="00971F53"/>
    <w:rsid w:val="009726D7"/>
    <w:rsid w:val="00972869"/>
    <w:rsid w:val="0097291C"/>
    <w:rsid w:val="009733D5"/>
    <w:rsid w:val="00973C36"/>
    <w:rsid w:val="0097453F"/>
    <w:rsid w:val="00974E56"/>
    <w:rsid w:val="00975064"/>
    <w:rsid w:val="009752C7"/>
    <w:rsid w:val="0097564A"/>
    <w:rsid w:val="0097577F"/>
    <w:rsid w:val="00976098"/>
    <w:rsid w:val="009773A6"/>
    <w:rsid w:val="009774F7"/>
    <w:rsid w:val="0097779F"/>
    <w:rsid w:val="00983CC9"/>
    <w:rsid w:val="00984258"/>
    <w:rsid w:val="00984350"/>
    <w:rsid w:val="00984468"/>
    <w:rsid w:val="0098475C"/>
    <w:rsid w:val="0098527F"/>
    <w:rsid w:val="009853C6"/>
    <w:rsid w:val="00985602"/>
    <w:rsid w:val="00985A6B"/>
    <w:rsid w:val="00985F79"/>
    <w:rsid w:val="00986FE3"/>
    <w:rsid w:val="0098756C"/>
    <w:rsid w:val="009875C2"/>
    <w:rsid w:val="00990C8A"/>
    <w:rsid w:val="00991012"/>
    <w:rsid w:val="00991243"/>
    <w:rsid w:val="009912AC"/>
    <w:rsid w:val="00993786"/>
    <w:rsid w:val="00993B35"/>
    <w:rsid w:val="0099422B"/>
    <w:rsid w:val="00994D8D"/>
    <w:rsid w:val="00995682"/>
    <w:rsid w:val="009957E4"/>
    <w:rsid w:val="0099663F"/>
    <w:rsid w:val="00996AD0"/>
    <w:rsid w:val="00996FB2"/>
    <w:rsid w:val="009971BD"/>
    <w:rsid w:val="009979C7"/>
    <w:rsid w:val="00997A3B"/>
    <w:rsid w:val="00997B50"/>
    <w:rsid w:val="009A1183"/>
    <w:rsid w:val="009A1786"/>
    <w:rsid w:val="009A29F3"/>
    <w:rsid w:val="009A2A7E"/>
    <w:rsid w:val="009A3BCD"/>
    <w:rsid w:val="009A4925"/>
    <w:rsid w:val="009A6315"/>
    <w:rsid w:val="009A7F11"/>
    <w:rsid w:val="009B0312"/>
    <w:rsid w:val="009B0344"/>
    <w:rsid w:val="009B1316"/>
    <w:rsid w:val="009B226F"/>
    <w:rsid w:val="009B2288"/>
    <w:rsid w:val="009B22DE"/>
    <w:rsid w:val="009B286C"/>
    <w:rsid w:val="009B4263"/>
    <w:rsid w:val="009B468C"/>
    <w:rsid w:val="009B49DE"/>
    <w:rsid w:val="009B4DBE"/>
    <w:rsid w:val="009B6BD8"/>
    <w:rsid w:val="009B7154"/>
    <w:rsid w:val="009B7897"/>
    <w:rsid w:val="009C05FE"/>
    <w:rsid w:val="009C0BA7"/>
    <w:rsid w:val="009C136A"/>
    <w:rsid w:val="009C1741"/>
    <w:rsid w:val="009C4E65"/>
    <w:rsid w:val="009C5DF2"/>
    <w:rsid w:val="009C64B5"/>
    <w:rsid w:val="009C68CD"/>
    <w:rsid w:val="009C696D"/>
    <w:rsid w:val="009C6CEB"/>
    <w:rsid w:val="009C7C80"/>
    <w:rsid w:val="009D0094"/>
    <w:rsid w:val="009D0FF6"/>
    <w:rsid w:val="009D160B"/>
    <w:rsid w:val="009D23B4"/>
    <w:rsid w:val="009D2410"/>
    <w:rsid w:val="009D37D1"/>
    <w:rsid w:val="009D47F8"/>
    <w:rsid w:val="009D493B"/>
    <w:rsid w:val="009D582A"/>
    <w:rsid w:val="009D5BF2"/>
    <w:rsid w:val="009D760C"/>
    <w:rsid w:val="009D7ECD"/>
    <w:rsid w:val="009E0040"/>
    <w:rsid w:val="009E055B"/>
    <w:rsid w:val="009E06E0"/>
    <w:rsid w:val="009E1B43"/>
    <w:rsid w:val="009E3FEC"/>
    <w:rsid w:val="009E597C"/>
    <w:rsid w:val="009E6426"/>
    <w:rsid w:val="009E6849"/>
    <w:rsid w:val="009E79C0"/>
    <w:rsid w:val="009F0CC4"/>
    <w:rsid w:val="009F1C99"/>
    <w:rsid w:val="009F25A5"/>
    <w:rsid w:val="009F2807"/>
    <w:rsid w:val="009F3836"/>
    <w:rsid w:val="009F3A0F"/>
    <w:rsid w:val="009F431A"/>
    <w:rsid w:val="009F4373"/>
    <w:rsid w:val="009F5034"/>
    <w:rsid w:val="009F6C51"/>
    <w:rsid w:val="009F719C"/>
    <w:rsid w:val="00A00050"/>
    <w:rsid w:val="00A0175B"/>
    <w:rsid w:val="00A01961"/>
    <w:rsid w:val="00A02017"/>
    <w:rsid w:val="00A0229F"/>
    <w:rsid w:val="00A02FDD"/>
    <w:rsid w:val="00A036A4"/>
    <w:rsid w:val="00A03C66"/>
    <w:rsid w:val="00A04266"/>
    <w:rsid w:val="00A0436C"/>
    <w:rsid w:val="00A04618"/>
    <w:rsid w:val="00A04C36"/>
    <w:rsid w:val="00A04DF3"/>
    <w:rsid w:val="00A056B1"/>
    <w:rsid w:val="00A05BC4"/>
    <w:rsid w:val="00A06387"/>
    <w:rsid w:val="00A064E4"/>
    <w:rsid w:val="00A06E86"/>
    <w:rsid w:val="00A06F9A"/>
    <w:rsid w:val="00A07A38"/>
    <w:rsid w:val="00A10222"/>
    <w:rsid w:val="00A10639"/>
    <w:rsid w:val="00A1071F"/>
    <w:rsid w:val="00A10C68"/>
    <w:rsid w:val="00A11D6C"/>
    <w:rsid w:val="00A12E0A"/>
    <w:rsid w:val="00A139E1"/>
    <w:rsid w:val="00A14390"/>
    <w:rsid w:val="00A1474B"/>
    <w:rsid w:val="00A15FCB"/>
    <w:rsid w:val="00A16901"/>
    <w:rsid w:val="00A17A06"/>
    <w:rsid w:val="00A17D2C"/>
    <w:rsid w:val="00A2025B"/>
    <w:rsid w:val="00A22CA0"/>
    <w:rsid w:val="00A23828"/>
    <w:rsid w:val="00A23ADB"/>
    <w:rsid w:val="00A23DA3"/>
    <w:rsid w:val="00A242C1"/>
    <w:rsid w:val="00A2497A"/>
    <w:rsid w:val="00A24C37"/>
    <w:rsid w:val="00A25ED4"/>
    <w:rsid w:val="00A2778B"/>
    <w:rsid w:val="00A31F81"/>
    <w:rsid w:val="00A337A2"/>
    <w:rsid w:val="00A339D1"/>
    <w:rsid w:val="00A34D97"/>
    <w:rsid w:val="00A361FF"/>
    <w:rsid w:val="00A3737E"/>
    <w:rsid w:val="00A40110"/>
    <w:rsid w:val="00A40AAB"/>
    <w:rsid w:val="00A424F9"/>
    <w:rsid w:val="00A4274F"/>
    <w:rsid w:val="00A42D43"/>
    <w:rsid w:val="00A42F45"/>
    <w:rsid w:val="00A43A8C"/>
    <w:rsid w:val="00A45629"/>
    <w:rsid w:val="00A45DF2"/>
    <w:rsid w:val="00A508D2"/>
    <w:rsid w:val="00A515A2"/>
    <w:rsid w:val="00A543DE"/>
    <w:rsid w:val="00A54CB7"/>
    <w:rsid w:val="00A550AF"/>
    <w:rsid w:val="00A56669"/>
    <w:rsid w:val="00A56B49"/>
    <w:rsid w:val="00A57A44"/>
    <w:rsid w:val="00A6049D"/>
    <w:rsid w:val="00A6088C"/>
    <w:rsid w:val="00A61349"/>
    <w:rsid w:val="00A616C8"/>
    <w:rsid w:val="00A62240"/>
    <w:rsid w:val="00A62321"/>
    <w:rsid w:val="00A62402"/>
    <w:rsid w:val="00A635FA"/>
    <w:rsid w:val="00A635FE"/>
    <w:rsid w:val="00A65085"/>
    <w:rsid w:val="00A65A02"/>
    <w:rsid w:val="00A65A44"/>
    <w:rsid w:val="00A668C5"/>
    <w:rsid w:val="00A668DA"/>
    <w:rsid w:val="00A6690D"/>
    <w:rsid w:val="00A66C37"/>
    <w:rsid w:val="00A66F9F"/>
    <w:rsid w:val="00A66FCE"/>
    <w:rsid w:val="00A67F5F"/>
    <w:rsid w:val="00A71F12"/>
    <w:rsid w:val="00A724CE"/>
    <w:rsid w:val="00A73B61"/>
    <w:rsid w:val="00A74D8D"/>
    <w:rsid w:val="00A74FF9"/>
    <w:rsid w:val="00A76AAE"/>
    <w:rsid w:val="00A76C7F"/>
    <w:rsid w:val="00A77B69"/>
    <w:rsid w:val="00A80F9D"/>
    <w:rsid w:val="00A820B4"/>
    <w:rsid w:val="00A821A0"/>
    <w:rsid w:val="00A835C5"/>
    <w:rsid w:val="00A83A71"/>
    <w:rsid w:val="00A8453C"/>
    <w:rsid w:val="00A848D6"/>
    <w:rsid w:val="00A84A4D"/>
    <w:rsid w:val="00A852C6"/>
    <w:rsid w:val="00A85E84"/>
    <w:rsid w:val="00A861B7"/>
    <w:rsid w:val="00A86A2D"/>
    <w:rsid w:val="00A87A7E"/>
    <w:rsid w:val="00A87D35"/>
    <w:rsid w:val="00A87E6D"/>
    <w:rsid w:val="00A908CB"/>
    <w:rsid w:val="00A91B04"/>
    <w:rsid w:val="00A9271E"/>
    <w:rsid w:val="00A92843"/>
    <w:rsid w:val="00A92F34"/>
    <w:rsid w:val="00A95F9C"/>
    <w:rsid w:val="00A9673A"/>
    <w:rsid w:val="00A96BFE"/>
    <w:rsid w:val="00A96F8D"/>
    <w:rsid w:val="00AA0030"/>
    <w:rsid w:val="00AA084E"/>
    <w:rsid w:val="00AA1252"/>
    <w:rsid w:val="00AA2DDC"/>
    <w:rsid w:val="00AA34FC"/>
    <w:rsid w:val="00AA3BFA"/>
    <w:rsid w:val="00AA3CD6"/>
    <w:rsid w:val="00AA3CF9"/>
    <w:rsid w:val="00AA3F45"/>
    <w:rsid w:val="00AA42EA"/>
    <w:rsid w:val="00AA6AE4"/>
    <w:rsid w:val="00AA6BCD"/>
    <w:rsid w:val="00AA7AE3"/>
    <w:rsid w:val="00AB0556"/>
    <w:rsid w:val="00AB0C15"/>
    <w:rsid w:val="00AB1088"/>
    <w:rsid w:val="00AB2D57"/>
    <w:rsid w:val="00AB2DE2"/>
    <w:rsid w:val="00AB3041"/>
    <w:rsid w:val="00AB3072"/>
    <w:rsid w:val="00AB3BA4"/>
    <w:rsid w:val="00AB3F76"/>
    <w:rsid w:val="00AB50C1"/>
    <w:rsid w:val="00AB5BB1"/>
    <w:rsid w:val="00AB6591"/>
    <w:rsid w:val="00AB6F43"/>
    <w:rsid w:val="00AB79DE"/>
    <w:rsid w:val="00AB7DCF"/>
    <w:rsid w:val="00AC01DD"/>
    <w:rsid w:val="00AC0800"/>
    <w:rsid w:val="00AC0F5A"/>
    <w:rsid w:val="00AC112C"/>
    <w:rsid w:val="00AC146B"/>
    <w:rsid w:val="00AC24B8"/>
    <w:rsid w:val="00AC2C4D"/>
    <w:rsid w:val="00AC3058"/>
    <w:rsid w:val="00AC32BE"/>
    <w:rsid w:val="00AC3C6E"/>
    <w:rsid w:val="00AC4F67"/>
    <w:rsid w:val="00AC6C10"/>
    <w:rsid w:val="00AC6E2F"/>
    <w:rsid w:val="00AC6E71"/>
    <w:rsid w:val="00AC6F91"/>
    <w:rsid w:val="00AC788F"/>
    <w:rsid w:val="00AC7E94"/>
    <w:rsid w:val="00AD07B4"/>
    <w:rsid w:val="00AD08A7"/>
    <w:rsid w:val="00AD0B82"/>
    <w:rsid w:val="00AD0F0F"/>
    <w:rsid w:val="00AD1C61"/>
    <w:rsid w:val="00AD252F"/>
    <w:rsid w:val="00AD3523"/>
    <w:rsid w:val="00AD387D"/>
    <w:rsid w:val="00AD3C09"/>
    <w:rsid w:val="00AD4CA8"/>
    <w:rsid w:val="00AD5181"/>
    <w:rsid w:val="00AD575E"/>
    <w:rsid w:val="00AD5A10"/>
    <w:rsid w:val="00AD6038"/>
    <w:rsid w:val="00AD66ED"/>
    <w:rsid w:val="00AD6BFB"/>
    <w:rsid w:val="00AE0763"/>
    <w:rsid w:val="00AE0F43"/>
    <w:rsid w:val="00AE19CA"/>
    <w:rsid w:val="00AE22E7"/>
    <w:rsid w:val="00AE2B65"/>
    <w:rsid w:val="00AE3024"/>
    <w:rsid w:val="00AE358E"/>
    <w:rsid w:val="00AE3668"/>
    <w:rsid w:val="00AE3BFC"/>
    <w:rsid w:val="00AE4283"/>
    <w:rsid w:val="00AE46E6"/>
    <w:rsid w:val="00AE4A63"/>
    <w:rsid w:val="00AE6A20"/>
    <w:rsid w:val="00AF1438"/>
    <w:rsid w:val="00AF418B"/>
    <w:rsid w:val="00AF561A"/>
    <w:rsid w:val="00AF5A6F"/>
    <w:rsid w:val="00AF5F36"/>
    <w:rsid w:val="00AF64C7"/>
    <w:rsid w:val="00AF7172"/>
    <w:rsid w:val="00AF7B86"/>
    <w:rsid w:val="00B00182"/>
    <w:rsid w:val="00B01CC0"/>
    <w:rsid w:val="00B023B6"/>
    <w:rsid w:val="00B027A0"/>
    <w:rsid w:val="00B02F5D"/>
    <w:rsid w:val="00B04296"/>
    <w:rsid w:val="00B04A9B"/>
    <w:rsid w:val="00B04DB2"/>
    <w:rsid w:val="00B0541C"/>
    <w:rsid w:val="00B10702"/>
    <w:rsid w:val="00B11848"/>
    <w:rsid w:val="00B11996"/>
    <w:rsid w:val="00B1227E"/>
    <w:rsid w:val="00B122E6"/>
    <w:rsid w:val="00B12475"/>
    <w:rsid w:val="00B1313C"/>
    <w:rsid w:val="00B13823"/>
    <w:rsid w:val="00B14234"/>
    <w:rsid w:val="00B148D3"/>
    <w:rsid w:val="00B14CC6"/>
    <w:rsid w:val="00B15012"/>
    <w:rsid w:val="00B150E8"/>
    <w:rsid w:val="00B15240"/>
    <w:rsid w:val="00B15AEF"/>
    <w:rsid w:val="00B16589"/>
    <w:rsid w:val="00B16BDB"/>
    <w:rsid w:val="00B16DC8"/>
    <w:rsid w:val="00B174FF"/>
    <w:rsid w:val="00B17855"/>
    <w:rsid w:val="00B17CD4"/>
    <w:rsid w:val="00B17DD7"/>
    <w:rsid w:val="00B2055C"/>
    <w:rsid w:val="00B20FF1"/>
    <w:rsid w:val="00B2138F"/>
    <w:rsid w:val="00B22459"/>
    <w:rsid w:val="00B2271F"/>
    <w:rsid w:val="00B239FA"/>
    <w:rsid w:val="00B23AA0"/>
    <w:rsid w:val="00B23E0B"/>
    <w:rsid w:val="00B245FB"/>
    <w:rsid w:val="00B24F06"/>
    <w:rsid w:val="00B25D06"/>
    <w:rsid w:val="00B260DA"/>
    <w:rsid w:val="00B2684A"/>
    <w:rsid w:val="00B272A6"/>
    <w:rsid w:val="00B30A63"/>
    <w:rsid w:val="00B31ED0"/>
    <w:rsid w:val="00B32453"/>
    <w:rsid w:val="00B32D36"/>
    <w:rsid w:val="00B337E0"/>
    <w:rsid w:val="00B344FC"/>
    <w:rsid w:val="00B3462B"/>
    <w:rsid w:val="00B36CE3"/>
    <w:rsid w:val="00B379C4"/>
    <w:rsid w:val="00B37E0D"/>
    <w:rsid w:val="00B40861"/>
    <w:rsid w:val="00B40928"/>
    <w:rsid w:val="00B40EDC"/>
    <w:rsid w:val="00B413C8"/>
    <w:rsid w:val="00B41647"/>
    <w:rsid w:val="00B43431"/>
    <w:rsid w:val="00B4416B"/>
    <w:rsid w:val="00B4651E"/>
    <w:rsid w:val="00B467EE"/>
    <w:rsid w:val="00B47B0A"/>
    <w:rsid w:val="00B50667"/>
    <w:rsid w:val="00B508BF"/>
    <w:rsid w:val="00B51252"/>
    <w:rsid w:val="00B51ACF"/>
    <w:rsid w:val="00B5234E"/>
    <w:rsid w:val="00B5254B"/>
    <w:rsid w:val="00B547C7"/>
    <w:rsid w:val="00B54BD1"/>
    <w:rsid w:val="00B54DE2"/>
    <w:rsid w:val="00B55BBE"/>
    <w:rsid w:val="00B55DB0"/>
    <w:rsid w:val="00B56CE7"/>
    <w:rsid w:val="00B57523"/>
    <w:rsid w:val="00B603E8"/>
    <w:rsid w:val="00B6070D"/>
    <w:rsid w:val="00B60D9D"/>
    <w:rsid w:val="00B616BB"/>
    <w:rsid w:val="00B62773"/>
    <w:rsid w:val="00B627AB"/>
    <w:rsid w:val="00B62DE3"/>
    <w:rsid w:val="00B63C39"/>
    <w:rsid w:val="00B66125"/>
    <w:rsid w:val="00B66615"/>
    <w:rsid w:val="00B66AC7"/>
    <w:rsid w:val="00B674F4"/>
    <w:rsid w:val="00B67707"/>
    <w:rsid w:val="00B706E4"/>
    <w:rsid w:val="00B70C21"/>
    <w:rsid w:val="00B71B4A"/>
    <w:rsid w:val="00B7465A"/>
    <w:rsid w:val="00B7493D"/>
    <w:rsid w:val="00B74F78"/>
    <w:rsid w:val="00B752A4"/>
    <w:rsid w:val="00B75D86"/>
    <w:rsid w:val="00B76090"/>
    <w:rsid w:val="00B76685"/>
    <w:rsid w:val="00B76F01"/>
    <w:rsid w:val="00B80183"/>
    <w:rsid w:val="00B80213"/>
    <w:rsid w:val="00B80223"/>
    <w:rsid w:val="00B804C3"/>
    <w:rsid w:val="00B80784"/>
    <w:rsid w:val="00B80FDC"/>
    <w:rsid w:val="00B8105C"/>
    <w:rsid w:val="00B8392C"/>
    <w:rsid w:val="00B83BE8"/>
    <w:rsid w:val="00B83F3D"/>
    <w:rsid w:val="00B84776"/>
    <w:rsid w:val="00B84CAC"/>
    <w:rsid w:val="00B85B87"/>
    <w:rsid w:val="00B86672"/>
    <w:rsid w:val="00B87312"/>
    <w:rsid w:val="00B9127F"/>
    <w:rsid w:val="00B913FD"/>
    <w:rsid w:val="00B924E9"/>
    <w:rsid w:val="00B9459B"/>
    <w:rsid w:val="00B949EA"/>
    <w:rsid w:val="00B94B17"/>
    <w:rsid w:val="00B95563"/>
    <w:rsid w:val="00B9587A"/>
    <w:rsid w:val="00B95A93"/>
    <w:rsid w:val="00B962F7"/>
    <w:rsid w:val="00B96A95"/>
    <w:rsid w:val="00B96C83"/>
    <w:rsid w:val="00B96F81"/>
    <w:rsid w:val="00B9751B"/>
    <w:rsid w:val="00B97AC5"/>
    <w:rsid w:val="00BA07F2"/>
    <w:rsid w:val="00BA1CF3"/>
    <w:rsid w:val="00BA223C"/>
    <w:rsid w:val="00BA2582"/>
    <w:rsid w:val="00BA2F0B"/>
    <w:rsid w:val="00BA3B9F"/>
    <w:rsid w:val="00BA4843"/>
    <w:rsid w:val="00BA4D13"/>
    <w:rsid w:val="00BA5CC7"/>
    <w:rsid w:val="00BA677B"/>
    <w:rsid w:val="00BA6B9E"/>
    <w:rsid w:val="00BA789C"/>
    <w:rsid w:val="00BA7A0D"/>
    <w:rsid w:val="00BB007B"/>
    <w:rsid w:val="00BB0D19"/>
    <w:rsid w:val="00BB2488"/>
    <w:rsid w:val="00BB27DD"/>
    <w:rsid w:val="00BB2A84"/>
    <w:rsid w:val="00BB2BF2"/>
    <w:rsid w:val="00BB2CD2"/>
    <w:rsid w:val="00BB39B4"/>
    <w:rsid w:val="00BB6738"/>
    <w:rsid w:val="00BB7288"/>
    <w:rsid w:val="00BB74DA"/>
    <w:rsid w:val="00BB7581"/>
    <w:rsid w:val="00BC0948"/>
    <w:rsid w:val="00BC184F"/>
    <w:rsid w:val="00BC1AAA"/>
    <w:rsid w:val="00BC1FA2"/>
    <w:rsid w:val="00BC3ABB"/>
    <w:rsid w:val="00BC41E5"/>
    <w:rsid w:val="00BC41E9"/>
    <w:rsid w:val="00BC43F3"/>
    <w:rsid w:val="00BC48B3"/>
    <w:rsid w:val="00BC562C"/>
    <w:rsid w:val="00BC5D3A"/>
    <w:rsid w:val="00BC5E3E"/>
    <w:rsid w:val="00BC60F3"/>
    <w:rsid w:val="00BC672F"/>
    <w:rsid w:val="00BC6927"/>
    <w:rsid w:val="00BD08FF"/>
    <w:rsid w:val="00BD090C"/>
    <w:rsid w:val="00BD0DAD"/>
    <w:rsid w:val="00BD22D1"/>
    <w:rsid w:val="00BD237A"/>
    <w:rsid w:val="00BD24EF"/>
    <w:rsid w:val="00BD281F"/>
    <w:rsid w:val="00BD28FB"/>
    <w:rsid w:val="00BD3320"/>
    <w:rsid w:val="00BD3E65"/>
    <w:rsid w:val="00BD4A43"/>
    <w:rsid w:val="00BD4F73"/>
    <w:rsid w:val="00BD4F7F"/>
    <w:rsid w:val="00BD51A8"/>
    <w:rsid w:val="00BD57E9"/>
    <w:rsid w:val="00BD5A54"/>
    <w:rsid w:val="00BD5B57"/>
    <w:rsid w:val="00BD5D75"/>
    <w:rsid w:val="00BD631D"/>
    <w:rsid w:val="00BD640F"/>
    <w:rsid w:val="00BD70AC"/>
    <w:rsid w:val="00BD7138"/>
    <w:rsid w:val="00BE2F1E"/>
    <w:rsid w:val="00BE2F3A"/>
    <w:rsid w:val="00BE345F"/>
    <w:rsid w:val="00BE422C"/>
    <w:rsid w:val="00BE49FD"/>
    <w:rsid w:val="00BE5947"/>
    <w:rsid w:val="00BE5A9E"/>
    <w:rsid w:val="00BE7BA7"/>
    <w:rsid w:val="00BF0580"/>
    <w:rsid w:val="00BF20B6"/>
    <w:rsid w:val="00BF343A"/>
    <w:rsid w:val="00BF4255"/>
    <w:rsid w:val="00BF5E9E"/>
    <w:rsid w:val="00BF7661"/>
    <w:rsid w:val="00C0001D"/>
    <w:rsid w:val="00C004CE"/>
    <w:rsid w:val="00C00FB8"/>
    <w:rsid w:val="00C01CDB"/>
    <w:rsid w:val="00C0338B"/>
    <w:rsid w:val="00C040C7"/>
    <w:rsid w:val="00C042CD"/>
    <w:rsid w:val="00C06970"/>
    <w:rsid w:val="00C06A4F"/>
    <w:rsid w:val="00C10131"/>
    <w:rsid w:val="00C11A05"/>
    <w:rsid w:val="00C11F46"/>
    <w:rsid w:val="00C1301E"/>
    <w:rsid w:val="00C14A84"/>
    <w:rsid w:val="00C15239"/>
    <w:rsid w:val="00C152E3"/>
    <w:rsid w:val="00C15B2E"/>
    <w:rsid w:val="00C15F5D"/>
    <w:rsid w:val="00C16B90"/>
    <w:rsid w:val="00C171A2"/>
    <w:rsid w:val="00C20312"/>
    <w:rsid w:val="00C218CA"/>
    <w:rsid w:val="00C21BCA"/>
    <w:rsid w:val="00C2223C"/>
    <w:rsid w:val="00C2226E"/>
    <w:rsid w:val="00C222A6"/>
    <w:rsid w:val="00C229B5"/>
    <w:rsid w:val="00C22F26"/>
    <w:rsid w:val="00C235C4"/>
    <w:rsid w:val="00C237E0"/>
    <w:rsid w:val="00C23884"/>
    <w:rsid w:val="00C24AE8"/>
    <w:rsid w:val="00C258EB"/>
    <w:rsid w:val="00C2658C"/>
    <w:rsid w:val="00C267C7"/>
    <w:rsid w:val="00C30037"/>
    <w:rsid w:val="00C300BE"/>
    <w:rsid w:val="00C307F3"/>
    <w:rsid w:val="00C31D4A"/>
    <w:rsid w:val="00C32D20"/>
    <w:rsid w:val="00C338A3"/>
    <w:rsid w:val="00C3402E"/>
    <w:rsid w:val="00C36EDE"/>
    <w:rsid w:val="00C400AF"/>
    <w:rsid w:val="00C4011A"/>
    <w:rsid w:val="00C403B6"/>
    <w:rsid w:val="00C41A74"/>
    <w:rsid w:val="00C42173"/>
    <w:rsid w:val="00C431B3"/>
    <w:rsid w:val="00C43324"/>
    <w:rsid w:val="00C4344F"/>
    <w:rsid w:val="00C45499"/>
    <w:rsid w:val="00C45A66"/>
    <w:rsid w:val="00C4637A"/>
    <w:rsid w:val="00C469BA"/>
    <w:rsid w:val="00C47912"/>
    <w:rsid w:val="00C4794B"/>
    <w:rsid w:val="00C47ED4"/>
    <w:rsid w:val="00C47F38"/>
    <w:rsid w:val="00C5001B"/>
    <w:rsid w:val="00C50338"/>
    <w:rsid w:val="00C50416"/>
    <w:rsid w:val="00C50ADE"/>
    <w:rsid w:val="00C5111A"/>
    <w:rsid w:val="00C53ED5"/>
    <w:rsid w:val="00C6075D"/>
    <w:rsid w:val="00C60CEA"/>
    <w:rsid w:val="00C61A32"/>
    <w:rsid w:val="00C61A4C"/>
    <w:rsid w:val="00C632C5"/>
    <w:rsid w:val="00C63508"/>
    <w:rsid w:val="00C63717"/>
    <w:rsid w:val="00C63CB1"/>
    <w:rsid w:val="00C6434C"/>
    <w:rsid w:val="00C64ACB"/>
    <w:rsid w:val="00C6599E"/>
    <w:rsid w:val="00C663C3"/>
    <w:rsid w:val="00C66406"/>
    <w:rsid w:val="00C673E0"/>
    <w:rsid w:val="00C707D7"/>
    <w:rsid w:val="00C72A0C"/>
    <w:rsid w:val="00C736C4"/>
    <w:rsid w:val="00C74219"/>
    <w:rsid w:val="00C752F8"/>
    <w:rsid w:val="00C76AA4"/>
    <w:rsid w:val="00C76E1D"/>
    <w:rsid w:val="00C76E3C"/>
    <w:rsid w:val="00C77F35"/>
    <w:rsid w:val="00C8006D"/>
    <w:rsid w:val="00C80204"/>
    <w:rsid w:val="00C80331"/>
    <w:rsid w:val="00C81541"/>
    <w:rsid w:val="00C83309"/>
    <w:rsid w:val="00C83AC9"/>
    <w:rsid w:val="00C85144"/>
    <w:rsid w:val="00C8657B"/>
    <w:rsid w:val="00C870BA"/>
    <w:rsid w:val="00C8758A"/>
    <w:rsid w:val="00C8772F"/>
    <w:rsid w:val="00C90B5F"/>
    <w:rsid w:val="00C92693"/>
    <w:rsid w:val="00C92705"/>
    <w:rsid w:val="00C9416B"/>
    <w:rsid w:val="00C944C5"/>
    <w:rsid w:val="00C9485C"/>
    <w:rsid w:val="00C94D87"/>
    <w:rsid w:val="00C95AEC"/>
    <w:rsid w:val="00C95BAC"/>
    <w:rsid w:val="00C95EAD"/>
    <w:rsid w:val="00C978B3"/>
    <w:rsid w:val="00CA07AC"/>
    <w:rsid w:val="00CA1233"/>
    <w:rsid w:val="00CA1381"/>
    <w:rsid w:val="00CA138E"/>
    <w:rsid w:val="00CA1D6F"/>
    <w:rsid w:val="00CA250E"/>
    <w:rsid w:val="00CA2FCF"/>
    <w:rsid w:val="00CA31F3"/>
    <w:rsid w:val="00CA4B8A"/>
    <w:rsid w:val="00CA4EA0"/>
    <w:rsid w:val="00CA53E4"/>
    <w:rsid w:val="00CA5424"/>
    <w:rsid w:val="00CA5A16"/>
    <w:rsid w:val="00CA6283"/>
    <w:rsid w:val="00CA6686"/>
    <w:rsid w:val="00CA7160"/>
    <w:rsid w:val="00CB0ADE"/>
    <w:rsid w:val="00CB2BB2"/>
    <w:rsid w:val="00CB2D77"/>
    <w:rsid w:val="00CB46D9"/>
    <w:rsid w:val="00CB4B32"/>
    <w:rsid w:val="00CB799F"/>
    <w:rsid w:val="00CB7F27"/>
    <w:rsid w:val="00CC0F76"/>
    <w:rsid w:val="00CC2F0C"/>
    <w:rsid w:val="00CC3748"/>
    <w:rsid w:val="00CC3987"/>
    <w:rsid w:val="00CC4C1A"/>
    <w:rsid w:val="00CC60B5"/>
    <w:rsid w:val="00CC7356"/>
    <w:rsid w:val="00CC7630"/>
    <w:rsid w:val="00CD0506"/>
    <w:rsid w:val="00CD087F"/>
    <w:rsid w:val="00CD0FAA"/>
    <w:rsid w:val="00CD1250"/>
    <w:rsid w:val="00CD202C"/>
    <w:rsid w:val="00CD22E5"/>
    <w:rsid w:val="00CD3F51"/>
    <w:rsid w:val="00CD492B"/>
    <w:rsid w:val="00CD4AF8"/>
    <w:rsid w:val="00CD53AC"/>
    <w:rsid w:val="00CD5620"/>
    <w:rsid w:val="00CD5E44"/>
    <w:rsid w:val="00CD6083"/>
    <w:rsid w:val="00CD61CD"/>
    <w:rsid w:val="00CD6526"/>
    <w:rsid w:val="00CD6AC4"/>
    <w:rsid w:val="00CD714B"/>
    <w:rsid w:val="00CD7875"/>
    <w:rsid w:val="00CD7986"/>
    <w:rsid w:val="00CE092E"/>
    <w:rsid w:val="00CE0A5E"/>
    <w:rsid w:val="00CE10B9"/>
    <w:rsid w:val="00CE2114"/>
    <w:rsid w:val="00CE2182"/>
    <w:rsid w:val="00CE30CA"/>
    <w:rsid w:val="00CE4BF1"/>
    <w:rsid w:val="00CE4DB9"/>
    <w:rsid w:val="00CE516A"/>
    <w:rsid w:val="00CE5AAD"/>
    <w:rsid w:val="00CE6104"/>
    <w:rsid w:val="00CE7F8A"/>
    <w:rsid w:val="00CF0019"/>
    <w:rsid w:val="00CF005D"/>
    <w:rsid w:val="00CF14D1"/>
    <w:rsid w:val="00CF1AF0"/>
    <w:rsid w:val="00CF42FF"/>
    <w:rsid w:val="00CF7A59"/>
    <w:rsid w:val="00CF7B99"/>
    <w:rsid w:val="00D00E19"/>
    <w:rsid w:val="00D01EAE"/>
    <w:rsid w:val="00D03B79"/>
    <w:rsid w:val="00D048E3"/>
    <w:rsid w:val="00D058D9"/>
    <w:rsid w:val="00D068FF"/>
    <w:rsid w:val="00D06C96"/>
    <w:rsid w:val="00D07A2D"/>
    <w:rsid w:val="00D07E10"/>
    <w:rsid w:val="00D07EF3"/>
    <w:rsid w:val="00D11B6D"/>
    <w:rsid w:val="00D12CBB"/>
    <w:rsid w:val="00D12EB0"/>
    <w:rsid w:val="00D1344F"/>
    <w:rsid w:val="00D13665"/>
    <w:rsid w:val="00D1385F"/>
    <w:rsid w:val="00D13C3A"/>
    <w:rsid w:val="00D14742"/>
    <w:rsid w:val="00D14EEF"/>
    <w:rsid w:val="00D15490"/>
    <w:rsid w:val="00D1737F"/>
    <w:rsid w:val="00D20D6F"/>
    <w:rsid w:val="00D2118D"/>
    <w:rsid w:val="00D2132A"/>
    <w:rsid w:val="00D21BE9"/>
    <w:rsid w:val="00D250BB"/>
    <w:rsid w:val="00D261DF"/>
    <w:rsid w:val="00D26A76"/>
    <w:rsid w:val="00D27330"/>
    <w:rsid w:val="00D274C9"/>
    <w:rsid w:val="00D277D6"/>
    <w:rsid w:val="00D277E6"/>
    <w:rsid w:val="00D309CB"/>
    <w:rsid w:val="00D32117"/>
    <w:rsid w:val="00D32AB4"/>
    <w:rsid w:val="00D33167"/>
    <w:rsid w:val="00D331A7"/>
    <w:rsid w:val="00D334F5"/>
    <w:rsid w:val="00D33899"/>
    <w:rsid w:val="00D33C32"/>
    <w:rsid w:val="00D36B3C"/>
    <w:rsid w:val="00D36F40"/>
    <w:rsid w:val="00D37816"/>
    <w:rsid w:val="00D37D64"/>
    <w:rsid w:val="00D40476"/>
    <w:rsid w:val="00D41350"/>
    <w:rsid w:val="00D41CD4"/>
    <w:rsid w:val="00D428A8"/>
    <w:rsid w:val="00D430D9"/>
    <w:rsid w:val="00D43268"/>
    <w:rsid w:val="00D43569"/>
    <w:rsid w:val="00D450DE"/>
    <w:rsid w:val="00D452C9"/>
    <w:rsid w:val="00D458F7"/>
    <w:rsid w:val="00D45B34"/>
    <w:rsid w:val="00D45E68"/>
    <w:rsid w:val="00D45EB9"/>
    <w:rsid w:val="00D46880"/>
    <w:rsid w:val="00D46988"/>
    <w:rsid w:val="00D473B6"/>
    <w:rsid w:val="00D479F2"/>
    <w:rsid w:val="00D47B07"/>
    <w:rsid w:val="00D47E79"/>
    <w:rsid w:val="00D50A9A"/>
    <w:rsid w:val="00D51A0B"/>
    <w:rsid w:val="00D51E9A"/>
    <w:rsid w:val="00D521AE"/>
    <w:rsid w:val="00D5262F"/>
    <w:rsid w:val="00D5391C"/>
    <w:rsid w:val="00D53F83"/>
    <w:rsid w:val="00D55893"/>
    <w:rsid w:val="00D558B5"/>
    <w:rsid w:val="00D56DC0"/>
    <w:rsid w:val="00D571AA"/>
    <w:rsid w:val="00D57723"/>
    <w:rsid w:val="00D57D25"/>
    <w:rsid w:val="00D600F7"/>
    <w:rsid w:val="00D60BC7"/>
    <w:rsid w:val="00D60C27"/>
    <w:rsid w:val="00D6165D"/>
    <w:rsid w:val="00D61A30"/>
    <w:rsid w:val="00D62817"/>
    <w:rsid w:val="00D638F3"/>
    <w:rsid w:val="00D639CB"/>
    <w:rsid w:val="00D63D6F"/>
    <w:rsid w:val="00D63DBF"/>
    <w:rsid w:val="00D64644"/>
    <w:rsid w:val="00D6656B"/>
    <w:rsid w:val="00D66CAF"/>
    <w:rsid w:val="00D6718C"/>
    <w:rsid w:val="00D67361"/>
    <w:rsid w:val="00D700A7"/>
    <w:rsid w:val="00D704C1"/>
    <w:rsid w:val="00D70AF7"/>
    <w:rsid w:val="00D73C91"/>
    <w:rsid w:val="00D74AC8"/>
    <w:rsid w:val="00D74E57"/>
    <w:rsid w:val="00D7566D"/>
    <w:rsid w:val="00D76711"/>
    <w:rsid w:val="00D7775C"/>
    <w:rsid w:val="00D80BBA"/>
    <w:rsid w:val="00D80C0C"/>
    <w:rsid w:val="00D80C53"/>
    <w:rsid w:val="00D81E1B"/>
    <w:rsid w:val="00D8291C"/>
    <w:rsid w:val="00D82F1A"/>
    <w:rsid w:val="00D83203"/>
    <w:rsid w:val="00D836CA"/>
    <w:rsid w:val="00D8474F"/>
    <w:rsid w:val="00D84CEB"/>
    <w:rsid w:val="00D8558E"/>
    <w:rsid w:val="00D85B2B"/>
    <w:rsid w:val="00D862C6"/>
    <w:rsid w:val="00D8723F"/>
    <w:rsid w:val="00D8775D"/>
    <w:rsid w:val="00D9034F"/>
    <w:rsid w:val="00D90703"/>
    <w:rsid w:val="00D912A8"/>
    <w:rsid w:val="00D922B2"/>
    <w:rsid w:val="00D925AF"/>
    <w:rsid w:val="00D93ABD"/>
    <w:rsid w:val="00D93C78"/>
    <w:rsid w:val="00D947D5"/>
    <w:rsid w:val="00D94842"/>
    <w:rsid w:val="00D94B6D"/>
    <w:rsid w:val="00D95605"/>
    <w:rsid w:val="00D95C71"/>
    <w:rsid w:val="00D95EBD"/>
    <w:rsid w:val="00D96306"/>
    <w:rsid w:val="00D96C17"/>
    <w:rsid w:val="00D96DBB"/>
    <w:rsid w:val="00D9707A"/>
    <w:rsid w:val="00D972A3"/>
    <w:rsid w:val="00D972EA"/>
    <w:rsid w:val="00D97B37"/>
    <w:rsid w:val="00DA0ADB"/>
    <w:rsid w:val="00DA113D"/>
    <w:rsid w:val="00DA15A0"/>
    <w:rsid w:val="00DA3094"/>
    <w:rsid w:val="00DA3B9C"/>
    <w:rsid w:val="00DA582E"/>
    <w:rsid w:val="00DA5CC9"/>
    <w:rsid w:val="00DA7130"/>
    <w:rsid w:val="00DA7C01"/>
    <w:rsid w:val="00DB002A"/>
    <w:rsid w:val="00DB01C0"/>
    <w:rsid w:val="00DB0424"/>
    <w:rsid w:val="00DB0634"/>
    <w:rsid w:val="00DB07A6"/>
    <w:rsid w:val="00DB0811"/>
    <w:rsid w:val="00DB0F54"/>
    <w:rsid w:val="00DB2EB8"/>
    <w:rsid w:val="00DB318B"/>
    <w:rsid w:val="00DB4CA1"/>
    <w:rsid w:val="00DB5003"/>
    <w:rsid w:val="00DB64C6"/>
    <w:rsid w:val="00DC09C1"/>
    <w:rsid w:val="00DC0CDC"/>
    <w:rsid w:val="00DC1CB5"/>
    <w:rsid w:val="00DC2200"/>
    <w:rsid w:val="00DC2428"/>
    <w:rsid w:val="00DC2864"/>
    <w:rsid w:val="00DC2C97"/>
    <w:rsid w:val="00DC3292"/>
    <w:rsid w:val="00DC4F36"/>
    <w:rsid w:val="00DC5194"/>
    <w:rsid w:val="00DD0DCD"/>
    <w:rsid w:val="00DD0F7D"/>
    <w:rsid w:val="00DD1751"/>
    <w:rsid w:val="00DD1E41"/>
    <w:rsid w:val="00DD22A8"/>
    <w:rsid w:val="00DD23FD"/>
    <w:rsid w:val="00DD2E07"/>
    <w:rsid w:val="00DD5487"/>
    <w:rsid w:val="00DD5AF0"/>
    <w:rsid w:val="00DD5E9D"/>
    <w:rsid w:val="00DD6E2A"/>
    <w:rsid w:val="00DD72D5"/>
    <w:rsid w:val="00DD7BEF"/>
    <w:rsid w:val="00DE0712"/>
    <w:rsid w:val="00DE0DEF"/>
    <w:rsid w:val="00DE17D0"/>
    <w:rsid w:val="00DE18D1"/>
    <w:rsid w:val="00DE21CA"/>
    <w:rsid w:val="00DE3C86"/>
    <w:rsid w:val="00DE501C"/>
    <w:rsid w:val="00DE6907"/>
    <w:rsid w:val="00DE6B42"/>
    <w:rsid w:val="00DE70CB"/>
    <w:rsid w:val="00DE79B5"/>
    <w:rsid w:val="00DE7E6C"/>
    <w:rsid w:val="00DF1D98"/>
    <w:rsid w:val="00DF28E6"/>
    <w:rsid w:val="00DF29E7"/>
    <w:rsid w:val="00DF2FF6"/>
    <w:rsid w:val="00DF3061"/>
    <w:rsid w:val="00DF33EE"/>
    <w:rsid w:val="00DF36E6"/>
    <w:rsid w:val="00DF4FEC"/>
    <w:rsid w:val="00DF6625"/>
    <w:rsid w:val="00DF7A16"/>
    <w:rsid w:val="00DF7F9B"/>
    <w:rsid w:val="00E00A4F"/>
    <w:rsid w:val="00E00EB1"/>
    <w:rsid w:val="00E03226"/>
    <w:rsid w:val="00E0375D"/>
    <w:rsid w:val="00E03D56"/>
    <w:rsid w:val="00E04D09"/>
    <w:rsid w:val="00E052C5"/>
    <w:rsid w:val="00E0539D"/>
    <w:rsid w:val="00E06C04"/>
    <w:rsid w:val="00E071EE"/>
    <w:rsid w:val="00E0738E"/>
    <w:rsid w:val="00E1089C"/>
    <w:rsid w:val="00E10982"/>
    <w:rsid w:val="00E111F4"/>
    <w:rsid w:val="00E12AC1"/>
    <w:rsid w:val="00E13A01"/>
    <w:rsid w:val="00E14224"/>
    <w:rsid w:val="00E15079"/>
    <w:rsid w:val="00E15509"/>
    <w:rsid w:val="00E1562C"/>
    <w:rsid w:val="00E15AD0"/>
    <w:rsid w:val="00E15F71"/>
    <w:rsid w:val="00E161BA"/>
    <w:rsid w:val="00E179D9"/>
    <w:rsid w:val="00E17F3B"/>
    <w:rsid w:val="00E20A33"/>
    <w:rsid w:val="00E20C1B"/>
    <w:rsid w:val="00E21B0E"/>
    <w:rsid w:val="00E222A9"/>
    <w:rsid w:val="00E22B81"/>
    <w:rsid w:val="00E2379A"/>
    <w:rsid w:val="00E23B6B"/>
    <w:rsid w:val="00E23DF7"/>
    <w:rsid w:val="00E23F22"/>
    <w:rsid w:val="00E2446F"/>
    <w:rsid w:val="00E24BBB"/>
    <w:rsid w:val="00E25FCC"/>
    <w:rsid w:val="00E266E3"/>
    <w:rsid w:val="00E26789"/>
    <w:rsid w:val="00E276AD"/>
    <w:rsid w:val="00E305DA"/>
    <w:rsid w:val="00E3074C"/>
    <w:rsid w:val="00E31081"/>
    <w:rsid w:val="00E34C11"/>
    <w:rsid w:val="00E34FF5"/>
    <w:rsid w:val="00E3646F"/>
    <w:rsid w:val="00E36649"/>
    <w:rsid w:val="00E37BCF"/>
    <w:rsid w:val="00E407F6"/>
    <w:rsid w:val="00E40B02"/>
    <w:rsid w:val="00E40B66"/>
    <w:rsid w:val="00E40F30"/>
    <w:rsid w:val="00E41135"/>
    <w:rsid w:val="00E41374"/>
    <w:rsid w:val="00E4210F"/>
    <w:rsid w:val="00E427DF"/>
    <w:rsid w:val="00E43580"/>
    <w:rsid w:val="00E435BC"/>
    <w:rsid w:val="00E440E5"/>
    <w:rsid w:val="00E4439E"/>
    <w:rsid w:val="00E447C0"/>
    <w:rsid w:val="00E45BC4"/>
    <w:rsid w:val="00E4668C"/>
    <w:rsid w:val="00E46709"/>
    <w:rsid w:val="00E47953"/>
    <w:rsid w:val="00E47A54"/>
    <w:rsid w:val="00E47CD4"/>
    <w:rsid w:val="00E5248D"/>
    <w:rsid w:val="00E524F6"/>
    <w:rsid w:val="00E538F3"/>
    <w:rsid w:val="00E554ED"/>
    <w:rsid w:val="00E559E0"/>
    <w:rsid w:val="00E55B10"/>
    <w:rsid w:val="00E55FBD"/>
    <w:rsid w:val="00E563E5"/>
    <w:rsid w:val="00E5680A"/>
    <w:rsid w:val="00E56F8D"/>
    <w:rsid w:val="00E57627"/>
    <w:rsid w:val="00E6034A"/>
    <w:rsid w:val="00E60AC0"/>
    <w:rsid w:val="00E61B89"/>
    <w:rsid w:val="00E61C7C"/>
    <w:rsid w:val="00E61D89"/>
    <w:rsid w:val="00E62014"/>
    <w:rsid w:val="00E63321"/>
    <w:rsid w:val="00E63D54"/>
    <w:rsid w:val="00E65301"/>
    <w:rsid w:val="00E65307"/>
    <w:rsid w:val="00E655EB"/>
    <w:rsid w:val="00E658AF"/>
    <w:rsid w:val="00E659A2"/>
    <w:rsid w:val="00E65E44"/>
    <w:rsid w:val="00E664B6"/>
    <w:rsid w:val="00E6684A"/>
    <w:rsid w:val="00E66B9E"/>
    <w:rsid w:val="00E67E00"/>
    <w:rsid w:val="00E7014D"/>
    <w:rsid w:val="00E70EE2"/>
    <w:rsid w:val="00E721F0"/>
    <w:rsid w:val="00E729FD"/>
    <w:rsid w:val="00E73773"/>
    <w:rsid w:val="00E74513"/>
    <w:rsid w:val="00E7549A"/>
    <w:rsid w:val="00E75B62"/>
    <w:rsid w:val="00E75D14"/>
    <w:rsid w:val="00E75FF8"/>
    <w:rsid w:val="00E760C0"/>
    <w:rsid w:val="00E76A20"/>
    <w:rsid w:val="00E77F64"/>
    <w:rsid w:val="00E805AC"/>
    <w:rsid w:val="00E80B06"/>
    <w:rsid w:val="00E80F44"/>
    <w:rsid w:val="00E81434"/>
    <w:rsid w:val="00E81473"/>
    <w:rsid w:val="00E81F5F"/>
    <w:rsid w:val="00E838CA"/>
    <w:rsid w:val="00E83B8F"/>
    <w:rsid w:val="00E84D8E"/>
    <w:rsid w:val="00E852B7"/>
    <w:rsid w:val="00E85644"/>
    <w:rsid w:val="00E86489"/>
    <w:rsid w:val="00E86576"/>
    <w:rsid w:val="00E87524"/>
    <w:rsid w:val="00E901AC"/>
    <w:rsid w:val="00E911C3"/>
    <w:rsid w:val="00E925E5"/>
    <w:rsid w:val="00E93D32"/>
    <w:rsid w:val="00E94DC1"/>
    <w:rsid w:val="00E9563B"/>
    <w:rsid w:val="00E9569F"/>
    <w:rsid w:val="00E97362"/>
    <w:rsid w:val="00E97C80"/>
    <w:rsid w:val="00E97CA0"/>
    <w:rsid w:val="00EA0348"/>
    <w:rsid w:val="00EA15A2"/>
    <w:rsid w:val="00EA1813"/>
    <w:rsid w:val="00EA1826"/>
    <w:rsid w:val="00EA19B2"/>
    <w:rsid w:val="00EA1ACE"/>
    <w:rsid w:val="00EA2B2A"/>
    <w:rsid w:val="00EA3062"/>
    <w:rsid w:val="00EA3BFC"/>
    <w:rsid w:val="00EA3E64"/>
    <w:rsid w:val="00EA4537"/>
    <w:rsid w:val="00EA51CE"/>
    <w:rsid w:val="00EA5BA9"/>
    <w:rsid w:val="00EA60A0"/>
    <w:rsid w:val="00EA64B0"/>
    <w:rsid w:val="00EA64BD"/>
    <w:rsid w:val="00EA653F"/>
    <w:rsid w:val="00EA6D45"/>
    <w:rsid w:val="00EB0639"/>
    <w:rsid w:val="00EB06EA"/>
    <w:rsid w:val="00EB0B22"/>
    <w:rsid w:val="00EB202A"/>
    <w:rsid w:val="00EB207E"/>
    <w:rsid w:val="00EB2256"/>
    <w:rsid w:val="00EB2813"/>
    <w:rsid w:val="00EB57A1"/>
    <w:rsid w:val="00EB5B50"/>
    <w:rsid w:val="00EB5FB2"/>
    <w:rsid w:val="00EB7F58"/>
    <w:rsid w:val="00EC05F1"/>
    <w:rsid w:val="00EC0B61"/>
    <w:rsid w:val="00EC1429"/>
    <w:rsid w:val="00EC1FC4"/>
    <w:rsid w:val="00EC4475"/>
    <w:rsid w:val="00EC4F5F"/>
    <w:rsid w:val="00EC5C39"/>
    <w:rsid w:val="00EC5F8F"/>
    <w:rsid w:val="00EC62BC"/>
    <w:rsid w:val="00EC63CC"/>
    <w:rsid w:val="00EC64AF"/>
    <w:rsid w:val="00EC657C"/>
    <w:rsid w:val="00EC6B37"/>
    <w:rsid w:val="00EC6CD8"/>
    <w:rsid w:val="00EC757F"/>
    <w:rsid w:val="00EC76F9"/>
    <w:rsid w:val="00EC7DEE"/>
    <w:rsid w:val="00ED0CFA"/>
    <w:rsid w:val="00ED14F6"/>
    <w:rsid w:val="00ED19F9"/>
    <w:rsid w:val="00ED2210"/>
    <w:rsid w:val="00ED2871"/>
    <w:rsid w:val="00ED36AB"/>
    <w:rsid w:val="00ED3C72"/>
    <w:rsid w:val="00ED50FA"/>
    <w:rsid w:val="00ED64A4"/>
    <w:rsid w:val="00ED7E6E"/>
    <w:rsid w:val="00EE0A08"/>
    <w:rsid w:val="00EE0CA4"/>
    <w:rsid w:val="00EE0D66"/>
    <w:rsid w:val="00EE13C2"/>
    <w:rsid w:val="00EE394C"/>
    <w:rsid w:val="00EE3AF8"/>
    <w:rsid w:val="00EE4F67"/>
    <w:rsid w:val="00EE554D"/>
    <w:rsid w:val="00EE5790"/>
    <w:rsid w:val="00EE5A1F"/>
    <w:rsid w:val="00EE5AA8"/>
    <w:rsid w:val="00EE656D"/>
    <w:rsid w:val="00EE65F8"/>
    <w:rsid w:val="00EE7000"/>
    <w:rsid w:val="00EE747A"/>
    <w:rsid w:val="00EE7B95"/>
    <w:rsid w:val="00EE7C02"/>
    <w:rsid w:val="00EF0BBB"/>
    <w:rsid w:val="00EF17AD"/>
    <w:rsid w:val="00EF1A85"/>
    <w:rsid w:val="00EF1B96"/>
    <w:rsid w:val="00EF1F36"/>
    <w:rsid w:val="00EF2292"/>
    <w:rsid w:val="00EF2B82"/>
    <w:rsid w:val="00EF39E8"/>
    <w:rsid w:val="00EF57E9"/>
    <w:rsid w:val="00EF5CDB"/>
    <w:rsid w:val="00EF5D60"/>
    <w:rsid w:val="00F00607"/>
    <w:rsid w:val="00F00994"/>
    <w:rsid w:val="00F00A5E"/>
    <w:rsid w:val="00F00F55"/>
    <w:rsid w:val="00F02B5E"/>
    <w:rsid w:val="00F037F2"/>
    <w:rsid w:val="00F03A3E"/>
    <w:rsid w:val="00F0427D"/>
    <w:rsid w:val="00F04396"/>
    <w:rsid w:val="00F046E0"/>
    <w:rsid w:val="00F048C3"/>
    <w:rsid w:val="00F04A1B"/>
    <w:rsid w:val="00F0555F"/>
    <w:rsid w:val="00F05950"/>
    <w:rsid w:val="00F05BA0"/>
    <w:rsid w:val="00F05C2E"/>
    <w:rsid w:val="00F05EA1"/>
    <w:rsid w:val="00F05FBF"/>
    <w:rsid w:val="00F0607F"/>
    <w:rsid w:val="00F073B0"/>
    <w:rsid w:val="00F073B1"/>
    <w:rsid w:val="00F07442"/>
    <w:rsid w:val="00F108F8"/>
    <w:rsid w:val="00F10AEB"/>
    <w:rsid w:val="00F11125"/>
    <w:rsid w:val="00F11CAB"/>
    <w:rsid w:val="00F1244E"/>
    <w:rsid w:val="00F12796"/>
    <w:rsid w:val="00F13D3D"/>
    <w:rsid w:val="00F14DA8"/>
    <w:rsid w:val="00F15003"/>
    <w:rsid w:val="00F152FD"/>
    <w:rsid w:val="00F156EE"/>
    <w:rsid w:val="00F15D69"/>
    <w:rsid w:val="00F15E25"/>
    <w:rsid w:val="00F1607D"/>
    <w:rsid w:val="00F16D1C"/>
    <w:rsid w:val="00F174C0"/>
    <w:rsid w:val="00F1781C"/>
    <w:rsid w:val="00F17821"/>
    <w:rsid w:val="00F17F7D"/>
    <w:rsid w:val="00F17FAD"/>
    <w:rsid w:val="00F2019D"/>
    <w:rsid w:val="00F203BD"/>
    <w:rsid w:val="00F20BB5"/>
    <w:rsid w:val="00F223B6"/>
    <w:rsid w:val="00F22787"/>
    <w:rsid w:val="00F22FE6"/>
    <w:rsid w:val="00F234DD"/>
    <w:rsid w:val="00F23A73"/>
    <w:rsid w:val="00F24B7F"/>
    <w:rsid w:val="00F2576F"/>
    <w:rsid w:val="00F25D61"/>
    <w:rsid w:val="00F26AAD"/>
    <w:rsid w:val="00F26C47"/>
    <w:rsid w:val="00F2709D"/>
    <w:rsid w:val="00F27AEC"/>
    <w:rsid w:val="00F27E53"/>
    <w:rsid w:val="00F32102"/>
    <w:rsid w:val="00F32130"/>
    <w:rsid w:val="00F3298B"/>
    <w:rsid w:val="00F32AEB"/>
    <w:rsid w:val="00F34131"/>
    <w:rsid w:val="00F3428D"/>
    <w:rsid w:val="00F34628"/>
    <w:rsid w:val="00F34ED7"/>
    <w:rsid w:val="00F3601B"/>
    <w:rsid w:val="00F36845"/>
    <w:rsid w:val="00F36DF1"/>
    <w:rsid w:val="00F37A3D"/>
    <w:rsid w:val="00F4130E"/>
    <w:rsid w:val="00F42B03"/>
    <w:rsid w:val="00F43D6E"/>
    <w:rsid w:val="00F442D8"/>
    <w:rsid w:val="00F4501D"/>
    <w:rsid w:val="00F45087"/>
    <w:rsid w:val="00F451DD"/>
    <w:rsid w:val="00F459CC"/>
    <w:rsid w:val="00F46933"/>
    <w:rsid w:val="00F47F88"/>
    <w:rsid w:val="00F50978"/>
    <w:rsid w:val="00F50CC9"/>
    <w:rsid w:val="00F52307"/>
    <w:rsid w:val="00F53CBD"/>
    <w:rsid w:val="00F5696B"/>
    <w:rsid w:val="00F56A94"/>
    <w:rsid w:val="00F56F8E"/>
    <w:rsid w:val="00F57872"/>
    <w:rsid w:val="00F60A54"/>
    <w:rsid w:val="00F61BCC"/>
    <w:rsid w:val="00F61E87"/>
    <w:rsid w:val="00F6227C"/>
    <w:rsid w:val="00F62E8A"/>
    <w:rsid w:val="00F65B19"/>
    <w:rsid w:val="00F661CD"/>
    <w:rsid w:val="00F6636A"/>
    <w:rsid w:val="00F67A34"/>
    <w:rsid w:val="00F707A5"/>
    <w:rsid w:val="00F70A87"/>
    <w:rsid w:val="00F7199B"/>
    <w:rsid w:val="00F71A16"/>
    <w:rsid w:val="00F71DF2"/>
    <w:rsid w:val="00F725CA"/>
    <w:rsid w:val="00F74D3B"/>
    <w:rsid w:val="00F74DB7"/>
    <w:rsid w:val="00F755EA"/>
    <w:rsid w:val="00F7561F"/>
    <w:rsid w:val="00F75E50"/>
    <w:rsid w:val="00F76878"/>
    <w:rsid w:val="00F76E7C"/>
    <w:rsid w:val="00F77231"/>
    <w:rsid w:val="00F81530"/>
    <w:rsid w:val="00F81D6B"/>
    <w:rsid w:val="00F8288C"/>
    <w:rsid w:val="00F82B31"/>
    <w:rsid w:val="00F82FEF"/>
    <w:rsid w:val="00F84313"/>
    <w:rsid w:val="00F8561D"/>
    <w:rsid w:val="00F86D94"/>
    <w:rsid w:val="00F903A2"/>
    <w:rsid w:val="00F904EB"/>
    <w:rsid w:val="00F90BB7"/>
    <w:rsid w:val="00F934CC"/>
    <w:rsid w:val="00F937BC"/>
    <w:rsid w:val="00F944ED"/>
    <w:rsid w:val="00F946A2"/>
    <w:rsid w:val="00F94812"/>
    <w:rsid w:val="00F95620"/>
    <w:rsid w:val="00F95A94"/>
    <w:rsid w:val="00F95B41"/>
    <w:rsid w:val="00F96117"/>
    <w:rsid w:val="00F96518"/>
    <w:rsid w:val="00F97E0B"/>
    <w:rsid w:val="00F97FB4"/>
    <w:rsid w:val="00FA1761"/>
    <w:rsid w:val="00FA2247"/>
    <w:rsid w:val="00FA315A"/>
    <w:rsid w:val="00FA3F63"/>
    <w:rsid w:val="00FA4709"/>
    <w:rsid w:val="00FA4BC0"/>
    <w:rsid w:val="00FA7A59"/>
    <w:rsid w:val="00FA7EC9"/>
    <w:rsid w:val="00FB01FA"/>
    <w:rsid w:val="00FB028F"/>
    <w:rsid w:val="00FB1D5F"/>
    <w:rsid w:val="00FB2FD0"/>
    <w:rsid w:val="00FB49D1"/>
    <w:rsid w:val="00FB550E"/>
    <w:rsid w:val="00FB5FFC"/>
    <w:rsid w:val="00FB6857"/>
    <w:rsid w:val="00FB7627"/>
    <w:rsid w:val="00FB7840"/>
    <w:rsid w:val="00FC00BA"/>
    <w:rsid w:val="00FC079A"/>
    <w:rsid w:val="00FC16DC"/>
    <w:rsid w:val="00FC2F30"/>
    <w:rsid w:val="00FC3B65"/>
    <w:rsid w:val="00FC41AE"/>
    <w:rsid w:val="00FC5B5D"/>
    <w:rsid w:val="00FC6316"/>
    <w:rsid w:val="00FC694B"/>
    <w:rsid w:val="00FC784A"/>
    <w:rsid w:val="00FD008D"/>
    <w:rsid w:val="00FD04D0"/>
    <w:rsid w:val="00FD151B"/>
    <w:rsid w:val="00FD1822"/>
    <w:rsid w:val="00FD1FCA"/>
    <w:rsid w:val="00FD2D54"/>
    <w:rsid w:val="00FD32C5"/>
    <w:rsid w:val="00FD4545"/>
    <w:rsid w:val="00FD5A62"/>
    <w:rsid w:val="00FD5FE1"/>
    <w:rsid w:val="00FE12B5"/>
    <w:rsid w:val="00FE17D2"/>
    <w:rsid w:val="00FE1F1A"/>
    <w:rsid w:val="00FE2D8D"/>
    <w:rsid w:val="00FE2E99"/>
    <w:rsid w:val="00FE2F1F"/>
    <w:rsid w:val="00FE43E8"/>
    <w:rsid w:val="00FE5279"/>
    <w:rsid w:val="00FE5788"/>
    <w:rsid w:val="00FE7A3D"/>
    <w:rsid w:val="00FF1573"/>
    <w:rsid w:val="00FF1D5F"/>
    <w:rsid w:val="00FF2557"/>
    <w:rsid w:val="00FF33EB"/>
    <w:rsid w:val="00FF41C2"/>
    <w:rsid w:val="00FF4E89"/>
    <w:rsid w:val="00FF4FC6"/>
    <w:rsid w:val="00FF65D5"/>
    <w:rsid w:val="00FF67E8"/>
    <w:rsid w:val="00FF6EAA"/>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Arial"/>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basedOn w:val="Normal"/>
    <w:semiHidden/>
    <w:rsid w:val="0008758D"/>
    <w:pPr>
      <w:jc w:val="both"/>
    </w:pPr>
    <w:rPr>
      <w:rFonts w:eastAsia="PMingLiU"/>
      <w:kern w:val="0"/>
      <w:szCs w:val="22"/>
      <w:lang w:eastAsia="ar-SA"/>
    </w:rPr>
  </w:style>
  <w:style w:type="character" w:styleId="FootnoteReference">
    <w:name w:val="footnote reference"/>
    <w:semiHidden/>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styleId="FollowedHyperlink">
    <w:name w:val="FollowedHyperlink"/>
    <w:rsid w:val="009E3FEC"/>
    <w:rPr>
      <w:color w:val="800080"/>
      <w:u w:val="single"/>
    </w:rPr>
  </w:style>
  <w:style w:type="table" w:styleId="TableGrid">
    <w:name w:val="Table Grid"/>
    <w:basedOn w:val="TableNormal"/>
    <w:rsid w:val="00FF4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Arial"/>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basedOn w:val="Normal"/>
    <w:semiHidden/>
    <w:rsid w:val="0008758D"/>
    <w:pPr>
      <w:jc w:val="both"/>
    </w:pPr>
    <w:rPr>
      <w:rFonts w:eastAsia="PMingLiU"/>
      <w:kern w:val="0"/>
      <w:szCs w:val="22"/>
      <w:lang w:eastAsia="ar-SA"/>
    </w:rPr>
  </w:style>
  <w:style w:type="character" w:styleId="FootnoteReference">
    <w:name w:val="footnote reference"/>
    <w:semiHidden/>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styleId="FollowedHyperlink">
    <w:name w:val="FollowedHyperlink"/>
    <w:rsid w:val="009E3FEC"/>
    <w:rPr>
      <w:color w:val="800080"/>
      <w:u w:val="single"/>
    </w:rPr>
  </w:style>
  <w:style w:type="table" w:styleId="TableGrid">
    <w:name w:val="Table Grid"/>
    <w:basedOn w:val="TableNormal"/>
    <w:rsid w:val="00FF4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91216">
      <w:bodyDiv w:val="1"/>
      <w:marLeft w:val="0"/>
      <w:marRight w:val="0"/>
      <w:marTop w:val="0"/>
      <w:marBottom w:val="0"/>
      <w:divBdr>
        <w:top w:val="none" w:sz="0" w:space="0" w:color="auto"/>
        <w:left w:val="none" w:sz="0" w:space="0" w:color="auto"/>
        <w:bottom w:val="none" w:sz="0" w:space="0" w:color="auto"/>
        <w:right w:val="none" w:sz="0" w:space="0" w:color="auto"/>
      </w:divBdr>
    </w:div>
    <w:div w:id="1200630121">
      <w:bodyDiv w:val="1"/>
      <w:marLeft w:val="0"/>
      <w:marRight w:val="0"/>
      <w:marTop w:val="0"/>
      <w:marBottom w:val="0"/>
      <w:divBdr>
        <w:top w:val="none" w:sz="0" w:space="0" w:color="auto"/>
        <w:left w:val="none" w:sz="0" w:space="0" w:color="auto"/>
        <w:bottom w:val="none" w:sz="0" w:space="0" w:color="auto"/>
        <w:right w:val="none" w:sz="0" w:space="0" w:color="auto"/>
      </w:divBdr>
    </w:div>
    <w:div w:id="16815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mop-08/mop-08-dec-10-ar.pdf"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bd.int/doc/decisions/cop-13/cop-13-dec-26-ar.pdf"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bd.int/doc/decisions/np-mop-02/np-mop-02-dec-12-ar.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a50d/c7ff/1d1d28a5752ca452e132a059/sbi-02-01-ar.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Documents\CBD\SBI-02\SBI-02-16-add1\Figure-1-ar.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Documents\CBD\SBI-02\SBI-02-16-add1\Figure-2-ar.xls"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hp\Downloads\CBD\Figures-4-5-en.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90545851819284"/>
          <c:y val="0.1010623075990315"/>
          <c:w val="0.48187604087560121"/>
          <c:h val="0.79358359638726228"/>
        </c:manualLayout>
      </c:layout>
      <c:barChart>
        <c:barDir val="bar"/>
        <c:grouping val="percentStacked"/>
        <c:varyColors val="0"/>
        <c:ser>
          <c:idx val="0"/>
          <c:order val="0"/>
          <c:tx>
            <c:strRef>
              <c:f>'Figure 1'!$E$5</c:f>
              <c:strCache>
                <c:ptCount val="1"/>
                <c:pt idx="0">
                  <c:v>معيار استوفي كليا</c:v>
                </c:pt>
              </c:strCache>
            </c:strRef>
          </c:tx>
          <c:spPr>
            <a:solidFill>
              <a:schemeClr val="accent3">
                <a:lumMod val="75000"/>
              </a:schemeClr>
            </a:solidFill>
            <a:ln>
              <a:solidFill>
                <a:schemeClr val="tx1"/>
              </a:solidFill>
            </a:ln>
          </c:spPr>
          <c:invertIfNegative val="0"/>
          <c:cat>
            <c:strRef>
              <c:f>'Figure 1'!$F$4:$O$4</c:f>
              <c:strCache>
                <c:ptCount val="10"/>
                <c:pt idx="0">
                  <c:v>المشاركة الكاملة والفعالة لممثلي البلدان النامية الأطراف في الاجتماع الثالث عشر لمؤتمر الأطراف</c:v>
                </c:pt>
                <c:pt idx="1">
                  <c:v>المشاركة الكاملة والفعالة لممثلي البلدان النامية الأطراف في الاجتماع الثامن لمؤتمر الأطراف العامل كاجتماع للأطراف في بروتوكول السلامة الأحيائية</c:v>
                </c:pt>
                <c:pt idx="2">
                  <c:v>المشاركة الكاملة والفعالة لممثلي البلدان النامية الأطراف في الاجتماع الثاني لمؤتمر الأطراف العامل كاجتماع للأطراف في بروتوكول ناغويا</c:v>
                </c:pt>
                <c:pt idx="3">
                  <c:v>التطور الفعال لنتائج مؤتمر الأطراف</c:v>
                </c:pt>
                <c:pt idx="4">
                  <c:v>التطور الفعال لنتائج بروتوكول قرطاجنة</c:v>
                </c:pt>
                <c:pt idx="5">
                  <c:v>التطور الفعال لنتائج بروتوكول ناغويا</c:v>
                </c:pt>
                <c:pt idx="6">
                  <c:v>زيادة التكامل بين الاتفاقية وبروتوكوليها</c:v>
                </c:pt>
                <c:pt idx="7">
                  <c:v>الفعالية من حيث التكلفة</c:v>
                </c:pt>
                <c:pt idx="8">
                  <c:v>الفعالية من حيث التكلفة فيما يخص بروتوكول قرطاجنة</c:v>
                </c:pt>
                <c:pt idx="9">
                  <c:v>تحسين المشاورات والتنسيق والتآزر بين نقاط الاتصال الوطنية</c:v>
                </c:pt>
              </c:strCache>
            </c:strRef>
          </c:cat>
          <c:val>
            <c:numRef>
              <c:f>'Figure 1'!$F$5:$O$5</c:f>
              <c:numCache>
                <c:formatCode>General</c:formatCode>
                <c:ptCount val="10"/>
                <c:pt idx="0">
                  <c:v>27</c:v>
                </c:pt>
                <c:pt idx="1">
                  <c:v>17</c:v>
                </c:pt>
                <c:pt idx="2">
                  <c:v>15</c:v>
                </c:pt>
                <c:pt idx="3">
                  <c:v>31</c:v>
                </c:pt>
                <c:pt idx="4">
                  <c:v>17</c:v>
                </c:pt>
                <c:pt idx="5">
                  <c:v>19</c:v>
                </c:pt>
                <c:pt idx="6">
                  <c:v>35</c:v>
                </c:pt>
                <c:pt idx="7">
                  <c:v>24</c:v>
                </c:pt>
                <c:pt idx="8">
                  <c:v>18</c:v>
                </c:pt>
                <c:pt idx="9">
                  <c:v>38</c:v>
                </c:pt>
              </c:numCache>
            </c:numRef>
          </c:val>
        </c:ser>
        <c:ser>
          <c:idx val="1"/>
          <c:order val="1"/>
          <c:tx>
            <c:strRef>
              <c:f>'Figure 1'!$E$6</c:f>
              <c:strCache>
                <c:ptCount val="1"/>
                <c:pt idx="0">
                  <c:v>معيار استوفي جزئيا</c:v>
                </c:pt>
              </c:strCache>
            </c:strRef>
          </c:tx>
          <c:spPr>
            <a:solidFill>
              <a:srgbClr val="FDFDC3"/>
            </a:solidFill>
            <a:ln>
              <a:solidFill>
                <a:schemeClr val="tx1"/>
              </a:solidFill>
            </a:ln>
          </c:spPr>
          <c:invertIfNegative val="0"/>
          <c:cat>
            <c:strRef>
              <c:f>'Figure 1'!$F$4:$O$4</c:f>
              <c:strCache>
                <c:ptCount val="10"/>
                <c:pt idx="0">
                  <c:v>المشاركة الكاملة والفعالة لممثلي البلدان النامية الأطراف في الاجتماع الثالث عشر لمؤتمر الأطراف</c:v>
                </c:pt>
                <c:pt idx="1">
                  <c:v>المشاركة الكاملة والفعالة لممثلي البلدان النامية الأطراف في الاجتماع الثامن لمؤتمر الأطراف العامل كاجتماع للأطراف في بروتوكول السلامة الأحيائية</c:v>
                </c:pt>
                <c:pt idx="2">
                  <c:v>المشاركة الكاملة والفعالة لممثلي البلدان النامية الأطراف في الاجتماع الثاني لمؤتمر الأطراف العامل كاجتماع للأطراف في بروتوكول ناغويا</c:v>
                </c:pt>
                <c:pt idx="3">
                  <c:v>التطور الفعال لنتائج مؤتمر الأطراف</c:v>
                </c:pt>
                <c:pt idx="4">
                  <c:v>التطور الفعال لنتائج بروتوكول قرطاجنة</c:v>
                </c:pt>
                <c:pt idx="5">
                  <c:v>التطور الفعال لنتائج بروتوكول ناغويا</c:v>
                </c:pt>
                <c:pt idx="6">
                  <c:v>زيادة التكامل بين الاتفاقية وبروتوكوليها</c:v>
                </c:pt>
                <c:pt idx="7">
                  <c:v>الفعالية من حيث التكلفة</c:v>
                </c:pt>
                <c:pt idx="8">
                  <c:v>الفعالية من حيث التكلفة فيما يخص بروتوكول قرطاجنة</c:v>
                </c:pt>
                <c:pt idx="9">
                  <c:v>تحسين المشاورات والتنسيق والتآزر بين نقاط الاتصال الوطنية</c:v>
                </c:pt>
              </c:strCache>
            </c:strRef>
          </c:cat>
          <c:val>
            <c:numRef>
              <c:f>'Figure 1'!$F$6:$O$6</c:f>
              <c:numCache>
                <c:formatCode>General</c:formatCode>
                <c:ptCount val="10"/>
                <c:pt idx="0">
                  <c:v>31</c:v>
                </c:pt>
                <c:pt idx="1">
                  <c:v>39</c:v>
                </c:pt>
                <c:pt idx="2">
                  <c:v>34</c:v>
                </c:pt>
                <c:pt idx="3">
                  <c:v>30</c:v>
                </c:pt>
                <c:pt idx="4">
                  <c:v>40</c:v>
                </c:pt>
                <c:pt idx="5">
                  <c:v>28</c:v>
                </c:pt>
                <c:pt idx="6">
                  <c:v>32</c:v>
                </c:pt>
                <c:pt idx="7">
                  <c:v>32</c:v>
                </c:pt>
                <c:pt idx="8">
                  <c:v>27</c:v>
                </c:pt>
                <c:pt idx="9">
                  <c:v>23</c:v>
                </c:pt>
              </c:numCache>
            </c:numRef>
          </c:val>
        </c:ser>
        <c:ser>
          <c:idx val="2"/>
          <c:order val="2"/>
          <c:tx>
            <c:strRef>
              <c:f>'Figure 1'!$E$7</c:f>
              <c:strCache>
                <c:ptCount val="1"/>
                <c:pt idx="0">
                  <c:v>معيار لم يستوف</c:v>
                </c:pt>
              </c:strCache>
            </c:strRef>
          </c:tx>
          <c:spPr>
            <a:solidFill>
              <a:srgbClr val="C00000"/>
            </a:solidFill>
            <a:ln>
              <a:solidFill>
                <a:schemeClr val="tx1"/>
              </a:solidFill>
            </a:ln>
          </c:spPr>
          <c:invertIfNegative val="0"/>
          <c:cat>
            <c:strRef>
              <c:f>'Figure 1'!$F$4:$O$4</c:f>
              <c:strCache>
                <c:ptCount val="10"/>
                <c:pt idx="0">
                  <c:v>المشاركة الكاملة والفعالة لممثلي البلدان النامية الأطراف في الاجتماع الثالث عشر لمؤتمر الأطراف</c:v>
                </c:pt>
                <c:pt idx="1">
                  <c:v>المشاركة الكاملة والفعالة لممثلي البلدان النامية الأطراف في الاجتماع الثامن لمؤتمر الأطراف العامل كاجتماع للأطراف في بروتوكول السلامة الأحيائية</c:v>
                </c:pt>
                <c:pt idx="2">
                  <c:v>المشاركة الكاملة والفعالة لممثلي البلدان النامية الأطراف في الاجتماع الثاني لمؤتمر الأطراف العامل كاجتماع للأطراف في بروتوكول ناغويا</c:v>
                </c:pt>
                <c:pt idx="3">
                  <c:v>التطور الفعال لنتائج مؤتمر الأطراف</c:v>
                </c:pt>
                <c:pt idx="4">
                  <c:v>التطور الفعال لنتائج بروتوكول قرطاجنة</c:v>
                </c:pt>
                <c:pt idx="5">
                  <c:v>التطور الفعال لنتائج بروتوكول ناغويا</c:v>
                </c:pt>
                <c:pt idx="6">
                  <c:v>زيادة التكامل بين الاتفاقية وبروتوكوليها</c:v>
                </c:pt>
                <c:pt idx="7">
                  <c:v>الفعالية من حيث التكلفة</c:v>
                </c:pt>
                <c:pt idx="8">
                  <c:v>الفعالية من حيث التكلفة فيما يخص بروتوكول قرطاجنة</c:v>
                </c:pt>
                <c:pt idx="9">
                  <c:v>تحسين المشاورات والتنسيق والتآزر بين نقاط الاتصال الوطنية</c:v>
                </c:pt>
              </c:strCache>
            </c:strRef>
          </c:cat>
          <c:val>
            <c:numRef>
              <c:f>'Figure 1'!$F$7:$O$7</c:f>
              <c:numCache>
                <c:formatCode>General</c:formatCode>
                <c:ptCount val="10"/>
                <c:pt idx="0">
                  <c:v>5</c:v>
                </c:pt>
                <c:pt idx="1">
                  <c:v>7</c:v>
                </c:pt>
                <c:pt idx="2">
                  <c:v>7</c:v>
                </c:pt>
                <c:pt idx="3">
                  <c:v>2</c:v>
                </c:pt>
                <c:pt idx="4">
                  <c:v>5</c:v>
                </c:pt>
                <c:pt idx="5">
                  <c:v>7</c:v>
                </c:pt>
                <c:pt idx="6">
                  <c:v>2</c:v>
                </c:pt>
                <c:pt idx="7">
                  <c:v>9</c:v>
                </c:pt>
                <c:pt idx="8">
                  <c:v>18</c:v>
                </c:pt>
                <c:pt idx="9">
                  <c:v>5</c:v>
                </c:pt>
              </c:numCache>
            </c:numRef>
          </c:val>
        </c:ser>
        <c:dLbls>
          <c:showLegendKey val="0"/>
          <c:showVal val="0"/>
          <c:showCatName val="0"/>
          <c:showSerName val="0"/>
          <c:showPercent val="0"/>
          <c:showBubbleSize val="0"/>
        </c:dLbls>
        <c:gapWidth val="47"/>
        <c:overlap val="100"/>
        <c:axId val="190959616"/>
        <c:axId val="190961152"/>
      </c:barChart>
      <c:catAx>
        <c:axId val="190959616"/>
        <c:scaling>
          <c:orientation val="maxMin"/>
        </c:scaling>
        <c:delete val="0"/>
        <c:axPos val="l"/>
        <c:numFmt formatCode="General" sourceLinked="1"/>
        <c:majorTickMark val="out"/>
        <c:minorTickMark val="none"/>
        <c:tickLblPos val="nextTo"/>
        <c:txPr>
          <a:bodyPr rot="0" vert="horz"/>
          <a:lstStyle/>
          <a:p>
            <a:pPr>
              <a:defRPr sz="900" b="0" i="0" u="none" strike="noStrike" baseline="0">
                <a:solidFill>
                  <a:srgbClr val="000000"/>
                </a:solidFill>
                <a:latin typeface="Times New Roman" panose="02020603050405020304" pitchFamily="18" charset="0"/>
                <a:ea typeface="Calibri"/>
                <a:cs typeface="Simplified Arabic" panose="02020603050405020304" pitchFamily="18" charset="-78"/>
              </a:defRPr>
            </a:pPr>
            <a:endParaRPr lang="en-US"/>
          </a:p>
        </c:txPr>
        <c:crossAx val="190961152"/>
        <c:crosses val="autoZero"/>
        <c:auto val="1"/>
        <c:lblAlgn val="ctr"/>
        <c:lblOffset val="100"/>
        <c:noMultiLvlLbl val="0"/>
      </c:catAx>
      <c:valAx>
        <c:axId val="190961152"/>
        <c:scaling>
          <c:orientation val="minMax"/>
        </c:scaling>
        <c:delete val="0"/>
        <c:axPos val="t"/>
        <c:majorGridlines/>
        <c:numFmt formatCode="0%" sourceLinked="1"/>
        <c:majorTickMark val="out"/>
        <c:minorTickMark val="none"/>
        <c:tickLblPos val="nextTo"/>
        <c:txPr>
          <a:bodyPr rot="0" vert="horz"/>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crossAx val="190959616"/>
        <c:crosses val="autoZero"/>
        <c:crossBetween val="between"/>
        <c:majorUnit val="0.2"/>
      </c:valAx>
    </c:plotArea>
    <c:legend>
      <c:legendPos val="b"/>
      <c:layout>
        <c:manualLayout>
          <c:xMode val="edge"/>
          <c:yMode val="edge"/>
          <c:x val="4.4387373338723855E-2"/>
          <c:y val="0.91526611925802848"/>
          <c:w val="0.92635606979445417"/>
          <c:h val="4.5541990737396398E-2"/>
        </c:manualLayout>
      </c:layout>
      <c:overlay val="0"/>
      <c:txPr>
        <a:bodyPr/>
        <a:lstStyle/>
        <a:p>
          <a:pPr>
            <a:defRPr sz="900" baseline="0">
              <a:cs typeface="Simplified Arabic" panose="02020603050405020304" pitchFamily="18" charset="-78"/>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8735496062992129"/>
          <c:y val="0.15002266762109284"/>
          <c:w val="0.47321392825896763"/>
          <c:h val="0.77945256842894639"/>
        </c:manualLayout>
      </c:layout>
      <c:barChart>
        <c:barDir val="bar"/>
        <c:grouping val="percentStacked"/>
        <c:varyColors val="0"/>
        <c:ser>
          <c:idx val="4"/>
          <c:order val="0"/>
          <c:tx>
            <c:strRef>
              <c:f>Concurrent!$F$1</c:f>
              <c:strCache>
                <c:ptCount val="1"/>
                <c:pt idx="0">
                  <c:v>أوافق بشدة</c:v>
                </c:pt>
              </c:strCache>
            </c:strRef>
          </c:tx>
          <c:spPr>
            <a:solidFill>
              <a:schemeClr val="accent3">
                <a:lumMod val="50000"/>
              </a:schemeClr>
            </a:solidFill>
            <a:ln>
              <a:solidFill>
                <a:schemeClr val="tx1"/>
              </a:solidFill>
            </a:ln>
          </c:spPr>
          <c:invertIfNegative val="0"/>
          <c:cat>
            <c:strRef>
              <c:f>Concurrent!$A$2:$A$6</c:f>
              <c:strCache>
                <c:ptCount val="5"/>
                <c:pt idx="0">
                  <c:v>عقد اجتماعات متزامنة كان فعالا من حيث تحسين كفاءة العمليات.</c:v>
                </c:pt>
                <c:pt idx="1">
                  <c:v>عقد اجتماعات متزامنة كان فعالا من حيث التكلفة المتكبدة ومستوى مشاركة الوفد الذي أنتمي إليه.</c:v>
                </c:pt>
                <c:pt idx="2">
                  <c:v>عقد اجتماعات متزامنة أدى إلى زيادة التكامل بين الاتفاقية وبروتوكوليها.</c:v>
                </c:pt>
                <c:pt idx="3">
                  <c:v>عقد اجتماعات متزامنة يسَّر المشاورات والتنسيق بين الوفود ومنتديات التفاوض.</c:v>
                </c:pt>
                <c:pt idx="4">
                  <c:v>كان الانتقال من اتفاقية التنوع البيولوجي إلى بروتوكول قرطاجنة وبروتوكول ناغويا سهل الاتباع خلال جلسات العمل.</c:v>
                </c:pt>
              </c:strCache>
            </c:strRef>
          </c:cat>
          <c:val>
            <c:numRef>
              <c:f>Concurrent!$F$2:$F$6</c:f>
              <c:numCache>
                <c:formatCode>0.0%</c:formatCode>
                <c:ptCount val="5"/>
                <c:pt idx="0">
                  <c:v>0.105</c:v>
                </c:pt>
                <c:pt idx="1">
                  <c:v>0.111</c:v>
                </c:pt>
                <c:pt idx="2">
                  <c:v>0.16899999999999998</c:v>
                </c:pt>
                <c:pt idx="3">
                  <c:v>0.156</c:v>
                </c:pt>
                <c:pt idx="4">
                  <c:v>6.3E-2</c:v>
                </c:pt>
              </c:numCache>
            </c:numRef>
          </c:val>
        </c:ser>
        <c:ser>
          <c:idx val="3"/>
          <c:order val="1"/>
          <c:tx>
            <c:strRef>
              <c:f>Concurrent!$E$1</c:f>
              <c:strCache>
                <c:ptCount val="1"/>
                <c:pt idx="0">
                  <c:v>أوافق</c:v>
                </c:pt>
              </c:strCache>
            </c:strRef>
          </c:tx>
          <c:spPr>
            <a:solidFill>
              <a:schemeClr val="accent3">
                <a:lumMod val="60000"/>
                <a:lumOff val="40000"/>
              </a:schemeClr>
            </a:solidFill>
            <a:ln>
              <a:solidFill>
                <a:schemeClr val="tx1"/>
              </a:solidFill>
            </a:ln>
          </c:spPr>
          <c:invertIfNegative val="0"/>
          <c:cat>
            <c:strRef>
              <c:f>Concurrent!$A$2:$A$6</c:f>
              <c:strCache>
                <c:ptCount val="5"/>
                <c:pt idx="0">
                  <c:v>عقد اجتماعات متزامنة كان فعالا من حيث تحسين كفاءة العمليات.</c:v>
                </c:pt>
                <c:pt idx="1">
                  <c:v>عقد اجتماعات متزامنة كان فعالا من حيث التكلفة المتكبدة ومستوى مشاركة الوفد الذي أنتمي إليه.</c:v>
                </c:pt>
                <c:pt idx="2">
                  <c:v>عقد اجتماعات متزامنة أدى إلى زيادة التكامل بين الاتفاقية وبروتوكوليها.</c:v>
                </c:pt>
                <c:pt idx="3">
                  <c:v>عقد اجتماعات متزامنة يسَّر المشاورات والتنسيق بين الوفود ومنتديات التفاوض.</c:v>
                </c:pt>
                <c:pt idx="4">
                  <c:v>كان الانتقال من اتفاقية التنوع البيولوجي إلى بروتوكول قرطاجنة وبروتوكول ناغويا سهل الاتباع خلال جلسات العمل.</c:v>
                </c:pt>
              </c:strCache>
            </c:strRef>
          </c:cat>
          <c:val>
            <c:numRef>
              <c:f>Concurrent!$E$2:$E$6</c:f>
              <c:numCache>
                <c:formatCode>0.0%</c:formatCode>
                <c:ptCount val="5"/>
                <c:pt idx="0">
                  <c:v>0.49700000000000005</c:v>
                </c:pt>
                <c:pt idx="1">
                  <c:v>0.42599999999999999</c:v>
                </c:pt>
                <c:pt idx="2">
                  <c:v>0.52400000000000002</c:v>
                </c:pt>
                <c:pt idx="3">
                  <c:v>0.51</c:v>
                </c:pt>
                <c:pt idx="4">
                  <c:v>0.33500000000000002</c:v>
                </c:pt>
              </c:numCache>
            </c:numRef>
          </c:val>
        </c:ser>
        <c:ser>
          <c:idx val="2"/>
          <c:order val="2"/>
          <c:tx>
            <c:strRef>
              <c:f>Concurrent!$D$1</c:f>
              <c:strCache>
                <c:ptCount val="1"/>
                <c:pt idx="0">
                  <c:v>محايد</c:v>
                </c:pt>
              </c:strCache>
            </c:strRef>
          </c:tx>
          <c:spPr>
            <a:solidFill>
              <a:schemeClr val="bg1">
                <a:lumMod val="95000"/>
              </a:schemeClr>
            </a:solidFill>
            <a:ln>
              <a:solidFill>
                <a:schemeClr val="tx1"/>
              </a:solidFill>
            </a:ln>
          </c:spPr>
          <c:invertIfNegative val="0"/>
          <c:cat>
            <c:strRef>
              <c:f>Concurrent!$A$2:$A$6</c:f>
              <c:strCache>
                <c:ptCount val="5"/>
                <c:pt idx="0">
                  <c:v>عقد اجتماعات متزامنة كان فعالا من حيث تحسين كفاءة العمليات.</c:v>
                </c:pt>
                <c:pt idx="1">
                  <c:v>عقد اجتماعات متزامنة كان فعالا من حيث التكلفة المتكبدة ومستوى مشاركة الوفد الذي أنتمي إليه.</c:v>
                </c:pt>
                <c:pt idx="2">
                  <c:v>عقد اجتماعات متزامنة أدى إلى زيادة التكامل بين الاتفاقية وبروتوكوليها.</c:v>
                </c:pt>
                <c:pt idx="3">
                  <c:v>عقد اجتماعات متزامنة يسَّر المشاورات والتنسيق بين الوفود ومنتديات التفاوض.</c:v>
                </c:pt>
                <c:pt idx="4">
                  <c:v>كان الانتقال من اتفاقية التنوع البيولوجي إلى بروتوكول قرطاجنة وبروتوكول ناغويا سهل الاتباع خلال جلسات العمل.</c:v>
                </c:pt>
              </c:strCache>
            </c:strRef>
          </c:cat>
          <c:val>
            <c:numRef>
              <c:f>Concurrent!$D$2:$D$6</c:f>
              <c:numCache>
                <c:formatCode>0.0%</c:formatCode>
                <c:ptCount val="5"/>
                <c:pt idx="0">
                  <c:v>0.21299999999999999</c:v>
                </c:pt>
                <c:pt idx="1">
                  <c:v>0.28199999999999997</c:v>
                </c:pt>
                <c:pt idx="2">
                  <c:v>0.20499999999999999</c:v>
                </c:pt>
                <c:pt idx="3">
                  <c:v>0.223</c:v>
                </c:pt>
                <c:pt idx="4">
                  <c:v>0.3</c:v>
                </c:pt>
              </c:numCache>
            </c:numRef>
          </c:val>
        </c:ser>
        <c:ser>
          <c:idx val="1"/>
          <c:order val="3"/>
          <c:tx>
            <c:strRef>
              <c:f>Concurrent!$C$1</c:f>
              <c:strCache>
                <c:ptCount val="1"/>
                <c:pt idx="0">
                  <c:v>أعارض</c:v>
                </c:pt>
              </c:strCache>
            </c:strRef>
          </c:tx>
          <c:spPr>
            <a:solidFill>
              <a:schemeClr val="accent6">
                <a:lumMod val="60000"/>
                <a:lumOff val="40000"/>
              </a:schemeClr>
            </a:solidFill>
            <a:ln>
              <a:solidFill>
                <a:schemeClr val="tx1"/>
              </a:solidFill>
            </a:ln>
          </c:spPr>
          <c:invertIfNegative val="0"/>
          <c:cat>
            <c:strRef>
              <c:f>Concurrent!$A$2:$A$6</c:f>
              <c:strCache>
                <c:ptCount val="5"/>
                <c:pt idx="0">
                  <c:v>عقد اجتماعات متزامنة كان فعالا من حيث تحسين كفاءة العمليات.</c:v>
                </c:pt>
                <c:pt idx="1">
                  <c:v>عقد اجتماعات متزامنة كان فعالا من حيث التكلفة المتكبدة ومستوى مشاركة الوفد الذي أنتمي إليه.</c:v>
                </c:pt>
                <c:pt idx="2">
                  <c:v>عقد اجتماعات متزامنة أدى إلى زيادة التكامل بين الاتفاقية وبروتوكوليها.</c:v>
                </c:pt>
                <c:pt idx="3">
                  <c:v>عقد اجتماعات متزامنة يسَّر المشاورات والتنسيق بين الوفود ومنتديات التفاوض.</c:v>
                </c:pt>
                <c:pt idx="4">
                  <c:v>كان الانتقال من اتفاقية التنوع البيولوجي إلى بروتوكول قرطاجنة وبروتوكول ناغويا سهل الاتباع خلال جلسات العمل.</c:v>
                </c:pt>
              </c:strCache>
            </c:strRef>
          </c:cat>
          <c:val>
            <c:numRef>
              <c:f>Concurrent!$C$2:$C$6</c:f>
              <c:numCache>
                <c:formatCode>0.0%</c:formatCode>
                <c:ptCount val="5"/>
                <c:pt idx="0">
                  <c:v>0.13</c:v>
                </c:pt>
                <c:pt idx="1">
                  <c:v>0.11900000000000001</c:v>
                </c:pt>
                <c:pt idx="2">
                  <c:v>7.400000000000001E-2</c:v>
                </c:pt>
                <c:pt idx="3">
                  <c:v>8.8000000000000009E-2</c:v>
                </c:pt>
                <c:pt idx="4">
                  <c:v>0.23899999999999999</c:v>
                </c:pt>
              </c:numCache>
            </c:numRef>
          </c:val>
        </c:ser>
        <c:ser>
          <c:idx val="0"/>
          <c:order val="4"/>
          <c:tx>
            <c:strRef>
              <c:f>Concurrent!$B$1</c:f>
              <c:strCache>
                <c:ptCount val="1"/>
                <c:pt idx="0">
                  <c:v>أعارض بشدة</c:v>
                </c:pt>
              </c:strCache>
            </c:strRef>
          </c:tx>
          <c:spPr>
            <a:solidFill>
              <a:srgbClr val="C00000"/>
            </a:solidFill>
            <a:ln>
              <a:solidFill>
                <a:schemeClr val="tx1"/>
              </a:solidFill>
            </a:ln>
          </c:spPr>
          <c:invertIfNegative val="0"/>
          <c:cat>
            <c:strRef>
              <c:f>Concurrent!$A$2:$A$6</c:f>
              <c:strCache>
                <c:ptCount val="5"/>
                <c:pt idx="0">
                  <c:v>عقد اجتماعات متزامنة كان فعالا من حيث تحسين كفاءة العمليات.</c:v>
                </c:pt>
                <c:pt idx="1">
                  <c:v>عقد اجتماعات متزامنة كان فعالا من حيث التكلفة المتكبدة ومستوى مشاركة الوفد الذي أنتمي إليه.</c:v>
                </c:pt>
                <c:pt idx="2">
                  <c:v>عقد اجتماعات متزامنة أدى إلى زيادة التكامل بين الاتفاقية وبروتوكوليها.</c:v>
                </c:pt>
                <c:pt idx="3">
                  <c:v>عقد اجتماعات متزامنة يسَّر المشاورات والتنسيق بين الوفود ومنتديات التفاوض.</c:v>
                </c:pt>
                <c:pt idx="4">
                  <c:v>كان الانتقال من اتفاقية التنوع البيولوجي إلى بروتوكول قرطاجنة وبروتوكول ناغويا سهل الاتباع خلال جلسات العمل.</c:v>
                </c:pt>
              </c:strCache>
            </c:strRef>
          </c:cat>
          <c:val>
            <c:numRef>
              <c:f>Concurrent!$B$2:$B$6</c:f>
              <c:numCache>
                <c:formatCode>0.0%</c:formatCode>
                <c:ptCount val="5"/>
                <c:pt idx="0">
                  <c:v>5.5999999999999994E-2</c:v>
                </c:pt>
                <c:pt idx="1">
                  <c:v>6.2E-2</c:v>
                </c:pt>
                <c:pt idx="2">
                  <c:v>2.8999999999999998E-2</c:v>
                </c:pt>
                <c:pt idx="3">
                  <c:v>2.3E-2</c:v>
                </c:pt>
                <c:pt idx="4">
                  <c:v>6.3E-2</c:v>
                </c:pt>
              </c:numCache>
            </c:numRef>
          </c:val>
        </c:ser>
        <c:dLbls>
          <c:showLegendKey val="0"/>
          <c:showVal val="0"/>
          <c:showCatName val="0"/>
          <c:showSerName val="0"/>
          <c:showPercent val="0"/>
          <c:showBubbleSize val="0"/>
        </c:dLbls>
        <c:gapWidth val="150"/>
        <c:overlap val="100"/>
        <c:axId val="191324544"/>
        <c:axId val="191326080"/>
      </c:barChart>
      <c:catAx>
        <c:axId val="191324544"/>
        <c:scaling>
          <c:orientation val="maxMin"/>
        </c:scaling>
        <c:delete val="0"/>
        <c:axPos val="l"/>
        <c:numFmt formatCode="General" sourceLinked="1"/>
        <c:majorTickMark val="out"/>
        <c:minorTickMark val="none"/>
        <c:tickLblPos val="nextTo"/>
        <c:spPr>
          <a:ln w="3175">
            <a:solidFill>
              <a:srgbClr val="808080"/>
            </a:solidFill>
            <a:prstDash val="solid"/>
          </a:ln>
        </c:spPr>
        <c:txPr>
          <a:bodyPr rot="0" vert="horz"/>
          <a:lstStyle/>
          <a:p>
            <a:pPr>
              <a:defRPr sz="900" b="0" i="0" u="none" strike="noStrike" baseline="0">
                <a:solidFill>
                  <a:srgbClr val="333333"/>
                </a:solidFill>
                <a:latin typeface="Calibri"/>
                <a:ea typeface="Calibri"/>
                <a:cs typeface="Simplified Arabic" panose="02020603050405020304" pitchFamily="18" charset="-78"/>
              </a:defRPr>
            </a:pPr>
            <a:endParaRPr lang="en-US"/>
          </a:p>
        </c:txPr>
        <c:crossAx val="191326080"/>
        <c:crosses val="autoZero"/>
        <c:auto val="1"/>
        <c:lblAlgn val="ctr"/>
        <c:lblOffset val="100"/>
        <c:noMultiLvlLbl val="0"/>
      </c:catAx>
      <c:valAx>
        <c:axId val="191326080"/>
        <c:scaling>
          <c:orientation val="minMax"/>
        </c:scaling>
        <c:delete val="0"/>
        <c:axPos val="t"/>
        <c:majorGridlines>
          <c:spPr>
            <a:ln w="3175">
              <a:solidFill>
                <a:srgbClr val="808080"/>
              </a:solidFill>
              <a:prstDash val="solid"/>
            </a:ln>
          </c:spPr>
        </c:majorGridlines>
        <c:numFmt formatCode="0%"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333333"/>
                </a:solidFill>
                <a:latin typeface="Calibri"/>
                <a:ea typeface="Calibri"/>
                <a:cs typeface="Calibri"/>
              </a:defRPr>
            </a:pPr>
            <a:endParaRPr lang="en-US"/>
          </a:p>
        </c:txPr>
        <c:crossAx val="191324544"/>
        <c:crosses val="autoZero"/>
        <c:crossBetween val="between"/>
      </c:valAx>
    </c:plotArea>
    <c:legend>
      <c:legendPos val="b"/>
      <c:layout/>
      <c:overlay val="0"/>
      <c:txPr>
        <a:bodyPr/>
        <a:lstStyle/>
        <a:p>
          <a:pPr>
            <a:defRPr sz="900" b="0" i="0" u="none" strike="noStrike" baseline="0">
              <a:solidFill>
                <a:srgbClr val="333333"/>
              </a:solidFill>
              <a:latin typeface="Calibri"/>
              <a:ea typeface="Calibri"/>
              <a:cs typeface="Simplified Arabic" panose="02020603050405020304" pitchFamily="18" charset="-78"/>
            </a:defRPr>
          </a:pPr>
          <a:endParaRPr lang="en-US"/>
        </a:p>
      </c:tx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333333"/>
          </a:solidFill>
          <a:latin typeface="Calibri"/>
          <a:ea typeface="Calibri"/>
          <a:cs typeface="Calibri"/>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ar-SA" sz="1100"/>
              <a:t>المشاركة في اجتماعات مؤتمر الأطراف</a:t>
            </a:r>
            <a:endParaRPr lang="en-US" sz="1100"/>
          </a:p>
        </c:rich>
      </c:tx>
      <c:overlay val="0"/>
    </c:title>
    <c:autoTitleDeleted val="0"/>
    <c:plotArea>
      <c:layout/>
      <c:barChart>
        <c:barDir val="col"/>
        <c:grouping val="clustered"/>
        <c:varyColors val="0"/>
        <c:ser>
          <c:idx val="1"/>
          <c:order val="0"/>
          <c:tx>
            <c:strRef>
              <c:f>'Figure 4'!$A$4</c:f>
              <c:strCache>
                <c:ptCount val="1"/>
                <c:pt idx="0">
                  <c:v>عدد البلدان المتقدمة الأطراف</c:v>
                </c:pt>
              </c:strCache>
            </c:strRef>
          </c:tx>
          <c:spPr>
            <a:solidFill>
              <a:schemeClr val="accent3">
                <a:lumMod val="60000"/>
                <a:lumOff val="40000"/>
              </a:schemeClr>
            </a:solidFill>
          </c:spPr>
          <c:invertIfNegative val="0"/>
          <c:cat>
            <c:strRef>
              <c:f>'Figure 4'!$B$1:$I$1</c:f>
              <c:strCache>
                <c:ptCount val="7"/>
                <c:pt idx="0">
                  <c:v>الاجتماع السابع لمؤتمر الأطراف</c:v>
                </c:pt>
                <c:pt idx="1">
                  <c:v>الاجتماع الثامن لمؤتمر الأطراف</c:v>
                </c:pt>
                <c:pt idx="2">
                  <c:v>الاجتماع التاسع لمؤتمر الأطراف</c:v>
                </c:pt>
                <c:pt idx="3">
                  <c:v>الاجتماع العاشر لمؤتمر الأطراف</c:v>
                </c:pt>
                <c:pt idx="4">
                  <c:v>الاجتماع الحادي عشر لمؤتمر الأطراف</c:v>
                </c:pt>
                <c:pt idx="5">
                  <c:v>الاجتماع الثاني عشر لمؤتمر الأطراف</c:v>
                </c:pt>
                <c:pt idx="6">
                  <c:v>الاجتماع الثالث عشر لمؤتمر الأطراف</c:v>
                </c:pt>
              </c:strCache>
            </c:strRef>
          </c:cat>
          <c:val>
            <c:numRef>
              <c:f>'Figure 4'!$B$4:$H$4</c:f>
              <c:numCache>
                <c:formatCode>General</c:formatCode>
                <c:ptCount val="7"/>
                <c:pt idx="0">
                  <c:v>38</c:v>
                </c:pt>
                <c:pt idx="1">
                  <c:v>37</c:v>
                </c:pt>
                <c:pt idx="2">
                  <c:v>44</c:v>
                </c:pt>
                <c:pt idx="3">
                  <c:v>41</c:v>
                </c:pt>
                <c:pt idx="4">
                  <c:v>40</c:v>
                </c:pt>
                <c:pt idx="5">
                  <c:v>42</c:v>
                </c:pt>
                <c:pt idx="6">
                  <c:v>40</c:v>
                </c:pt>
              </c:numCache>
            </c:numRef>
          </c:val>
        </c:ser>
        <c:ser>
          <c:idx val="2"/>
          <c:order val="1"/>
          <c:tx>
            <c:strRef>
              <c:f>'Figure 4'!$A$5</c:f>
              <c:strCache>
                <c:ptCount val="1"/>
                <c:pt idx="0">
                  <c:v>عدد البلدان النامية الأطراف</c:v>
                </c:pt>
              </c:strCache>
            </c:strRef>
          </c:tx>
          <c:spPr>
            <a:solidFill>
              <a:schemeClr val="accent2">
                <a:lumMod val="60000"/>
                <a:lumOff val="40000"/>
              </a:schemeClr>
            </a:solidFill>
          </c:spPr>
          <c:invertIfNegative val="0"/>
          <c:cat>
            <c:strRef>
              <c:f>'Figure 4'!$B$1:$I$1</c:f>
              <c:strCache>
                <c:ptCount val="7"/>
                <c:pt idx="0">
                  <c:v>الاجتماع السابع لمؤتمر الأطراف</c:v>
                </c:pt>
                <c:pt idx="1">
                  <c:v>الاجتماع الثامن لمؤتمر الأطراف</c:v>
                </c:pt>
                <c:pt idx="2">
                  <c:v>الاجتماع التاسع لمؤتمر الأطراف</c:v>
                </c:pt>
                <c:pt idx="3">
                  <c:v>الاجتماع العاشر لمؤتمر الأطراف</c:v>
                </c:pt>
                <c:pt idx="4">
                  <c:v>الاجتماع الحادي عشر لمؤتمر الأطراف</c:v>
                </c:pt>
                <c:pt idx="5">
                  <c:v>الاجتماع الثاني عشر لمؤتمر الأطراف</c:v>
                </c:pt>
                <c:pt idx="6">
                  <c:v>الاجتماع الثالث عشر لمؤتمر الأطراف</c:v>
                </c:pt>
              </c:strCache>
            </c:strRef>
          </c:cat>
          <c:val>
            <c:numRef>
              <c:f>'Figure 4'!$B$5:$H$5</c:f>
              <c:numCache>
                <c:formatCode>General</c:formatCode>
                <c:ptCount val="7"/>
                <c:pt idx="0">
                  <c:v>117</c:v>
                </c:pt>
                <c:pt idx="1">
                  <c:v>124</c:v>
                </c:pt>
                <c:pt idx="2">
                  <c:v>135</c:v>
                </c:pt>
                <c:pt idx="3">
                  <c:v>138</c:v>
                </c:pt>
                <c:pt idx="4">
                  <c:v>129</c:v>
                </c:pt>
                <c:pt idx="5">
                  <c:v>118</c:v>
                </c:pt>
                <c:pt idx="6">
                  <c:v>128</c:v>
                </c:pt>
              </c:numCache>
            </c:numRef>
          </c:val>
        </c:ser>
        <c:dLbls>
          <c:showLegendKey val="0"/>
          <c:showVal val="0"/>
          <c:showCatName val="0"/>
          <c:showSerName val="0"/>
          <c:showPercent val="0"/>
          <c:showBubbleSize val="0"/>
        </c:dLbls>
        <c:gapWidth val="20"/>
        <c:axId val="192616704"/>
        <c:axId val="192622592"/>
      </c:barChart>
      <c:lineChart>
        <c:grouping val="standard"/>
        <c:varyColors val="0"/>
        <c:ser>
          <c:idx val="4"/>
          <c:order val="2"/>
          <c:tx>
            <c:strRef>
              <c:f>'Figure 4'!$A$9</c:f>
              <c:strCache>
                <c:ptCount val="1"/>
                <c:pt idx="0">
                  <c:v>عدد المشاركين من البلدان المتقدمة الأطراف</c:v>
                </c:pt>
              </c:strCache>
            </c:strRef>
          </c:tx>
          <c:spPr>
            <a:ln>
              <a:solidFill>
                <a:schemeClr val="accent3">
                  <a:lumMod val="50000"/>
                </a:schemeClr>
              </a:solidFill>
              <a:prstDash val="dash"/>
            </a:ln>
          </c:spPr>
          <c:marker>
            <c:symbol val="none"/>
          </c:marker>
          <c:val>
            <c:numRef>
              <c:f>'Figure 4'!$B$7:$H$7</c:f>
              <c:numCache>
                <c:formatCode>General</c:formatCode>
                <c:ptCount val="7"/>
                <c:pt idx="0">
                  <c:v>425</c:v>
                </c:pt>
                <c:pt idx="1">
                  <c:v>461</c:v>
                </c:pt>
                <c:pt idx="2">
                  <c:v>919</c:v>
                </c:pt>
                <c:pt idx="3">
                  <c:v>1319</c:v>
                </c:pt>
                <c:pt idx="4">
                  <c:v>466</c:v>
                </c:pt>
                <c:pt idx="5">
                  <c:v>416</c:v>
                </c:pt>
                <c:pt idx="6">
                  <c:v>465</c:v>
                </c:pt>
              </c:numCache>
            </c:numRef>
          </c:val>
          <c:smooth val="0"/>
        </c:ser>
        <c:ser>
          <c:idx val="5"/>
          <c:order val="3"/>
          <c:tx>
            <c:strRef>
              <c:f>'Figure 4'!$A$10</c:f>
              <c:strCache>
                <c:ptCount val="1"/>
                <c:pt idx="0">
                  <c:v>عدد المشاركين من البلدان النامية الأطراف</c:v>
                </c:pt>
              </c:strCache>
            </c:strRef>
          </c:tx>
          <c:spPr>
            <a:ln>
              <a:solidFill>
                <a:schemeClr val="accent2">
                  <a:lumMod val="75000"/>
                </a:schemeClr>
              </a:solidFill>
            </a:ln>
          </c:spPr>
          <c:marker>
            <c:symbol val="none"/>
          </c:marker>
          <c:val>
            <c:numRef>
              <c:f>'Figure 4'!$B$8:$H$8</c:f>
              <c:numCache>
                <c:formatCode>General</c:formatCode>
                <c:ptCount val="7"/>
                <c:pt idx="0">
                  <c:v>578</c:v>
                </c:pt>
                <c:pt idx="1">
                  <c:v>753</c:v>
                </c:pt>
                <c:pt idx="2">
                  <c:v>888</c:v>
                </c:pt>
                <c:pt idx="3">
                  <c:v>1168</c:v>
                </c:pt>
                <c:pt idx="4">
                  <c:v>1101</c:v>
                </c:pt>
                <c:pt idx="5">
                  <c:v>869</c:v>
                </c:pt>
                <c:pt idx="6">
                  <c:v>922</c:v>
                </c:pt>
              </c:numCache>
            </c:numRef>
          </c:val>
          <c:smooth val="0"/>
        </c:ser>
        <c:dLbls>
          <c:showLegendKey val="0"/>
          <c:showVal val="0"/>
          <c:showCatName val="0"/>
          <c:showSerName val="0"/>
          <c:showPercent val="0"/>
          <c:showBubbleSize val="0"/>
        </c:dLbls>
        <c:marker val="1"/>
        <c:smooth val="0"/>
        <c:axId val="192634880"/>
        <c:axId val="192624512"/>
      </c:lineChart>
      <c:catAx>
        <c:axId val="192616704"/>
        <c:scaling>
          <c:orientation val="minMax"/>
        </c:scaling>
        <c:delete val="0"/>
        <c:axPos val="b"/>
        <c:majorTickMark val="none"/>
        <c:minorTickMark val="none"/>
        <c:tickLblPos val="nextTo"/>
        <c:crossAx val="192622592"/>
        <c:crosses val="autoZero"/>
        <c:auto val="1"/>
        <c:lblAlgn val="ctr"/>
        <c:lblOffset val="100"/>
        <c:noMultiLvlLbl val="0"/>
      </c:catAx>
      <c:valAx>
        <c:axId val="192622592"/>
        <c:scaling>
          <c:orientation val="minMax"/>
          <c:max val="140"/>
          <c:min val="0"/>
        </c:scaling>
        <c:delete val="0"/>
        <c:axPos val="l"/>
        <c:majorGridlines/>
        <c:title>
          <c:tx>
            <c:rich>
              <a:bodyPr rot="-5400000" vert="horz"/>
              <a:lstStyle/>
              <a:p>
                <a:pPr>
                  <a:defRPr sz="1100"/>
                </a:pPr>
                <a:r>
                  <a:rPr lang="ar-SA" sz="1100"/>
                  <a:t>عدد الأطراف</a:t>
                </a:r>
                <a:endParaRPr lang="en-US" sz="1100"/>
              </a:p>
            </c:rich>
          </c:tx>
          <c:overlay val="0"/>
        </c:title>
        <c:numFmt formatCode="General" sourceLinked="1"/>
        <c:majorTickMark val="none"/>
        <c:minorTickMark val="none"/>
        <c:tickLblPos val="nextTo"/>
        <c:crossAx val="192616704"/>
        <c:crosses val="autoZero"/>
        <c:crossBetween val="between"/>
        <c:majorUnit val="20"/>
        <c:minorUnit val="4"/>
      </c:valAx>
      <c:valAx>
        <c:axId val="192624512"/>
        <c:scaling>
          <c:orientation val="minMax"/>
        </c:scaling>
        <c:delete val="0"/>
        <c:axPos val="r"/>
        <c:title>
          <c:tx>
            <c:rich>
              <a:bodyPr rot="-5400000" vert="horz"/>
              <a:lstStyle/>
              <a:p>
                <a:pPr>
                  <a:defRPr sz="1100"/>
                </a:pPr>
                <a:r>
                  <a:rPr lang="ar-SA" sz="1100"/>
                  <a:t>عدد المشاركين</a:t>
                </a:r>
                <a:endParaRPr lang="en-US" sz="1100"/>
              </a:p>
            </c:rich>
          </c:tx>
          <c:overlay val="0"/>
        </c:title>
        <c:numFmt formatCode="General" sourceLinked="1"/>
        <c:majorTickMark val="out"/>
        <c:minorTickMark val="none"/>
        <c:tickLblPos val="nextTo"/>
        <c:crossAx val="192634880"/>
        <c:crosses val="max"/>
        <c:crossBetween val="between"/>
      </c:valAx>
      <c:catAx>
        <c:axId val="192634880"/>
        <c:scaling>
          <c:orientation val="minMax"/>
        </c:scaling>
        <c:delete val="1"/>
        <c:axPos val="b"/>
        <c:majorTickMark val="out"/>
        <c:minorTickMark val="none"/>
        <c:tickLblPos val="nextTo"/>
        <c:crossAx val="192624512"/>
        <c:crosses val="autoZero"/>
        <c:auto val="1"/>
        <c:lblAlgn val="ctr"/>
        <c:lblOffset val="100"/>
        <c:noMultiLvlLbl val="0"/>
      </c:catAx>
    </c:plotArea>
    <c:legend>
      <c:legendPos val="b"/>
      <c:layout>
        <c:manualLayout>
          <c:xMode val="edge"/>
          <c:yMode val="edge"/>
          <c:x val="0"/>
          <c:y val="0.84661642344958021"/>
          <c:w val="0.9940684503245717"/>
          <c:h val="0.13075274539899165"/>
        </c:manualLayout>
      </c:layout>
      <c:overlay val="0"/>
      <c:txPr>
        <a:bodyPr/>
        <a:lstStyle/>
        <a:p>
          <a:pPr>
            <a:defRPr sz="1000"/>
          </a:pPr>
          <a:endParaRPr lang="en-US"/>
        </a:p>
      </c:txPr>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0.012</cdr:x>
      <cdr:y>0.02711</cdr:y>
    </cdr:from>
    <cdr:to>
      <cdr:x>0.98533</cdr:x>
      <cdr:y>0.09106</cdr:y>
    </cdr:to>
    <cdr:sp macro="" textlink="">
      <cdr:nvSpPr>
        <cdr:cNvPr id="2" name="TextBox 1"/>
        <cdr:cNvSpPr txBox="1"/>
      </cdr:nvSpPr>
      <cdr:spPr>
        <a:xfrm xmlns:a="http://schemas.openxmlformats.org/drawingml/2006/main">
          <a:off x="85725" y="161925"/>
          <a:ext cx="6953250"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endParaRPr lang="en-US" sz="14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60535-4D2E-479C-9DC9-E6027E9B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15</Pages>
  <Words>5669</Words>
  <Characters>32315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SBSTTA-18-1-1-ar</vt:lpstr>
    </vt:vector>
  </TitlesOfParts>
  <Company>Hewlett-Packard Company</Company>
  <LinksUpToDate>false</LinksUpToDate>
  <CharactersWithSpaces>37909</CharactersWithSpaces>
  <SharedDoc>false</SharedDoc>
  <HLinks>
    <vt:vector size="114" baseType="variant">
      <vt:variant>
        <vt:i4>983045</vt:i4>
      </vt:variant>
      <vt:variant>
        <vt:i4>45</vt:i4>
      </vt:variant>
      <vt:variant>
        <vt:i4>0</vt:i4>
      </vt:variant>
      <vt:variant>
        <vt:i4>5</vt:i4>
      </vt:variant>
      <vt:variant>
        <vt:lpwstr>http://www.cbd.int/doc/meetings/tk/acpow8j-02/official/acpow8j-02-02-add6-en.doc</vt:lpwstr>
      </vt:variant>
      <vt:variant>
        <vt:lpwstr/>
      </vt:variant>
      <vt:variant>
        <vt:i4>983046</vt:i4>
      </vt:variant>
      <vt:variant>
        <vt:i4>42</vt:i4>
      </vt:variant>
      <vt:variant>
        <vt:i4>0</vt:i4>
      </vt:variant>
      <vt:variant>
        <vt:i4>5</vt:i4>
      </vt:variant>
      <vt:variant>
        <vt:lpwstr>http://www.cbd.int/doc/meetings/tk/acpow8j-02/official/acpow8j-02-02-add5-en.doc</vt:lpwstr>
      </vt:variant>
      <vt:variant>
        <vt:lpwstr/>
      </vt:variant>
      <vt:variant>
        <vt:i4>6619174</vt:i4>
      </vt:variant>
      <vt:variant>
        <vt:i4>39</vt:i4>
      </vt:variant>
      <vt:variant>
        <vt:i4>0</vt:i4>
      </vt:variant>
      <vt:variant>
        <vt:i4>5</vt:i4>
      </vt:variant>
      <vt:variant>
        <vt:lpwstr>mailto:http://www.cbd.int/doc/meetings/tk/acpow8j-02/official/acpow8j-02-02-add4-en.doc</vt:lpwstr>
      </vt:variant>
      <vt:variant>
        <vt:lpwstr/>
      </vt:variant>
      <vt:variant>
        <vt:i4>7733369</vt:i4>
      </vt:variant>
      <vt:variant>
        <vt:i4>36</vt:i4>
      </vt:variant>
      <vt:variant>
        <vt:i4>0</vt:i4>
      </vt:variant>
      <vt:variant>
        <vt:i4>5</vt:i4>
      </vt:variant>
      <vt:variant>
        <vt:lpwstr>http://www.cbd.int/doc/?meeting=WG8J-05</vt:lpwstr>
      </vt:variant>
      <vt:variant>
        <vt:lpwstr/>
      </vt:variant>
      <vt:variant>
        <vt:i4>5111830</vt:i4>
      </vt:variant>
      <vt:variant>
        <vt:i4>33</vt:i4>
      </vt:variant>
      <vt:variant>
        <vt:i4>0</vt:i4>
      </vt:variant>
      <vt:variant>
        <vt:i4>5</vt:i4>
      </vt:variant>
      <vt:variant>
        <vt:lpwstr>https://www.cbd.int/doc/lists/nfp-cbd-tk.pdf</vt:lpwstr>
      </vt:variant>
      <vt:variant>
        <vt:lpwstr/>
      </vt:variant>
      <vt:variant>
        <vt:i4>4587611</vt:i4>
      </vt:variant>
      <vt:variant>
        <vt:i4>30</vt:i4>
      </vt:variant>
      <vt:variant>
        <vt:i4>0</vt:i4>
      </vt:variant>
      <vt:variant>
        <vt:i4>5</vt:i4>
      </vt:variant>
      <vt:variant>
        <vt:lpwstr>http://www.iccaregistry.org/</vt:lpwstr>
      </vt:variant>
      <vt:variant>
        <vt:lpwstr/>
      </vt:variant>
      <vt:variant>
        <vt:i4>2424948</vt:i4>
      </vt:variant>
      <vt:variant>
        <vt:i4>27</vt:i4>
      </vt:variant>
      <vt:variant>
        <vt:i4>0</vt:i4>
      </vt:variant>
      <vt:variant>
        <vt:i4>5</vt:i4>
      </vt:variant>
      <vt:variant>
        <vt:lpwstr>https://www.cbd.int/sp/targets/</vt:lpwstr>
      </vt:variant>
      <vt:variant>
        <vt:lpwstr/>
      </vt:variant>
      <vt:variant>
        <vt:i4>6619190</vt:i4>
      </vt:variant>
      <vt:variant>
        <vt:i4>24</vt:i4>
      </vt:variant>
      <vt:variant>
        <vt:i4>0</vt:i4>
      </vt:variant>
      <vt:variant>
        <vt:i4>5</vt:i4>
      </vt:variant>
      <vt:variant>
        <vt:lpwstr>https://www.cbd.int/decision/cop/default.shtml?id=13175</vt:lpwstr>
      </vt:variant>
      <vt:variant>
        <vt:lpwstr/>
      </vt:variant>
      <vt:variant>
        <vt:i4>5636125</vt:i4>
      </vt:variant>
      <vt:variant>
        <vt:i4>21</vt:i4>
      </vt:variant>
      <vt:variant>
        <vt:i4>0</vt:i4>
      </vt:variant>
      <vt:variant>
        <vt:i4>5</vt:i4>
      </vt:variant>
      <vt:variant>
        <vt:lpwstr>https://www.cbd.int/doc/?meeting=WG8J-07</vt:lpwstr>
      </vt:variant>
      <vt:variant>
        <vt:lpwstr/>
      </vt:variant>
      <vt:variant>
        <vt:i4>2424893</vt:i4>
      </vt:variant>
      <vt:variant>
        <vt:i4>18</vt:i4>
      </vt:variant>
      <vt:variant>
        <vt:i4>0</vt:i4>
      </vt:variant>
      <vt:variant>
        <vt:i4>5</vt:i4>
      </vt:variant>
      <vt:variant>
        <vt:lpwstr>https://www.cbd.int/guidelines/</vt:lpwstr>
      </vt:variant>
      <vt:variant>
        <vt:lpwstr/>
      </vt:variant>
      <vt:variant>
        <vt:i4>5111896</vt:i4>
      </vt:variant>
      <vt:variant>
        <vt:i4>15</vt:i4>
      </vt:variant>
      <vt:variant>
        <vt:i4>0</vt:i4>
      </vt:variant>
      <vt:variant>
        <vt:i4>5</vt:i4>
      </vt:variant>
      <vt:variant>
        <vt:lpwstr>http://www.slu.se/en/collaborative-centres-and-projects/swedish-biodiversity-centre1/samverkan-/aktuella-projekt-och-uppdrag/naptek/</vt:lpwstr>
      </vt:variant>
      <vt:variant>
        <vt:lpwstr/>
      </vt:variant>
      <vt:variant>
        <vt:i4>7798784</vt:i4>
      </vt:variant>
      <vt:variant>
        <vt:i4>12</vt:i4>
      </vt:variant>
      <vt:variant>
        <vt:i4>0</vt:i4>
      </vt:variant>
      <vt:variant>
        <vt:i4>5</vt:i4>
      </vt:variant>
      <vt:variant>
        <vt:lpwstr>https://www.google.ca/search?q=dugong&amp;biw=1536&amp;bih=720&amp;source=lnms&amp;tbm=isch&amp;sa=X&amp;sqi=2&amp;ved=0ahUKEwiGmKDA96TKAhXJJh4KHT2lCoIQ_AUIBigB&amp;dpr=1.25</vt:lpwstr>
      </vt:variant>
      <vt:variant>
        <vt:lpwstr>imgrc=DmufuTF4hL0lFM%3A</vt:lpwstr>
      </vt:variant>
      <vt:variant>
        <vt:i4>5767197</vt:i4>
      </vt:variant>
      <vt:variant>
        <vt:i4>9</vt:i4>
      </vt:variant>
      <vt:variant>
        <vt:i4>0</vt:i4>
      </vt:variant>
      <vt:variant>
        <vt:i4>5</vt:i4>
      </vt:variant>
      <vt:variant>
        <vt:lpwstr>https://www.cbd.int/doc/?meeting=WG8J-09</vt:lpwstr>
      </vt:variant>
      <vt:variant>
        <vt:lpwstr/>
      </vt:variant>
      <vt:variant>
        <vt:i4>6881404</vt:i4>
      </vt:variant>
      <vt:variant>
        <vt:i4>6</vt:i4>
      </vt:variant>
      <vt:variant>
        <vt:i4>0</vt:i4>
      </vt:variant>
      <vt:variant>
        <vt:i4>5</vt:i4>
      </vt:variant>
      <vt:variant>
        <vt:lpwstr>http://www.cbd.int/decision/cop/default.shtml?id=13164</vt:lpwstr>
      </vt:variant>
      <vt:variant>
        <vt:lpwstr/>
      </vt:variant>
      <vt:variant>
        <vt:i4>2949155</vt:i4>
      </vt:variant>
      <vt:variant>
        <vt:i4>3</vt:i4>
      </vt:variant>
      <vt:variant>
        <vt:i4>0</vt:i4>
      </vt:variant>
      <vt:variant>
        <vt:i4>5</vt:i4>
      </vt:variant>
      <vt:variant>
        <vt:lpwstr>https://www.cbd.int/2010-target/framework/indicators.shtml</vt:lpwstr>
      </vt:variant>
      <vt:variant>
        <vt:lpwstr/>
      </vt:variant>
      <vt:variant>
        <vt:i4>1245266</vt:i4>
      </vt:variant>
      <vt:variant>
        <vt:i4>0</vt:i4>
      </vt:variant>
      <vt:variant>
        <vt:i4>0</vt:i4>
      </vt:variant>
      <vt:variant>
        <vt:i4>5</vt:i4>
      </vt:variant>
      <vt:variant>
        <vt:lpwstr>https://www.cbd.int/gbo4/</vt:lpwstr>
      </vt:variant>
      <vt:variant>
        <vt:lpwstr/>
      </vt:variant>
      <vt:variant>
        <vt:i4>3407886</vt:i4>
      </vt:variant>
      <vt:variant>
        <vt:i4>12634</vt:i4>
      </vt:variant>
      <vt:variant>
        <vt:i4>1028</vt:i4>
      </vt:variant>
      <vt:variant>
        <vt:i4>1</vt:i4>
      </vt:variant>
      <vt:variant>
        <vt:lpwstr>cid:image001.png@01D16D88.887D7C00</vt:lpwstr>
      </vt:variant>
      <vt:variant>
        <vt:lpwstr/>
      </vt:variant>
      <vt:variant>
        <vt:i4>3604494</vt:i4>
      </vt:variant>
      <vt:variant>
        <vt:i4>13250</vt:i4>
      </vt:variant>
      <vt:variant>
        <vt:i4>1029</vt:i4>
      </vt:variant>
      <vt:variant>
        <vt:i4>1</vt:i4>
      </vt:variant>
      <vt:variant>
        <vt:lpwstr>cid:image002.png@01D16D88.887D7C00</vt:lpwstr>
      </vt:variant>
      <vt:variant>
        <vt:lpwstr/>
      </vt:variant>
      <vt:variant>
        <vt:i4>3538958</vt:i4>
      </vt:variant>
      <vt:variant>
        <vt:i4>13748</vt:i4>
      </vt:variant>
      <vt:variant>
        <vt:i4>1030</vt:i4>
      </vt:variant>
      <vt:variant>
        <vt:i4>1</vt:i4>
      </vt:variant>
      <vt:variant>
        <vt:lpwstr>cid:image003.png@01D16D88.887D7C00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SBSTTA-18-1-1-ar</dc:title>
  <dc:creator>SCBD</dc:creator>
  <cp:lastModifiedBy>Mohamed El Sehemawi</cp:lastModifiedBy>
  <cp:revision>81</cp:revision>
  <cp:lastPrinted>2018-03-02T18:24:00Z</cp:lastPrinted>
  <dcterms:created xsi:type="dcterms:W3CDTF">2018-02-27T20:43:00Z</dcterms:created>
  <dcterms:modified xsi:type="dcterms:W3CDTF">2018-03-02T18:48:00Z</dcterms:modified>
</cp:coreProperties>
</file>