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07099E2" w:rsidR="004E26C0" w:rsidRPr="004E26C0" w:rsidRDefault="005747FF"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F37CF3">
                  <w:rPr>
                    <w:kern w:val="22"/>
                    <w:sz w:val="24"/>
                    <w:szCs w:val="24"/>
                  </w:rPr>
                  <w:t>6</w:t>
                </w:r>
              </w:sdtContent>
            </w:sdt>
          </w:p>
          <w:p w14:paraId="1B5DFEBD" w14:textId="30BCCED6" w:rsidR="004E26C0" w:rsidRPr="004E26C0" w:rsidRDefault="00F37CF3" w:rsidP="004E26C0">
            <w:pPr>
              <w:adjustRightInd w:val="0"/>
              <w:snapToGrid w:val="0"/>
              <w:spacing w:after="180" w:line="240" w:lineRule="atLeast"/>
              <w:ind w:left="1296"/>
              <w:rPr>
                <w:kern w:val="22"/>
                <w:sz w:val="24"/>
                <w:szCs w:val="24"/>
              </w:rPr>
            </w:pPr>
            <w:r>
              <w:rPr>
                <w:kern w:val="22"/>
                <w:sz w:val="24"/>
                <w:szCs w:val="24"/>
              </w:rPr>
              <w:t>28</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6940AD0C" w:rsidR="000C37B2" w:rsidRDefault="000C37B2" w:rsidP="00F35D4B">
      <w:pPr>
        <w:spacing w:line="240" w:lineRule="auto"/>
        <w:ind w:right="4540"/>
        <w:rPr>
          <w:sz w:val="24"/>
          <w:szCs w:val="24"/>
          <w:lang w:val="zh-CN"/>
        </w:rPr>
      </w:pPr>
      <w:r w:rsidRPr="008E33A9">
        <w:rPr>
          <w:sz w:val="24"/>
          <w:szCs w:val="24"/>
          <w:lang w:val="zh-CN"/>
        </w:rPr>
        <w:t>议程</w:t>
      </w:r>
      <w:r w:rsidR="00593B23" w:rsidRPr="008E33A9">
        <w:rPr>
          <w:rFonts w:hint="eastAsia"/>
          <w:sz w:val="24"/>
          <w:szCs w:val="24"/>
          <w:lang w:val="zh-CN"/>
        </w:rPr>
        <w:t>项目</w:t>
      </w:r>
      <w:r w:rsidR="00F37CF3">
        <w:rPr>
          <w:rFonts w:hint="eastAsia"/>
          <w:sz w:val="24"/>
          <w:szCs w:val="24"/>
          <w:lang w:val="zh-CN"/>
        </w:rPr>
        <w:t>7</w:t>
      </w:r>
    </w:p>
    <w:p w14:paraId="713B8DCF" w14:textId="475E761A" w:rsidR="00F37CF3" w:rsidRDefault="00F37CF3" w:rsidP="00F35D4B">
      <w:pPr>
        <w:spacing w:line="240" w:lineRule="auto"/>
        <w:ind w:right="4540"/>
        <w:rPr>
          <w:snapToGrid w:val="0"/>
          <w:kern w:val="22"/>
          <w:sz w:val="24"/>
          <w:szCs w:val="24"/>
        </w:rPr>
      </w:pPr>
    </w:p>
    <w:p w14:paraId="0DE5901A" w14:textId="0768D05E" w:rsidR="00F37CF3" w:rsidRPr="00F37CF3" w:rsidRDefault="00F37CF3" w:rsidP="00F37CF3">
      <w:pPr>
        <w:adjustRightInd w:val="0"/>
        <w:snapToGrid w:val="0"/>
        <w:spacing w:before="120" w:line="240" w:lineRule="atLeast"/>
        <w:jc w:val="center"/>
        <w:rPr>
          <w:rFonts w:eastAsia="SimHei"/>
          <w:snapToGrid w:val="0"/>
          <w:kern w:val="22"/>
          <w:sz w:val="28"/>
          <w:szCs w:val="28"/>
        </w:rPr>
      </w:pPr>
      <w:r w:rsidRPr="00F37CF3">
        <w:rPr>
          <w:rFonts w:eastAsia="SimHei" w:hint="eastAsia"/>
          <w:snapToGrid w:val="0"/>
          <w:kern w:val="22"/>
          <w:sz w:val="28"/>
          <w:szCs w:val="28"/>
        </w:rPr>
        <w:t>支持有效执行</w:t>
      </w:r>
      <w:r w:rsidR="00A22CF6">
        <w:rPr>
          <w:rFonts w:eastAsia="SimHei" w:hint="eastAsia"/>
          <w:snapToGrid w:val="0"/>
          <w:kern w:val="22"/>
          <w:sz w:val="28"/>
          <w:szCs w:val="28"/>
        </w:rPr>
        <w:t>《</w:t>
      </w:r>
      <w:r w:rsidRPr="00F37CF3">
        <w:rPr>
          <w:rFonts w:eastAsia="SimHei" w:hint="eastAsia"/>
          <w:snapToGrid w:val="0"/>
          <w:kern w:val="22"/>
          <w:sz w:val="28"/>
          <w:szCs w:val="28"/>
        </w:rPr>
        <w:t>名古屋议定书</w:t>
      </w:r>
      <w:r w:rsidR="00A22CF6">
        <w:rPr>
          <w:rFonts w:eastAsia="SimHei" w:hint="eastAsia"/>
          <w:snapToGrid w:val="0"/>
          <w:kern w:val="22"/>
          <w:sz w:val="28"/>
          <w:szCs w:val="28"/>
        </w:rPr>
        <w:t>》</w:t>
      </w:r>
      <w:r w:rsidRPr="00F37CF3">
        <w:rPr>
          <w:rFonts w:eastAsia="SimHei" w:hint="eastAsia"/>
          <w:snapToGrid w:val="0"/>
          <w:kern w:val="22"/>
          <w:sz w:val="28"/>
          <w:szCs w:val="28"/>
        </w:rPr>
        <w:t>能力建设和发展战略框架</w:t>
      </w:r>
      <w:r w:rsidR="005F40C0">
        <w:rPr>
          <w:rFonts w:eastAsia="SimHei" w:hint="eastAsia"/>
          <w:snapToGrid w:val="0"/>
          <w:kern w:val="22"/>
          <w:sz w:val="28"/>
          <w:szCs w:val="28"/>
        </w:rPr>
        <w:t>的</w:t>
      </w:r>
      <w:r>
        <w:rPr>
          <w:rFonts w:eastAsia="SimHei" w:hint="eastAsia"/>
          <w:snapToGrid w:val="0"/>
          <w:kern w:val="22"/>
          <w:sz w:val="28"/>
          <w:szCs w:val="28"/>
        </w:rPr>
        <w:t>评价报告</w:t>
      </w:r>
    </w:p>
    <w:p w14:paraId="6FAC00BD" w14:textId="304FFFDB" w:rsidR="00F37CF3" w:rsidRPr="00F37CF3" w:rsidRDefault="00F37CF3" w:rsidP="00A22CF6">
      <w:pPr>
        <w:adjustRightInd w:val="0"/>
        <w:snapToGrid w:val="0"/>
        <w:spacing w:before="240" w:after="240" w:line="240" w:lineRule="atLeast"/>
        <w:jc w:val="center"/>
        <w:rPr>
          <w:rFonts w:hint="eastAsia"/>
          <w:b/>
          <w:bCs/>
          <w:snapToGrid w:val="0"/>
          <w:kern w:val="22"/>
          <w:sz w:val="24"/>
          <w:szCs w:val="24"/>
        </w:rPr>
      </w:pPr>
      <w:r w:rsidRPr="00F37CF3">
        <w:rPr>
          <w:rFonts w:hint="eastAsia"/>
          <w:b/>
          <w:bCs/>
          <w:snapToGrid w:val="0"/>
          <w:kern w:val="22"/>
          <w:sz w:val="24"/>
          <w:szCs w:val="24"/>
        </w:rPr>
        <w:t>主席提交的建议草案</w:t>
      </w:r>
    </w:p>
    <w:p w14:paraId="278C69C7" w14:textId="0F1D47DB" w:rsidR="00F37CF3" w:rsidRPr="00F37CF3" w:rsidRDefault="00F37CF3" w:rsidP="00F37CF3">
      <w:pPr>
        <w:pStyle w:val="ListParagraph"/>
        <w:adjustRightInd w:val="0"/>
        <w:snapToGrid w:val="0"/>
        <w:spacing w:before="120" w:line="240" w:lineRule="atLeast"/>
        <w:ind w:left="490" w:firstLine="490"/>
        <w:contextualSpacing w:val="0"/>
        <w:rPr>
          <w:sz w:val="24"/>
          <w:szCs w:val="24"/>
        </w:rPr>
      </w:pPr>
      <w:r w:rsidRPr="00F37CF3">
        <w:rPr>
          <w:rFonts w:eastAsia="KaiTi" w:hint="eastAsia"/>
          <w:sz w:val="24"/>
          <w:szCs w:val="24"/>
        </w:rPr>
        <w:t>执行问题附属</w:t>
      </w:r>
      <w:r w:rsidRPr="00F37CF3">
        <w:rPr>
          <w:rFonts w:eastAsia="KaiTi"/>
          <w:sz w:val="24"/>
          <w:szCs w:val="24"/>
        </w:rPr>
        <w:t>机构</w:t>
      </w:r>
      <w:r w:rsidRPr="00F37CF3">
        <w:rPr>
          <w:rFonts w:hint="eastAsia"/>
          <w:sz w:val="24"/>
          <w:szCs w:val="24"/>
        </w:rPr>
        <w:t>，</w:t>
      </w:r>
    </w:p>
    <w:p w14:paraId="47869AD7" w14:textId="217A787E" w:rsidR="00F37CF3" w:rsidRPr="00F37CF3" w:rsidRDefault="00F37CF3" w:rsidP="00F37CF3">
      <w:pPr>
        <w:pStyle w:val="ListParagraph"/>
        <w:adjustRightInd w:val="0"/>
        <w:snapToGrid w:val="0"/>
        <w:spacing w:before="120" w:line="240" w:lineRule="atLeast"/>
        <w:ind w:left="490" w:firstLine="490"/>
        <w:contextualSpacing w:val="0"/>
        <w:rPr>
          <w:sz w:val="24"/>
          <w:szCs w:val="24"/>
        </w:rPr>
      </w:pPr>
      <w:r w:rsidRPr="00F37CF3">
        <w:rPr>
          <w:rFonts w:eastAsia="KaiTi"/>
          <w:sz w:val="24"/>
          <w:szCs w:val="24"/>
        </w:rPr>
        <w:t>建议</w:t>
      </w:r>
      <w:r w:rsidRPr="00F37CF3">
        <w:rPr>
          <w:sz w:val="24"/>
          <w:szCs w:val="24"/>
        </w:rPr>
        <w:t>作为名古屋议定书缔约方会议的缔约方</w:t>
      </w:r>
      <w:r w:rsidRPr="00F37CF3">
        <w:rPr>
          <w:rFonts w:hint="eastAsia"/>
          <w:sz w:val="24"/>
          <w:szCs w:val="24"/>
        </w:rPr>
        <w:t>大会</w:t>
      </w:r>
      <w:r w:rsidRPr="00F37CF3">
        <w:rPr>
          <w:sz w:val="24"/>
          <w:szCs w:val="24"/>
        </w:rPr>
        <w:t>通过一项</w:t>
      </w:r>
      <w:r w:rsidRPr="00F37CF3">
        <w:rPr>
          <w:rFonts w:hint="eastAsia"/>
          <w:sz w:val="24"/>
          <w:szCs w:val="24"/>
        </w:rPr>
        <w:t>内容</w:t>
      </w:r>
      <w:r w:rsidRPr="00F37CF3">
        <w:rPr>
          <w:sz w:val="24"/>
          <w:szCs w:val="24"/>
        </w:rPr>
        <w:t>大致如下的决定</w:t>
      </w:r>
      <w:r w:rsidRPr="00F37CF3">
        <w:rPr>
          <w:rFonts w:hint="eastAsia"/>
          <w:sz w:val="24"/>
          <w:szCs w:val="24"/>
        </w:rPr>
        <w:t>：</w:t>
      </w:r>
    </w:p>
    <w:p w14:paraId="11EEFC28" w14:textId="77777777" w:rsidR="00F37CF3" w:rsidRPr="00F37CF3" w:rsidRDefault="00F37CF3" w:rsidP="00F37CF3">
      <w:pPr>
        <w:adjustRightInd w:val="0"/>
        <w:snapToGrid w:val="0"/>
        <w:spacing w:before="120" w:line="240" w:lineRule="atLeast"/>
        <w:ind w:left="490" w:firstLine="490"/>
        <w:rPr>
          <w:rFonts w:eastAsia="KaiTi"/>
          <w:sz w:val="24"/>
          <w:szCs w:val="24"/>
        </w:rPr>
      </w:pPr>
      <w:r w:rsidRPr="00F37CF3">
        <w:rPr>
          <w:rFonts w:eastAsia="KaiTi"/>
          <w:sz w:val="24"/>
          <w:szCs w:val="24"/>
        </w:rPr>
        <w:t>作为名古屋议定书缔约方会议的缔约方</w:t>
      </w:r>
      <w:r w:rsidRPr="00F37CF3">
        <w:rPr>
          <w:rFonts w:eastAsia="KaiTi" w:hint="eastAsia"/>
          <w:sz w:val="24"/>
          <w:szCs w:val="24"/>
        </w:rPr>
        <w:t>大会</w:t>
      </w:r>
      <w:r w:rsidRPr="00F37CF3">
        <w:rPr>
          <w:rFonts w:eastAsia="KaiTi"/>
          <w:sz w:val="24"/>
          <w:szCs w:val="24"/>
        </w:rPr>
        <w:t>，</w:t>
      </w:r>
    </w:p>
    <w:p w14:paraId="184C3A0A" w14:textId="30F9F0DD"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hint="eastAsia"/>
          <w:sz w:val="24"/>
          <w:szCs w:val="24"/>
        </w:rPr>
        <w:t>表示</w:t>
      </w:r>
      <w:r w:rsidRPr="00F37CF3">
        <w:rPr>
          <w:rFonts w:eastAsia="KaiTi"/>
          <w:sz w:val="24"/>
          <w:szCs w:val="24"/>
        </w:rPr>
        <w:t>注意到</w:t>
      </w:r>
      <w:r w:rsidRPr="00F37CF3">
        <w:rPr>
          <w:sz w:val="24"/>
          <w:szCs w:val="24"/>
        </w:rPr>
        <w:t>支持有效执行</w:t>
      </w:r>
      <w:r w:rsidR="00A22CF6">
        <w:rPr>
          <w:rFonts w:hint="eastAsia"/>
          <w:sz w:val="24"/>
          <w:szCs w:val="24"/>
        </w:rPr>
        <w:t>《</w:t>
      </w:r>
      <w:r w:rsidRPr="00F37CF3">
        <w:rPr>
          <w:sz w:val="24"/>
          <w:szCs w:val="24"/>
        </w:rPr>
        <w:t>名古屋议定书</w:t>
      </w:r>
      <w:r w:rsidR="00A22CF6">
        <w:rPr>
          <w:rFonts w:hint="eastAsia"/>
          <w:sz w:val="24"/>
          <w:szCs w:val="24"/>
        </w:rPr>
        <w:t>》</w:t>
      </w:r>
      <w:r w:rsidRPr="00F37CF3">
        <w:rPr>
          <w:sz w:val="24"/>
          <w:szCs w:val="24"/>
        </w:rPr>
        <w:t>能力建设和发展战略框架评价</w:t>
      </w:r>
      <w:r w:rsidRPr="00F37CF3">
        <w:rPr>
          <w:rFonts w:hint="eastAsia"/>
          <w:sz w:val="24"/>
          <w:szCs w:val="24"/>
        </w:rPr>
        <w:t>报告</w:t>
      </w:r>
      <w:r w:rsidRPr="00F37CF3">
        <w:rPr>
          <w:sz w:val="24"/>
          <w:szCs w:val="24"/>
        </w:rPr>
        <w:t>的结论和建议，其中包括执行名古屋议定书能力建设</w:t>
      </w:r>
      <w:r w:rsidRPr="00F37CF3">
        <w:rPr>
          <w:rFonts w:hint="eastAsia"/>
          <w:sz w:val="24"/>
          <w:szCs w:val="24"/>
        </w:rPr>
        <w:t>问题</w:t>
      </w:r>
      <w:r w:rsidRPr="00F37CF3">
        <w:rPr>
          <w:sz w:val="24"/>
          <w:szCs w:val="24"/>
        </w:rPr>
        <w:t>非正式咨询委员会第四次会议提供的投入；</w:t>
      </w:r>
      <w:r>
        <w:rPr>
          <w:rStyle w:val="FootnoteReference"/>
          <w:szCs w:val="24"/>
        </w:rPr>
        <w:footnoteReference w:id="2"/>
      </w:r>
    </w:p>
    <w:p w14:paraId="3F5B4B41" w14:textId="57EFA647"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sz w:val="24"/>
          <w:szCs w:val="24"/>
        </w:rPr>
        <w:t>欢迎</w:t>
      </w:r>
      <w:r w:rsidRPr="00F37CF3">
        <w:rPr>
          <w:sz w:val="24"/>
          <w:szCs w:val="24"/>
        </w:rPr>
        <w:t>关于改进战略框架的建议，</w:t>
      </w:r>
      <w:r w:rsidRPr="00F37CF3">
        <w:rPr>
          <w:rFonts w:eastAsia="KaiTi"/>
          <w:sz w:val="24"/>
          <w:szCs w:val="24"/>
        </w:rPr>
        <w:t>同意</w:t>
      </w:r>
      <w:r w:rsidRPr="00F37CF3">
        <w:rPr>
          <w:sz w:val="24"/>
          <w:szCs w:val="24"/>
        </w:rPr>
        <w:t>根据</w:t>
      </w:r>
      <w:r w:rsidRPr="00F37CF3">
        <w:rPr>
          <w:sz w:val="24"/>
          <w:szCs w:val="24"/>
        </w:rPr>
        <w:t>2020</w:t>
      </w:r>
      <w:r w:rsidRPr="00F37CF3">
        <w:rPr>
          <w:sz w:val="24"/>
          <w:szCs w:val="24"/>
        </w:rPr>
        <w:t>年后全球生物多样性框架、</w:t>
      </w:r>
      <w:r w:rsidR="00253318">
        <w:rPr>
          <w:rFonts w:hint="eastAsia"/>
          <w:sz w:val="24"/>
          <w:szCs w:val="24"/>
        </w:rPr>
        <w:t>支持执行</w:t>
      </w:r>
      <w:r w:rsidRPr="00F37CF3">
        <w:rPr>
          <w:sz w:val="24"/>
          <w:szCs w:val="24"/>
        </w:rPr>
        <w:t>2020</w:t>
      </w:r>
      <w:r w:rsidRPr="00F37CF3">
        <w:rPr>
          <w:sz w:val="24"/>
          <w:szCs w:val="24"/>
        </w:rPr>
        <w:t>年后</w:t>
      </w:r>
      <w:r w:rsidR="00253318">
        <w:rPr>
          <w:rFonts w:hint="eastAsia"/>
          <w:sz w:val="24"/>
          <w:szCs w:val="24"/>
        </w:rPr>
        <w:t>全球生物多样性框架长期能力发展战略框架</w:t>
      </w:r>
      <w:r w:rsidR="00253318">
        <w:rPr>
          <w:rStyle w:val="FootnoteReference"/>
          <w:szCs w:val="24"/>
        </w:rPr>
        <w:footnoteReference w:id="3"/>
      </w:r>
      <w:r w:rsidR="00253318">
        <w:rPr>
          <w:rFonts w:hint="eastAsia"/>
          <w:sz w:val="24"/>
          <w:szCs w:val="24"/>
        </w:rPr>
        <w:t xml:space="preserve"> </w:t>
      </w:r>
      <w:r w:rsidRPr="00F37CF3">
        <w:rPr>
          <w:sz w:val="24"/>
          <w:szCs w:val="24"/>
        </w:rPr>
        <w:t>和</w:t>
      </w:r>
      <w:r w:rsidR="00253318">
        <w:rPr>
          <w:rFonts w:hint="eastAsia"/>
          <w:sz w:val="24"/>
          <w:szCs w:val="24"/>
        </w:rPr>
        <w:t>上文第</w:t>
      </w:r>
      <w:r w:rsidR="00253318">
        <w:rPr>
          <w:rFonts w:hint="eastAsia"/>
          <w:sz w:val="24"/>
          <w:szCs w:val="24"/>
        </w:rPr>
        <w:t>1</w:t>
      </w:r>
      <w:r w:rsidR="00253318">
        <w:rPr>
          <w:rFonts w:hint="eastAsia"/>
          <w:sz w:val="24"/>
          <w:szCs w:val="24"/>
        </w:rPr>
        <w:t>段所述评价报告</w:t>
      </w:r>
      <w:r w:rsidRPr="00F37CF3">
        <w:rPr>
          <w:rFonts w:hint="eastAsia"/>
          <w:sz w:val="24"/>
          <w:szCs w:val="24"/>
        </w:rPr>
        <w:t>的结论</w:t>
      </w:r>
      <w:r w:rsidRPr="00F37CF3">
        <w:rPr>
          <w:sz w:val="24"/>
          <w:szCs w:val="24"/>
        </w:rPr>
        <w:t>对其进行修订；</w:t>
      </w:r>
    </w:p>
    <w:p w14:paraId="2C62CA3E" w14:textId="2EA3F9C9"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hint="eastAsia"/>
          <w:sz w:val="24"/>
          <w:szCs w:val="24"/>
        </w:rPr>
        <w:t>表示</w:t>
      </w:r>
      <w:r w:rsidRPr="00F37CF3">
        <w:rPr>
          <w:rFonts w:eastAsia="KaiTi"/>
          <w:sz w:val="24"/>
          <w:szCs w:val="24"/>
        </w:rPr>
        <w:t>注意到</w:t>
      </w:r>
      <w:r w:rsidRPr="00F37CF3">
        <w:rPr>
          <w:sz w:val="24"/>
          <w:szCs w:val="24"/>
        </w:rPr>
        <w:t>闭会期间举行的执行名古屋议定书能力建设</w:t>
      </w:r>
      <w:r w:rsidRPr="00F37CF3">
        <w:rPr>
          <w:rFonts w:hint="eastAsia"/>
          <w:sz w:val="24"/>
          <w:szCs w:val="24"/>
        </w:rPr>
        <w:t>问题</w:t>
      </w:r>
      <w:r w:rsidRPr="00F37CF3">
        <w:rPr>
          <w:sz w:val="24"/>
          <w:szCs w:val="24"/>
        </w:rPr>
        <w:t>非正式咨询委员会第四次会议的报告，</w:t>
      </w:r>
      <w:r w:rsidRPr="00F37CF3">
        <w:rPr>
          <w:rStyle w:val="FootnoteReference"/>
          <w:szCs w:val="24"/>
        </w:rPr>
        <w:footnoteReference w:id="4"/>
      </w:r>
      <w:r w:rsidRPr="00F37CF3">
        <w:rPr>
          <w:rFonts w:hint="eastAsia"/>
          <w:sz w:val="24"/>
          <w:szCs w:val="24"/>
        </w:rPr>
        <w:t xml:space="preserve"> </w:t>
      </w:r>
      <w:r w:rsidRPr="00F37CF3">
        <w:rPr>
          <w:rFonts w:eastAsia="KaiTi"/>
          <w:sz w:val="24"/>
          <w:szCs w:val="24"/>
        </w:rPr>
        <w:t>决定</w:t>
      </w:r>
      <w:r w:rsidRPr="00F37CF3">
        <w:rPr>
          <w:sz w:val="24"/>
          <w:szCs w:val="24"/>
        </w:rPr>
        <w:t>将</w:t>
      </w:r>
      <w:r w:rsidR="00C87788" w:rsidRPr="00F37CF3">
        <w:rPr>
          <w:sz w:val="24"/>
          <w:szCs w:val="24"/>
        </w:rPr>
        <w:t>非正式咨询委员会</w:t>
      </w:r>
      <w:r w:rsidR="00C87788">
        <w:rPr>
          <w:rFonts w:hint="eastAsia"/>
          <w:sz w:val="24"/>
          <w:szCs w:val="24"/>
        </w:rPr>
        <w:t>的</w:t>
      </w:r>
      <w:r w:rsidRPr="00F37CF3">
        <w:rPr>
          <w:sz w:val="24"/>
          <w:szCs w:val="24"/>
        </w:rPr>
        <w:t>任务期限延至作为名古屋议定书缔约方会议的缔约方</w:t>
      </w:r>
      <w:r w:rsidRPr="00F37CF3">
        <w:rPr>
          <w:rFonts w:hint="eastAsia"/>
          <w:sz w:val="24"/>
          <w:szCs w:val="24"/>
        </w:rPr>
        <w:t>大会</w:t>
      </w:r>
      <w:r w:rsidRPr="00F37CF3">
        <w:rPr>
          <w:sz w:val="24"/>
          <w:szCs w:val="24"/>
        </w:rPr>
        <w:t>第五次会议，</w:t>
      </w:r>
      <w:r w:rsidR="00C87788">
        <w:rPr>
          <w:rFonts w:hint="eastAsia"/>
          <w:sz w:val="24"/>
          <w:szCs w:val="24"/>
        </w:rPr>
        <w:t>并更新其职权范围</w:t>
      </w:r>
      <w:r w:rsidRPr="00F37CF3">
        <w:rPr>
          <w:rFonts w:hint="eastAsia"/>
          <w:sz w:val="24"/>
          <w:szCs w:val="24"/>
        </w:rPr>
        <w:t>以</w:t>
      </w:r>
      <w:r w:rsidR="00C87788">
        <w:rPr>
          <w:rFonts w:hint="eastAsia"/>
          <w:sz w:val="24"/>
          <w:szCs w:val="24"/>
        </w:rPr>
        <w:t>包括</w:t>
      </w:r>
      <w:r w:rsidRPr="00F37CF3">
        <w:rPr>
          <w:sz w:val="24"/>
          <w:szCs w:val="24"/>
        </w:rPr>
        <w:t>支持修订和更新能力建设和发展战略框架；</w:t>
      </w:r>
    </w:p>
    <w:p w14:paraId="64F566E4" w14:textId="77777777"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sz w:val="24"/>
          <w:szCs w:val="24"/>
        </w:rPr>
        <w:t>决定</w:t>
      </w:r>
      <w:r w:rsidRPr="00F37CF3">
        <w:rPr>
          <w:rFonts w:hint="eastAsia"/>
          <w:sz w:val="24"/>
          <w:szCs w:val="24"/>
        </w:rPr>
        <w:t>增加</w:t>
      </w:r>
      <w:r w:rsidRPr="00F37CF3">
        <w:rPr>
          <w:sz w:val="24"/>
          <w:szCs w:val="24"/>
        </w:rPr>
        <w:t>非正式咨询委员会的成员</w:t>
      </w:r>
      <w:r w:rsidRPr="00F37CF3">
        <w:rPr>
          <w:rFonts w:hint="eastAsia"/>
          <w:sz w:val="24"/>
          <w:szCs w:val="24"/>
        </w:rPr>
        <w:t>数目</w:t>
      </w:r>
      <w:r w:rsidRPr="00F37CF3">
        <w:rPr>
          <w:sz w:val="24"/>
          <w:szCs w:val="24"/>
        </w:rPr>
        <w:t>，</w:t>
      </w:r>
      <w:r w:rsidRPr="00F37CF3">
        <w:rPr>
          <w:rFonts w:hint="eastAsia"/>
          <w:sz w:val="24"/>
          <w:szCs w:val="24"/>
        </w:rPr>
        <w:t>接纳企业界</w:t>
      </w:r>
      <w:r w:rsidRPr="00F37CF3">
        <w:rPr>
          <w:sz w:val="24"/>
          <w:szCs w:val="24"/>
        </w:rPr>
        <w:t>、研究界和青年代表</w:t>
      </w:r>
      <w:r w:rsidRPr="00F37CF3">
        <w:rPr>
          <w:rFonts w:hint="eastAsia"/>
          <w:sz w:val="24"/>
          <w:szCs w:val="24"/>
        </w:rPr>
        <w:t>参加</w:t>
      </w:r>
      <w:r w:rsidRPr="00F37CF3">
        <w:rPr>
          <w:sz w:val="24"/>
          <w:szCs w:val="24"/>
        </w:rPr>
        <w:t>；</w:t>
      </w:r>
    </w:p>
    <w:p w14:paraId="357925C6" w14:textId="182D3F8B"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hint="eastAsia"/>
          <w:sz w:val="24"/>
          <w:szCs w:val="24"/>
        </w:rPr>
        <w:t>又</w:t>
      </w:r>
      <w:r w:rsidRPr="00F37CF3">
        <w:rPr>
          <w:rFonts w:eastAsia="KaiTi"/>
          <w:sz w:val="24"/>
          <w:szCs w:val="24"/>
        </w:rPr>
        <w:t>决定</w:t>
      </w:r>
      <w:r w:rsidRPr="00F37CF3">
        <w:rPr>
          <w:sz w:val="24"/>
          <w:szCs w:val="24"/>
        </w:rPr>
        <w:t>非正式咨询委员会举行一次会议并视需要进行网上协商，</w:t>
      </w:r>
      <w:r w:rsidR="00C87788">
        <w:rPr>
          <w:rFonts w:hint="eastAsia"/>
          <w:sz w:val="24"/>
          <w:szCs w:val="24"/>
        </w:rPr>
        <w:t>以</w:t>
      </w:r>
      <w:r w:rsidRPr="00F37CF3">
        <w:rPr>
          <w:sz w:val="24"/>
          <w:szCs w:val="24"/>
        </w:rPr>
        <w:t>支持修订和更新能力建设和发展战略框架；</w:t>
      </w:r>
    </w:p>
    <w:p w14:paraId="03AAFAD2" w14:textId="3CB3C030" w:rsidR="00F37CF3" w:rsidRPr="00F37CF3" w:rsidRDefault="00C87788" w:rsidP="00F37CF3">
      <w:pPr>
        <w:pStyle w:val="ListParagraph"/>
        <w:numPr>
          <w:ilvl w:val="0"/>
          <w:numId w:val="42"/>
        </w:numPr>
        <w:adjustRightInd w:val="0"/>
        <w:snapToGrid w:val="0"/>
        <w:spacing w:before="120" w:line="240" w:lineRule="atLeast"/>
        <w:ind w:left="0" w:firstLine="490"/>
        <w:contextualSpacing w:val="0"/>
        <w:rPr>
          <w:sz w:val="24"/>
          <w:szCs w:val="24"/>
        </w:rPr>
      </w:pPr>
      <w:r>
        <w:rPr>
          <w:rFonts w:eastAsia="KaiTi" w:hint="eastAsia"/>
          <w:sz w:val="24"/>
          <w:szCs w:val="24"/>
        </w:rPr>
        <w:t>敦促</w:t>
      </w:r>
      <w:r w:rsidRPr="00C87788">
        <w:rPr>
          <w:rFonts w:hint="eastAsia"/>
          <w:sz w:val="24"/>
          <w:szCs w:val="24"/>
        </w:rPr>
        <w:t>有能力的缔约方并</w:t>
      </w:r>
      <w:r w:rsidR="00F37CF3" w:rsidRPr="00F37CF3">
        <w:rPr>
          <w:rFonts w:eastAsia="KaiTi"/>
          <w:sz w:val="24"/>
          <w:szCs w:val="24"/>
        </w:rPr>
        <w:t>鼓励</w:t>
      </w:r>
      <w:r w:rsidR="00F37CF3" w:rsidRPr="00F37CF3">
        <w:rPr>
          <w:sz w:val="24"/>
          <w:szCs w:val="24"/>
        </w:rPr>
        <w:t>有能力的非缔约方和相关组织</w:t>
      </w:r>
      <w:r w:rsidR="00F37CF3" w:rsidRPr="00F37CF3">
        <w:rPr>
          <w:rFonts w:hint="eastAsia"/>
          <w:sz w:val="24"/>
          <w:szCs w:val="24"/>
        </w:rPr>
        <w:t>：</w:t>
      </w:r>
    </w:p>
    <w:p w14:paraId="5164EE41" w14:textId="6429FD5B" w:rsidR="00F37CF3" w:rsidRPr="00F37CF3" w:rsidRDefault="00C87788" w:rsidP="00F37CF3">
      <w:pPr>
        <w:pStyle w:val="ListParagraph"/>
        <w:numPr>
          <w:ilvl w:val="0"/>
          <w:numId w:val="43"/>
        </w:numPr>
        <w:adjustRightInd w:val="0"/>
        <w:snapToGrid w:val="0"/>
        <w:spacing w:before="120" w:line="240" w:lineRule="atLeast"/>
        <w:ind w:left="0" w:firstLine="360"/>
        <w:contextualSpacing w:val="0"/>
        <w:rPr>
          <w:sz w:val="24"/>
          <w:szCs w:val="24"/>
        </w:rPr>
      </w:pPr>
      <w:r>
        <w:rPr>
          <w:rFonts w:hint="eastAsia"/>
          <w:sz w:val="24"/>
          <w:szCs w:val="24"/>
        </w:rPr>
        <w:t>加大力度</w:t>
      </w:r>
      <w:r w:rsidR="00F37CF3" w:rsidRPr="00F37CF3">
        <w:rPr>
          <w:rFonts w:hint="eastAsia"/>
          <w:sz w:val="24"/>
          <w:szCs w:val="24"/>
        </w:rPr>
        <w:t>建立</w:t>
      </w:r>
      <w:r>
        <w:rPr>
          <w:rFonts w:hint="eastAsia"/>
          <w:sz w:val="24"/>
          <w:szCs w:val="24"/>
        </w:rPr>
        <w:t>和发展</w:t>
      </w:r>
      <w:r w:rsidR="00F37CF3" w:rsidRPr="00F37CF3">
        <w:rPr>
          <w:sz w:val="24"/>
          <w:szCs w:val="24"/>
        </w:rPr>
        <w:t>发展中国家缔约方特别是其中最不发达国家和小岛屿发展中国家以及经济转型缔约方执行《名古屋议定书》的能力，同时考虑到本决定附件</w:t>
      </w:r>
      <w:r w:rsidR="00F37CF3" w:rsidRPr="00F37CF3">
        <w:rPr>
          <w:rFonts w:hint="eastAsia"/>
          <w:sz w:val="24"/>
          <w:szCs w:val="24"/>
        </w:rPr>
        <w:t>认</w:t>
      </w:r>
      <w:r w:rsidR="00F37CF3" w:rsidRPr="00F37CF3">
        <w:rPr>
          <w:sz w:val="24"/>
          <w:szCs w:val="24"/>
        </w:rPr>
        <w:t>定的优先领域；</w:t>
      </w:r>
    </w:p>
    <w:p w14:paraId="281514A6" w14:textId="56CCA086" w:rsidR="00F37CF3" w:rsidRPr="00F37CF3" w:rsidRDefault="00F37CF3" w:rsidP="00F37CF3">
      <w:pPr>
        <w:pStyle w:val="ListParagraph"/>
        <w:numPr>
          <w:ilvl w:val="0"/>
          <w:numId w:val="43"/>
        </w:numPr>
        <w:adjustRightInd w:val="0"/>
        <w:snapToGrid w:val="0"/>
        <w:spacing w:before="120" w:line="240" w:lineRule="atLeast"/>
        <w:ind w:left="0" w:firstLine="360"/>
        <w:contextualSpacing w:val="0"/>
        <w:rPr>
          <w:sz w:val="24"/>
          <w:szCs w:val="24"/>
        </w:rPr>
      </w:pPr>
      <w:r w:rsidRPr="00F37CF3">
        <w:rPr>
          <w:sz w:val="24"/>
          <w:szCs w:val="24"/>
        </w:rPr>
        <w:t>继续</w:t>
      </w:r>
      <w:r w:rsidRPr="00F37CF3">
        <w:rPr>
          <w:rFonts w:hint="eastAsia"/>
          <w:sz w:val="24"/>
          <w:szCs w:val="24"/>
        </w:rPr>
        <w:t>在</w:t>
      </w:r>
      <w:r w:rsidRPr="00F37CF3">
        <w:rPr>
          <w:sz w:val="24"/>
          <w:szCs w:val="24"/>
        </w:rPr>
        <w:t>获取和惠益分享信息交换所</w:t>
      </w:r>
      <w:r w:rsidRPr="00F37CF3">
        <w:rPr>
          <w:rFonts w:hint="eastAsia"/>
          <w:sz w:val="24"/>
          <w:szCs w:val="24"/>
        </w:rPr>
        <w:t>发布有关</w:t>
      </w:r>
      <w:r w:rsidRPr="00F37CF3">
        <w:rPr>
          <w:sz w:val="24"/>
          <w:szCs w:val="24"/>
        </w:rPr>
        <w:t>能力建设举措和能力建设资源的</w:t>
      </w:r>
      <w:r w:rsidR="00A22CF6">
        <w:rPr>
          <w:rFonts w:hint="eastAsia"/>
          <w:sz w:val="24"/>
          <w:szCs w:val="24"/>
        </w:rPr>
        <w:t xml:space="preserve"> </w:t>
      </w:r>
      <w:r w:rsidR="00A22CF6">
        <w:rPr>
          <w:sz w:val="24"/>
          <w:szCs w:val="24"/>
        </w:rPr>
        <w:t xml:space="preserve">    </w:t>
      </w:r>
      <w:r w:rsidRPr="00F37CF3">
        <w:rPr>
          <w:sz w:val="24"/>
          <w:szCs w:val="24"/>
        </w:rPr>
        <w:t>信息；</w:t>
      </w:r>
    </w:p>
    <w:p w14:paraId="4BC5E066" w14:textId="7B3DF2A3" w:rsidR="00F37CF3" w:rsidRPr="00F37CF3" w:rsidRDefault="00F37CF3" w:rsidP="00F37CF3">
      <w:pPr>
        <w:pStyle w:val="ListParagraph"/>
        <w:numPr>
          <w:ilvl w:val="0"/>
          <w:numId w:val="42"/>
        </w:numPr>
        <w:adjustRightInd w:val="0"/>
        <w:snapToGrid w:val="0"/>
        <w:spacing w:before="120" w:line="240" w:lineRule="atLeast"/>
        <w:ind w:left="0" w:firstLine="490"/>
        <w:contextualSpacing w:val="0"/>
        <w:rPr>
          <w:sz w:val="24"/>
          <w:szCs w:val="24"/>
        </w:rPr>
      </w:pPr>
      <w:r w:rsidRPr="00F37CF3">
        <w:rPr>
          <w:rFonts w:eastAsia="KaiTi"/>
          <w:sz w:val="24"/>
          <w:szCs w:val="24"/>
        </w:rPr>
        <w:lastRenderedPageBreak/>
        <w:t>请</w:t>
      </w:r>
      <w:r w:rsidRPr="00F37CF3">
        <w:rPr>
          <w:sz w:val="24"/>
          <w:szCs w:val="24"/>
        </w:rPr>
        <w:t>执行秘书根据</w:t>
      </w:r>
      <w:r w:rsidRPr="00F37CF3">
        <w:rPr>
          <w:sz w:val="24"/>
          <w:szCs w:val="24"/>
        </w:rPr>
        <w:t>2020</w:t>
      </w:r>
      <w:r w:rsidRPr="00F37CF3">
        <w:rPr>
          <w:sz w:val="24"/>
          <w:szCs w:val="24"/>
        </w:rPr>
        <w:t>年后全球生物多样性框架、</w:t>
      </w:r>
      <w:r w:rsidR="00C87788">
        <w:rPr>
          <w:rFonts w:hint="eastAsia"/>
          <w:sz w:val="24"/>
          <w:szCs w:val="24"/>
        </w:rPr>
        <w:t>支持执行</w:t>
      </w:r>
      <w:r w:rsidRPr="00F37CF3">
        <w:rPr>
          <w:sz w:val="24"/>
          <w:szCs w:val="24"/>
        </w:rPr>
        <w:t>2020</w:t>
      </w:r>
      <w:r w:rsidRPr="00F37CF3">
        <w:rPr>
          <w:sz w:val="24"/>
          <w:szCs w:val="24"/>
        </w:rPr>
        <w:t>年后</w:t>
      </w:r>
      <w:r w:rsidR="005F40C0">
        <w:rPr>
          <w:rFonts w:hint="eastAsia"/>
          <w:sz w:val="24"/>
          <w:szCs w:val="24"/>
        </w:rPr>
        <w:t>全球生物多样性框架</w:t>
      </w:r>
      <w:r w:rsidR="00C87788" w:rsidRPr="00F37CF3">
        <w:rPr>
          <w:sz w:val="24"/>
          <w:szCs w:val="24"/>
        </w:rPr>
        <w:t>长期</w:t>
      </w:r>
      <w:r w:rsidRPr="00F37CF3">
        <w:rPr>
          <w:sz w:val="24"/>
          <w:szCs w:val="24"/>
        </w:rPr>
        <w:t>能力</w:t>
      </w:r>
      <w:r w:rsidR="00C87788">
        <w:rPr>
          <w:rFonts w:hint="eastAsia"/>
          <w:sz w:val="24"/>
          <w:szCs w:val="24"/>
        </w:rPr>
        <w:t>发展</w:t>
      </w:r>
      <w:r w:rsidRPr="00F37CF3">
        <w:rPr>
          <w:sz w:val="24"/>
          <w:szCs w:val="24"/>
        </w:rPr>
        <w:t>战略框架和评价</w:t>
      </w:r>
      <w:r w:rsidRPr="00F37CF3">
        <w:rPr>
          <w:rFonts w:hint="eastAsia"/>
          <w:sz w:val="24"/>
          <w:szCs w:val="24"/>
        </w:rPr>
        <w:t>报告的结论</w:t>
      </w:r>
      <w:r w:rsidRPr="00F37CF3">
        <w:rPr>
          <w:sz w:val="24"/>
          <w:szCs w:val="24"/>
        </w:rPr>
        <w:t>，编写支持有效执行</w:t>
      </w:r>
      <w:r w:rsidR="00A22CF6">
        <w:rPr>
          <w:rFonts w:hint="eastAsia"/>
          <w:sz w:val="24"/>
          <w:szCs w:val="24"/>
        </w:rPr>
        <w:t>《</w:t>
      </w:r>
      <w:r w:rsidRPr="00F37CF3">
        <w:rPr>
          <w:sz w:val="24"/>
          <w:szCs w:val="24"/>
        </w:rPr>
        <w:t>名古屋议定书</w:t>
      </w:r>
      <w:r w:rsidR="00A22CF6">
        <w:rPr>
          <w:rFonts w:hint="eastAsia"/>
          <w:sz w:val="24"/>
          <w:szCs w:val="24"/>
        </w:rPr>
        <w:t>》</w:t>
      </w:r>
      <w:r w:rsidRPr="00F37CF3">
        <w:rPr>
          <w:rFonts w:hint="eastAsia"/>
          <w:sz w:val="24"/>
          <w:szCs w:val="24"/>
        </w:rPr>
        <w:t>能力建设和发展战略框架修订本</w:t>
      </w:r>
      <w:r w:rsidRPr="00F37CF3">
        <w:rPr>
          <w:sz w:val="24"/>
          <w:szCs w:val="24"/>
        </w:rPr>
        <w:t>，供</w:t>
      </w:r>
      <w:r w:rsidRPr="00F37CF3">
        <w:rPr>
          <w:rFonts w:hint="eastAsia"/>
          <w:sz w:val="24"/>
          <w:szCs w:val="24"/>
        </w:rPr>
        <w:t>执行问题</w:t>
      </w:r>
      <w:r w:rsidRPr="00F37CF3">
        <w:rPr>
          <w:sz w:val="24"/>
          <w:szCs w:val="24"/>
        </w:rPr>
        <w:t>附属机构第四次会议审议。</w:t>
      </w:r>
      <w:r w:rsidR="00C87788">
        <w:rPr>
          <w:rFonts w:hint="eastAsia"/>
          <w:sz w:val="24"/>
          <w:szCs w:val="24"/>
        </w:rPr>
        <w:t xml:space="preserve"> </w:t>
      </w:r>
    </w:p>
    <w:p w14:paraId="17B419F3" w14:textId="77777777" w:rsidR="00A22CF6" w:rsidRDefault="00A22CF6" w:rsidP="00A22CF6">
      <w:pPr>
        <w:jc w:val="left"/>
        <w:rPr>
          <w:rFonts w:eastAsia="KaiTi"/>
          <w:sz w:val="24"/>
          <w:szCs w:val="24"/>
        </w:rPr>
      </w:pPr>
    </w:p>
    <w:p w14:paraId="54533255" w14:textId="3E45D2C8" w:rsidR="00F37CF3" w:rsidRPr="00F37CF3" w:rsidRDefault="00F37CF3" w:rsidP="00A22CF6">
      <w:pPr>
        <w:jc w:val="center"/>
        <w:rPr>
          <w:rFonts w:eastAsia="KaiTi"/>
          <w:sz w:val="24"/>
          <w:szCs w:val="24"/>
        </w:rPr>
      </w:pPr>
      <w:r w:rsidRPr="00F37CF3">
        <w:rPr>
          <w:rFonts w:eastAsia="KaiTi" w:hint="eastAsia"/>
          <w:sz w:val="24"/>
          <w:szCs w:val="24"/>
        </w:rPr>
        <w:t>附件</w:t>
      </w:r>
    </w:p>
    <w:p w14:paraId="16BEB9D4" w14:textId="0016CB9A" w:rsidR="00F37CF3" w:rsidRPr="00F37CF3" w:rsidRDefault="00F37CF3" w:rsidP="00F37CF3">
      <w:pPr>
        <w:adjustRightInd w:val="0"/>
        <w:snapToGrid w:val="0"/>
        <w:spacing w:before="120" w:line="240" w:lineRule="atLeast"/>
        <w:jc w:val="center"/>
        <w:rPr>
          <w:b/>
          <w:bCs/>
          <w:sz w:val="24"/>
          <w:szCs w:val="24"/>
        </w:rPr>
      </w:pPr>
      <w:r w:rsidRPr="00F37CF3">
        <w:rPr>
          <w:b/>
          <w:bCs/>
          <w:sz w:val="24"/>
          <w:szCs w:val="24"/>
        </w:rPr>
        <w:t>支持执行</w:t>
      </w:r>
      <w:r w:rsidR="00A22CF6">
        <w:rPr>
          <w:rFonts w:hint="eastAsia"/>
          <w:b/>
          <w:bCs/>
          <w:sz w:val="24"/>
          <w:szCs w:val="24"/>
        </w:rPr>
        <w:t>《</w:t>
      </w:r>
      <w:r w:rsidRPr="00F37CF3">
        <w:rPr>
          <w:b/>
          <w:bCs/>
          <w:sz w:val="24"/>
          <w:szCs w:val="24"/>
        </w:rPr>
        <w:t>名古屋议定书</w:t>
      </w:r>
      <w:r w:rsidR="00A22CF6">
        <w:rPr>
          <w:rFonts w:hint="eastAsia"/>
          <w:b/>
          <w:bCs/>
          <w:sz w:val="24"/>
          <w:szCs w:val="24"/>
        </w:rPr>
        <w:t>》</w:t>
      </w:r>
      <w:r w:rsidRPr="00F37CF3">
        <w:rPr>
          <w:b/>
          <w:bCs/>
          <w:sz w:val="24"/>
          <w:szCs w:val="24"/>
        </w:rPr>
        <w:t>持续能力建设的具体优先事项</w:t>
      </w:r>
    </w:p>
    <w:p w14:paraId="2DEBBBE1" w14:textId="77777777" w:rsidR="00F37CF3" w:rsidRPr="00F37CF3" w:rsidRDefault="00F37CF3" w:rsidP="00F37CF3">
      <w:pPr>
        <w:adjustRightInd w:val="0"/>
        <w:snapToGrid w:val="0"/>
        <w:spacing w:before="120" w:line="240" w:lineRule="atLeast"/>
        <w:ind w:firstLine="490"/>
        <w:rPr>
          <w:sz w:val="24"/>
          <w:szCs w:val="24"/>
        </w:rPr>
      </w:pPr>
      <w:r w:rsidRPr="00F37CF3">
        <w:rPr>
          <w:sz w:val="24"/>
          <w:szCs w:val="24"/>
        </w:rPr>
        <w:t>《名古屋议定书》评估和审查</w:t>
      </w:r>
      <w:r w:rsidRPr="00F37CF3">
        <w:rPr>
          <w:rFonts w:hint="eastAsia"/>
          <w:sz w:val="24"/>
          <w:szCs w:val="24"/>
        </w:rPr>
        <w:t>过程中认定</w:t>
      </w:r>
      <w:r w:rsidRPr="00F37CF3">
        <w:rPr>
          <w:sz w:val="24"/>
          <w:szCs w:val="24"/>
        </w:rPr>
        <w:t>的持续能力建设的具体优先事项包括</w:t>
      </w:r>
      <w:r w:rsidRPr="00F37CF3">
        <w:rPr>
          <w:rFonts w:hint="eastAsia"/>
          <w:sz w:val="24"/>
          <w:szCs w:val="24"/>
        </w:rPr>
        <w:t>：</w:t>
      </w:r>
    </w:p>
    <w:p w14:paraId="4793739D" w14:textId="77777777"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sz w:val="24"/>
          <w:szCs w:val="24"/>
        </w:rPr>
        <w:t>制定获取和惠益分享立法或监管要求</w:t>
      </w:r>
      <w:r w:rsidRPr="00F37CF3">
        <w:rPr>
          <w:rFonts w:hint="eastAsia"/>
          <w:sz w:val="24"/>
          <w:szCs w:val="24"/>
        </w:rPr>
        <w:t>，同时</w:t>
      </w:r>
      <w:r w:rsidRPr="00F37CF3">
        <w:rPr>
          <w:sz w:val="24"/>
          <w:szCs w:val="24"/>
        </w:rPr>
        <w:t>考虑到《议定书》第</w:t>
      </w:r>
      <w:r w:rsidRPr="00F37CF3">
        <w:rPr>
          <w:sz w:val="24"/>
          <w:szCs w:val="24"/>
        </w:rPr>
        <w:t>8</w:t>
      </w:r>
      <w:r w:rsidRPr="00F37CF3">
        <w:rPr>
          <w:sz w:val="24"/>
          <w:szCs w:val="24"/>
        </w:rPr>
        <w:t>条以及</w:t>
      </w:r>
      <w:r w:rsidRPr="00F37CF3">
        <w:rPr>
          <w:rFonts w:hint="eastAsia"/>
          <w:sz w:val="24"/>
          <w:szCs w:val="24"/>
        </w:rPr>
        <w:t>确保以相辅相成的方式执行</w:t>
      </w:r>
      <w:r w:rsidRPr="00F37CF3">
        <w:rPr>
          <w:sz w:val="24"/>
          <w:szCs w:val="24"/>
        </w:rPr>
        <w:t>《议定书》和其他相关国际文书的必要性；</w:t>
      </w:r>
    </w:p>
    <w:p w14:paraId="7EC735CF" w14:textId="77777777"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sz w:val="24"/>
          <w:szCs w:val="24"/>
        </w:rPr>
        <w:t>加强执行关于遵守获取和惠益分享的国内</w:t>
      </w:r>
      <w:r w:rsidRPr="00F37CF3">
        <w:rPr>
          <w:rFonts w:hint="eastAsia"/>
          <w:sz w:val="24"/>
          <w:szCs w:val="24"/>
        </w:rPr>
        <w:t>法律</w:t>
      </w:r>
      <w:r w:rsidRPr="00F37CF3">
        <w:rPr>
          <w:sz w:val="24"/>
          <w:szCs w:val="24"/>
        </w:rPr>
        <w:t>和监管要求的</w:t>
      </w:r>
      <w:r w:rsidRPr="00F37CF3">
        <w:rPr>
          <w:rFonts w:hint="eastAsia"/>
          <w:sz w:val="24"/>
          <w:szCs w:val="24"/>
        </w:rPr>
        <w:t>条款</w:t>
      </w:r>
      <w:r w:rsidRPr="00F37CF3">
        <w:rPr>
          <w:sz w:val="24"/>
          <w:szCs w:val="24"/>
        </w:rPr>
        <w:t>，监测遗传资源的利用，包括指定检查</w:t>
      </w:r>
      <w:r w:rsidRPr="00F37CF3">
        <w:rPr>
          <w:rFonts w:hint="eastAsia"/>
          <w:sz w:val="24"/>
          <w:szCs w:val="24"/>
        </w:rPr>
        <w:t>点，加强执行</w:t>
      </w:r>
      <w:r w:rsidRPr="00F37CF3">
        <w:rPr>
          <w:sz w:val="24"/>
          <w:szCs w:val="24"/>
        </w:rPr>
        <w:t>与土著人民和地方社区有关的</w:t>
      </w:r>
      <w:r w:rsidRPr="00F37CF3">
        <w:rPr>
          <w:rFonts w:hint="eastAsia"/>
          <w:sz w:val="24"/>
          <w:szCs w:val="24"/>
        </w:rPr>
        <w:t>条款</w:t>
      </w:r>
      <w:r w:rsidRPr="00F37CF3">
        <w:rPr>
          <w:sz w:val="24"/>
          <w:szCs w:val="24"/>
        </w:rPr>
        <w:t>；</w:t>
      </w:r>
    </w:p>
    <w:p w14:paraId="3B6835FE" w14:textId="77777777"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sz w:val="24"/>
          <w:szCs w:val="24"/>
        </w:rPr>
        <w:t>支持土著人民和地方社区参与《议定书》的执行</w:t>
      </w:r>
      <w:r w:rsidRPr="00F37CF3">
        <w:rPr>
          <w:rFonts w:hint="eastAsia"/>
          <w:sz w:val="24"/>
          <w:szCs w:val="24"/>
        </w:rPr>
        <w:t>工作</w:t>
      </w:r>
      <w:r w:rsidRPr="00F37CF3">
        <w:rPr>
          <w:sz w:val="24"/>
          <w:szCs w:val="24"/>
        </w:rPr>
        <w:t>，包括支持土著人民和地方社区制定社区</w:t>
      </w:r>
      <w:r w:rsidRPr="00F37CF3">
        <w:rPr>
          <w:rFonts w:hint="eastAsia"/>
          <w:sz w:val="24"/>
          <w:szCs w:val="24"/>
        </w:rPr>
        <w:t>规程</w:t>
      </w:r>
      <w:r w:rsidRPr="00F37CF3">
        <w:rPr>
          <w:sz w:val="24"/>
          <w:szCs w:val="24"/>
        </w:rPr>
        <w:t>和程序、</w:t>
      </w:r>
      <w:r w:rsidRPr="00F37CF3">
        <w:rPr>
          <w:rFonts w:hint="eastAsia"/>
          <w:sz w:val="24"/>
          <w:szCs w:val="24"/>
        </w:rPr>
        <w:t>共同商定条件的</w:t>
      </w:r>
      <w:r w:rsidRPr="00F37CF3">
        <w:rPr>
          <w:sz w:val="24"/>
          <w:szCs w:val="24"/>
        </w:rPr>
        <w:t>最低要求</w:t>
      </w:r>
      <w:r w:rsidRPr="00F37CF3">
        <w:rPr>
          <w:rFonts w:hint="eastAsia"/>
          <w:sz w:val="24"/>
          <w:szCs w:val="24"/>
        </w:rPr>
        <w:t>、分享</w:t>
      </w:r>
      <w:r w:rsidRPr="00F37CF3">
        <w:rPr>
          <w:sz w:val="24"/>
          <w:szCs w:val="24"/>
        </w:rPr>
        <w:t>利用遗传资源相关传统知识</w:t>
      </w:r>
      <w:r w:rsidRPr="00F37CF3">
        <w:rPr>
          <w:rFonts w:hint="eastAsia"/>
          <w:sz w:val="24"/>
          <w:szCs w:val="24"/>
        </w:rPr>
        <w:t>所</w:t>
      </w:r>
      <w:r w:rsidRPr="00F37CF3">
        <w:rPr>
          <w:sz w:val="24"/>
          <w:szCs w:val="24"/>
        </w:rPr>
        <w:t>产生惠益</w:t>
      </w:r>
      <w:r w:rsidRPr="00F37CF3">
        <w:rPr>
          <w:rFonts w:hint="eastAsia"/>
          <w:sz w:val="24"/>
          <w:szCs w:val="24"/>
        </w:rPr>
        <w:t>的</w:t>
      </w:r>
      <w:r w:rsidRPr="00F37CF3">
        <w:rPr>
          <w:sz w:val="24"/>
          <w:szCs w:val="24"/>
        </w:rPr>
        <w:t>示范合同条款，同时考虑到他们的习惯法；</w:t>
      </w:r>
    </w:p>
    <w:p w14:paraId="27EC2B6A" w14:textId="77777777"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sz w:val="24"/>
          <w:szCs w:val="24"/>
        </w:rPr>
        <w:t>提高相关利益攸关方的认识，鼓励他们参与《议定书》的执行</w:t>
      </w:r>
      <w:r w:rsidRPr="00F37CF3">
        <w:rPr>
          <w:rFonts w:hint="eastAsia"/>
          <w:sz w:val="24"/>
          <w:szCs w:val="24"/>
        </w:rPr>
        <w:t>工作</w:t>
      </w:r>
      <w:r w:rsidRPr="00F37CF3">
        <w:rPr>
          <w:sz w:val="24"/>
          <w:szCs w:val="24"/>
        </w:rPr>
        <w:t>。</w:t>
      </w:r>
    </w:p>
    <w:p w14:paraId="2A4A48B1" w14:textId="4E45F18E"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sz w:val="24"/>
          <w:szCs w:val="24"/>
        </w:rPr>
        <w:t>涉及</w:t>
      </w:r>
      <w:r w:rsidRPr="00F37CF3">
        <w:rPr>
          <w:rFonts w:hint="eastAsia"/>
          <w:sz w:val="24"/>
          <w:szCs w:val="24"/>
        </w:rPr>
        <w:t>计量</w:t>
      </w:r>
      <w:r w:rsidRPr="00F37CF3">
        <w:rPr>
          <w:sz w:val="24"/>
          <w:szCs w:val="24"/>
        </w:rPr>
        <w:t>和报告利用遗传资源</w:t>
      </w:r>
      <w:r w:rsidRPr="00F37CF3">
        <w:rPr>
          <w:rFonts w:hint="eastAsia"/>
          <w:sz w:val="24"/>
          <w:szCs w:val="24"/>
        </w:rPr>
        <w:t>所</w:t>
      </w:r>
      <w:r w:rsidRPr="00F37CF3">
        <w:rPr>
          <w:sz w:val="24"/>
          <w:szCs w:val="24"/>
        </w:rPr>
        <w:t>产生货币和非货币惠益</w:t>
      </w:r>
      <w:r w:rsidRPr="00F37CF3">
        <w:rPr>
          <w:rFonts w:hint="eastAsia"/>
          <w:sz w:val="24"/>
          <w:szCs w:val="24"/>
        </w:rPr>
        <w:t>的</w:t>
      </w:r>
      <w:r w:rsidRPr="00F37CF3">
        <w:rPr>
          <w:sz w:val="24"/>
          <w:szCs w:val="24"/>
        </w:rPr>
        <w:t>能力建设需求。</w:t>
      </w:r>
      <w:r w:rsidRPr="00F37CF3">
        <w:rPr>
          <w:rFonts w:hint="eastAsia"/>
          <w:sz w:val="24"/>
          <w:szCs w:val="24"/>
        </w:rPr>
        <w:t xml:space="preserve"> </w:t>
      </w:r>
    </w:p>
    <w:p w14:paraId="7ED37734" w14:textId="77777777" w:rsidR="00F37CF3" w:rsidRPr="00F37CF3" w:rsidRDefault="00F37CF3" w:rsidP="00A22CF6">
      <w:pPr>
        <w:pStyle w:val="ListParagraph"/>
        <w:numPr>
          <w:ilvl w:val="0"/>
          <w:numId w:val="44"/>
        </w:numPr>
        <w:adjustRightInd w:val="0"/>
        <w:snapToGrid w:val="0"/>
        <w:spacing w:before="120" w:line="240" w:lineRule="atLeast"/>
        <w:ind w:left="0" w:firstLine="432"/>
        <w:contextualSpacing w:val="0"/>
        <w:rPr>
          <w:sz w:val="24"/>
          <w:szCs w:val="24"/>
        </w:rPr>
      </w:pPr>
      <w:r w:rsidRPr="00F37CF3">
        <w:rPr>
          <w:rFonts w:hint="eastAsia"/>
          <w:sz w:val="24"/>
          <w:szCs w:val="24"/>
        </w:rPr>
        <w:t>把关于</w:t>
      </w:r>
      <w:r w:rsidRPr="00F37CF3">
        <w:rPr>
          <w:sz w:val="24"/>
          <w:szCs w:val="24"/>
        </w:rPr>
        <w:t>获取和惠益分享的战略</w:t>
      </w:r>
      <w:r w:rsidRPr="00F37CF3">
        <w:rPr>
          <w:rFonts w:hint="eastAsia"/>
          <w:sz w:val="24"/>
          <w:szCs w:val="24"/>
        </w:rPr>
        <w:t>传播作为</w:t>
      </w:r>
      <w:r w:rsidRPr="00F37CF3">
        <w:rPr>
          <w:sz w:val="24"/>
          <w:szCs w:val="24"/>
        </w:rPr>
        <w:t>未来能力建设的</w:t>
      </w:r>
      <w:r w:rsidRPr="00F37CF3">
        <w:rPr>
          <w:rFonts w:hint="eastAsia"/>
          <w:sz w:val="24"/>
          <w:szCs w:val="24"/>
        </w:rPr>
        <w:t>一个</w:t>
      </w:r>
      <w:r w:rsidRPr="00F37CF3">
        <w:rPr>
          <w:sz w:val="24"/>
          <w:szCs w:val="24"/>
        </w:rPr>
        <w:t>领域。</w:t>
      </w: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DFFA" w14:textId="77777777" w:rsidR="005747FF" w:rsidRDefault="005747FF">
      <w:r>
        <w:separator/>
      </w:r>
    </w:p>
  </w:endnote>
  <w:endnote w:type="continuationSeparator" w:id="0">
    <w:p w14:paraId="238DF1D5" w14:textId="77777777" w:rsidR="005747FF" w:rsidRDefault="005747FF">
      <w:r>
        <w:continuationSeparator/>
      </w:r>
    </w:p>
  </w:endnote>
  <w:endnote w:type="continuationNotice" w:id="1">
    <w:p w14:paraId="20416AB2" w14:textId="77777777" w:rsidR="005747FF" w:rsidRDefault="0057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382D" w14:textId="77777777" w:rsidR="005747FF" w:rsidRDefault="005747FF" w:rsidP="009A1362">
      <w:pPr>
        <w:spacing w:after="0" w:line="240" w:lineRule="auto"/>
      </w:pPr>
      <w:r>
        <w:separator/>
      </w:r>
    </w:p>
  </w:footnote>
  <w:footnote w:type="continuationSeparator" w:id="0">
    <w:p w14:paraId="3B439277" w14:textId="77777777" w:rsidR="005747FF" w:rsidRDefault="005747FF">
      <w:r>
        <w:continuationSeparator/>
      </w:r>
    </w:p>
  </w:footnote>
  <w:footnote w:type="continuationNotice" w:id="1">
    <w:p w14:paraId="58DEFD8D" w14:textId="77777777" w:rsidR="005747FF" w:rsidRDefault="005747FF"/>
  </w:footnote>
  <w:footnote w:id="2">
    <w:p w14:paraId="25FF4F39" w14:textId="0495FF8A" w:rsidR="00F37CF3" w:rsidRPr="005F40C0" w:rsidRDefault="00F37CF3" w:rsidP="005F40C0">
      <w:pPr>
        <w:pStyle w:val="FootnoteText"/>
        <w:adjustRightInd w:val="0"/>
        <w:snapToGrid w:val="0"/>
        <w:spacing w:before="60" w:line="240" w:lineRule="atLeast"/>
        <w:ind w:left="0" w:firstLine="0"/>
        <w:rPr>
          <w:rFonts w:ascii="Times New Roman" w:hAnsi="Times New Roman"/>
          <w:lang w:eastAsia="zh-CN"/>
        </w:rPr>
      </w:pPr>
      <w:r w:rsidRPr="005F40C0">
        <w:rPr>
          <w:rStyle w:val="FootnoteReference"/>
          <w:sz w:val="20"/>
        </w:rPr>
        <w:footnoteRef/>
      </w:r>
      <w:r w:rsidR="005F40C0" w:rsidRPr="005F40C0">
        <w:rPr>
          <w:rFonts w:ascii="Times New Roman" w:hAnsi="Times New Roman"/>
        </w:rPr>
        <w:t xml:space="preserve"> </w:t>
      </w:r>
      <w:r w:rsidRPr="005F40C0">
        <w:rPr>
          <w:rFonts w:ascii="Times New Roman" w:hAnsi="Times New Roman"/>
        </w:rPr>
        <w:t xml:space="preserve"> </w:t>
      </w:r>
      <w:r w:rsidR="005F40C0" w:rsidRPr="005F40C0">
        <w:rPr>
          <w:rFonts w:ascii="Times New Roman" w:hAnsi="Times New Roman"/>
          <w:kern w:val="18"/>
        </w:rPr>
        <w:t>CBD/SBI/3/INF/1</w:t>
      </w:r>
      <w:r w:rsidR="005F40C0" w:rsidRPr="005F40C0">
        <w:rPr>
          <w:rFonts w:ascii="Times New Roman" w:hAnsi="Times New Roman"/>
          <w:kern w:val="18"/>
          <w:lang w:eastAsia="zh-CN"/>
        </w:rPr>
        <w:t>。</w:t>
      </w:r>
    </w:p>
  </w:footnote>
  <w:footnote w:id="3">
    <w:p w14:paraId="18F8BE53" w14:textId="0790F4BC" w:rsidR="00253318" w:rsidRPr="005F40C0" w:rsidRDefault="00253318" w:rsidP="005F40C0">
      <w:pPr>
        <w:pStyle w:val="FootnoteText"/>
        <w:adjustRightInd w:val="0"/>
        <w:snapToGrid w:val="0"/>
        <w:spacing w:before="60" w:line="240" w:lineRule="atLeast"/>
        <w:ind w:left="0" w:firstLine="0"/>
        <w:rPr>
          <w:rFonts w:ascii="Times New Roman" w:hAnsi="Times New Roman"/>
          <w:lang w:eastAsia="zh-CN"/>
        </w:rPr>
      </w:pPr>
      <w:r w:rsidRPr="005F40C0">
        <w:rPr>
          <w:rStyle w:val="FootnoteReference"/>
          <w:sz w:val="20"/>
        </w:rPr>
        <w:footnoteRef/>
      </w:r>
      <w:r w:rsidRPr="005F40C0">
        <w:rPr>
          <w:rFonts w:ascii="Times New Roman" w:hAnsi="Times New Roman"/>
        </w:rPr>
        <w:t xml:space="preserve"> </w:t>
      </w:r>
      <w:r w:rsidR="005F40C0" w:rsidRPr="005F40C0">
        <w:rPr>
          <w:rFonts w:ascii="Times New Roman" w:hAnsi="Times New Roman"/>
        </w:rPr>
        <w:t xml:space="preserve"> </w:t>
      </w:r>
      <w:r w:rsidR="005F40C0" w:rsidRPr="005F40C0">
        <w:rPr>
          <w:rFonts w:ascii="Times New Roman" w:hAnsi="Times New Roman"/>
          <w:lang w:eastAsia="zh-CN"/>
        </w:rPr>
        <w:t>第</w:t>
      </w:r>
      <w:r w:rsidR="005F40C0" w:rsidRPr="005F40C0">
        <w:rPr>
          <w:rFonts w:ascii="Times New Roman" w:hAnsi="Times New Roman"/>
          <w:kern w:val="18"/>
        </w:rPr>
        <w:t>15/--</w:t>
      </w:r>
      <w:r w:rsidR="005F40C0" w:rsidRPr="005F40C0">
        <w:rPr>
          <w:rFonts w:ascii="Times New Roman" w:hAnsi="Times New Roman"/>
          <w:kern w:val="18"/>
          <w:lang w:eastAsia="zh-CN"/>
        </w:rPr>
        <w:t>号决定</w:t>
      </w:r>
      <w:r w:rsidR="005F40C0" w:rsidRPr="005F40C0">
        <w:rPr>
          <w:rFonts w:ascii="Times New Roman" w:hAnsi="Times New Roman"/>
          <w:kern w:val="18"/>
        </w:rPr>
        <w:t xml:space="preserve">, </w:t>
      </w:r>
      <w:r w:rsidR="005F40C0" w:rsidRPr="005F40C0">
        <w:rPr>
          <w:rFonts w:ascii="Times New Roman" w:hAnsi="Times New Roman"/>
          <w:kern w:val="18"/>
          <w:lang w:eastAsia="zh-CN"/>
        </w:rPr>
        <w:t>附件</w:t>
      </w:r>
      <w:r w:rsidR="005F40C0" w:rsidRPr="005F40C0">
        <w:rPr>
          <w:rFonts w:ascii="Times New Roman" w:hAnsi="Times New Roman"/>
          <w:kern w:val="18"/>
        </w:rPr>
        <w:t>XX</w:t>
      </w:r>
      <w:r w:rsidR="005F40C0" w:rsidRPr="005F40C0">
        <w:rPr>
          <w:rFonts w:ascii="Times New Roman" w:hAnsi="Times New Roman"/>
          <w:kern w:val="18"/>
          <w:lang w:eastAsia="zh-CN"/>
        </w:rPr>
        <w:t>。</w:t>
      </w:r>
    </w:p>
  </w:footnote>
  <w:footnote w:id="4">
    <w:p w14:paraId="634ECEB2" w14:textId="77777777" w:rsidR="00F37CF3" w:rsidRPr="00000BF7" w:rsidRDefault="00F37CF3" w:rsidP="005F40C0">
      <w:pPr>
        <w:pStyle w:val="FootnoteText"/>
        <w:adjustRightInd w:val="0"/>
        <w:snapToGrid w:val="0"/>
        <w:spacing w:before="60" w:line="240" w:lineRule="atLeast"/>
        <w:ind w:left="0" w:firstLine="0"/>
        <w:rPr>
          <w:b/>
          <w:bCs/>
        </w:rPr>
      </w:pPr>
      <w:r w:rsidRPr="005F40C0">
        <w:rPr>
          <w:rStyle w:val="FootnoteReference"/>
          <w:sz w:val="20"/>
        </w:rPr>
        <w:footnoteRef/>
      </w:r>
      <w:r w:rsidRPr="005F40C0">
        <w:rPr>
          <w:rFonts w:ascii="Times New Roman" w:hAnsi="Times New Roman"/>
        </w:rPr>
        <w:t xml:space="preserve">  CBD/NP/CB-IAC/2019/1/4</w:t>
      </w:r>
      <w:r w:rsidRPr="005F40C0">
        <w:rPr>
          <w:rFonts w:ascii="Times New Roman" w:hAnsi="Times New Roman"/>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2EEE55F5"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5F40C0">
      <w:rPr>
        <w:sz w:val="24"/>
        <w:szCs w:val="22"/>
      </w:rPr>
      <w:t>1</w:t>
    </w:r>
    <w:r w:rsidRPr="00356FD8">
      <w:rPr>
        <w:sz w:val="24"/>
        <w:szCs w:val="22"/>
      </w:rPr>
      <w:t>/</w:t>
    </w:r>
    <w:r w:rsidR="005F40C0">
      <w:rPr>
        <w:sz w:val="24"/>
        <w:szCs w:val="22"/>
      </w:rPr>
      <w:t>3</w:t>
    </w:r>
    <w:r w:rsidRPr="00356FD8">
      <w:rPr>
        <w:sz w:val="24"/>
        <w:szCs w:val="22"/>
      </w:rPr>
      <w:t>/</w:t>
    </w:r>
    <w:r w:rsidR="00E8625D">
      <w:rPr>
        <w:sz w:val="24"/>
        <w:szCs w:val="22"/>
      </w:rPr>
      <w:t>CRP.</w:t>
    </w:r>
    <w:r w:rsidR="005F40C0">
      <w:rPr>
        <w:sz w:val="24"/>
        <w:szCs w:val="22"/>
      </w:rPr>
      <w:t>6</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65FA3A9"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5F40C0">
      <w:rPr>
        <w:sz w:val="24"/>
        <w:szCs w:val="22"/>
      </w:rPr>
      <w:t>I</w:t>
    </w:r>
    <w:r w:rsidRPr="00356FD8">
      <w:rPr>
        <w:sz w:val="24"/>
        <w:szCs w:val="22"/>
      </w:rPr>
      <w:t>/</w:t>
    </w:r>
    <w:r w:rsidR="005F40C0">
      <w:rPr>
        <w:sz w:val="24"/>
        <w:szCs w:val="22"/>
      </w:rPr>
      <w:t>3</w:t>
    </w:r>
    <w:r w:rsidRPr="00356FD8">
      <w:rPr>
        <w:sz w:val="24"/>
        <w:szCs w:val="22"/>
      </w:rPr>
      <w:t>/</w:t>
    </w:r>
    <w:r w:rsidR="005F40C0">
      <w:rPr>
        <w:sz w:val="24"/>
        <w:szCs w:val="22"/>
      </w:rPr>
      <w:t>CRP.6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4"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9"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9"/>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num>
  <w:num w:numId="4">
    <w:abstractNumId w:val="14"/>
  </w:num>
  <w:num w:numId="5">
    <w:abstractNumId w:val="24"/>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6"/>
    <w:lvlOverride w:ilvl="0">
      <w:lvl w:ilvl="0" w:tplc="8C1443FA">
        <w:start w:val="1"/>
        <w:numFmt w:val="upperLetter"/>
        <w:lvlText w:val="%1."/>
        <w:lvlJc w:val="left"/>
        <w:pPr>
          <w:ind w:left="1440" w:hanging="360"/>
        </w:pPr>
        <w:rPr>
          <w:rFonts w:hint="default"/>
          <w:b/>
        </w:rPr>
      </w:lvl>
    </w:lvlOverride>
  </w:num>
  <w:num w:numId="9">
    <w:abstractNumId w:val="27"/>
  </w:num>
  <w:num w:numId="10">
    <w:abstractNumId w:val="6"/>
  </w:num>
  <w:num w:numId="11">
    <w:abstractNumId w:val="23"/>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4"/>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0"/>
  </w:num>
  <w:num w:numId="36">
    <w:abstractNumId w:val="13"/>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25"/>
  </w:num>
  <w:num w:numId="41">
    <w:abstractNumId w:val="12"/>
  </w:num>
  <w:num w:numId="42">
    <w:abstractNumId w:val="29"/>
  </w:num>
  <w:num w:numId="43">
    <w:abstractNumId w:val="10"/>
  </w:num>
  <w:num w:numId="4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3318"/>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1B54"/>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47FF"/>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0C0"/>
    <w:rsid w:val="005F47C3"/>
    <w:rsid w:val="005F4C74"/>
    <w:rsid w:val="005F4F31"/>
    <w:rsid w:val="005F7864"/>
    <w:rsid w:val="00600EC4"/>
    <w:rsid w:val="00602362"/>
    <w:rsid w:val="00602824"/>
    <w:rsid w:val="0060521B"/>
    <w:rsid w:val="00605D27"/>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2CF6"/>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788"/>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7CF3"/>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577CDE"/>
    <w:rsid w:val="006B3CBF"/>
    <w:rsid w:val="008A6010"/>
    <w:rsid w:val="00BD397A"/>
    <w:rsid w:val="00C2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CBD/SBI/3/CRP.6</dc:subject>
  <dc:creator/>
  <cp:keywords>科学、技术和工艺咨询附属机构</cp:keywords>
  <cp:lastModifiedBy/>
  <cp:revision>1</cp:revision>
  <dcterms:created xsi:type="dcterms:W3CDTF">2021-05-28T17:01:00Z</dcterms:created>
  <dcterms:modified xsi:type="dcterms:W3CDTF">2021-05-28T17:53:00Z</dcterms:modified>
  <cp:contentStatus/>
</cp:coreProperties>
</file>