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8" w:type="dxa"/>
        <w:tblLayout w:type="fixed"/>
        <w:tblLook w:val="00A0" w:firstRow="1" w:lastRow="0" w:firstColumn="1" w:lastColumn="0" w:noHBand="0" w:noVBand="0"/>
      </w:tblPr>
      <w:tblGrid>
        <w:gridCol w:w="989"/>
        <w:gridCol w:w="2176"/>
        <w:gridCol w:w="3157"/>
        <w:gridCol w:w="333"/>
        <w:gridCol w:w="3752"/>
        <w:gridCol w:w="91"/>
      </w:tblGrid>
      <w:tr w:rsidR="002F3255" w:rsidRPr="005978DF" w14:paraId="40410FE8" w14:textId="77777777" w:rsidTr="005515AE">
        <w:trPr>
          <w:gridAfter w:val="1"/>
          <w:wAfter w:w="90" w:type="dxa"/>
          <w:trHeight w:val="851"/>
        </w:trPr>
        <w:tc>
          <w:tcPr>
            <w:tcW w:w="976" w:type="dxa"/>
            <w:tcBorders>
              <w:bottom w:val="single" w:sz="12" w:space="0" w:color="auto"/>
            </w:tcBorders>
          </w:tcPr>
          <w:p w14:paraId="40410FE5" w14:textId="77777777" w:rsidR="002F3255" w:rsidRPr="005978DF" w:rsidRDefault="003905A6">
            <w:pPr>
              <w:rPr>
                <w:rFonts w:eastAsia="Times New Roman"/>
                <w:lang w:val="es-ES"/>
              </w:rPr>
            </w:pPr>
            <w:r w:rsidRPr="005978DF">
              <w:rPr>
                <w:rFonts w:eastAsia="Times New Roman"/>
                <w:noProof/>
                <w:snapToGrid/>
                <w:lang w:val="es-ES" w:eastAsia="en-US"/>
              </w:rPr>
              <w:drawing>
                <wp:inline distT="0" distB="0" distL="0" distR="0" wp14:anchorId="40412B5B" wp14:editId="40412B5C">
                  <wp:extent cx="426720" cy="36068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srcRect/>
                          <a:stretch>
                            <a:fillRect/>
                          </a:stretch>
                        </pic:blipFill>
                        <pic:spPr bwMode="auto">
                          <a:xfrm>
                            <a:off x="0" y="0"/>
                            <a:ext cx="426720" cy="360680"/>
                          </a:xfrm>
                          <a:prstGeom prst="rect">
                            <a:avLst/>
                          </a:prstGeom>
                          <a:noFill/>
                          <a:ln w="9525">
                            <a:noFill/>
                            <a:miter lim="800000"/>
                            <a:headEnd/>
                            <a:tailEnd/>
                          </a:ln>
                        </pic:spPr>
                      </pic:pic>
                    </a:graphicData>
                  </a:graphic>
                </wp:inline>
              </w:drawing>
            </w:r>
          </w:p>
        </w:tc>
        <w:tc>
          <w:tcPr>
            <w:tcW w:w="5596" w:type="dxa"/>
            <w:gridSpan w:val="3"/>
            <w:tcBorders>
              <w:bottom w:val="single" w:sz="12" w:space="0" w:color="auto"/>
            </w:tcBorders>
            <w:tcFitText/>
          </w:tcPr>
          <w:p w14:paraId="40410FE6" w14:textId="77777777" w:rsidR="002F3255" w:rsidRPr="005978DF" w:rsidRDefault="003905A6">
            <w:pPr>
              <w:rPr>
                <w:rFonts w:eastAsia="Times New Roman"/>
                <w:lang w:val="es-ES"/>
              </w:rPr>
            </w:pPr>
            <w:r w:rsidRPr="005515AE">
              <w:rPr>
                <w:rFonts w:eastAsia="Times New Roman"/>
                <w:noProof/>
                <w:snapToGrid/>
                <w:lang w:val="es-ES" w:eastAsia="en-US"/>
              </w:rPr>
              <w:drawing>
                <wp:inline distT="0" distB="0" distL="0" distR="0" wp14:anchorId="40412B5D" wp14:editId="40412B5E">
                  <wp:extent cx="609600" cy="340360"/>
                  <wp:effectExtent l="1905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609600" cy="340360"/>
                          </a:xfrm>
                          <a:prstGeom prst="rect">
                            <a:avLst/>
                          </a:prstGeom>
                          <a:noFill/>
                          <a:ln w="9525">
                            <a:noFill/>
                            <a:miter lim="800000"/>
                            <a:headEnd/>
                            <a:tailEnd/>
                          </a:ln>
                        </pic:spPr>
                      </pic:pic>
                    </a:graphicData>
                  </a:graphic>
                </wp:inline>
              </w:drawing>
            </w:r>
          </w:p>
        </w:tc>
        <w:tc>
          <w:tcPr>
            <w:tcW w:w="3706" w:type="dxa"/>
            <w:tcBorders>
              <w:bottom w:val="single" w:sz="12" w:space="0" w:color="auto"/>
            </w:tcBorders>
          </w:tcPr>
          <w:p w14:paraId="40410FE7" w14:textId="77777777" w:rsidR="002F3255" w:rsidRPr="005978DF" w:rsidRDefault="002F3255">
            <w:pPr>
              <w:jc w:val="right"/>
              <w:rPr>
                <w:rFonts w:ascii="Arial" w:eastAsia="Times New Roman" w:hAnsi="Arial" w:cs="Arial"/>
                <w:b/>
                <w:bCs/>
                <w:sz w:val="32"/>
                <w:szCs w:val="32"/>
                <w:lang w:val="es-ES"/>
              </w:rPr>
            </w:pPr>
            <w:r w:rsidRPr="005978DF">
              <w:rPr>
                <w:rFonts w:ascii="Arial" w:eastAsia="Times New Roman" w:hAnsi="Arial" w:cs="Arial"/>
                <w:b/>
                <w:bCs/>
                <w:sz w:val="32"/>
                <w:szCs w:val="32"/>
                <w:lang w:val="es-ES"/>
              </w:rPr>
              <w:t>CBD</w:t>
            </w:r>
          </w:p>
        </w:tc>
      </w:tr>
      <w:tr w:rsidR="002F3255" w:rsidRPr="005978DF" w14:paraId="40410FF3" w14:textId="77777777" w:rsidTr="005515AE">
        <w:tc>
          <w:tcPr>
            <w:tcW w:w="6572" w:type="dxa"/>
            <w:gridSpan w:val="4"/>
            <w:tcBorders>
              <w:top w:val="single" w:sz="12" w:space="0" w:color="auto"/>
              <w:bottom w:val="single" w:sz="36" w:space="0" w:color="auto"/>
            </w:tcBorders>
            <w:vAlign w:val="center"/>
          </w:tcPr>
          <w:p w14:paraId="40410FE9" w14:textId="77777777" w:rsidR="002F3255" w:rsidRPr="005978DF" w:rsidRDefault="003905A6">
            <w:pPr>
              <w:rPr>
                <w:rFonts w:eastAsia="Times New Roman"/>
                <w:sz w:val="22"/>
                <w:szCs w:val="22"/>
                <w:lang w:val="es-ES"/>
              </w:rPr>
            </w:pPr>
            <w:r w:rsidRPr="005978DF">
              <w:rPr>
                <w:rFonts w:eastAsia="Times New Roman"/>
                <w:noProof/>
                <w:snapToGrid/>
                <w:sz w:val="22"/>
                <w:szCs w:val="22"/>
                <w:lang w:val="es-ES" w:eastAsia="en-US"/>
              </w:rPr>
              <w:drawing>
                <wp:inline distT="0" distB="0" distL="0" distR="0" wp14:anchorId="40412B5F" wp14:editId="40412B60">
                  <wp:extent cx="2875280" cy="1046480"/>
                  <wp:effectExtent l="1905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srcRect/>
                          <a:stretch>
                            <a:fillRect/>
                          </a:stretch>
                        </pic:blipFill>
                        <pic:spPr bwMode="auto">
                          <a:xfrm>
                            <a:off x="0" y="0"/>
                            <a:ext cx="2875280" cy="1046480"/>
                          </a:xfrm>
                          <a:prstGeom prst="rect">
                            <a:avLst/>
                          </a:prstGeom>
                          <a:noFill/>
                          <a:ln w="9525">
                            <a:noFill/>
                            <a:miter lim="800000"/>
                            <a:headEnd/>
                            <a:tailEnd/>
                          </a:ln>
                        </pic:spPr>
                      </pic:pic>
                    </a:graphicData>
                  </a:graphic>
                </wp:inline>
              </w:drawing>
            </w:r>
          </w:p>
        </w:tc>
        <w:tc>
          <w:tcPr>
            <w:tcW w:w="3796" w:type="dxa"/>
            <w:gridSpan w:val="2"/>
            <w:tcBorders>
              <w:top w:val="single" w:sz="12" w:space="0" w:color="auto"/>
              <w:bottom w:val="single" w:sz="36" w:space="0" w:color="auto"/>
            </w:tcBorders>
          </w:tcPr>
          <w:p w14:paraId="40410FEA" w14:textId="77777777" w:rsidR="002F3255" w:rsidRPr="005978DF" w:rsidRDefault="002F3255">
            <w:pPr>
              <w:ind w:left="1215"/>
              <w:rPr>
                <w:rFonts w:eastAsia="Times New Roman"/>
                <w:sz w:val="22"/>
                <w:szCs w:val="22"/>
                <w:lang w:val="es-ES"/>
              </w:rPr>
            </w:pPr>
            <w:proofErr w:type="spellStart"/>
            <w:r w:rsidRPr="005978DF">
              <w:rPr>
                <w:rFonts w:eastAsia="Times New Roman"/>
                <w:sz w:val="22"/>
                <w:szCs w:val="22"/>
                <w:lang w:val="es-ES"/>
              </w:rPr>
              <w:t>Distr</w:t>
            </w:r>
            <w:proofErr w:type="spellEnd"/>
            <w:r w:rsidRPr="005978DF">
              <w:rPr>
                <w:rFonts w:eastAsia="Times New Roman"/>
                <w:sz w:val="22"/>
                <w:szCs w:val="22"/>
                <w:lang w:val="es-ES"/>
              </w:rPr>
              <w:t>.</w:t>
            </w:r>
          </w:p>
          <w:p w14:paraId="40410FEB" w14:textId="77777777" w:rsidR="002F3255" w:rsidRPr="005978DF" w:rsidRDefault="002F3255">
            <w:pPr>
              <w:ind w:left="1215"/>
              <w:rPr>
                <w:rFonts w:eastAsia="Times New Roman"/>
                <w:sz w:val="22"/>
                <w:szCs w:val="22"/>
                <w:lang w:val="es-ES"/>
              </w:rPr>
            </w:pPr>
            <w:r w:rsidRPr="005978DF">
              <w:rPr>
                <w:rFonts w:eastAsia="Times New Roman"/>
                <w:caps/>
                <w:sz w:val="22"/>
                <w:szCs w:val="22"/>
                <w:lang w:val="es-ES"/>
              </w:rPr>
              <w:t>GENERAL</w:t>
            </w:r>
          </w:p>
          <w:p w14:paraId="40410FEC" w14:textId="77777777" w:rsidR="002F3255" w:rsidRPr="005978DF" w:rsidRDefault="002F3255">
            <w:pPr>
              <w:ind w:left="1215"/>
              <w:rPr>
                <w:rFonts w:eastAsia="Times New Roman"/>
                <w:sz w:val="22"/>
                <w:szCs w:val="22"/>
                <w:lang w:val="es-ES"/>
              </w:rPr>
            </w:pPr>
          </w:p>
          <w:p w14:paraId="40410FED" w14:textId="77777777" w:rsidR="002F3255" w:rsidRPr="005978DF" w:rsidRDefault="002F3255">
            <w:pPr>
              <w:ind w:left="1215"/>
              <w:rPr>
                <w:rFonts w:eastAsia="Times New Roman"/>
                <w:sz w:val="22"/>
                <w:szCs w:val="22"/>
                <w:lang w:val="es-ES"/>
              </w:rPr>
            </w:pPr>
            <w:r w:rsidRPr="005978DF">
              <w:rPr>
                <w:rFonts w:eastAsia="Times New Roman"/>
                <w:sz w:val="22"/>
                <w:szCs w:val="22"/>
                <w:lang w:val="es-ES"/>
              </w:rPr>
              <w:t>CBD/COP/15/7</w:t>
            </w:r>
          </w:p>
          <w:p w14:paraId="40410FEE" w14:textId="77777777" w:rsidR="002F3255" w:rsidRPr="005978DF" w:rsidRDefault="002F3255">
            <w:pPr>
              <w:ind w:left="1215"/>
              <w:rPr>
                <w:rFonts w:eastAsia="Times New Roman"/>
                <w:sz w:val="22"/>
                <w:szCs w:val="22"/>
                <w:lang w:val="es-ES"/>
              </w:rPr>
            </w:pPr>
            <w:r w:rsidRPr="005978DF">
              <w:rPr>
                <w:rFonts w:eastAsia="Times New Roman"/>
                <w:sz w:val="22"/>
                <w:szCs w:val="22"/>
                <w:lang w:val="es-ES"/>
              </w:rPr>
              <w:t>31 de agosto de 2022</w:t>
            </w:r>
          </w:p>
          <w:p w14:paraId="40410FEF" w14:textId="77777777" w:rsidR="002F3255" w:rsidRPr="005978DF" w:rsidRDefault="002F3255">
            <w:pPr>
              <w:ind w:left="1215"/>
              <w:rPr>
                <w:rFonts w:eastAsia="Times New Roman"/>
                <w:sz w:val="22"/>
                <w:szCs w:val="22"/>
                <w:lang w:val="es-ES"/>
              </w:rPr>
            </w:pPr>
          </w:p>
          <w:p w14:paraId="40410FF0" w14:textId="77777777" w:rsidR="002F3255" w:rsidRPr="005978DF" w:rsidRDefault="002F3255">
            <w:pPr>
              <w:ind w:left="1215"/>
              <w:rPr>
                <w:rFonts w:eastAsia="Times New Roman"/>
                <w:sz w:val="22"/>
                <w:szCs w:val="22"/>
                <w:lang w:val="es-ES"/>
              </w:rPr>
            </w:pPr>
            <w:r w:rsidRPr="005978DF">
              <w:rPr>
                <w:rFonts w:eastAsia="Times New Roman"/>
                <w:sz w:val="22"/>
                <w:szCs w:val="22"/>
                <w:lang w:val="es-ES"/>
              </w:rPr>
              <w:t>ESPAÑOL</w:t>
            </w:r>
          </w:p>
          <w:p w14:paraId="40410FF1" w14:textId="77777777" w:rsidR="002F3255" w:rsidRPr="005978DF" w:rsidRDefault="002F3255">
            <w:pPr>
              <w:ind w:left="1215"/>
              <w:rPr>
                <w:rFonts w:eastAsia="Times New Roman"/>
                <w:sz w:val="22"/>
                <w:szCs w:val="22"/>
                <w:lang w:val="es-ES"/>
              </w:rPr>
            </w:pPr>
            <w:r w:rsidRPr="005978DF">
              <w:rPr>
                <w:rFonts w:eastAsia="Times New Roman"/>
                <w:sz w:val="22"/>
                <w:szCs w:val="22"/>
                <w:lang w:val="es-ES"/>
              </w:rPr>
              <w:t>ORIGINAL: INGLÉS</w:t>
            </w:r>
          </w:p>
          <w:p w14:paraId="40410FF2" w14:textId="77777777" w:rsidR="002F3255" w:rsidRPr="005978DF" w:rsidRDefault="002F3255">
            <w:pPr>
              <w:rPr>
                <w:rFonts w:eastAsia="Times New Roman"/>
                <w:sz w:val="22"/>
                <w:szCs w:val="22"/>
                <w:lang w:val="es-ES"/>
              </w:rPr>
            </w:pPr>
          </w:p>
        </w:tc>
      </w:tr>
      <w:tr w:rsidR="002F3255" w:rsidRPr="005978DF" w14:paraId="40411000" w14:textId="77777777" w:rsidTr="005515AE">
        <w:tc>
          <w:tcPr>
            <w:tcW w:w="3125" w:type="dxa"/>
            <w:gridSpan w:val="2"/>
          </w:tcPr>
          <w:p w14:paraId="40410FF4" w14:textId="77777777" w:rsidR="002F3255" w:rsidRPr="005978DF" w:rsidRDefault="002F3255">
            <w:pPr>
              <w:suppressLineNumbers/>
              <w:tabs>
                <w:tab w:val="left" w:pos="1814"/>
                <w:tab w:val="left" w:pos="2948"/>
                <w:tab w:val="left" w:pos="3515"/>
                <w:tab w:val="left" w:pos="4014"/>
              </w:tabs>
              <w:suppressAutoHyphens/>
              <w:spacing w:after="60"/>
              <w:ind w:left="173" w:right="29" w:hanging="173"/>
              <w:rPr>
                <w:rFonts w:eastAsia="Times New Roman"/>
                <w:kern w:val="22"/>
                <w:sz w:val="22"/>
                <w:szCs w:val="22"/>
                <w:lang w:val="es-ES"/>
              </w:rPr>
            </w:pPr>
            <w:r w:rsidRPr="005978DF">
              <w:rPr>
                <w:rFonts w:eastAsia="Times New Roman"/>
                <w:kern w:val="22"/>
                <w:sz w:val="22"/>
                <w:szCs w:val="22"/>
                <w:lang w:val="es-ES"/>
              </w:rPr>
              <w:t>CONFERENCIA DE LAS PARTES EN EL CONVENIO SOBRE LA DIVERSIDAD BIOLÓGICA</w:t>
            </w:r>
          </w:p>
          <w:p w14:paraId="40410FF5" w14:textId="77777777" w:rsidR="002F3255" w:rsidRPr="005978DF" w:rsidRDefault="002F3255">
            <w:pPr>
              <w:suppressLineNumbers/>
              <w:tabs>
                <w:tab w:val="left" w:pos="1814"/>
                <w:tab w:val="left" w:pos="2948"/>
                <w:tab w:val="left" w:pos="3515"/>
                <w:tab w:val="left" w:pos="4014"/>
              </w:tabs>
              <w:suppressAutoHyphens/>
              <w:ind w:left="176" w:right="29" w:hanging="176"/>
              <w:rPr>
                <w:rFonts w:eastAsia="Times New Roman"/>
                <w:kern w:val="22"/>
                <w:sz w:val="22"/>
                <w:szCs w:val="22"/>
                <w:lang w:val="es-ES"/>
              </w:rPr>
            </w:pPr>
            <w:r w:rsidRPr="005978DF">
              <w:rPr>
                <w:rFonts w:eastAsia="Times New Roman"/>
                <w:kern w:val="22"/>
                <w:lang w:val="es-ES"/>
              </w:rPr>
              <w:t>Decimoquinta reunión</w:t>
            </w:r>
          </w:p>
          <w:p w14:paraId="40410FF6" w14:textId="77777777" w:rsidR="002F3255" w:rsidRPr="005978DF" w:rsidRDefault="002F3255">
            <w:pPr>
              <w:suppressLineNumbers/>
              <w:tabs>
                <w:tab w:val="left" w:pos="1814"/>
                <w:tab w:val="left" w:pos="2948"/>
                <w:tab w:val="left" w:pos="3515"/>
                <w:tab w:val="left" w:pos="4014"/>
              </w:tabs>
              <w:suppressAutoHyphens/>
              <w:ind w:left="176" w:right="29" w:hanging="176"/>
              <w:rPr>
                <w:rFonts w:eastAsia="Times New Roman"/>
                <w:kern w:val="22"/>
                <w:sz w:val="22"/>
                <w:szCs w:val="22"/>
                <w:lang w:val="es-ES"/>
              </w:rPr>
            </w:pPr>
            <w:r w:rsidRPr="005978DF">
              <w:rPr>
                <w:rFonts w:eastAsia="Times New Roman"/>
                <w:kern w:val="22"/>
                <w:sz w:val="22"/>
                <w:szCs w:val="22"/>
                <w:lang w:val="es-ES"/>
              </w:rPr>
              <w:t>Tema 7 del programa</w:t>
            </w:r>
          </w:p>
          <w:p w14:paraId="40410FF7" w14:textId="77777777" w:rsidR="002F3255" w:rsidRPr="005978DF" w:rsidRDefault="002F3255">
            <w:pPr>
              <w:suppressLineNumbers/>
              <w:tabs>
                <w:tab w:val="left" w:pos="1814"/>
                <w:tab w:val="left" w:pos="2948"/>
                <w:tab w:val="left" w:pos="3515"/>
                <w:tab w:val="left" w:pos="4014"/>
              </w:tabs>
              <w:suppressAutoHyphens/>
              <w:ind w:right="29"/>
              <w:rPr>
                <w:rFonts w:eastAsia="Times New Roman"/>
                <w:kern w:val="22"/>
                <w:sz w:val="22"/>
                <w:szCs w:val="22"/>
                <w:lang w:val="es-ES"/>
              </w:rPr>
            </w:pPr>
          </w:p>
        </w:tc>
        <w:tc>
          <w:tcPr>
            <w:tcW w:w="3118" w:type="dxa"/>
            <w:tcMar>
              <w:left w:w="115" w:type="dxa"/>
              <w:right w:w="0" w:type="dxa"/>
            </w:tcMar>
          </w:tcPr>
          <w:p w14:paraId="40410FF8" w14:textId="77777777" w:rsidR="002F3255" w:rsidRPr="005978DF" w:rsidRDefault="002F3255">
            <w:pPr>
              <w:suppressLineNumbers/>
              <w:tabs>
                <w:tab w:val="left" w:pos="1814"/>
                <w:tab w:val="left" w:pos="3515"/>
                <w:tab w:val="left" w:pos="4014"/>
              </w:tabs>
              <w:suppressAutoHyphens/>
              <w:spacing w:before="60"/>
              <w:ind w:left="176" w:right="87" w:hanging="142"/>
              <w:rPr>
                <w:rFonts w:eastAsia="Times New Roman"/>
                <w:kern w:val="22"/>
                <w:sz w:val="22"/>
                <w:szCs w:val="22"/>
                <w:lang w:val="es-ES"/>
              </w:rPr>
            </w:pPr>
            <w:r w:rsidRPr="005978DF">
              <w:rPr>
                <w:rFonts w:eastAsia="Times New Roman"/>
                <w:sz w:val="22"/>
                <w:szCs w:val="22"/>
                <w:lang w:val="es-ES"/>
              </w:rPr>
              <w:t xml:space="preserve">CONFERENCIA DE LAS PARTES EN EL CONVENIO SOBRE LA DIVERSIDAD BIOLÓGICA QUE ACTÚA COMO REUNIÓN DE LAS PARTES EN EL PROTOCOLO DE </w:t>
            </w:r>
            <w:r w:rsidRPr="005978DF">
              <w:rPr>
                <w:rFonts w:eastAsia="Times New Roman"/>
                <w:kern w:val="22"/>
                <w:sz w:val="22"/>
                <w:szCs w:val="22"/>
                <w:lang w:val="es-ES"/>
              </w:rPr>
              <w:t>CARTAGENA SOBRE SEGURIDAD DE LA BIOTECNOLOGÍA</w:t>
            </w:r>
          </w:p>
          <w:p w14:paraId="40410FF9" w14:textId="77777777" w:rsidR="002F3255" w:rsidRPr="005978DF" w:rsidRDefault="002F3255">
            <w:pPr>
              <w:suppressLineNumbers/>
              <w:tabs>
                <w:tab w:val="left" w:pos="1814"/>
                <w:tab w:val="left" w:pos="3515"/>
                <w:tab w:val="left" w:pos="4014"/>
              </w:tabs>
              <w:suppressAutoHyphens/>
              <w:ind w:left="176" w:right="87" w:hanging="142"/>
              <w:rPr>
                <w:rFonts w:eastAsia="Times New Roman"/>
                <w:kern w:val="22"/>
                <w:sz w:val="22"/>
                <w:szCs w:val="22"/>
                <w:lang w:val="es-ES"/>
              </w:rPr>
            </w:pPr>
            <w:r w:rsidRPr="005978DF">
              <w:rPr>
                <w:rFonts w:eastAsia="Times New Roman"/>
                <w:kern w:val="22"/>
                <w:sz w:val="22"/>
                <w:szCs w:val="22"/>
                <w:lang w:val="es-ES"/>
              </w:rPr>
              <w:t>Décima reunión</w:t>
            </w:r>
          </w:p>
          <w:p w14:paraId="40410FFA" w14:textId="77777777" w:rsidR="002F3255" w:rsidRPr="005978DF" w:rsidRDefault="002F3255">
            <w:pPr>
              <w:suppressLineNumbers/>
              <w:tabs>
                <w:tab w:val="left" w:pos="1814"/>
                <w:tab w:val="left" w:pos="3515"/>
                <w:tab w:val="left" w:pos="4014"/>
              </w:tabs>
              <w:suppressAutoHyphens/>
              <w:ind w:left="176" w:right="87" w:hanging="142"/>
              <w:rPr>
                <w:rFonts w:eastAsia="Times New Roman"/>
                <w:kern w:val="22"/>
                <w:sz w:val="22"/>
                <w:szCs w:val="22"/>
                <w:lang w:val="es-ES"/>
              </w:rPr>
            </w:pPr>
            <w:r w:rsidRPr="005978DF">
              <w:rPr>
                <w:rFonts w:eastAsia="Times New Roman"/>
                <w:kern w:val="22"/>
                <w:sz w:val="22"/>
                <w:szCs w:val="22"/>
                <w:lang w:val="es-ES"/>
              </w:rPr>
              <w:t>Tema 6 del programa</w:t>
            </w:r>
          </w:p>
          <w:p w14:paraId="40410FFB" w14:textId="77777777" w:rsidR="002F3255" w:rsidRPr="005978DF" w:rsidRDefault="002F3255">
            <w:pPr>
              <w:suppressLineNumbers/>
              <w:tabs>
                <w:tab w:val="left" w:pos="1814"/>
                <w:tab w:val="left" w:pos="2948"/>
                <w:tab w:val="left" w:pos="3515"/>
                <w:tab w:val="left" w:pos="4014"/>
              </w:tabs>
              <w:suppressAutoHyphens/>
              <w:ind w:right="176"/>
              <w:rPr>
                <w:rFonts w:eastAsia="Times New Roman"/>
                <w:kern w:val="22"/>
                <w:sz w:val="22"/>
                <w:szCs w:val="22"/>
                <w:lang w:val="es-ES"/>
              </w:rPr>
            </w:pPr>
          </w:p>
        </w:tc>
        <w:tc>
          <w:tcPr>
            <w:tcW w:w="4125" w:type="dxa"/>
            <w:gridSpan w:val="3"/>
          </w:tcPr>
          <w:p w14:paraId="40410FFC" w14:textId="77777777" w:rsidR="002F3255" w:rsidRPr="005978DF" w:rsidRDefault="002F3255">
            <w:pPr>
              <w:suppressLineNumbers/>
              <w:tabs>
                <w:tab w:val="left" w:pos="1247"/>
                <w:tab w:val="left" w:pos="1814"/>
                <w:tab w:val="left" w:pos="2381"/>
                <w:tab w:val="left" w:pos="2948"/>
                <w:tab w:val="left" w:pos="3515"/>
              </w:tabs>
              <w:suppressAutoHyphens/>
              <w:spacing w:before="60"/>
              <w:ind w:left="233" w:right="20" w:hanging="142"/>
              <w:rPr>
                <w:rFonts w:eastAsia="Times New Roman"/>
                <w:kern w:val="22"/>
                <w:sz w:val="22"/>
                <w:szCs w:val="22"/>
                <w:lang w:val="es-ES"/>
              </w:rPr>
            </w:pPr>
            <w:r w:rsidRPr="005978DF">
              <w:rPr>
                <w:rFonts w:eastAsia="Times New Roman"/>
                <w:sz w:val="22"/>
                <w:szCs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0410FFD" w14:textId="77777777" w:rsidR="002F3255" w:rsidRPr="005978DF" w:rsidRDefault="002F3255">
            <w:pPr>
              <w:suppressLineNumbers/>
              <w:tabs>
                <w:tab w:val="left" w:pos="1247"/>
                <w:tab w:val="left" w:pos="1814"/>
                <w:tab w:val="left" w:pos="2381"/>
                <w:tab w:val="left" w:pos="2948"/>
                <w:tab w:val="left" w:pos="3515"/>
              </w:tabs>
              <w:suppressAutoHyphens/>
              <w:ind w:left="233" w:right="20" w:hanging="142"/>
              <w:rPr>
                <w:rFonts w:eastAsia="Times New Roman"/>
                <w:kern w:val="22"/>
                <w:sz w:val="22"/>
                <w:szCs w:val="22"/>
                <w:lang w:val="es-ES"/>
              </w:rPr>
            </w:pPr>
            <w:r w:rsidRPr="005978DF">
              <w:rPr>
                <w:rFonts w:eastAsia="Times New Roman"/>
                <w:kern w:val="22"/>
                <w:sz w:val="22"/>
                <w:szCs w:val="22"/>
                <w:lang w:val="es-ES"/>
              </w:rPr>
              <w:t>Cuarta reunión</w:t>
            </w:r>
          </w:p>
          <w:p w14:paraId="40410FFE" w14:textId="77777777" w:rsidR="002F3255" w:rsidRPr="005978DF" w:rsidRDefault="002F3255">
            <w:pPr>
              <w:suppressLineNumbers/>
              <w:tabs>
                <w:tab w:val="left" w:pos="1247"/>
                <w:tab w:val="left" w:pos="1814"/>
                <w:tab w:val="left" w:pos="2381"/>
                <w:tab w:val="left" w:pos="2948"/>
                <w:tab w:val="left" w:pos="3515"/>
              </w:tabs>
              <w:suppressAutoHyphens/>
              <w:ind w:left="233" w:right="20" w:hanging="142"/>
              <w:rPr>
                <w:rFonts w:eastAsia="Times New Roman"/>
                <w:kern w:val="22"/>
                <w:sz w:val="22"/>
                <w:szCs w:val="22"/>
                <w:lang w:val="es-ES"/>
              </w:rPr>
            </w:pPr>
            <w:r w:rsidRPr="005978DF">
              <w:rPr>
                <w:rFonts w:eastAsia="Times New Roman"/>
                <w:kern w:val="22"/>
                <w:sz w:val="22"/>
                <w:szCs w:val="22"/>
                <w:lang w:val="es-ES"/>
              </w:rPr>
              <w:t>Tema 6 del programa</w:t>
            </w:r>
          </w:p>
          <w:p w14:paraId="40410FFF" w14:textId="77777777" w:rsidR="002F3255" w:rsidRPr="005978DF" w:rsidRDefault="002F3255">
            <w:pPr>
              <w:suppressLineNumbers/>
              <w:tabs>
                <w:tab w:val="left" w:pos="1814"/>
                <w:tab w:val="left" w:pos="2948"/>
                <w:tab w:val="left" w:pos="3515"/>
                <w:tab w:val="left" w:pos="4014"/>
              </w:tabs>
              <w:suppressAutoHyphens/>
              <w:ind w:right="176"/>
              <w:rPr>
                <w:rFonts w:eastAsia="Times New Roman"/>
                <w:kern w:val="22"/>
                <w:sz w:val="22"/>
                <w:szCs w:val="22"/>
                <w:lang w:val="es-ES"/>
              </w:rPr>
            </w:pPr>
          </w:p>
        </w:tc>
      </w:tr>
    </w:tbl>
    <w:p w14:paraId="40411001" w14:textId="77777777" w:rsidR="002F3255" w:rsidRPr="005978DF" w:rsidRDefault="002F3255">
      <w:pPr>
        <w:suppressLineNumbers/>
        <w:tabs>
          <w:tab w:val="left" w:pos="1247"/>
          <w:tab w:val="left" w:pos="1814"/>
          <w:tab w:val="left" w:pos="2381"/>
          <w:tab w:val="left" w:pos="2948"/>
          <w:tab w:val="left" w:pos="3515"/>
        </w:tabs>
        <w:suppressAutoHyphens/>
        <w:ind w:left="233" w:right="289" w:hanging="142"/>
        <w:rPr>
          <w:rFonts w:eastAsia="Times New Roman"/>
          <w:sz w:val="22"/>
          <w:szCs w:val="22"/>
          <w:lang w:val="es-ES"/>
        </w:rPr>
      </w:pPr>
      <w:r w:rsidRPr="005978DF">
        <w:rPr>
          <w:rStyle w:val="normaltextrun"/>
          <w:rFonts w:eastAsia="Times New Roman"/>
          <w:sz w:val="22"/>
          <w:szCs w:val="22"/>
          <w:lang w:val="es-ES"/>
        </w:rPr>
        <w:t>Montreal (Canadá), 7 a 19 de diciembre de 2022</w:t>
      </w:r>
    </w:p>
    <w:p w14:paraId="40411002" w14:textId="77777777" w:rsidR="002F3255" w:rsidRPr="005978DF" w:rsidRDefault="002F3255">
      <w:pPr>
        <w:rPr>
          <w:rFonts w:eastAsia="Times New Roman"/>
          <w:lang w:val="es-ES"/>
        </w:rPr>
      </w:pPr>
    </w:p>
    <w:p w14:paraId="40411003" w14:textId="77777777" w:rsidR="002F3255" w:rsidRPr="005978DF" w:rsidRDefault="002F3255">
      <w:pPr>
        <w:spacing w:before="240" w:after="240"/>
        <w:ind w:right="-11"/>
        <w:jc w:val="center"/>
        <w:rPr>
          <w:rFonts w:eastAsia="Times New Roman"/>
          <w:b/>
          <w:bCs/>
          <w:caps/>
          <w:lang w:val="es-ES"/>
        </w:rPr>
      </w:pPr>
      <w:r w:rsidRPr="005978DF">
        <w:rPr>
          <w:rFonts w:ascii="Times New Roman Bold" w:eastAsia="Times New Roman" w:hAnsi="Times New Roman Bold" w:cs="Times New Roman Bold"/>
          <w:b/>
          <w:bCs/>
          <w:caps/>
          <w:kern w:val="22"/>
          <w:sz w:val="22"/>
          <w:szCs w:val="22"/>
          <w:shd w:val="clear" w:color="auto" w:fill="E6E6E6"/>
          <w:lang w:val="es-ES"/>
        </w:rPr>
        <w:t>PROYECTO DE PRESUPUESTO PARA LOS PROGRAMAS DE TRABAJO DEL CONVENIO SOBRE LA DIVERSIDAD BIOLÓGICA, EL PROTOCOLO DE CARTAGENA SOBRE SEGURIDAD DE LA BIOTECNOLOGÍA Y EL PROTOCOLO DE NAGOYA SOBRE ACCESO Y PARTICIPACIÓN EN LOS BENEFICIOS PARA EL BIENIO 2023-2024</w:t>
      </w:r>
    </w:p>
    <w:p w14:paraId="40411004" w14:textId="77777777" w:rsidR="002F3255" w:rsidRPr="005978DF" w:rsidRDefault="002F3255">
      <w:pPr>
        <w:pStyle w:val="BodyText"/>
        <w:ind w:firstLine="0"/>
        <w:jc w:val="center"/>
        <w:rPr>
          <w:rFonts w:eastAsia="Times New Roman"/>
          <w:i/>
          <w:iCs/>
          <w:lang w:val="es-ES"/>
        </w:rPr>
      </w:pPr>
      <w:r w:rsidRPr="005978DF">
        <w:rPr>
          <w:rFonts w:eastAsia="Times New Roman"/>
          <w:i/>
          <w:iCs/>
          <w:lang w:val="es-ES"/>
        </w:rPr>
        <w:t xml:space="preserve">Nota de la </w:t>
      </w:r>
      <w:proofErr w:type="gramStart"/>
      <w:r w:rsidRPr="005978DF">
        <w:rPr>
          <w:rFonts w:eastAsia="Times New Roman"/>
          <w:i/>
          <w:iCs/>
          <w:lang w:val="es-ES"/>
        </w:rPr>
        <w:t>Secretaria Ejecutiva</w:t>
      </w:r>
      <w:proofErr w:type="gramEnd"/>
    </w:p>
    <w:p w14:paraId="40411005" w14:textId="77777777" w:rsidR="002F3255" w:rsidRPr="005978DF" w:rsidRDefault="002F3255">
      <w:pPr>
        <w:pStyle w:val="Heading1"/>
        <w:rPr>
          <w:rFonts w:eastAsia="Times New Roman"/>
          <w:lang w:val="es-ES"/>
        </w:rPr>
      </w:pPr>
      <w:r w:rsidRPr="005978DF">
        <w:rPr>
          <w:rFonts w:eastAsia="Times New Roman"/>
          <w:lang w:val="es-ES"/>
        </w:rPr>
        <w:t>I.</w:t>
      </w:r>
      <w:r w:rsidRPr="005978DF">
        <w:rPr>
          <w:rFonts w:eastAsia="Times New Roman"/>
          <w:lang w:val="es-ES"/>
        </w:rPr>
        <w:tab/>
        <w:t>INTRODUCCIÓN</w:t>
      </w:r>
    </w:p>
    <w:p w14:paraId="40411006"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color w:val="000000"/>
          <w:kern w:val="20"/>
          <w:lang w:val="es-ES"/>
        </w:rPr>
      </w:pPr>
      <w:r w:rsidRPr="005978DF">
        <w:rPr>
          <w:rFonts w:eastAsia="Times New Roman"/>
          <w:sz w:val="22"/>
          <w:szCs w:val="22"/>
          <w:lang w:val="es-ES"/>
        </w:rPr>
        <w:t>En la 14ª reunión de la Conferencia de las Partes (COP) y en las respectivas reuniones de las Partes en los Protocolos de Cartagena y de Nagoya (MOP) se pidió a la Secretaria Ejecutiva que preparara un programa de trabajo y presupuesto integrado</w:t>
      </w:r>
      <w:r w:rsidR="00076B5F">
        <w:rPr>
          <w:rFonts w:eastAsia="Times New Roman"/>
          <w:sz w:val="22"/>
          <w:szCs w:val="22"/>
          <w:lang w:val="es-ES"/>
        </w:rPr>
        <w:t>s</w:t>
      </w:r>
      <w:r w:rsidRPr="005978DF">
        <w:rPr>
          <w:rFonts w:eastAsia="Times New Roman"/>
          <w:sz w:val="22"/>
          <w:szCs w:val="22"/>
          <w:lang w:val="es-ES"/>
        </w:rPr>
        <w:t xml:space="preserve"> para el período</w:t>
      </w:r>
      <w:r w:rsidR="00FB51D0">
        <w:rPr>
          <w:rFonts w:eastAsia="Times New Roman"/>
          <w:sz w:val="22"/>
          <w:szCs w:val="22"/>
          <w:lang w:val="es-ES"/>
        </w:rPr>
        <w:t> </w:t>
      </w:r>
      <w:r w:rsidRPr="005978DF">
        <w:rPr>
          <w:rFonts w:eastAsia="Times New Roman"/>
          <w:sz w:val="22"/>
          <w:szCs w:val="22"/>
          <w:lang w:val="es-ES"/>
        </w:rPr>
        <w:t>2021-2022, que sería presentado a la 15ª reunión</w:t>
      </w:r>
      <w:r w:rsidRPr="005978DF">
        <w:rPr>
          <w:rFonts w:eastAsia="Times New Roman"/>
          <w:kern w:val="20"/>
          <w:sz w:val="22"/>
          <w:szCs w:val="22"/>
          <w:lang w:val="es-ES"/>
        </w:rPr>
        <w:t xml:space="preserve"> de la </w:t>
      </w:r>
      <w:r w:rsidRPr="005978DF">
        <w:rPr>
          <w:rFonts w:eastAsia="Times New Roman"/>
          <w:sz w:val="22"/>
          <w:szCs w:val="22"/>
          <w:lang w:val="es-ES"/>
        </w:rPr>
        <w:t xml:space="preserve">Conferencia de las Partes </w:t>
      </w:r>
      <w:r w:rsidRPr="005978DF">
        <w:rPr>
          <w:rFonts w:eastAsia="Times New Roman"/>
          <w:kern w:val="20"/>
          <w:sz w:val="22"/>
          <w:szCs w:val="22"/>
          <w:lang w:val="es-ES"/>
        </w:rPr>
        <w:t xml:space="preserve">(COP-15) y a las respectivas reuniones de las Partes en los </w:t>
      </w:r>
      <w:r w:rsidRPr="005978DF">
        <w:rPr>
          <w:rFonts w:eastAsia="Times New Roman"/>
          <w:color w:val="000000"/>
          <w:sz w:val="22"/>
          <w:szCs w:val="22"/>
          <w:lang w:val="es-ES"/>
        </w:rPr>
        <w:t xml:space="preserve">Protocolos </w:t>
      </w:r>
      <w:r w:rsidRPr="005978DF">
        <w:rPr>
          <w:rFonts w:eastAsia="Times New Roman"/>
          <w:sz w:val="22"/>
          <w:szCs w:val="22"/>
          <w:lang w:val="es-ES"/>
        </w:rPr>
        <w:t>(decisiones 14/37, párr. 48, CP-</w:t>
      </w:r>
      <w:hyperlink r:id="rId11" w:history="1">
        <w:r w:rsidRPr="005978DF">
          <w:rPr>
            <w:rStyle w:val="Hyperlink"/>
            <w:rFonts w:eastAsia="Times New Roman"/>
            <w:sz w:val="22"/>
            <w:szCs w:val="22"/>
            <w:lang w:val="es-ES"/>
          </w:rPr>
          <w:t>9/16</w:t>
        </w:r>
      </w:hyperlink>
      <w:r w:rsidRPr="005978DF">
        <w:rPr>
          <w:rFonts w:eastAsia="Times New Roman"/>
          <w:sz w:val="22"/>
          <w:szCs w:val="22"/>
          <w:lang w:val="es-ES"/>
        </w:rPr>
        <w:t xml:space="preserve">, </w:t>
      </w:r>
      <w:r w:rsidR="00FB51D0">
        <w:rPr>
          <w:rFonts w:eastAsia="Times New Roman"/>
          <w:sz w:val="22"/>
          <w:szCs w:val="22"/>
          <w:lang w:val="es-ES"/>
        </w:rPr>
        <w:t>y</w:t>
      </w:r>
      <w:r w:rsidRPr="005978DF">
        <w:rPr>
          <w:rFonts w:eastAsia="Times New Roman"/>
          <w:sz w:val="22"/>
          <w:szCs w:val="22"/>
          <w:lang w:val="es-ES"/>
        </w:rPr>
        <w:t xml:space="preserve"> NP-</w:t>
      </w:r>
      <w:hyperlink r:id="rId12" w:history="1">
        <w:r w:rsidRPr="005978DF">
          <w:rPr>
            <w:rStyle w:val="Hyperlink"/>
            <w:rFonts w:eastAsia="Times New Roman"/>
            <w:sz w:val="22"/>
            <w:szCs w:val="22"/>
            <w:lang w:val="es-ES"/>
          </w:rPr>
          <w:t>3/16</w:t>
        </w:r>
      </w:hyperlink>
      <w:r w:rsidRPr="005978DF">
        <w:rPr>
          <w:rFonts w:eastAsia="Times New Roman"/>
          <w:lang w:val="es-ES"/>
        </w:rPr>
        <w:t>)</w:t>
      </w:r>
      <w:r w:rsidRPr="005978DF">
        <w:rPr>
          <w:rFonts w:eastAsia="Times New Roman"/>
          <w:sz w:val="22"/>
          <w:szCs w:val="22"/>
          <w:lang w:val="es-ES"/>
        </w:rPr>
        <w:t>.</w:t>
      </w:r>
    </w:p>
    <w:p w14:paraId="40411007"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color w:val="000000"/>
          <w:kern w:val="20"/>
          <w:sz w:val="22"/>
          <w:szCs w:val="22"/>
          <w:lang w:val="es-ES"/>
        </w:rPr>
      </w:pPr>
      <w:r w:rsidRPr="005978DF">
        <w:rPr>
          <w:rFonts w:eastAsia="Times New Roman"/>
          <w:sz w:val="22"/>
          <w:szCs w:val="22"/>
          <w:lang w:val="es-ES"/>
        </w:rPr>
        <w:t>El programa de trabajo y presupuesto debe</w:t>
      </w:r>
      <w:r w:rsidR="00076B5F">
        <w:rPr>
          <w:rFonts w:eastAsia="Times New Roman"/>
          <w:sz w:val="22"/>
          <w:szCs w:val="22"/>
          <w:lang w:val="es-ES"/>
        </w:rPr>
        <w:t>ría</w:t>
      </w:r>
      <w:r w:rsidRPr="005978DF">
        <w:rPr>
          <w:rFonts w:eastAsia="Times New Roman"/>
          <w:sz w:val="22"/>
          <w:szCs w:val="22"/>
          <w:lang w:val="es-ES"/>
        </w:rPr>
        <w:t xml:space="preserve">n establecer los objetivos, las tareas que ha de realizar la Secretaría y los resultados previstos para cada partida presupuestaria, </w:t>
      </w:r>
      <w:r w:rsidR="00076B5F">
        <w:rPr>
          <w:rFonts w:eastAsia="Times New Roman"/>
          <w:sz w:val="22"/>
          <w:szCs w:val="22"/>
          <w:lang w:val="es-ES"/>
        </w:rPr>
        <w:t>conform</w:t>
      </w:r>
      <w:r w:rsidRPr="005978DF">
        <w:rPr>
          <w:rFonts w:eastAsia="Times New Roman"/>
          <w:sz w:val="22"/>
          <w:szCs w:val="22"/>
          <w:lang w:val="es-ES"/>
        </w:rPr>
        <w:t>e</w:t>
      </w:r>
      <w:r w:rsidR="00076B5F">
        <w:rPr>
          <w:rFonts w:eastAsia="Times New Roman"/>
          <w:sz w:val="22"/>
          <w:szCs w:val="22"/>
          <w:lang w:val="es-ES"/>
        </w:rPr>
        <w:t xml:space="preserve"> a</w:t>
      </w:r>
      <w:r w:rsidRPr="005978DF">
        <w:rPr>
          <w:rFonts w:eastAsia="Times New Roman"/>
          <w:sz w:val="22"/>
          <w:szCs w:val="22"/>
          <w:lang w:val="es-ES"/>
        </w:rPr>
        <w:t>l</w:t>
      </w:r>
      <w:r w:rsidRPr="005978DF">
        <w:rPr>
          <w:rFonts w:eastAsia="Times New Roman"/>
          <w:color w:val="000000"/>
          <w:sz w:val="22"/>
          <w:szCs w:val="22"/>
          <w:lang w:val="es-ES"/>
        </w:rPr>
        <w:t xml:space="preserve"> formato de</w:t>
      </w:r>
      <w:r w:rsidR="00076B5F">
        <w:rPr>
          <w:rFonts w:eastAsia="Times New Roman"/>
          <w:color w:val="000000"/>
          <w:sz w:val="22"/>
          <w:szCs w:val="22"/>
          <w:lang w:val="es-ES"/>
        </w:rPr>
        <w:t>l</w:t>
      </w:r>
      <w:r w:rsidRPr="005978DF">
        <w:rPr>
          <w:rFonts w:eastAsia="Times New Roman"/>
          <w:color w:val="000000"/>
          <w:sz w:val="22"/>
          <w:szCs w:val="22"/>
          <w:lang w:val="es-ES"/>
        </w:rPr>
        <w:t xml:space="preserve"> proyecto de presupuesto por programas bienal para el Programa de las Naciones Unidas para el Medio Ambiente (PNUMA), con las siguientes tres opciones:</w:t>
      </w:r>
    </w:p>
    <w:p w14:paraId="40411008" w14:textId="77777777" w:rsidR="002F3255" w:rsidRPr="005978DF" w:rsidRDefault="002F3255">
      <w:pPr>
        <w:numPr>
          <w:ilvl w:val="0"/>
          <w:numId w:val="8"/>
        </w:numPr>
        <w:tabs>
          <w:tab w:val="clear" w:pos="0"/>
        </w:tabs>
        <w:spacing w:before="120" w:after="120"/>
        <w:ind w:left="0" w:firstLine="720"/>
        <w:jc w:val="both"/>
        <w:rPr>
          <w:rFonts w:eastAsia="Times New Roman"/>
          <w:color w:val="000000"/>
          <w:kern w:val="20"/>
          <w:sz w:val="22"/>
          <w:szCs w:val="22"/>
          <w:lang w:val="es-ES"/>
        </w:rPr>
      </w:pPr>
      <w:r w:rsidRPr="005978DF">
        <w:rPr>
          <w:rFonts w:eastAsia="Times New Roman"/>
          <w:color w:val="000000"/>
          <w:kern w:val="20"/>
          <w:sz w:val="22"/>
          <w:szCs w:val="22"/>
          <w:lang w:val="es-ES"/>
        </w:rPr>
        <w:t>Realizar una evaluación de la tasa de crecimiento necesaria para el presupuesto por programas (fondos fiduciarios BY, BG y BB), que no debería superar un aumento del 4 % con respecto al nivel total de 2019-2020 menos el monto de la partida presupuestaria</w:t>
      </w:r>
      <w:r w:rsidR="00367D9F">
        <w:rPr>
          <w:rFonts w:eastAsia="Times New Roman"/>
          <w:color w:val="000000"/>
          <w:kern w:val="20"/>
          <w:sz w:val="22"/>
          <w:szCs w:val="22"/>
          <w:lang w:val="es-ES"/>
        </w:rPr>
        <w:t xml:space="preserve"> </w:t>
      </w:r>
      <w:r w:rsidRPr="005978DF">
        <w:rPr>
          <w:rFonts w:eastAsia="Times New Roman"/>
          <w:color w:val="000000"/>
          <w:kern w:val="20"/>
          <w:sz w:val="22"/>
          <w:szCs w:val="22"/>
          <w:lang w:val="es-ES"/>
        </w:rPr>
        <w:t>K re</w:t>
      </w:r>
      <w:r w:rsidR="00367D9F">
        <w:rPr>
          <w:rFonts w:eastAsia="Times New Roman"/>
          <w:color w:val="000000"/>
          <w:kern w:val="20"/>
          <w:sz w:val="22"/>
          <w:szCs w:val="22"/>
          <w:lang w:val="es-ES"/>
        </w:rPr>
        <w:t>fer</w:t>
      </w:r>
      <w:r w:rsidRPr="005978DF">
        <w:rPr>
          <w:rFonts w:eastAsia="Times New Roman"/>
          <w:color w:val="000000"/>
          <w:kern w:val="20"/>
          <w:sz w:val="22"/>
          <w:szCs w:val="22"/>
          <w:lang w:val="es-ES"/>
        </w:rPr>
        <w:t>i</w:t>
      </w:r>
      <w:r w:rsidR="00367D9F">
        <w:rPr>
          <w:rFonts w:eastAsia="Times New Roman"/>
          <w:color w:val="000000"/>
          <w:kern w:val="20"/>
          <w:sz w:val="22"/>
          <w:szCs w:val="22"/>
          <w:lang w:val="es-ES"/>
        </w:rPr>
        <w:t>d</w:t>
      </w:r>
      <w:r w:rsidRPr="005978DF">
        <w:rPr>
          <w:rFonts w:eastAsia="Times New Roman"/>
          <w:color w:val="000000"/>
          <w:kern w:val="20"/>
          <w:sz w:val="22"/>
          <w:szCs w:val="22"/>
          <w:lang w:val="es-ES"/>
        </w:rPr>
        <w:t>a a las reuniones extraordinarias sobre el marco mundial de la diversidad biológica posterior a 2020, en valores nominales;</w:t>
      </w:r>
    </w:p>
    <w:p w14:paraId="40411009" w14:textId="77777777" w:rsidR="002F3255" w:rsidRPr="005978DF" w:rsidRDefault="002F3255">
      <w:pPr>
        <w:numPr>
          <w:ilvl w:val="0"/>
          <w:numId w:val="8"/>
        </w:numPr>
        <w:tabs>
          <w:tab w:val="clear" w:pos="0"/>
        </w:tabs>
        <w:spacing w:before="120" w:after="120"/>
        <w:ind w:left="0" w:firstLine="720"/>
        <w:jc w:val="both"/>
        <w:rPr>
          <w:rFonts w:eastAsia="Times New Roman"/>
          <w:color w:val="000000"/>
          <w:kern w:val="20"/>
          <w:sz w:val="22"/>
          <w:szCs w:val="22"/>
          <w:lang w:val="es-ES"/>
        </w:rPr>
      </w:pPr>
      <w:r w:rsidRPr="005978DF">
        <w:rPr>
          <w:rFonts w:eastAsia="Times New Roman"/>
          <w:color w:val="000000"/>
          <w:kern w:val="20"/>
          <w:sz w:val="22"/>
          <w:szCs w:val="22"/>
          <w:lang w:val="es-ES"/>
        </w:rPr>
        <w:lastRenderedPageBreak/>
        <w:t>Mantener el presupuesto por programas (fondos fiduciarios BY, BG y BB) en el nivel total de 2019-2020 menos el importe de la partida presupuestaria</w:t>
      </w:r>
      <w:r w:rsidR="00367D9F">
        <w:rPr>
          <w:rFonts w:eastAsia="Times New Roman"/>
          <w:color w:val="000000"/>
          <w:kern w:val="20"/>
          <w:sz w:val="22"/>
          <w:szCs w:val="22"/>
          <w:lang w:val="es-ES"/>
        </w:rPr>
        <w:t xml:space="preserve"> </w:t>
      </w:r>
      <w:r w:rsidRPr="005978DF">
        <w:rPr>
          <w:rFonts w:eastAsia="Times New Roman"/>
          <w:color w:val="000000"/>
          <w:kern w:val="20"/>
          <w:sz w:val="22"/>
          <w:szCs w:val="22"/>
          <w:lang w:val="es-ES"/>
        </w:rPr>
        <w:t>K</w:t>
      </w:r>
      <w:r w:rsidR="00367D9F">
        <w:rPr>
          <w:rFonts w:eastAsia="Times New Roman"/>
          <w:color w:val="000000"/>
          <w:kern w:val="20"/>
          <w:sz w:val="22"/>
          <w:szCs w:val="22"/>
          <w:lang w:val="es-ES"/>
        </w:rPr>
        <w:t> </w:t>
      </w:r>
      <w:r w:rsidRPr="005978DF">
        <w:rPr>
          <w:rFonts w:eastAsia="Times New Roman"/>
          <w:color w:val="000000"/>
          <w:kern w:val="20"/>
          <w:sz w:val="22"/>
          <w:szCs w:val="22"/>
          <w:lang w:val="es-ES"/>
        </w:rPr>
        <w:t>re</w:t>
      </w:r>
      <w:r w:rsidR="00367D9F">
        <w:rPr>
          <w:rFonts w:eastAsia="Times New Roman"/>
          <w:color w:val="000000"/>
          <w:kern w:val="20"/>
          <w:sz w:val="22"/>
          <w:szCs w:val="22"/>
          <w:lang w:val="es-ES"/>
        </w:rPr>
        <w:t>ferid</w:t>
      </w:r>
      <w:r w:rsidRPr="005978DF">
        <w:rPr>
          <w:rFonts w:eastAsia="Times New Roman"/>
          <w:color w:val="000000"/>
          <w:kern w:val="20"/>
          <w:sz w:val="22"/>
          <w:szCs w:val="22"/>
          <w:lang w:val="es-ES"/>
        </w:rPr>
        <w:t>a a las reuniones extraordinarias sobre el marco mundial de la diversidad biológica posterior a 2020, en valores reales;</w:t>
      </w:r>
    </w:p>
    <w:p w14:paraId="4041100A" w14:textId="77777777" w:rsidR="002F3255" w:rsidRPr="005978DF" w:rsidRDefault="002F3255">
      <w:pPr>
        <w:numPr>
          <w:ilvl w:val="0"/>
          <w:numId w:val="8"/>
        </w:numPr>
        <w:tabs>
          <w:tab w:val="clear" w:pos="0"/>
        </w:tabs>
        <w:spacing w:before="120" w:after="120"/>
        <w:ind w:left="0" w:firstLine="720"/>
        <w:jc w:val="both"/>
        <w:rPr>
          <w:rFonts w:eastAsia="Times New Roman"/>
          <w:color w:val="000000"/>
          <w:kern w:val="20"/>
          <w:sz w:val="22"/>
          <w:szCs w:val="22"/>
          <w:lang w:val="es-ES"/>
        </w:rPr>
      </w:pPr>
      <w:r w:rsidRPr="005978DF">
        <w:rPr>
          <w:rFonts w:eastAsia="Times New Roman"/>
          <w:color w:val="000000"/>
          <w:kern w:val="20"/>
          <w:sz w:val="22"/>
          <w:szCs w:val="22"/>
          <w:lang w:val="es-ES"/>
        </w:rPr>
        <w:t>Mantener el presupuesto por programas (fondos fiduciarios BY, BG y BB) en el nivel total de 2019-2020 menos el importe de la partida presupuestaria</w:t>
      </w:r>
      <w:r w:rsidR="00367D9F">
        <w:rPr>
          <w:rFonts w:eastAsia="Times New Roman"/>
          <w:color w:val="000000"/>
          <w:kern w:val="20"/>
          <w:sz w:val="22"/>
          <w:szCs w:val="22"/>
          <w:lang w:val="es-ES"/>
        </w:rPr>
        <w:t xml:space="preserve"> </w:t>
      </w:r>
      <w:r w:rsidRPr="005978DF">
        <w:rPr>
          <w:rFonts w:eastAsia="Times New Roman"/>
          <w:color w:val="000000"/>
          <w:kern w:val="20"/>
          <w:sz w:val="22"/>
          <w:szCs w:val="22"/>
          <w:lang w:val="es-ES"/>
        </w:rPr>
        <w:t>K re</w:t>
      </w:r>
      <w:r w:rsidR="00367D9F">
        <w:rPr>
          <w:rFonts w:eastAsia="Times New Roman"/>
          <w:color w:val="000000"/>
          <w:kern w:val="20"/>
          <w:sz w:val="22"/>
          <w:szCs w:val="22"/>
          <w:lang w:val="es-ES"/>
        </w:rPr>
        <w:t>ferid</w:t>
      </w:r>
      <w:r w:rsidRPr="005978DF">
        <w:rPr>
          <w:rFonts w:eastAsia="Times New Roman"/>
          <w:color w:val="000000"/>
          <w:kern w:val="20"/>
          <w:sz w:val="22"/>
          <w:szCs w:val="22"/>
          <w:lang w:val="es-ES"/>
        </w:rPr>
        <w:t>a a las reuniones extraordinarias sobre el marco mundial de la diversidad biológica posterior a 2020, en valores nominales.</w:t>
      </w:r>
    </w:p>
    <w:p w14:paraId="4041100B" w14:textId="77777777" w:rsidR="002F3255" w:rsidRPr="005978DF" w:rsidRDefault="00367D9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color w:val="000000"/>
          <w:lang w:val="es-ES"/>
        </w:rPr>
      </w:pPr>
      <w:bookmarkStart w:id="0" w:name="_Hlk97626843"/>
      <w:r>
        <w:rPr>
          <w:rFonts w:eastAsia="Times New Roman"/>
          <w:sz w:val="22"/>
          <w:szCs w:val="22"/>
          <w:lang w:val="es-ES"/>
        </w:rPr>
        <w:t>Debido a</w:t>
      </w:r>
      <w:r w:rsidR="002F3255" w:rsidRPr="005978DF">
        <w:rPr>
          <w:rFonts w:eastAsia="Times New Roman"/>
          <w:sz w:val="22"/>
          <w:szCs w:val="22"/>
          <w:lang w:val="es-ES"/>
        </w:rPr>
        <w:t xml:space="preserve"> la </w:t>
      </w:r>
      <w:r w:rsidR="002F3255" w:rsidRPr="005978DF">
        <w:rPr>
          <w:rFonts w:eastAsia="Times New Roman"/>
          <w:color w:val="000000"/>
          <w:sz w:val="22"/>
          <w:szCs w:val="22"/>
          <w:lang w:val="es-ES"/>
        </w:rPr>
        <w:t xml:space="preserve">pandemia, </w:t>
      </w:r>
      <w:r w:rsidRPr="005978DF">
        <w:rPr>
          <w:rFonts w:eastAsia="Times New Roman"/>
          <w:color w:val="000000"/>
          <w:sz w:val="22"/>
          <w:szCs w:val="22"/>
          <w:lang w:val="es-ES"/>
        </w:rPr>
        <w:t xml:space="preserve">se postergaron </w:t>
      </w:r>
      <w:r w:rsidR="002F3255" w:rsidRPr="005978DF">
        <w:rPr>
          <w:rFonts w:eastAsia="Times New Roman"/>
          <w:color w:val="000000"/>
          <w:sz w:val="22"/>
          <w:szCs w:val="22"/>
          <w:lang w:val="es-ES"/>
        </w:rPr>
        <w:t xml:space="preserve">la COP-15 y las reuniones relacionadas. Dado que la financiación de la Secretaría vencía el 31 de diciembre de 2020, se presentó un presupuesto provisional para </w:t>
      </w:r>
      <w:r w:rsidR="002F3255" w:rsidRPr="005978DF">
        <w:rPr>
          <w:rFonts w:eastAsia="Times New Roman"/>
          <w:sz w:val="22"/>
          <w:szCs w:val="22"/>
          <w:lang w:val="es-ES"/>
        </w:rPr>
        <w:t xml:space="preserve">2021 y este fue posteriormente aprobado con fecha 27 de noviembre de 2020 en las reuniones extraordinarias de la Conferencia de las Partes en el Convenio y de las Partes en los Protocolos (decisiones CBD/EM-/2/1, CP-EM-1/1 y NP-EM-1/1), como decisiones complementarias a las decisiones 14/37, CP-9/16 y NP-3/16. En dichas decisiones, se pidió a la </w:t>
      </w:r>
      <w:proofErr w:type="gramStart"/>
      <w:r w:rsidR="002F3255" w:rsidRPr="005978DF">
        <w:rPr>
          <w:rFonts w:eastAsia="Times New Roman"/>
          <w:sz w:val="22"/>
          <w:szCs w:val="22"/>
          <w:lang w:val="es-ES"/>
        </w:rPr>
        <w:t>Secretaria Ejecutiva</w:t>
      </w:r>
      <w:proofErr w:type="gramEnd"/>
      <w:r w:rsidR="002F3255" w:rsidRPr="005978DF">
        <w:rPr>
          <w:rFonts w:eastAsia="Times New Roman"/>
          <w:sz w:val="22"/>
          <w:szCs w:val="22"/>
          <w:lang w:val="es-ES"/>
        </w:rPr>
        <w:t xml:space="preserve"> que preparara propuestas presupuest</w:t>
      </w:r>
      <w:r>
        <w:rPr>
          <w:rFonts w:eastAsia="Times New Roman"/>
          <w:sz w:val="22"/>
          <w:szCs w:val="22"/>
          <w:lang w:val="es-ES"/>
        </w:rPr>
        <w:t>arias</w:t>
      </w:r>
      <w:r w:rsidR="002F3255" w:rsidRPr="005978DF">
        <w:rPr>
          <w:rFonts w:eastAsia="Times New Roman"/>
          <w:sz w:val="22"/>
          <w:szCs w:val="22"/>
          <w:lang w:val="es-ES"/>
        </w:rPr>
        <w:t xml:space="preserve"> para el período 2022-2023, teniendo en cuenta el párrafo 48 de la decisión 14/37.</w:t>
      </w:r>
    </w:p>
    <w:bookmarkEnd w:id="0"/>
    <w:p w14:paraId="4041100C" w14:textId="77777777" w:rsidR="002F3255" w:rsidRPr="005978DF" w:rsidRDefault="00367D9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Pr>
          <w:rFonts w:eastAsia="Times New Roman"/>
          <w:sz w:val="22"/>
          <w:szCs w:val="22"/>
          <w:lang w:val="es-ES"/>
        </w:rPr>
        <w:t>L</w:t>
      </w:r>
      <w:r w:rsidR="002F3255" w:rsidRPr="005978DF">
        <w:rPr>
          <w:rFonts w:eastAsia="Times New Roman"/>
          <w:sz w:val="22"/>
          <w:szCs w:val="22"/>
          <w:lang w:val="es-ES"/>
        </w:rPr>
        <w:t xml:space="preserve">a pandemia </w:t>
      </w:r>
      <w:r>
        <w:rPr>
          <w:rFonts w:eastAsia="Times New Roman"/>
          <w:sz w:val="22"/>
          <w:szCs w:val="22"/>
          <w:lang w:val="es-ES"/>
        </w:rPr>
        <w:t xml:space="preserve">llevó a que </w:t>
      </w:r>
      <w:r w:rsidR="002F3255" w:rsidRPr="005978DF">
        <w:rPr>
          <w:rFonts w:eastAsia="Times New Roman"/>
          <w:sz w:val="22"/>
          <w:szCs w:val="22"/>
          <w:lang w:val="es-ES"/>
        </w:rPr>
        <w:t>se debier</w:t>
      </w:r>
      <w:r>
        <w:rPr>
          <w:rFonts w:eastAsia="Times New Roman"/>
          <w:sz w:val="22"/>
          <w:szCs w:val="22"/>
          <w:lang w:val="es-ES"/>
        </w:rPr>
        <w:t>a</w:t>
      </w:r>
      <w:r w:rsidR="002F3255" w:rsidRPr="005978DF">
        <w:rPr>
          <w:rFonts w:eastAsia="Times New Roman"/>
          <w:sz w:val="22"/>
          <w:szCs w:val="22"/>
          <w:lang w:val="es-ES"/>
        </w:rPr>
        <w:t>n reprogramar nuevamente la COP-15 y las reuniones concurrentes de las Partes en los Protocolos. Se decidió que las reuniones se dividirían en dos partes y que la primera parte de las reuniones se celebraría del 11 al 15 de octubre de 2021 y la segunda parte sería en 2022. Por consiguiente, la parte I de las reuniones se celebró en Kunming (China), con</w:t>
      </w:r>
      <w:r>
        <w:rPr>
          <w:rFonts w:eastAsia="Times New Roman"/>
          <w:sz w:val="22"/>
          <w:szCs w:val="22"/>
          <w:lang w:val="es-ES"/>
        </w:rPr>
        <w:t xml:space="preserve"> una</w:t>
      </w:r>
      <w:r w:rsidR="002F3255" w:rsidRPr="005978DF">
        <w:rPr>
          <w:rFonts w:eastAsia="Times New Roman"/>
          <w:sz w:val="22"/>
          <w:szCs w:val="22"/>
          <w:lang w:val="es-ES"/>
        </w:rPr>
        <w:t xml:space="preserve"> asistencia presencial limitada</w:t>
      </w:r>
      <w:r>
        <w:rPr>
          <w:rFonts w:eastAsia="Times New Roman"/>
          <w:sz w:val="22"/>
          <w:szCs w:val="22"/>
          <w:lang w:val="es-ES"/>
        </w:rPr>
        <w:t>, mientras que</w:t>
      </w:r>
      <w:r w:rsidR="002F3255" w:rsidRPr="005978DF">
        <w:rPr>
          <w:rFonts w:eastAsia="Times New Roman"/>
          <w:sz w:val="22"/>
          <w:szCs w:val="22"/>
          <w:lang w:val="es-ES"/>
        </w:rPr>
        <w:t xml:space="preserve"> otros asistentes participaron en modalidad virtual. En esta primera parte de la COP-15, así como en las primeras partes, respectivamente, de la 10ª reunión de las Partes en el Protocolo de Cartagena (CP-MOP-10) y la 4ª reunión de las Partes en el Protocolo de Nagoya (NP-MOP-4), las Partes aprobaron un presupuesto por programas integrado de 18</w:t>
      </w:r>
      <w:r w:rsidR="003753E4">
        <w:rPr>
          <w:rFonts w:eastAsia="Times New Roman"/>
          <w:sz w:val="22"/>
          <w:szCs w:val="22"/>
          <w:lang w:val="es-ES"/>
        </w:rPr>
        <w:t> </w:t>
      </w:r>
      <w:r w:rsidR="002F3255" w:rsidRPr="005978DF">
        <w:rPr>
          <w:rFonts w:eastAsia="Times New Roman"/>
          <w:sz w:val="22"/>
          <w:szCs w:val="22"/>
          <w:lang w:val="es-ES"/>
        </w:rPr>
        <w:t>439</w:t>
      </w:r>
      <w:r w:rsidR="003753E4">
        <w:rPr>
          <w:rFonts w:eastAsia="Times New Roman"/>
          <w:sz w:val="22"/>
          <w:szCs w:val="22"/>
          <w:lang w:val="es-ES"/>
        </w:rPr>
        <w:t> </w:t>
      </w:r>
      <w:r w:rsidR="002F3255" w:rsidRPr="005978DF">
        <w:rPr>
          <w:rFonts w:eastAsia="Times New Roman"/>
          <w:sz w:val="22"/>
          <w:szCs w:val="22"/>
          <w:lang w:val="es-ES"/>
        </w:rPr>
        <w:t>546</w:t>
      </w:r>
      <w:r w:rsidR="003753E4">
        <w:rPr>
          <w:rFonts w:eastAsia="Times New Roman"/>
          <w:sz w:val="22"/>
          <w:szCs w:val="22"/>
          <w:lang w:val="es-ES"/>
        </w:rPr>
        <w:t> </w:t>
      </w:r>
      <w:r w:rsidR="002F3255" w:rsidRPr="005978DF">
        <w:rPr>
          <w:rFonts w:eastAsia="Times New Roman"/>
          <w:sz w:val="22"/>
          <w:szCs w:val="22"/>
          <w:lang w:val="es-ES"/>
        </w:rPr>
        <w:t>dólares de los Estados Unidos para 2022 y confirmaron la prórroga de partes del presupuesto de 2019-2020 hasta el final de la segunda parte de la COP-15</w:t>
      </w:r>
      <w:r>
        <w:rPr>
          <w:rFonts w:eastAsia="Times New Roman"/>
          <w:sz w:val="22"/>
          <w:szCs w:val="22"/>
          <w:lang w:val="es-ES"/>
        </w:rPr>
        <w:t>,</w:t>
      </w:r>
      <w:r w:rsidR="002F3255" w:rsidRPr="005978DF">
        <w:rPr>
          <w:rFonts w:eastAsia="Times New Roman"/>
          <w:sz w:val="22"/>
          <w:szCs w:val="22"/>
          <w:lang w:val="es-ES"/>
        </w:rPr>
        <w:t xml:space="preserve"> </w:t>
      </w:r>
      <w:r>
        <w:rPr>
          <w:rFonts w:eastAsia="Times New Roman"/>
          <w:sz w:val="22"/>
          <w:szCs w:val="22"/>
          <w:lang w:val="es-ES"/>
        </w:rPr>
        <w:t>en</w:t>
      </w:r>
      <w:r w:rsidR="002F3255" w:rsidRPr="005978DF">
        <w:rPr>
          <w:rFonts w:eastAsia="Times New Roman"/>
          <w:sz w:val="22"/>
          <w:szCs w:val="22"/>
          <w:lang w:val="es-ES"/>
        </w:rPr>
        <w:t xml:space="preserve"> espera de que la Conferencia de las Partes examinara y adoptara el presupuesto por pro</w:t>
      </w:r>
      <w:r w:rsidR="007C3249">
        <w:rPr>
          <w:rFonts w:eastAsia="Times New Roman"/>
          <w:sz w:val="22"/>
          <w:szCs w:val="22"/>
          <w:lang w:val="es-ES"/>
        </w:rPr>
        <w:t>gramas para el bienio 2023-2024</w:t>
      </w:r>
      <w:r w:rsidR="002F3255" w:rsidRPr="005978DF">
        <w:rPr>
          <w:rFonts w:eastAsia="Times New Roman"/>
          <w:sz w:val="22"/>
          <w:szCs w:val="22"/>
          <w:lang w:val="es-ES"/>
        </w:rPr>
        <w:t xml:space="preserve"> en la segunda parte de su 15ª reunión.</w:t>
      </w:r>
    </w:p>
    <w:p w14:paraId="4041100D"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cumplimiento de los pedidos formulados en las antedichas decisiones, en el presente documento se exponen hipótesis de crecimiento real nulo y crecimiento nominal nulo para el programa de trabajo y presupuesto integrado</w:t>
      </w:r>
      <w:r w:rsidR="007C3249">
        <w:rPr>
          <w:rFonts w:eastAsia="Times New Roman"/>
          <w:sz w:val="22"/>
          <w:szCs w:val="22"/>
          <w:lang w:val="es-ES"/>
        </w:rPr>
        <w:t>s</w:t>
      </w:r>
      <w:r w:rsidRPr="005978DF">
        <w:rPr>
          <w:rFonts w:eastAsia="Times New Roman"/>
          <w:sz w:val="22"/>
          <w:szCs w:val="22"/>
          <w:lang w:val="es-ES"/>
        </w:rPr>
        <w:t xml:space="preserve"> para el período 2023-2024, en ambos casos deducidas las asignaciones para las reuniones extraordinarias sobre el marco mundial de la diversidad biológica posterior a 2020. La hipótesis de crecimiento real nulo muestra un 8 % de aumento en los cuatro años desde 2018, año en que se aprobó el presupuesto bienal 2019-2020 (esto es, algo menos de un aumento del 2 % por año), lo que refleja el aumento de los gastos (véase el párr</w:t>
      </w:r>
      <w:r w:rsidR="007C3249">
        <w:rPr>
          <w:rFonts w:eastAsia="Times New Roman"/>
          <w:sz w:val="22"/>
          <w:szCs w:val="22"/>
          <w:lang w:val="es-ES"/>
        </w:rPr>
        <w:t>afo</w:t>
      </w:r>
      <w:r w:rsidRPr="005978DF">
        <w:rPr>
          <w:rFonts w:eastAsia="Times New Roman"/>
          <w:sz w:val="22"/>
          <w:szCs w:val="22"/>
          <w:lang w:val="es-ES"/>
        </w:rPr>
        <w:t> </w:t>
      </w:r>
      <w:r w:rsidR="006A6E89">
        <w:fldChar w:fldCharType="begin"/>
      </w:r>
      <w:r w:rsidR="006A6E89" w:rsidRPr="006A6E89">
        <w:rPr>
          <w:lang w:val="es-ES"/>
        </w:rPr>
        <w:instrText xml:space="preserve"> REF _Ref114059308 \r \h  \* MERGEFORMAT </w:instrText>
      </w:r>
      <w:r w:rsidR="006A6E89">
        <w:fldChar w:fldCharType="separate"/>
      </w:r>
      <w:r w:rsidRPr="005978DF">
        <w:rPr>
          <w:rFonts w:eastAsia="Times New Roman"/>
          <w:sz w:val="22"/>
          <w:szCs w:val="22"/>
          <w:lang w:val="es-ES"/>
        </w:rPr>
        <w:t>13</w:t>
      </w:r>
      <w:r w:rsidR="006A6E89">
        <w:fldChar w:fldCharType="end"/>
      </w:r>
      <w:r w:rsidRPr="005978DF">
        <w:rPr>
          <w:rFonts w:eastAsia="Times New Roman"/>
          <w:sz w:val="22"/>
          <w:szCs w:val="22"/>
          <w:lang w:val="es-ES"/>
        </w:rPr>
        <w:t xml:space="preserve"> más adelante).</w:t>
      </w:r>
    </w:p>
    <w:p w14:paraId="4041100E"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En las decisiones antedichas también se pidió que se realizara “una evaluación de la tasa de crecimiento necesaria para el presupuesto por programas”, pero se especificó que esto “no debería superar un aumento del 4 % con respecto al nivel total de 2019-2020 menos el </w:t>
      </w:r>
      <w:r w:rsidR="007C3249">
        <w:rPr>
          <w:rFonts w:eastAsia="Times New Roman"/>
          <w:sz w:val="22"/>
          <w:szCs w:val="22"/>
          <w:lang w:val="es-ES"/>
        </w:rPr>
        <w:t>importe</w:t>
      </w:r>
      <w:r w:rsidRPr="005978DF">
        <w:rPr>
          <w:rFonts w:eastAsia="Times New Roman"/>
          <w:sz w:val="22"/>
          <w:szCs w:val="22"/>
          <w:lang w:val="es-ES"/>
        </w:rPr>
        <w:t xml:space="preserve"> de la partida presupuestaria</w:t>
      </w:r>
      <w:r w:rsidR="007C3249">
        <w:rPr>
          <w:rFonts w:eastAsia="Times New Roman"/>
          <w:sz w:val="22"/>
          <w:szCs w:val="22"/>
          <w:lang w:val="es-ES"/>
        </w:rPr>
        <w:t xml:space="preserve"> </w:t>
      </w:r>
      <w:r w:rsidRPr="005978DF">
        <w:rPr>
          <w:rFonts w:eastAsia="Times New Roman"/>
          <w:sz w:val="22"/>
          <w:szCs w:val="22"/>
          <w:lang w:val="es-ES"/>
        </w:rPr>
        <w:t>K relativa a las reuniones extraordinarias sobre el marco mundial de la diversidad biológica posterior a 2020, en valores nominales”.</w:t>
      </w:r>
      <w:r w:rsidRPr="005978DF">
        <w:rPr>
          <w:rFonts w:eastAsia="Times New Roman"/>
          <w:color w:val="000000"/>
          <w:kern w:val="20"/>
          <w:sz w:val="22"/>
          <w:szCs w:val="22"/>
          <w:lang w:val="es-ES"/>
        </w:rPr>
        <w:t xml:space="preserve"> Dado que este tope implica un presupuesto disminuido en valores reales, no es posible elaborar dentro de él una hipótesis para la “tasa de crecimiento necesaria”</w:t>
      </w:r>
      <w:r w:rsidRPr="005978DF">
        <w:rPr>
          <w:rStyle w:val="FootnoteReference"/>
          <w:rFonts w:eastAsia="Times New Roman"/>
          <w:color w:val="000000"/>
          <w:kern w:val="20"/>
          <w:lang w:val="es-ES"/>
        </w:rPr>
        <w:footnoteReference w:id="2"/>
      </w:r>
      <w:r w:rsidRPr="005978DF">
        <w:rPr>
          <w:rFonts w:eastAsia="Times New Roman"/>
          <w:color w:val="000000"/>
          <w:kern w:val="20"/>
          <w:sz w:val="22"/>
          <w:szCs w:val="22"/>
          <w:lang w:val="es-ES"/>
        </w:rPr>
        <w:t>.</w:t>
      </w:r>
    </w:p>
    <w:p w14:paraId="4041100F"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la decisión</w:t>
      </w:r>
      <w:r w:rsidR="00E11FCF">
        <w:rPr>
          <w:rFonts w:eastAsia="Times New Roman"/>
          <w:sz w:val="22"/>
          <w:szCs w:val="22"/>
          <w:lang w:val="es-ES"/>
        </w:rPr>
        <w:t> </w:t>
      </w:r>
      <w:hyperlink r:id="rId13" w:history="1">
        <w:r w:rsidRPr="005978DF">
          <w:rPr>
            <w:rStyle w:val="Hyperlink"/>
            <w:rFonts w:eastAsia="Times New Roman"/>
            <w:sz w:val="22"/>
            <w:szCs w:val="22"/>
            <w:lang w:val="es-ES"/>
          </w:rPr>
          <w:t>14/34</w:t>
        </w:r>
      </w:hyperlink>
      <w:r w:rsidRPr="005978DF">
        <w:rPr>
          <w:rFonts w:eastAsia="Times New Roman"/>
          <w:sz w:val="22"/>
          <w:szCs w:val="22"/>
          <w:lang w:val="es-ES"/>
        </w:rPr>
        <w:t>, la Conferencia de las Partes s</w:t>
      </w:r>
      <w:r w:rsidR="00E11FCF">
        <w:rPr>
          <w:rFonts w:eastAsia="Times New Roman"/>
          <w:sz w:val="22"/>
          <w:szCs w:val="22"/>
          <w:lang w:val="es-ES"/>
        </w:rPr>
        <w:t>e</w:t>
      </w:r>
      <w:r w:rsidRPr="005978DF">
        <w:rPr>
          <w:rFonts w:eastAsia="Times New Roman"/>
          <w:sz w:val="22"/>
          <w:szCs w:val="22"/>
          <w:lang w:val="es-ES"/>
        </w:rPr>
        <w:t xml:space="preserve"> comprom</w:t>
      </w:r>
      <w:r w:rsidR="00E11FCF">
        <w:rPr>
          <w:rFonts w:eastAsia="Times New Roman"/>
          <w:sz w:val="22"/>
          <w:szCs w:val="22"/>
          <w:lang w:val="es-ES"/>
        </w:rPr>
        <w:t>et</w:t>
      </w:r>
      <w:r w:rsidRPr="005978DF">
        <w:rPr>
          <w:rFonts w:eastAsia="Times New Roman"/>
          <w:sz w:val="22"/>
          <w:szCs w:val="22"/>
          <w:lang w:val="es-ES"/>
        </w:rPr>
        <w:t>i</w:t>
      </w:r>
      <w:r w:rsidR="00E11FCF">
        <w:rPr>
          <w:rFonts w:eastAsia="Times New Roman"/>
          <w:sz w:val="22"/>
          <w:szCs w:val="22"/>
          <w:lang w:val="es-ES"/>
        </w:rPr>
        <w:t>ó a</w:t>
      </w:r>
      <w:r w:rsidRPr="005978DF">
        <w:rPr>
          <w:rFonts w:eastAsia="Times New Roman"/>
          <w:sz w:val="22"/>
          <w:szCs w:val="22"/>
          <w:lang w:val="es-ES"/>
        </w:rPr>
        <w:t xml:space="preserve"> elaborar un marco mundial de la diversidad biológica posterior a 2020 transformador que encauzara a la diversidad biológica </w:t>
      </w:r>
      <w:r w:rsidR="00267C29">
        <w:rPr>
          <w:rFonts w:eastAsia="Times New Roman"/>
          <w:sz w:val="22"/>
          <w:szCs w:val="22"/>
          <w:lang w:val="es-ES"/>
        </w:rPr>
        <w:t>por</w:t>
      </w:r>
      <w:r w:rsidRPr="005978DF">
        <w:rPr>
          <w:rFonts w:eastAsia="Times New Roman"/>
          <w:sz w:val="22"/>
          <w:szCs w:val="22"/>
          <w:lang w:val="es-ES"/>
        </w:rPr>
        <w:t xml:space="preserve"> la senda de la recuperación </w:t>
      </w:r>
      <w:r w:rsidR="00E11FCF">
        <w:rPr>
          <w:rFonts w:eastAsia="Times New Roman"/>
          <w:sz w:val="22"/>
          <w:szCs w:val="22"/>
          <w:lang w:val="es-ES"/>
        </w:rPr>
        <w:t>a fin de</w:t>
      </w:r>
      <w:r w:rsidRPr="005978DF">
        <w:rPr>
          <w:rFonts w:eastAsia="Times New Roman"/>
          <w:sz w:val="22"/>
          <w:szCs w:val="22"/>
          <w:lang w:val="es-ES"/>
        </w:rPr>
        <w:t xml:space="preserve"> alcanzar la visión para 2050 de vivir en armonía con la naturaleza. La Secretaría prevé nuevos mandatos y una mayor carga de trabajo para apoyar la implementación de este programa ambicioso. Se prevé también que la creciente trascendencia </w:t>
      </w:r>
      <w:r w:rsidR="00E11FCF">
        <w:rPr>
          <w:rFonts w:eastAsia="Times New Roman"/>
          <w:sz w:val="22"/>
          <w:szCs w:val="22"/>
          <w:lang w:val="es-ES"/>
        </w:rPr>
        <w:t>qu</w:t>
      </w:r>
      <w:r w:rsidRPr="005978DF">
        <w:rPr>
          <w:rFonts w:eastAsia="Times New Roman"/>
          <w:sz w:val="22"/>
          <w:szCs w:val="22"/>
          <w:lang w:val="es-ES"/>
        </w:rPr>
        <w:t xml:space="preserve">e </w:t>
      </w:r>
      <w:r w:rsidR="00E11FCF">
        <w:rPr>
          <w:rFonts w:eastAsia="Times New Roman"/>
          <w:sz w:val="22"/>
          <w:szCs w:val="22"/>
          <w:lang w:val="es-ES"/>
        </w:rPr>
        <w:t xml:space="preserve">están adquiriendo </w:t>
      </w:r>
      <w:r w:rsidRPr="005978DF">
        <w:rPr>
          <w:rFonts w:eastAsia="Times New Roman"/>
          <w:sz w:val="22"/>
          <w:szCs w:val="22"/>
          <w:lang w:val="es-ES"/>
        </w:rPr>
        <w:t xml:space="preserve">los temas de diversidad biológica a nivel mundial y sus vínculos con otros temas críticos, como el cambio climático y la salud, también repercutirán en la </w:t>
      </w:r>
      <w:r w:rsidRPr="005978DF">
        <w:rPr>
          <w:rFonts w:eastAsia="Times New Roman"/>
          <w:sz w:val="22"/>
          <w:szCs w:val="22"/>
          <w:lang w:val="es-ES"/>
        </w:rPr>
        <w:lastRenderedPageBreak/>
        <w:t xml:space="preserve">carga de trabajo de la Secretaría. La estructura y niveles de dotación de personal actuales de la Secretaría no </w:t>
      </w:r>
      <w:r w:rsidR="00C74597">
        <w:rPr>
          <w:rFonts w:eastAsia="Times New Roman"/>
          <w:sz w:val="22"/>
          <w:szCs w:val="22"/>
          <w:lang w:val="es-ES"/>
        </w:rPr>
        <w:t xml:space="preserve">son adecuados </w:t>
      </w:r>
      <w:r w:rsidRPr="005978DF">
        <w:rPr>
          <w:rFonts w:eastAsia="Times New Roman"/>
          <w:sz w:val="22"/>
          <w:szCs w:val="22"/>
          <w:lang w:val="es-ES"/>
        </w:rPr>
        <w:t>para atender las demandas y mandatos existentes que se espera que cumpla la</w:t>
      </w:r>
      <w:r w:rsidRPr="005978DF">
        <w:rPr>
          <w:rFonts w:eastAsia="Times New Roman"/>
          <w:color w:val="242424"/>
          <w:sz w:val="22"/>
          <w:szCs w:val="22"/>
          <w:lang w:val="es-ES"/>
        </w:rPr>
        <w:t xml:space="preserve"> Secretaría. Dado que se prevé que estas </w:t>
      </w:r>
      <w:r w:rsidRPr="005978DF">
        <w:rPr>
          <w:rFonts w:eastAsia="Times New Roman"/>
          <w:sz w:val="22"/>
          <w:szCs w:val="22"/>
          <w:lang w:val="es-ES"/>
        </w:rPr>
        <w:t>demandas y mandatos aumenten, la capacidad de la Secretaría de responder a estos pedidos se tornará más precaria si no cuenta con recursos nuevos y adicionales significativos más allá de los que se prevén en las hipótesis expuestas en el presente documento.</w:t>
      </w:r>
    </w:p>
    <w:p w14:paraId="40411010"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eop"/>
          <w:rFonts w:eastAsia="Times New Roman"/>
          <w:color w:val="000000"/>
          <w:lang w:val="es-ES"/>
        </w:rPr>
      </w:pPr>
      <w:r w:rsidRPr="005978DF">
        <w:rPr>
          <w:rFonts w:eastAsia="Times New Roman"/>
          <w:sz w:val="22"/>
          <w:szCs w:val="22"/>
          <w:lang w:val="es-ES"/>
        </w:rPr>
        <w:t>Con el objetivo de hacer frente a estas limitaciones de dotación de personal y recursos, l</w:t>
      </w:r>
      <w:r w:rsidR="004D146D">
        <w:rPr>
          <w:rFonts w:eastAsia="Times New Roman"/>
          <w:sz w:val="22"/>
          <w:szCs w:val="22"/>
          <w:lang w:val="es-ES"/>
        </w:rPr>
        <w:t>a Secretaría está elaborando un</w:t>
      </w:r>
      <w:r w:rsidRPr="005978DF">
        <w:rPr>
          <w:rFonts w:eastAsia="Times New Roman"/>
          <w:sz w:val="22"/>
          <w:szCs w:val="22"/>
          <w:lang w:val="es-ES"/>
        </w:rPr>
        <w:t xml:space="preserve"> pro</w:t>
      </w:r>
      <w:r w:rsidR="004D146D">
        <w:rPr>
          <w:rFonts w:eastAsia="Times New Roman"/>
          <w:sz w:val="22"/>
          <w:szCs w:val="22"/>
          <w:lang w:val="es-ES"/>
        </w:rPr>
        <w:t>y</w:t>
      </w:r>
      <w:r w:rsidRPr="005978DF">
        <w:rPr>
          <w:rFonts w:eastAsia="Times New Roman"/>
          <w:sz w:val="22"/>
          <w:szCs w:val="22"/>
          <w:lang w:val="es-ES"/>
        </w:rPr>
        <w:t>e</w:t>
      </w:r>
      <w:r w:rsidR="004D146D">
        <w:rPr>
          <w:rFonts w:eastAsia="Times New Roman"/>
          <w:sz w:val="22"/>
          <w:szCs w:val="22"/>
          <w:lang w:val="es-ES"/>
        </w:rPr>
        <w:t>c</w:t>
      </w:r>
      <w:r w:rsidRPr="005978DF">
        <w:rPr>
          <w:rFonts w:eastAsia="Times New Roman"/>
          <w:sz w:val="22"/>
          <w:szCs w:val="22"/>
          <w:lang w:val="es-ES"/>
        </w:rPr>
        <w:t>t</w:t>
      </w:r>
      <w:r w:rsidR="004D146D">
        <w:rPr>
          <w:rFonts w:eastAsia="Times New Roman"/>
          <w:sz w:val="22"/>
          <w:szCs w:val="22"/>
          <w:lang w:val="es-ES"/>
        </w:rPr>
        <w:t>o</w:t>
      </w:r>
      <w:r w:rsidRPr="005978DF">
        <w:rPr>
          <w:rFonts w:eastAsia="Times New Roman"/>
          <w:sz w:val="22"/>
          <w:szCs w:val="22"/>
          <w:lang w:val="es-ES"/>
        </w:rPr>
        <w:t xml:space="preserve"> complementari</w:t>
      </w:r>
      <w:r w:rsidR="004D146D">
        <w:rPr>
          <w:rFonts w:eastAsia="Times New Roman"/>
          <w:sz w:val="22"/>
          <w:szCs w:val="22"/>
          <w:lang w:val="es-ES"/>
        </w:rPr>
        <w:t>o</w:t>
      </w:r>
      <w:r w:rsidRPr="005978DF">
        <w:rPr>
          <w:rFonts w:eastAsia="Times New Roman"/>
          <w:sz w:val="22"/>
          <w:szCs w:val="22"/>
          <w:lang w:val="es-ES"/>
        </w:rPr>
        <w:t xml:space="preserve"> de presupuesto a modo de hipótesis adicional, que no solo atiende las necesidades de mandatos existentes </w:t>
      </w:r>
      <w:r w:rsidR="00C74597">
        <w:rPr>
          <w:rFonts w:eastAsia="Times New Roman"/>
          <w:sz w:val="22"/>
          <w:szCs w:val="22"/>
          <w:lang w:val="es-ES"/>
        </w:rPr>
        <w:t>surgidos</w:t>
      </w:r>
      <w:r w:rsidRPr="005978DF">
        <w:rPr>
          <w:rFonts w:eastAsia="Times New Roman"/>
          <w:sz w:val="22"/>
          <w:szCs w:val="22"/>
          <w:lang w:val="es-ES"/>
        </w:rPr>
        <w:t xml:space="preserve"> de decisiones anteriores de la Conferencia de las Partes y de las Partes en los Protocolos, sino también los requerimientos para cumplir con el aumento de la carga de trabajo para apoyar la implementación del marco mundial de la diversidad biológica posterior a 2020. Est</w:t>
      </w:r>
      <w:r w:rsidR="004D146D">
        <w:rPr>
          <w:rFonts w:eastAsia="Times New Roman"/>
          <w:sz w:val="22"/>
          <w:szCs w:val="22"/>
          <w:lang w:val="es-ES"/>
        </w:rPr>
        <w:t>e</w:t>
      </w:r>
      <w:r w:rsidRPr="005978DF">
        <w:rPr>
          <w:rFonts w:eastAsia="Times New Roman"/>
          <w:sz w:val="22"/>
          <w:szCs w:val="22"/>
          <w:lang w:val="es-ES"/>
        </w:rPr>
        <w:t xml:space="preserve"> pro</w:t>
      </w:r>
      <w:r w:rsidR="004D146D">
        <w:rPr>
          <w:rFonts w:eastAsia="Times New Roman"/>
          <w:sz w:val="22"/>
          <w:szCs w:val="22"/>
          <w:lang w:val="es-ES"/>
        </w:rPr>
        <w:t>y</w:t>
      </w:r>
      <w:r w:rsidRPr="005978DF">
        <w:rPr>
          <w:rFonts w:eastAsia="Times New Roman"/>
          <w:sz w:val="22"/>
          <w:szCs w:val="22"/>
          <w:lang w:val="es-ES"/>
        </w:rPr>
        <w:t>e</w:t>
      </w:r>
      <w:r w:rsidR="004D146D">
        <w:rPr>
          <w:rFonts w:eastAsia="Times New Roman"/>
          <w:sz w:val="22"/>
          <w:szCs w:val="22"/>
          <w:lang w:val="es-ES"/>
        </w:rPr>
        <w:t>c</w:t>
      </w:r>
      <w:r w:rsidRPr="005978DF">
        <w:rPr>
          <w:rFonts w:eastAsia="Times New Roman"/>
          <w:sz w:val="22"/>
          <w:szCs w:val="22"/>
          <w:lang w:val="es-ES"/>
        </w:rPr>
        <w:t>t</w:t>
      </w:r>
      <w:r w:rsidR="004D146D">
        <w:rPr>
          <w:rFonts w:eastAsia="Times New Roman"/>
          <w:sz w:val="22"/>
          <w:szCs w:val="22"/>
          <w:lang w:val="es-ES"/>
        </w:rPr>
        <w:t>o</w:t>
      </w:r>
      <w:r w:rsidRPr="005978DF">
        <w:rPr>
          <w:rFonts w:eastAsia="Times New Roman"/>
          <w:sz w:val="22"/>
          <w:szCs w:val="22"/>
          <w:lang w:val="es-ES"/>
        </w:rPr>
        <w:t xml:space="preserve"> complementari</w:t>
      </w:r>
      <w:r w:rsidR="004D146D">
        <w:rPr>
          <w:rFonts w:eastAsia="Times New Roman"/>
          <w:sz w:val="22"/>
          <w:szCs w:val="22"/>
          <w:lang w:val="es-ES"/>
        </w:rPr>
        <w:t>o</w:t>
      </w:r>
      <w:r w:rsidRPr="005978DF">
        <w:rPr>
          <w:rFonts w:eastAsia="Times New Roman"/>
          <w:sz w:val="22"/>
          <w:szCs w:val="22"/>
          <w:lang w:val="es-ES"/>
        </w:rPr>
        <w:t xml:space="preserve"> se publicará como adición </w:t>
      </w:r>
      <w:r w:rsidR="004D146D">
        <w:rPr>
          <w:rFonts w:eastAsia="Times New Roman"/>
          <w:sz w:val="22"/>
          <w:szCs w:val="22"/>
          <w:lang w:val="es-ES"/>
        </w:rPr>
        <w:t>de</w:t>
      </w:r>
      <w:r w:rsidRPr="005978DF">
        <w:rPr>
          <w:rFonts w:eastAsia="Times New Roman"/>
          <w:sz w:val="22"/>
          <w:szCs w:val="22"/>
          <w:lang w:val="es-ES"/>
        </w:rPr>
        <w:t>l presente documento de presupuesto para el bienio 2023-2024.</w:t>
      </w:r>
    </w:p>
    <w:p w14:paraId="40411011"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bookmarkStart w:id="1" w:name="_Ref113441147"/>
      <w:r w:rsidRPr="005978DF">
        <w:rPr>
          <w:rFonts w:eastAsia="Times New Roman"/>
          <w:sz w:val="22"/>
          <w:szCs w:val="22"/>
          <w:lang w:val="es-ES"/>
        </w:rPr>
        <w:t>En respuesta a la decisión</w:t>
      </w:r>
      <w:r w:rsidR="004D146D">
        <w:rPr>
          <w:rFonts w:eastAsia="Times New Roman"/>
          <w:sz w:val="22"/>
          <w:szCs w:val="22"/>
          <w:lang w:val="es-ES"/>
        </w:rPr>
        <w:t> </w:t>
      </w:r>
      <w:r w:rsidRPr="005978DF">
        <w:rPr>
          <w:rFonts w:eastAsia="Times New Roman"/>
          <w:sz w:val="22"/>
          <w:szCs w:val="22"/>
          <w:lang w:val="es-ES"/>
        </w:rPr>
        <w:t xml:space="preserve">14/37 y la posterior recomendación de la auditoría de la Oficina de Servicios de Supervisión Interna (OSSI), la Secretaría estableció un grupo de trabajo interno, con la asistencia del PNUMA, para desarrollar y mejorar su marco de presupuestación basada en los resultados. El marco es un proceso programático y presupuestario en el que: </w:t>
      </w:r>
      <w:r w:rsidRPr="005978DF">
        <w:rPr>
          <w:rFonts w:eastAsia="Times New Roman"/>
          <w:sz w:val="22"/>
          <w:szCs w:val="22"/>
          <w:shd w:val="clear" w:color="auto" w:fill="FFFFFF"/>
          <w:lang w:val="es-ES"/>
        </w:rPr>
        <w:t>a) la formulación de los programas gira en torno a un conjunto de objetivos predefinidos y resultados previstos; b) los resultados previstos justifican los recursos solicitados que se derivan y vinculan a los productos necesarios</w:t>
      </w:r>
      <w:r w:rsidRPr="005978DF">
        <w:rPr>
          <w:rFonts w:eastAsia="Times New Roman"/>
          <w:color w:val="000000"/>
          <w:sz w:val="22"/>
          <w:szCs w:val="22"/>
          <w:lang w:val="es-ES"/>
        </w:rPr>
        <w:t xml:space="preserve"> para alcanzar dichos resultados; y c) el cumplimiento efectivo en el logro de los resultados se mide por indicadores </w:t>
      </w:r>
      <w:r w:rsidR="004D146D" w:rsidRPr="005978DF">
        <w:rPr>
          <w:rFonts w:eastAsia="Times New Roman"/>
          <w:color w:val="000000"/>
          <w:sz w:val="22"/>
          <w:szCs w:val="22"/>
          <w:lang w:val="es-ES"/>
        </w:rPr>
        <w:t xml:space="preserve">de cumplimiento </w:t>
      </w:r>
      <w:r w:rsidRPr="005978DF">
        <w:rPr>
          <w:rFonts w:eastAsia="Times New Roman"/>
          <w:color w:val="000000"/>
          <w:sz w:val="22"/>
          <w:szCs w:val="22"/>
          <w:lang w:val="es-ES"/>
        </w:rPr>
        <w:t xml:space="preserve">objetivos. </w:t>
      </w:r>
      <w:r w:rsidRPr="005978DF">
        <w:rPr>
          <w:rFonts w:eastAsia="Times New Roman"/>
          <w:sz w:val="22"/>
          <w:szCs w:val="22"/>
          <w:lang w:val="es-ES"/>
        </w:rPr>
        <w:t>Elaborado inicialmente para el bienio</w:t>
      </w:r>
      <w:r w:rsidR="004D146D">
        <w:rPr>
          <w:rFonts w:eastAsia="Times New Roman"/>
          <w:sz w:val="22"/>
          <w:szCs w:val="22"/>
          <w:lang w:val="es-ES"/>
        </w:rPr>
        <w:t> </w:t>
      </w:r>
      <w:r w:rsidRPr="005978DF">
        <w:rPr>
          <w:rFonts w:eastAsia="Times New Roman"/>
          <w:sz w:val="22"/>
          <w:szCs w:val="22"/>
          <w:lang w:val="es-ES"/>
        </w:rPr>
        <w:t xml:space="preserve">2021-2022 a </w:t>
      </w:r>
      <w:r w:rsidR="004D146D">
        <w:rPr>
          <w:rFonts w:eastAsia="Times New Roman"/>
          <w:sz w:val="22"/>
          <w:szCs w:val="22"/>
          <w:lang w:val="es-ES"/>
        </w:rPr>
        <w:t xml:space="preserve">raíz de </w:t>
      </w:r>
      <w:r w:rsidRPr="005978DF">
        <w:rPr>
          <w:rFonts w:eastAsia="Times New Roman"/>
          <w:sz w:val="22"/>
          <w:szCs w:val="22"/>
          <w:lang w:val="es-ES"/>
        </w:rPr>
        <w:t xml:space="preserve">la postergación de la COP-15 por la pandemia de COVID-19, el marco de presupuestación basada en los resultados </w:t>
      </w:r>
      <w:r w:rsidR="004D146D">
        <w:rPr>
          <w:rFonts w:eastAsia="Times New Roman"/>
          <w:sz w:val="22"/>
          <w:szCs w:val="22"/>
          <w:lang w:val="es-ES"/>
        </w:rPr>
        <w:t xml:space="preserve">que se </w:t>
      </w:r>
      <w:r w:rsidRPr="005978DF">
        <w:rPr>
          <w:rFonts w:eastAsia="Times New Roman"/>
          <w:sz w:val="22"/>
          <w:szCs w:val="22"/>
          <w:lang w:val="es-ES"/>
        </w:rPr>
        <w:t>exp</w:t>
      </w:r>
      <w:r w:rsidR="004D146D">
        <w:rPr>
          <w:rFonts w:eastAsia="Times New Roman"/>
          <w:sz w:val="22"/>
          <w:szCs w:val="22"/>
          <w:lang w:val="es-ES"/>
        </w:rPr>
        <w:t>on</w:t>
      </w:r>
      <w:r w:rsidRPr="005978DF">
        <w:rPr>
          <w:rFonts w:eastAsia="Times New Roman"/>
          <w:sz w:val="22"/>
          <w:szCs w:val="22"/>
          <w:lang w:val="es-ES"/>
        </w:rPr>
        <w:t xml:space="preserve">e en el presente documento corresponde al bienio 2023-2024. Si bien se ha trabajado considerablemente </w:t>
      </w:r>
      <w:r w:rsidR="004D146D">
        <w:rPr>
          <w:rFonts w:eastAsia="Times New Roman"/>
          <w:sz w:val="22"/>
          <w:szCs w:val="22"/>
          <w:lang w:val="es-ES"/>
        </w:rPr>
        <w:t>en la</w:t>
      </w:r>
      <w:r w:rsidRPr="005978DF">
        <w:rPr>
          <w:rFonts w:eastAsia="Times New Roman"/>
          <w:sz w:val="22"/>
          <w:szCs w:val="22"/>
          <w:lang w:val="es-ES"/>
        </w:rPr>
        <w:t xml:space="preserve"> elabora</w:t>
      </w:r>
      <w:r w:rsidR="004D146D">
        <w:rPr>
          <w:rFonts w:eastAsia="Times New Roman"/>
          <w:sz w:val="22"/>
          <w:szCs w:val="22"/>
          <w:lang w:val="es-ES"/>
        </w:rPr>
        <w:t>ción de</w:t>
      </w:r>
      <w:r w:rsidRPr="005978DF">
        <w:rPr>
          <w:rFonts w:eastAsia="Times New Roman"/>
          <w:sz w:val="22"/>
          <w:szCs w:val="22"/>
          <w:lang w:val="es-ES"/>
        </w:rPr>
        <w:t xml:space="preserve"> un marco de presupuestación basada en los resultados que abarque a toda la Secretaría, aún es necesario seguir trabajando para elaborar indicadores </w:t>
      </w:r>
      <w:r w:rsidR="004D146D" w:rsidRPr="005978DF">
        <w:rPr>
          <w:rFonts w:eastAsia="Times New Roman"/>
          <w:sz w:val="22"/>
          <w:szCs w:val="22"/>
          <w:lang w:val="es-ES"/>
        </w:rPr>
        <w:t xml:space="preserve">de logro </w:t>
      </w:r>
      <w:r w:rsidRPr="005978DF">
        <w:rPr>
          <w:rFonts w:eastAsia="Times New Roman"/>
          <w:sz w:val="22"/>
          <w:szCs w:val="22"/>
          <w:lang w:val="es-ES"/>
        </w:rPr>
        <w:t>específicos, como puede verse más adelante en la sección III.</w:t>
      </w:r>
      <w:r w:rsidRPr="005978DF">
        <w:rPr>
          <w:rFonts w:eastAsia="Times New Roman"/>
          <w:color w:val="000000"/>
          <w:sz w:val="22"/>
          <w:szCs w:val="22"/>
          <w:lang w:val="es-ES"/>
        </w:rPr>
        <w:t xml:space="preserve"> El marco se expone más detalladamente a continuación junto con la Teoría del Cambio subyacente y los supuestos en este sentido, que pretenden servir de base para este presupuesto por programas integrado.</w:t>
      </w:r>
    </w:p>
    <w:p w14:paraId="40411012" w14:textId="77777777" w:rsidR="002F3255" w:rsidRPr="00904737"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color w:val="000000"/>
          <w:spacing w:val="-2"/>
          <w:lang w:val="es-ES"/>
        </w:rPr>
      </w:pPr>
      <w:bookmarkStart w:id="2" w:name="_Ref115092165"/>
      <w:bookmarkEnd w:id="1"/>
      <w:r w:rsidRPr="00904737">
        <w:rPr>
          <w:rFonts w:eastAsia="Times New Roman"/>
          <w:spacing w:val="-2"/>
          <w:sz w:val="22"/>
          <w:szCs w:val="22"/>
          <w:lang w:val="es-ES"/>
        </w:rPr>
        <w:t>El presente documento incluye un resumen de l</w:t>
      </w:r>
      <w:r w:rsidR="004D146D">
        <w:rPr>
          <w:rFonts w:eastAsia="Times New Roman"/>
          <w:spacing w:val="-2"/>
          <w:sz w:val="22"/>
          <w:szCs w:val="22"/>
          <w:lang w:val="es-ES"/>
        </w:rPr>
        <w:t>o</w:t>
      </w:r>
      <w:r w:rsidRPr="00904737">
        <w:rPr>
          <w:rFonts w:eastAsia="Times New Roman"/>
          <w:spacing w:val="-2"/>
          <w:sz w:val="22"/>
          <w:szCs w:val="22"/>
          <w:lang w:val="es-ES"/>
        </w:rPr>
        <w:t>s pro</w:t>
      </w:r>
      <w:r w:rsidR="004D146D">
        <w:rPr>
          <w:rFonts w:eastAsia="Times New Roman"/>
          <w:spacing w:val="-2"/>
          <w:sz w:val="22"/>
          <w:szCs w:val="22"/>
          <w:lang w:val="es-ES"/>
        </w:rPr>
        <w:t>y</w:t>
      </w:r>
      <w:r w:rsidRPr="00904737">
        <w:rPr>
          <w:rFonts w:eastAsia="Times New Roman"/>
          <w:spacing w:val="-2"/>
          <w:sz w:val="22"/>
          <w:szCs w:val="22"/>
          <w:lang w:val="es-ES"/>
        </w:rPr>
        <w:t>e</w:t>
      </w:r>
      <w:r w:rsidR="004D146D">
        <w:rPr>
          <w:rFonts w:eastAsia="Times New Roman"/>
          <w:spacing w:val="-2"/>
          <w:sz w:val="22"/>
          <w:szCs w:val="22"/>
          <w:lang w:val="es-ES"/>
        </w:rPr>
        <w:t>c</w:t>
      </w:r>
      <w:r w:rsidRPr="00904737">
        <w:rPr>
          <w:rFonts w:eastAsia="Times New Roman"/>
          <w:spacing w:val="-2"/>
          <w:sz w:val="22"/>
          <w:szCs w:val="22"/>
          <w:lang w:val="es-ES"/>
        </w:rPr>
        <w:t>t</w:t>
      </w:r>
      <w:r w:rsidR="004D146D">
        <w:rPr>
          <w:rFonts w:eastAsia="Times New Roman"/>
          <w:spacing w:val="-2"/>
          <w:sz w:val="22"/>
          <w:szCs w:val="22"/>
          <w:lang w:val="es-ES"/>
        </w:rPr>
        <w:t>o</w:t>
      </w:r>
      <w:r w:rsidRPr="00904737">
        <w:rPr>
          <w:rFonts w:eastAsia="Times New Roman"/>
          <w:spacing w:val="-2"/>
          <w:sz w:val="22"/>
          <w:szCs w:val="22"/>
          <w:lang w:val="es-ES"/>
        </w:rPr>
        <w:t>s presupuestari</w:t>
      </w:r>
      <w:r w:rsidR="004D146D">
        <w:rPr>
          <w:rFonts w:eastAsia="Times New Roman"/>
          <w:spacing w:val="-2"/>
          <w:sz w:val="22"/>
          <w:szCs w:val="22"/>
          <w:lang w:val="es-ES"/>
        </w:rPr>
        <w:t>o</w:t>
      </w:r>
      <w:r w:rsidRPr="00904737">
        <w:rPr>
          <w:rFonts w:eastAsia="Times New Roman"/>
          <w:spacing w:val="-2"/>
          <w:sz w:val="22"/>
          <w:szCs w:val="22"/>
          <w:lang w:val="es-ES"/>
        </w:rPr>
        <w:t>s para el presupuesto básico y para los presupuestos voluntarios (sección</w:t>
      </w:r>
      <w:r w:rsidR="0049064A" w:rsidRPr="00904737">
        <w:rPr>
          <w:rFonts w:eastAsia="Times New Roman"/>
          <w:spacing w:val="-2"/>
          <w:sz w:val="22"/>
          <w:szCs w:val="22"/>
          <w:lang w:val="es-ES"/>
        </w:rPr>
        <w:t> </w:t>
      </w:r>
      <w:r w:rsidRPr="00904737">
        <w:rPr>
          <w:rFonts w:eastAsia="Times New Roman"/>
          <w:spacing w:val="-2"/>
          <w:sz w:val="22"/>
          <w:szCs w:val="22"/>
          <w:lang w:val="es-ES"/>
        </w:rPr>
        <w:t>II), introduce el marco basado en los resultados (sección</w:t>
      </w:r>
      <w:r w:rsidR="004D146D">
        <w:rPr>
          <w:rFonts w:eastAsia="Times New Roman"/>
          <w:spacing w:val="-2"/>
          <w:sz w:val="22"/>
          <w:szCs w:val="22"/>
          <w:lang w:val="es-ES"/>
        </w:rPr>
        <w:t> </w:t>
      </w:r>
      <w:r w:rsidRPr="00904737">
        <w:rPr>
          <w:rFonts w:eastAsia="Times New Roman"/>
          <w:spacing w:val="-2"/>
          <w:sz w:val="22"/>
          <w:szCs w:val="22"/>
          <w:lang w:val="es-ES"/>
        </w:rPr>
        <w:t>III) y proporciona detalles del programa y las necesidades presupuestarias asociadas (sección IV).</w:t>
      </w:r>
      <w:bookmarkEnd w:id="2"/>
    </w:p>
    <w:p w14:paraId="40411013"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color w:val="000000"/>
          <w:lang w:val="es-ES"/>
        </w:rPr>
      </w:pPr>
      <w:r w:rsidRPr="005978DF">
        <w:rPr>
          <w:rFonts w:eastAsia="Times New Roman"/>
          <w:sz w:val="22"/>
          <w:szCs w:val="22"/>
          <w:lang w:val="es-ES"/>
        </w:rPr>
        <w:t>Este documento debe leerse conjuntamente con el documento</w:t>
      </w:r>
      <w:r w:rsidRPr="005978DF">
        <w:rPr>
          <w:rFonts w:eastAsia="Times New Roman"/>
          <w:b/>
          <w:bCs/>
          <w:sz w:val="22"/>
          <w:szCs w:val="22"/>
          <w:lang w:val="es-ES"/>
        </w:rPr>
        <w:t xml:space="preserve"> </w:t>
      </w:r>
      <w:r w:rsidRPr="005978DF">
        <w:rPr>
          <w:rFonts w:eastAsia="Times New Roman"/>
          <w:sz w:val="22"/>
          <w:szCs w:val="22"/>
          <w:lang w:val="es-ES"/>
        </w:rPr>
        <w:t>CBD/COP/15/6, en el que se brindará un informe de asuntos administrativos y presupuestarios, según lo solicitado por las Partes en los párrafos</w:t>
      </w:r>
      <w:r w:rsidRPr="005978DF">
        <w:rPr>
          <w:rFonts w:eastAsia="Times New Roman"/>
          <w:color w:val="000000"/>
          <w:kern w:val="20"/>
          <w:sz w:val="22"/>
          <w:szCs w:val="22"/>
          <w:lang w:val="es-ES"/>
        </w:rPr>
        <w:t> 49 y 50 de la decisión 14/37, incluida información sobre los ingresos y la ejecución del presupuesto, los saldos no utilizados</w:t>
      </w:r>
      <w:r w:rsidR="004D146D">
        <w:rPr>
          <w:rFonts w:eastAsia="Times New Roman"/>
          <w:color w:val="000000"/>
          <w:kern w:val="20"/>
          <w:sz w:val="22"/>
          <w:szCs w:val="22"/>
          <w:lang w:val="es-ES"/>
        </w:rPr>
        <w:t>,</w:t>
      </w:r>
      <w:r w:rsidRPr="005978DF">
        <w:rPr>
          <w:rFonts w:eastAsia="Times New Roman"/>
          <w:color w:val="000000"/>
          <w:kern w:val="20"/>
          <w:sz w:val="22"/>
          <w:szCs w:val="22"/>
          <w:lang w:val="es-ES"/>
        </w:rPr>
        <w:t xml:space="preserve"> la situación de superávit y los saldos arrastrados, así como los ajustes que se hubieran realizado en el presupuesto para el bienio 2019-2020 y el presupuesto provisional para 2021. La Secretaría también está elaborando una propuesta para revisar la estructura y el reglamento relacionados con el Fondo Fiduciario </w:t>
      </w:r>
      <w:r w:rsidRPr="005978DF">
        <w:rPr>
          <w:rFonts w:eastAsia="Times New Roman"/>
          <w:sz w:val="22"/>
          <w:szCs w:val="22"/>
          <w:lang w:val="es-ES"/>
        </w:rPr>
        <w:t xml:space="preserve">BZ </w:t>
      </w:r>
      <w:r w:rsidRPr="005978DF">
        <w:rPr>
          <w:rFonts w:eastAsia="Times New Roman"/>
          <w:b/>
          <w:bCs/>
          <w:color w:val="000000"/>
          <w:kern w:val="20"/>
          <w:sz w:val="22"/>
          <w:szCs w:val="22"/>
          <w:lang w:val="es-ES"/>
        </w:rPr>
        <w:t>(</w:t>
      </w:r>
      <w:r w:rsidRPr="005978DF">
        <w:rPr>
          <w:rFonts w:eastAsia="Times New Roman"/>
          <w:color w:val="000000"/>
          <w:kern w:val="20"/>
          <w:sz w:val="22"/>
          <w:szCs w:val="22"/>
          <w:lang w:val="es-ES"/>
        </w:rPr>
        <w:t>CBD/COP/15/7/Add.3</w:t>
      </w:r>
      <w:r w:rsidRPr="005978DF">
        <w:rPr>
          <w:rFonts w:eastAsia="Times New Roman"/>
          <w:b/>
          <w:bCs/>
          <w:color w:val="000000"/>
          <w:kern w:val="20"/>
          <w:sz w:val="22"/>
          <w:szCs w:val="22"/>
          <w:lang w:val="es-ES"/>
        </w:rPr>
        <w:t>)</w:t>
      </w:r>
      <w:r w:rsidRPr="005978DF">
        <w:rPr>
          <w:rFonts w:eastAsia="Times New Roman"/>
          <w:sz w:val="22"/>
          <w:szCs w:val="22"/>
          <w:lang w:val="es-ES"/>
        </w:rPr>
        <w:t>, según lo solicitado en el párrafo 37 de la decisión 14/37,</w:t>
      </w:r>
      <w:r w:rsidRPr="005978DF">
        <w:rPr>
          <w:rFonts w:eastAsia="Times New Roman"/>
          <w:b/>
          <w:bCs/>
          <w:color w:val="000000"/>
          <w:kern w:val="20"/>
          <w:sz w:val="22"/>
          <w:szCs w:val="22"/>
          <w:lang w:val="es-ES"/>
        </w:rPr>
        <w:t xml:space="preserve"> </w:t>
      </w:r>
      <w:r w:rsidRPr="005978DF">
        <w:rPr>
          <w:rFonts w:eastAsia="Times New Roman"/>
          <w:color w:val="000000"/>
          <w:kern w:val="20"/>
          <w:sz w:val="22"/>
          <w:szCs w:val="22"/>
          <w:lang w:val="es-ES"/>
        </w:rPr>
        <w:t xml:space="preserve">para su </w:t>
      </w:r>
      <w:r w:rsidRPr="005978DF">
        <w:rPr>
          <w:rFonts w:eastAsia="Times New Roman"/>
          <w:sz w:val="22"/>
          <w:szCs w:val="22"/>
          <w:lang w:val="es-ES"/>
        </w:rPr>
        <w:t>aprobación por la Conferencia de las Partes en su 15ª reunión.</w:t>
      </w:r>
    </w:p>
    <w:p w14:paraId="40411014"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El proyecto de decisión para consideración de la Conferencia de las Partes se incluirá en la recopilación de proyectos de decisión (CBD/COP/15/2). </w:t>
      </w:r>
      <w:r w:rsidR="004D146D">
        <w:rPr>
          <w:rFonts w:eastAsia="Times New Roman"/>
          <w:sz w:val="22"/>
          <w:szCs w:val="22"/>
          <w:lang w:val="es-ES"/>
        </w:rPr>
        <w:t>Asimismo, l</w:t>
      </w:r>
      <w:r w:rsidRPr="005978DF">
        <w:rPr>
          <w:rFonts w:eastAsia="Times New Roman"/>
          <w:sz w:val="22"/>
          <w:szCs w:val="22"/>
          <w:lang w:val="es-ES"/>
        </w:rPr>
        <w:t>os proyectos de decisión para las respectivas reuniones de las Partes en los Protocolos de Cartagena y de Nagoya se incluirán en las recopilaciones correspondientes (CBD/CP/MOP/10/1/Add.2 y CBD/NP/MOP/4/1/Add.2).</w:t>
      </w:r>
    </w:p>
    <w:p w14:paraId="40411015" w14:textId="77777777" w:rsidR="002F3255" w:rsidRPr="005978DF" w:rsidRDefault="002F3255" w:rsidP="0049064A">
      <w:pPr>
        <w:keepNext/>
        <w:keepLines/>
        <w:jc w:val="center"/>
        <w:outlineLvl w:val="0"/>
        <w:rPr>
          <w:rFonts w:eastAsia="Times New Roman"/>
          <w:lang w:val="es-ES"/>
        </w:rPr>
      </w:pPr>
      <w:r w:rsidRPr="005978DF">
        <w:rPr>
          <w:rFonts w:eastAsia="Times New Roman"/>
          <w:b/>
          <w:bCs/>
          <w:sz w:val="22"/>
          <w:szCs w:val="22"/>
          <w:lang w:val="es-ES"/>
        </w:rPr>
        <w:t xml:space="preserve">II. </w:t>
      </w:r>
      <w:r w:rsidRPr="005978DF">
        <w:rPr>
          <w:rFonts w:eastAsia="Times New Roman"/>
          <w:b/>
          <w:bCs/>
          <w:sz w:val="22"/>
          <w:szCs w:val="22"/>
          <w:lang w:val="es-ES"/>
        </w:rPr>
        <w:tab/>
        <w:t>RESUMEN DEL PROYECTO DE PRESUPUESTO</w:t>
      </w:r>
    </w:p>
    <w:p w14:paraId="40411016" w14:textId="77777777" w:rsidR="002F3255" w:rsidRPr="005978DF" w:rsidRDefault="002F3255" w:rsidP="0049064A">
      <w:pPr>
        <w:keepNext/>
        <w:keepLines/>
        <w:spacing w:before="120" w:after="120"/>
        <w:jc w:val="center"/>
        <w:outlineLvl w:val="1"/>
        <w:rPr>
          <w:rFonts w:eastAsia="Times New Roman"/>
          <w:b/>
          <w:bCs/>
          <w:sz w:val="22"/>
          <w:szCs w:val="22"/>
          <w:lang w:val="es-ES"/>
        </w:rPr>
      </w:pPr>
      <w:r w:rsidRPr="005978DF">
        <w:rPr>
          <w:rFonts w:eastAsia="Times New Roman"/>
          <w:b/>
          <w:bCs/>
          <w:sz w:val="22"/>
          <w:szCs w:val="22"/>
          <w:lang w:val="es-ES"/>
        </w:rPr>
        <w:t>A. Presupuesto básico</w:t>
      </w:r>
    </w:p>
    <w:p w14:paraId="40411017" w14:textId="77777777" w:rsidR="002F3255" w:rsidRPr="0049064A" w:rsidRDefault="002F3255" w:rsidP="0049064A">
      <w:pPr>
        <w:keepNext/>
        <w:keepLines/>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pacing w:val="-2"/>
          <w:sz w:val="22"/>
          <w:szCs w:val="22"/>
          <w:lang w:val="es-ES"/>
        </w:rPr>
      </w:pPr>
      <w:bookmarkStart w:id="3" w:name="_Ref114059308"/>
      <w:r w:rsidRPr="0049064A">
        <w:rPr>
          <w:rFonts w:eastAsia="Times New Roman"/>
          <w:spacing w:val="-2"/>
          <w:sz w:val="22"/>
          <w:szCs w:val="22"/>
          <w:lang w:val="es-ES"/>
        </w:rPr>
        <w:t>Esta sección contiene una sinopsis de todos los recursos relacionados con puestos y no relacionados con puestos solicitados para el presupuesto básico en las hipótesis de crecimiento real nulo (CRN) y crecimiento nominal nulo (CNN), contrastadas con los recursos aprobados para el bienio 2019-2020.</w:t>
      </w:r>
    </w:p>
    <w:bookmarkEnd w:id="3"/>
    <w:p w14:paraId="40411018"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Los recursos totales para el bienio 2023-2024 en una hipótesis de crecimiento real nulo ascienden a 40</w:t>
      </w:r>
      <w:r w:rsidR="0049064A">
        <w:rPr>
          <w:rFonts w:eastAsia="Times New Roman"/>
          <w:sz w:val="22"/>
          <w:szCs w:val="22"/>
          <w:lang w:val="es-ES"/>
        </w:rPr>
        <w:t> </w:t>
      </w:r>
      <w:r w:rsidRPr="005978DF">
        <w:rPr>
          <w:rFonts w:eastAsia="Times New Roman"/>
          <w:sz w:val="22"/>
          <w:szCs w:val="22"/>
          <w:lang w:val="es-ES"/>
        </w:rPr>
        <w:t>443</w:t>
      </w:r>
      <w:r w:rsidR="0049064A">
        <w:rPr>
          <w:rFonts w:eastAsia="Times New Roman"/>
          <w:sz w:val="22"/>
          <w:szCs w:val="22"/>
          <w:lang w:val="es-ES"/>
        </w:rPr>
        <w:t> </w:t>
      </w:r>
      <w:r w:rsidRPr="005978DF">
        <w:rPr>
          <w:rFonts w:eastAsia="Times New Roman"/>
          <w:sz w:val="22"/>
          <w:szCs w:val="22"/>
          <w:lang w:val="es-ES"/>
        </w:rPr>
        <w:t>800 dólares, lo que refleja un incremento neto de 2</w:t>
      </w:r>
      <w:r w:rsidR="0049064A">
        <w:rPr>
          <w:rFonts w:eastAsia="Times New Roman"/>
          <w:sz w:val="22"/>
          <w:szCs w:val="22"/>
          <w:lang w:val="es-ES"/>
        </w:rPr>
        <w:t> </w:t>
      </w:r>
      <w:r w:rsidRPr="005978DF">
        <w:rPr>
          <w:rFonts w:eastAsia="Times New Roman"/>
          <w:sz w:val="22"/>
          <w:szCs w:val="22"/>
          <w:lang w:val="es-ES"/>
        </w:rPr>
        <w:t>909</w:t>
      </w:r>
      <w:r w:rsidR="0049064A">
        <w:rPr>
          <w:rFonts w:eastAsia="Times New Roman"/>
          <w:sz w:val="22"/>
          <w:szCs w:val="22"/>
          <w:lang w:val="es-ES"/>
        </w:rPr>
        <w:t> </w:t>
      </w:r>
      <w:r w:rsidRPr="005978DF">
        <w:rPr>
          <w:rFonts w:eastAsia="Times New Roman"/>
          <w:sz w:val="22"/>
          <w:szCs w:val="22"/>
          <w:lang w:val="es-ES"/>
        </w:rPr>
        <w:t>700 dólares (</w:t>
      </w:r>
      <w:r w:rsidR="004D146D">
        <w:rPr>
          <w:rFonts w:eastAsia="Times New Roman"/>
          <w:sz w:val="22"/>
          <w:szCs w:val="22"/>
          <w:lang w:val="es-ES"/>
        </w:rPr>
        <w:t xml:space="preserve">o </w:t>
      </w:r>
      <w:r w:rsidRPr="005978DF">
        <w:rPr>
          <w:rFonts w:eastAsia="Times New Roman"/>
          <w:sz w:val="22"/>
          <w:szCs w:val="22"/>
          <w:lang w:val="es-ES"/>
        </w:rPr>
        <w:t>u</w:t>
      </w:r>
      <w:r w:rsidR="004D146D">
        <w:rPr>
          <w:rFonts w:eastAsia="Times New Roman"/>
          <w:sz w:val="22"/>
          <w:szCs w:val="22"/>
          <w:lang w:val="es-ES"/>
        </w:rPr>
        <w:t>n</w:t>
      </w:r>
      <w:r w:rsidRPr="005978DF">
        <w:rPr>
          <w:rFonts w:eastAsia="Times New Roman"/>
          <w:sz w:val="22"/>
          <w:szCs w:val="22"/>
          <w:lang w:val="es-ES"/>
        </w:rPr>
        <w:t xml:space="preserve"> 8 %) con respecto al presupuesto básico aprobado para el bienio 2019-2020 menos el crédito para reuniones extraordinarias sobre el </w:t>
      </w:r>
      <w:r w:rsidRPr="005978DF">
        <w:rPr>
          <w:rFonts w:eastAsia="Times New Roman"/>
          <w:sz w:val="22"/>
          <w:szCs w:val="22"/>
          <w:lang w:val="es-ES"/>
        </w:rPr>
        <w:lastRenderedPageBreak/>
        <w:t>marco mundial de la diversidad biológica posterior a 2020 (1</w:t>
      </w:r>
      <w:r w:rsidR="004D146D">
        <w:rPr>
          <w:rFonts w:eastAsia="Times New Roman"/>
          <w:sz w:val="22"/>
          <w:szCs w:val="22"/>
          <w:lang w:val="es-ES"/>
        </w:rPr>
        <w:t> </w:t>
      </w:r>
      <w:r w:rsidRPr="005978DF">
        <w:rPr>
          <w:rFonts w:eastAsia="Times New Roman"/>
          <w:sz w:val="22"/>
          <w:szCs w:val="22"/>
          <w:lang w:val="es-ES"/>
        </w:rPr>
        <w:t>310</w:t>
      </w:r>
      <w:r w:rsidR="0049064A">
        <w:rPr>
          <w:rFonts w:eastAsia="Times New Roman"/>
          <w:sz w:val="22"/>
          <w:szCs w:val="22"/>
          <w:lang w:val="es-ES"/>
        </w:rPr>
        <w:t> </w:t>
      </w:r>
      <w:r w:rsidRPr="005978DF">
        <w:rPr>
          <w:rFonts w:eastAsia="Times New Roman"/>
          <w:sz w:val="22"/>
          <w:szCs w:val="22"/>
          <w:lang w:val="es-ES"/>
        </w:rPr>
        <w:t xml:space="preserve">000 dólares). Los cambios en los recursos se deben a dos factores, a saber: a) ajustes técnicos relacionados principalmente con los aumentos del ajuste por lugar de destino para el personal internacional relacionados con el estudio del costo de la vida realizado por la Comisión de Administración Pública Internacional (CAPI) </w:t>
      </w:r>
      <w:r w:rsidR="004D146D">
        <w:rPr>
          <w:rFonts w:eastAsia="Times New Roman"/>
          <w:sz w:val="22"/>
          <w:szCs w:val="22"/>
          <w:lang w:val="es-ES"/>
        </w:rPr>
        <w:t xml:space="preserve">en </w:t>
      </w:r>
      <w:r w:rsidRPr="005978DF">
        <w:rPr>
          <w:rFonts w:eastAsia="Times New Roman"/>
          <w:sz w:val="22"/>
          <w:szCs w:val="22"/>
          <w:lang w:val="es-ES"/>
        </w:rPr>
        <w:t xml:space="preserve">Montreal (Canadá) en noviembre de 2021, </w:t>
      </w:r>
      <w:r w:rsidR="004D146D">
        <w:rPr>
          <w:rFonts w:eastAsia="Times New Roman"/>
          <w:sz w:val="22"/>
          <w:szCs w:val="22"/>
          <w:lang w:val="es-ES"/>
        </w:rPr>
        <w:t xml:space="preserve">las </w:t>
      </w:r>
      <w:r w:rsidRPr="005978DF">
        <w:rPr>
          <w:rFonts w:eastAsia="Times New Roman"/>
          <w:sz w:val="22"/>
          <w:szCs w:val="22"/>
          <w:lang w:val="es-ES"/>
        </w:rPr>
        <w:t>fluctuaciones monetarias en dólares canadienses y la inflación; y b) otros cambios en los recursos teniendo en cuenta patrones anteriores de gastos.</w:t>
      </w:r>
    </w:p>
    <w:p w14:paraId="40411019"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b/>
          <w:bCs/>
          <w:lang w:val="es-ES"/>
        </w:rPr>
      </w:pPr>
      <w:r w:rsidRPr="005978DF">
        <w:rPr>
          <w:rFonts w:eastAsia="Times New Roman"/>
          <w:sz w:val="22"/>
          <w:szCs w:val="22"/>
          <w:lang w:val="es-ES"/>
        </w:rPr>
        <w:t xml:space="preserve">El crédito para puestos se calculó aplicando los gastos estándar salariales comunes de las Naciones Unidas para 2023, empleando el multiplicador </w:t>
      </w:r>
      <w:r w:rsidRPr="005978DF">
        <w:rPr>
          <w:rFonts w:eastAsia="Times New Roman"/>
          <w:kern w:val="22"/>
          <w:sz w:val="22"/>
          <w:szCs w:val="22"/>
          <w:lang w:val="es-ES"/>
        </w:rPr>
        <w:t xml:space="preserve">recién establecido del ajuste por lugar de destino para </w:t>
      </w:r>
      <w:r w:rsidRPr="005978DF">
        <w:rPr>
          <w:rFonts w:eastAsia="Times New Roman"/>
          <w:sz w:val="22"/>
          <w:szCs w:val="22"/>
          <w:lang w:val="es-ES"/>
        </w:rPr>
        <w:t>Montreal ya mencionado, que es de 55,8 para 2023, y un multiplicador estimado del ajuste por lugar de destino de 58,0 para 2024 para el personal de la Secretaría durante el bienio 2023-2024. La Secretaría aplicó además una tasa de vacantes del</w:t>
      </w:r>
      <w:r w:rsidR="0012505C">
        <w:rPr>
          <w:rFonts w:eastAsia="Times New Roman"/>
          <w:sz w:val="22"/>
          <w:szCs w:val="22"/>
          <w:lang w:val="es-ES"/>
        </w:rPr>
        <w:t> </w:t>
      </w:r>
      <w:r w:rsidRPr="005978DF">
        <w:rPr>
          <w:rFonts w:eastAsia="Times New Roman"/>
          <w:sz w:val="22"/>
          <w:szCs w:val="22"/>
          <w:lang w:val="es-ES"/>
        </w:rPr>
        <w:t>5 % para los puestos del Cuadro Orgánico y de</w:t>
      </w:r>
      <w:r w:rsidR="0012505C">
        <w:rPr>
          <w:rFonts w:eastAsia="Times New Roman"/>
          <w:sz w:val="22"/>
          <w:szCs w:val="22"/>
          <w:lang w:val="es-ES"/>
        </w:rPr>
        <w:t> </w:t>
      </w:r>
      <w:r w:rsidRPr="005978DF">
        <w:rPr>
          <w:rFonts w:eastAsia="Times New Roman"/>
          <w:sz w:val="22"/>
          <w:szCs w:val="22"/>
          <w:lang w:val="es-ES"/>
        </w:rPr>
        <w:t>0 % para los puestos del Cuadro de Servicios Generales para los puestos existentes, así como un factor de demora en la contratación del</w:t>
      </w:r>
      <w:r w:rsidR="0012505C">
        <w:rPr>
          <w:rFonts w:eastAsia="Times New Roman"/>
          <w:sz w:val="22"/>
          <w:szCs w:val="22"/>
          <w:lang w:val="es-ES"/>
        </w:rPr>
        <w:t> </w:t>
      </w:r>
      <w:r w:rsidRPr="005978DF">
        <w:rPr>
          <w:rFonts w:eastAsia="Times New Roman"/>
          <w:sz w:val="22"/>
          <w:szCs w:val="22"/>
          <w:lang w:val="es-ES"/>
        </w:rPr>
        <w:t>50 % en el primer año para todos los puestos nuevos solicitados, de conformidad con las directrices estándar para la elaboración de presupuestos por programas de la Sede de las Naciones Unidas. Esto se hizo con el objetivo de reducir la sobreestimación y acercar las estimaciones de los gastos salariales presupuestados a los gastos salariales reales que se prevén para el bienio 2023-2024.</w:t>
      </w:r>
    </w:p>
    <w:p w14:paraId="4041101A" w14:textId="77777777" w:rsidR="002F3255" w:rsidRPr="005978DF" w:rsidRDefault="002F3255" w:rsidP="0049064A">
      <w:pPr>
        <w:keepNext/>
        <w:tabs>
          <w:tab w:val="left" w:pos="990"/>
          <w:tab w:val="left" w:pos="2693"/>
          <w:tab w:val="left" w:pos="3182"/>
          <w:tab w:val="left" w:pos="3658"/>
          <w:tab w:val="left" w:pos="4133"/>
          <w:tab w:val="left" w:pos="4622"/>
          <w:tab w:val="left" w:pos="5098"/>
          <w:tab w:val="left" w:pos="5573"/>
          <w:tab w:val="left" w:pos="6048"/>
        </w:tabs>
        <w:spacing w:before="120" w:after="120"/>
        <w:outlineLvl w:val="3"/>
        <w:rPr>
          <w:rFonts w:eastAsia="Times New Roman"/>
          <w:b/>
          <w:bCs/>
          <w:sz w:val="22"/>
          <w:szCs w:val="22"/>
          <w:lang w:val="es-ES"/>
        </w:rPr>
      </w:pPr>
      <w:r w:rsidRPr="005978DF">
        <w:rPr>
          <w:rFonts w:eastAsia="Times New Roman"/>
          <w:b/>
          <w:bCs/>
          <w:sz w:val="22"/>
          <w:szCs w:val="22"/>
          <w:lang w:val="es-ES"/>
        </w:rPr>
        <w:t>Cuadro 1.</w:t>
      </w:r>
      <w:r w:rsidR="0049064A">
        <w:rPr>
          <w:rFonts w:eastAsia="Times New Roman"/>
          <w:b/>
          <w:bCs/>
          <w:sz w:val="22"/>
          <w:szCs w:val="22"/>
          <w:lang w:val="es-ES"/>
        </w:rPr>
        <w:tab/>
      </w:r>
      <w:r w:rsidRPr="005978DF">
        <w:rPr>
          <w:rFonts w:eastAsia="Times New Roman"/>
          <w:b/>
          <w:bCs/>
          <w:sz w:val="22"/>
          <w:szCs w:val="22"/>
          <w:lang w:val="es-ES"/>
        </w:rPr>
        <w:t>Recursos financieros</w:t>
      </w:r>
    </w:p>
    <w:p w14:paraId="4041101B" w14:textId="77777777" w:rsidR="002F3255" w:rsidRPr="0049064A" w:rsidRDefault="0049064A" w:rsidP="0049064A">
      <w:pPr>
        <w:tabs>
          <w:tab w:val="left" w:pos="990"/>
          <w:tab w:val="left" w:pos="2693"/>
          <w:tab w:val="left" w:pos="3182"/>
          <w:tab w:val="left" w:pos="3658"/>
          <w:tab w:val="left" w:pos="4133"/>
          <w:tab w:val="left" w:pos="4622"/>
          <w:tab w:val="left" w:pos="5098"/>
          <w:tab w:val="left" w:pos="5573"/>
          <w:tab w:val="left" w:pos="6048"/>
        </w:tabs>
        <w:spacing w:before="120" w:after="120"/>
        <w:rPr>
          <w:rFonts w:asciiTheme="minorHAnsi" w:eastAsia="Times New Roman" w:hAnsiTheme="minorHAnsi" w:cstheme="minorHAnsi"/>
          <w:b/>
          <w:bCs/>
          <w:sz w:val="18"/>
          <w:szCs w:val="18"/>
          <w:lang w:val="es-ES"/>
        </w:rPr>
      </w:pPr>
      <w:r>
        <w:rPr>
          <w:rFonts w:eastAsia="Times New Roman"/>
          <w:i/>
          <w:iCs/>
          <w:sz w:val="16"/>
          <w:szCs w:val="16"/>
          <w:lang w:val="es-ES"/>
        </w:rPr>
        <w:tab/>
      </w:r>
      <w:r w:rsidR="002F3255" w:rsidRPr="0049064A">
        <w:rPr>
          <w:rFonts w:asciiTheme="minorHAnsi" w:eastAsia="Times New Roman" w:hAnsiTheme="minorHAnsi" w:cstheme="minorHAnsi"/>
          <w:i/>
          <w:iCs/>
          <w:sz w:val="18"/>
          <w:szCs w:val="18"/>
          <w:lang w:val="es-ES"/>
        </w:rPr>
        <w:t>(En miles de dólares de los Estados Unidos)</w:t>
      </w:r>
    </w:p>
    <w:tbl>
      <w:tblPr>
        <w:tblW w:w="7229" w:type="dxa"/>
        <w:tblInd w:w="1098" w:type="dxa"/>
        <w:tblLayout w:type="fixed"/>
        <w:tblLook w:val="00A0" w:firstRow="1" w:lastRow="0" w:firstColumn="1" w:lastColumn="0" w:noHBand="0" w:noVBand="0"/>
      </w:tblPr>
      <w:tblGrid>
        <w:gridCol w:w="4871"/>
        <w:gridCol w:w="257"/>
        <w:gridCol w:w="2101"/>
      </w:tblGrid>
      <w:tr w:rsidR="002F3255" w:rsidRPr="0049064A" w14:paraId="4041101F" w14:textId="77777777" w:rsidTr="0049064A">
        <w:tc>
          <w:tcPr>
            <w:tcW w:w="4871" w:type="dxa"/>
            <w:tcBorders>
              <w:top w:val="single" w:sz="8" w:space="0" w:color="auto"/>
              <w:left w:val="nil"/>
              <w:bottom w:val="nil"/>
              <w:right w:val="nil"/>
            </w:tcBorders>
            <w:vAlign w:val="center"/>
          </w:tcPr>
          <w:p w14:paraId="4041101C" w14:textId="77777777" w:rsidR="002F3255" w:rsidRPr="0049064A" w:rsidRDefault="002F3255">
            <w:pPr>
              <w:spacing w:before="60" w:after="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Presupuesto básico aprobado para 2019-2020</w:t>
            </w:r>
          </w:p>
        </w:tc>
        <w:tc>
          <w:tcPr>
            <w:tcW w:w="257" w:type="dxa"/>
            <w:tcBorders>
              <w:top w:val="single" w:sz="8" w:space="0" w:color="auto"/>
              <w:left w:val="nil"/>
              <w:bottom w:val="nil"/>
              <w:right w:val="nil"/>
            </w:tcBorders>
            <w:vAlign w:val="center"/>
          </w:tcPr>
          <w:p w14:paraId="4041101D" w14:textId="77777777" w:rsidR="002F3255" w:rsidRPr="0049064A" w:rsidRDefault="002F3255">
            <w:pPr>
              <w:spacing w:before="60" w:after="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 </w:t>
            </w:r>
          </w:p>
        </w:tc>
        <w:tc>
          <w:tcPr>
            <w:tcW w:w="2101" w:type="dxa"/>
            <w:tcBorders>
              <w:top w:val="single" w:sz="8" w:space="0" w:color="auto"/>
              <w:left w:val="nil"/>
              <w:bottom w:val="nil"/>
              <w:right w:val="nil"/>
            </w:tcBorders>
            <w:vAlign w:val="center"/>
          </w:tcPr>
          <w:p w14:paraId="4041101E" w14:textId="77777777" w:rsidR="002F3255" w:rsidRPr="0049064A" w:rsidRDefault="002F3255" w:rsidP="0049064A">
            <w:pPr>
              <w:spacing w:before="60" w:after="60"/>
              <w:jc w:val="right"/>
              <w:rPr>
                <w:rFonts w:asciiTheme="minorHAnsi" w:eastAsia="Times New Roman" w:hAnsiTheme="minorHAnsi" w:cstheme="minorHAnsi"/>
                <w:lang w:val="es-ES"/>
              </w:rPr>
            </w:pPr>
            <w:r w:rsidRPr="0049064A">
              <w:rPr>
                <w:rFonts w:asciiTheme="minorHAnsi" w:eastAsia="Times New Roman" w:hAnsiTheme="minorHAnsi" w:cstheme="minorHAnsi"/>
                <w:sz w:val="18"/>
                <w:szCs w:val="18"/>
                <w:lang w:val="es-ES"/>
              </w:rPr>
              <w:t>38</w:t>
            </w:r>
            <w:r w:rsidR="0049064A" w:rsidRPr="0049064A">
              <w:rPr>
                <w:rFonts w:asciiTheme="minorHAnsi" w:eastAsia="Times New Roman" w:hAnsiTheme="minorHAnsi" w:cstheme="minorHAnsi"/>
                <w:sz w:val="18"/>
                <w:szCs w:val="18"/>
                <w:lang w:val="es-ES"/>
              </w:rPr>
              <w:t> </w:t>
            </w:r>
            <w:r w:rsidRPr="0049064A">
              <w:rPr>
                <w:rFonts w:asciiTheme="minorHAnsi" w:eastAsia="Times New Roman" w:hAnsiTheme="minorHAnsi" w:cstheme="minorHAnsi"/>
                <w:sz w:val="18"/>
                <w:szCs w:val="18"/>
                <w:lang w:val="es-ES"/>
              </w:rPr>
              <w:t xml:space="preserve">844,1   </w:t>
            </w:r>
            <w:r w:rsidRPr="0049064A">
              <w:rPr>
                <w:rFonts w:asciiTheme="minorHAnsi" w:eastAsia="Times New Roman" w:hAnsiTheme="minorHAnsi" w:cstheme="minorHAnsi"/>
                <w:sz w:val="16"/>
                <w:szCs w:val="16"/>
                <w:lang w:val="es-ES"/>
              </w:rPr>
              <w:t>a/</w:t>
            </w:r>
          </w:p>
        </w:tc>
      </w:tr>
      <w:tr w:rsidR="002F3255" w:rsidRPr="0049064A" w14:paraId="40411023" w14:textId="77777777" w:rsidTr="0049064A">
        <w:tc>
          <w:tcPr>
            <w:tcW w:w="4871" w:type="dxa"/>
            <w:tcBorders>
              <w:top w:val="nil"/>
              <w:left w:val="nil"/>
              <w:bottom w:val="nil"/>
              <w:right w:val="nil"/>
            </w:tcBorders>
            <w:vAlign w:val="center"/>
          </w:tcPr>
          <w:p w14:paraId="40411020" w14:textId="77777777" w:rsidR="002F3255" w:rsidRPr="0049064A" w:rsidRDefault="002F3255">
            <w:pPr>
              <w:spacing w:before="60" w:after="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Presupuestos básicos provisionales aprobados para 2021-2022</w:t>
            </w:r>
          </w:p>
        </w:tc>
        <w:tc>
          <w:tcPr>
            <w:tcW w:w="257" w:type="dxa"/>
            <w:tcBorders>
              <w:top w:val="nil"/>
              <w:left w:val="nil"/>
              <w:bottom w:val="nil"/>
              <w:right w:val="nil"/>
            </w:tcBorders>
            <w:vAlign w:val="center"/>
          </w:tcPr>
          <w:p w14:paraId="40411021" w14:textId="77777777" w:rsidR="002F3255" w:rsidRPr="0049064A" w:rsidRDefault="002F3255">
            <w:pPr>
              <w:spacing w:before="60" w:after="60"/>
              <w:rPr>
                <w:rFonts w:asciiTheme="minorHAnsi" w:eastAsia="Times New Roman" w:hAnsiTheme="minorHAnsi" w:cstheme="minorHAnsi"/>
                <w:color w:val="000000"/>
                <w:sz w:val="18"/>
                <w:szCs w:val="18"/>
                <w:lang w:val="es-ES"/>
              </w:rPr>
            </w:pPr>
          </w:p>
        </w:tc>
        <w:tc>
          <w:tcPr>
            <w:tcW w:w="2101" w:type="dxa"/>
            <w:tcBorders>
              <w:top w:val="nil"/>
              <w:left w:val="nil"/>
              <w:bottom w:val="nil"/>
              <w:right w:val="nil"/>
            </w:tcBorders>
            <w:vAlign w:val="center"/>
          </w:tcPr>
          <w:p w14:paraId="40411022" w14:textId="77777777" w:rsidR="002F3255" w:rsidRPr="0049064A" w:rsidRDefault="002F3255" w:rsidP="0049064A">
            <w:pPr>
              <w:spacing w:before="60" w:after="60"/>
              <w:jc w:val="right"/>
              <w:rPr>
                <w:rFonts w:asciiTheme="minorHAnsi" w:eastAsia="Times New Roman" w:hAnsiTheme="minorHAnsi" w:cstheme="minorHAnsi"/>
                <w:lang w:val="es-ES"/>
              </w:rPr>
            </w:pPr>
            <w:r w:rsidRPr="0049064A">
              <w:rPr>
                <w:rFonts w:asciiTheme="minorHAnsi" w:eastAsia="Times New Roman" w:hAnsiTheme="minorHAnsi" w:cstheme="minorHAnsi"/>
                <w:sz w:val="18"/>
                <w:szCs w:val="18"/>
                <w:lang w:val="es-ES"/>
              </w:rPr>
              <w:t>35</w:t>
            </w:r>
            <w:r w:rsidR="0049064A" w:rsidRPr="0049064A">
              <w:rPr>
                <w:rFonts w:asciiTheme="minorHAnsi" w:eastAsia="Times New Roman" w:hAnsiTheme="minorHAnsi" w:cstheme="minorHAnsi"/>
                <w:sz w:val="18"/>
                <w:szCs w:val="18"/>
                <w:lang w:val="es-ES"/>
              </w:rPr>
              <w:t> </w:t>
            </w:r>
            <w:r w:rsidRPr="0049064A">
              <w:rPr>
                <w:rFonts w:asciiTheme="minorHAnsi" w:eastAsia="Times New Roman" w:hAnsiTheme="minorHAnsi" w:cstheme="minorHAnsi"/>
                <w:sz w:val="18"/>
                <w:szCs w:val="18"/>
                <w:lang w:val="es-ES"/>
              </w:rPr>
              <w:t xml:space="preserve">212,2   </w:t>
            </w:r>
            <w:proofErr w:type="spellStart"/>
            <w:r w:rsidRPr="0049064A">
              <w:rPr>
                <w:rFonts w:asciiTheme="minorHAnsi" w:eastAsia="Times New Roman" w:hAnsiTheme="minorHAnsi" w:cstheme="minorHAnsi"/>
                <w:sz w:val="16"/>
                <w:szCs w:val="16"/>
                <w:lang w:val="es-ES"/>
              </w:rPr>
              <w:t>b/</w:t>
            </w:r>
            <w:proofErr w:type="spellEnd"/>
          </w:p>
        </w:tc>
      </w:tr>
      <w:tr w:rsidR="002F3255" w:rsidRPr="0049064A" w14:paraId="40411027" w14:textId="77777777" w:rsidTr="0049064A">
        <w:tc>
          <w:tcPr>
            <w:tcW w:w="4871" w:type="dxa"/>
            <w:tcBorders>
              <w:top w:val="nil"/>
              <w:left w:val="nil"/>
              <w:bottom w:val="nil"/>
              <w:right w:val="nil"/>
            </w:tcBorders>
            <w:vAlign w:val="center"/>
          </w:tcPr>
          <w:p w14:paraId="40411024" w14:textId="77777777" w:rsidR="002F3255" w:rsidRPr="0049064A" w:rsidRDefault="002F3255">
            <w:pPr>
              <w:spacing w:before="60" w:after="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Hipótesis de crecimiento real nulo para 2023-2024</w:t>
            </w:r>
          </w:p>
        </w:tc>
        <w:tc>
          <w:tcPr>
            <w:tcW w:w="257" w:type="dxa"/>
            <w:tcBorders>
              <w:top w:val="nil"/>
              <w:left w:val="nil"/>
              <w:bottom w:val="nil"/>
              <w:right w:val="nil"/>
            </w:tcBorders>
            <w:vAlign w:val="center"/>
          </w:tcPr>
          <w:p w14:paraId="40411025" w14:textId="77777777" w:rsidR="002F3255" w:rsidRPr="0049064A" w:rsidRDefault="002F3255">
            <w:pPr>
              <w:spacing w:before="60" w:after="60"/>
              <w:rPr>
                <w:rFonts w:asciiTheme="minorHAnsi" w:eastAsia="Times New Roman" w:hAnsiTheme="minorHAnsi" w:cstheme="minorHAnsi"/>
                <w:color w:val="000000"/>
                <w:sz w:val="18"/>
                <w:szCs w:val="18"/>
                <w:lang w:val="es-ES"/>
              </w:rPr>
            </w:pPr>
          </w:p>
        </w:tc>
        <w:tc>
          <w:tcPr>
            <w:tcW w:w="2101" w:type="dxa"/>
            <w:tcBorders>
              <w:top w:val="nil"/>
              <w:left w:val="nil"/>
              <w:bottom w:val="nil"/>
              <w:right w:val="nil"/>
            </w:tcBorders>
            <w:vAlign w:val="center"/>
          </w:tcPr>
          <w:p w14:paraId="40411026" w14:textId="77777777" w:rsidR="002F3255" w:rsidRPr="0049064A" w:rsidRDefault="002F3255" w:rsidP="0049064A">
            <w:pPr>
              <w:spacing w:before="60" w:after="60"/>
              <w:jc w:val="right"/>
              <w:rPr>
                <w:rFonts w:asciiTheme="minorHAnsi" w:eastAsia="Times New Roman" w:hAnsiTheme="minorHAnsi" w:cstheme="minorHAnsi"/>
                <w:lang w:val="es-ES"/>
              </w:rPr>
            </w:pPr>
            <w:r w:rsidRPr="0049064A">
              <w:rPr>
                <w:rFonts w:asciiTheme="minorHAnsi" w:eastAsia="Times New Roman" w:hAnsiTheme="minorHAnsi" w:cstheme="minorHAnsi"/>
                <w:sz w:val="18"/>
                <w:szCs w:val="18"/>
                <w:lang w:val="es-ES"/>
              </w:rPr>
              <w:t>40</w:t>
            </w:r>
            <w:r w:rsidR="0049064A" w:rsidRPr="0049064A">
              <w:rPr>
                <w:rFonts w:asciiTheme="minorHAnsi" w:eastAsia="Times New Roman" w:hAnsiTheme="minorHAnsi" w:cstheme="minorHAnsi"/>
                <w:sz w:val="18"/>
                <w:szCs w:val="18"/>
                <w:lang w:val="es-ES"/>
              </w:rPr>
              <w:t> </w:t>
            </w:r>
            <w:r w:rsidRPr="0049064A">
              <w:rPr>
                <w:rFonts w:asciiTheme="minorHAnsi" w:eastAsia="Times New Roman" w:hAnsiTheme="minorHAnsi" w:cstheme="minorHAnsi"/>
                <w:sz w:val="18"/>
                <w:szCs w:val="18"/>
                <w:lang w:val="es-ES"/>
              </w:rPr>
              <w:t xml:space="preserve">443,8   </w:t>
            </w:r>
            <w:r w:rsidRPr="0049064A">
              <w:rPr>
                <w:rFonts w:asciiTheme="minorHAnsi" w:eastAsia="Times New Roman" w:hAnsiTheme="minorHAnsi" w:cstheme="minorHAnsi"/>
                <w:sz w:val="16"/>
                <w:szCs w:val="16"/>
                <w:lang w:val="es-ES"/>
              </w:rPr>
              <w:t>c/</w:t>
            </w:r>
          </w:p>
        </w:tc>
      </w:tr>
      <w:tr w:rsidR="002F3255" w:rsidRPr="0049064A" w14:paraId="4041102B" w14:textId="77777777" w:rsidTr="0049064A">
        <w:tc>
          <w:tcPr>
            <w:tcW w:w="4871" w:type="dxa"/>
            <w:tcBorders>
              <w:top w:val="nil"/>
              <w:left w:val="nil"/>
              <w:bottom w:val="single" w:sz="8" w:space="0" w:color="auto"/>
              <w:right w:val="nil"/>
            </w:tcBorders>
            <w:vAlign w:val="center"/>
          </w:tcPr>
          <w:p w14:paraId="40411028" w14:textId="77777777" w:rsidR="002F3255" w:rsidRPr="0049064A" w:rsidRDefault="002F3255">
            <w:pPr>
              <w:spacing w:before="60" w:after="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Hipótesis de crecimiento nominal nulo para 2023-2024</w:t>
            </w:r>
          </w:p>
        </w:tc>
        <w:tc>
          <w:tcPr>
            <w:tcW w:w="257" w:type="dxa"/>
            <w:tcBorders>
              <w:top w:val="nil"/>
              <w:left w:val="nil"/>
              <w:bottom w:val="single" w:sz="8" w:space="0" w:color="auto"/>
              <w:right w:val="nil"/>
            </w:tcBorders>
            <w:vAlign w:val="center"/>
          </w:tcPr>
          <w:p w14:paraId="40411029" w14:textId="77777777" w:rsidR="002F3255" w:rsidRPr="0049064A" w:rsidRDefault="002F3255">
            <w:pPr>
              <w:spacing w:before="60" w:after="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 </w:t>
            </w:r>
          </w:p>
        </w:tc>
        <w:tc>
          <w:tcPr>
            <w:tcW w:w="2101" w:type="dxa"/>
            <w:tcBorders>
              <w:top w:val="nil"/>
              <w:left w:val="nil"/>
              <w:bottom w:val="single" w:sz="8" w:space="0" w:color="auto"/>
              <w:right w:val="nil"/>
            </w:tcBorders>
            <w:vAlign w:val="center"/>
          </w:tcPr>
          <w:p w14:paraId="4041102A" w14:textId="77777777" w:rsidR="002F3255" w:rsidRPr="0049064A" w:rsidRDefault="002F3255" w:rsidP="0049064A">
            <w:pPr>
              <w:spacing w:before="60" w:after="60"/>
              <w:jc w:val="right"/>
              <w:rPr>
                <w:rFonts w:asciiTheme="minorHAnsi" w:eastAsia="Times New Roman" w:hAnsiTheme="minorHAnsi" w:cstheme="minorHAnsi"/>
                <w:lang w:val="es-ES"/>
              </w:rPr>
            </w:pPr>
            <w:r w:rsidRPr="0049064A">
              <w:rPr>
                <w:rFonts w:asciiTheme="minorHAnsi" w:eastAsia="Times New Roman" w:hAnsiTheme="minorHAnsi" w:cstheme="minorHAnsi"/>
                <w:sz w:val="18"/>
                <w:szCs w:val="18"/>
                <w:lang w:val="es-ES"/>
              </w:rPr>
              <w:t>37</w:t>
            </w:r>
            <w:r w:rsidR="0049064A" w:rsidRPr="0049064A">
              <w:rPr>
                <w:rFonts w:asciiTheme="minorHAnsi" w:eastAsia="Times New Roman" w:hAnsiTheme="minorHAnsi" w:cstheme="minorHAnsi"/>
                <w:sz w:val="18"/>
                <w:szCs w:val="18"/>
                <w:lang w:val="es-ES"/>
              </w:rPr>
              <w:t> </w:t>
            </w:r>
            <w:r w:rsidRPr="0049064A">
              <w:rPr>
                <w:rFonts w:asciiTheme="minorHAnsi" w:eastAsia="Times New Roman" w:hAnsiTheme="minorHAnsi" w:cstheme="minorHAnsi"/>
                <w:sz w:val="18"/>
                <w:szCs w:val="18"/>
                <w:lang w:val="es-ES"/>
              </w:rPr>
              <w:t xml:space="preserve">181,2   </w:t>
            </w:r>
            <w:r w:rsidRPr="0049064A">
              <w:rPr>
                <w:rFonts w:asciiTheme="minorHAnsi" w:eastAsia="Times New Roman" w:hAnsiTheme="minorHAnsi" w:cstheme="minorHAnsi"/>
                <w:sz w:val="16"/>
                <w:szCs w:val="16"/>
                <w:lang w:val="es-ES"/>
              </w:rPr>
              <w:t>d/</w:t>
            </w:r>
          </w:p>
        </w:tc>
      </w:tr>
      <w:tr w:rsidR="002F3255" w:rsidRPr="006A6E89" w14:paraId="4041102D" w14:textId="77777777" w:rsidTr="0049064A">
        <w:tc>
          <w:tcPr>
            <w:tcW w:w="7229" w:type="dxa"/>
            <w:gridSpan w:val="3"/>
            <w:tcBorders>
              <w:top w:val="single" w:sz="8" w:space="0" w:color="auto"/>
              <w:left w:val="nil"/>
              <w:bottom w:val="nil"/>
              <w:right w:val="nil"/>
            </w:tcBorders>
            <w:vAlign w:val="center"/>
          </w:tcPr>
          <w:p w14:paraId="4041102C" w14:textId="77777777" w:rsidR="002F3255" w:rsidRPr="0049064A" w:rsidRDefault="002F3255" w:rsidP="0012505C">
            <w:pPr>
              <w:rPr>
                <w:rFonts w:asciiTheme="minorHAnsi" w:eastAsia="Times New Roman" w:hAnsiTheme="minorHAnsi" w:cstheme="minorHAnsi"/>
                <w:lang w:val="es-ES"/>
              </w:rPr>
            </w:pPr>
            <w:r w:rsidRPr="0049064A">
              <w:rPr>
                <w:rFonts w:asciiTheme="minorHAnsi" w:eastAsia="Times New Roman" w:hAnsiTheme="minorHAnsi" w:cstheme="minorHAnsi"/>
                <w:color w:val="000000"/>
                <w:sz w:val="16"/>
                <w:szCs w:val="16"/>
                <w:lang w:val="es-ES"/>
              </w:rPr>
              <w:t>a/ Incluye 1</w:t>
            </w:r>
            <w:r w:rsidR="0012505C">
              <w:rPr>
                <w:rFonts w:asciiTheme="minorHAnsi" w:eastAsia="Times New Roman" w:hAnsiTheme="minorHAnsi" w:cstheme="minorHAnsi"/>
                <w:color w:val="000000"/>
                <w:sz w:val="16"/>
                <w:szCs w:val="16"/>
                <w:lang w:val="es-ES"/>
              </w:rPr>
              <w:t> </w:t>
            </w:r>
            <w:r w:rsidRPr="0049064A">
              <w:rPr>
                <w:rFonts w:asciiTheme="minorHAnsi" w:eastAsia="Times New Roman" w:hAnsiTheme="minorHAnsi" w:cstheme="minorHAnsi"/>
                <w:color w:val="000000"/>
                <w:sz w:val="16"/>
                <w:szCs w:val="16"/>
                <w:lang w:val="es-ES"/>
              </w:rPr>
              <w:t>310</w:t>
            </w:r>
            <w:r w:rsidR="0012505C">
              <w:rPr>
                <w:rFonts w:asciiTheme="minorHAnsi" w:eastAsia="Times New Roman" w:hAnsiTheme="minorHAnsi" w:cstheme="minorHAnsi"/>
                <w:color w:val="000000"/>
                <w:sz w:val="16"/>
                <w:szCs w:val="16"/>
                <w:lang w:val="es-ES"/>
              </w:rPr>
              <w:t> </w:t>
            </w:r>
            <w:r w:rsidRPr="0049064A">
              <w:rPr>
                <w:rFonts w:asciiTheme="minorHAnsi" w:eastAsia="Times New Roman" w:hAnsiTheme="minorHAnsi" w:cstheme="minorHAnsi"/>
                <w:color w:val="000000"/>
                <w:sz w:val="16"/>
                <w:szCs w:val="16"/>
                <w:lang w:val="es-ES"/>
              </w:rPr>
              <w:t>000</w:t>
            </w:r>
            <w:r w:rsidR="0012505C">
              <w:rPr>
                <w:rFonts w:asciiTheme="minorHAnsi" w:eastAsia="Times New Roman" w:hAnsiTheme="minorHAnsi" w:cstheme="minorHAnsi"/>
                <w:color w:val="000000"/>
                <w:sz w:val="16"/>
                <w:szCs w:val="16"/>
                <w:lang w:val="es-ES"/>
              </w:rPr>
              <w:t> </w:t>
            </w:r>
            <w:r w:rsidRPr="0049064A">
              <w:rPr>
                <w:rFonts w:asciiTheme="minorHAnsi" w:eastAsia="Times New Roman" w:hAnsiTheme="minorHAnsi" w:cstheme="minorHAnsi"/>
                <w:color w:val="000000"/>
                <w:sz w:val="16"/>
                <w:szCs w:val="16"/>
                <w:lang w:val="es-ES"/>
              </w:rPr>
              <w:t>dólares para las reuniones extraordinarias sobre el marco mundial de la diversidad biológica posterior a 2020 conforme a la decisión 14/37</w:t>
            </w:r>
            <w:r w:rsidR="0049064A" w:rsidRPr="0049064A">
              <w:rPr>
                <w:rFonts w:asciiTheme="minorHAnsi" w:eastAsia="Times New Roman" w:hAnsiTheme="minorHAnsi" w:cstheme="minorHAnsi"/>
                <w:color w:val="000000"/>
                <w:sz w:val="16"/>
                <w:szCs w:val="16"/>
                <w:lang w:val="es-ES"/>
              </w:rPr>
              <w:t>.</w:t>
            </w:r>
          </w:p>
        </w:tc>
      </w:tr>
      <w:tr w:rsidR="002F3255" w:rsidRPr="006A6E89" w14:paraId="4041102F" w14:textId="77777777" w:rsidTr="0049064A">
        <w:tc>
          <w:tcPr>
            <w:tcW w:w="7229" w:type="dxa"/>
            <w:gridSpan w:val="3"/>
            <w:tcBorders>
              <w:top w:val="nil"/>
              <w:left w:val="nil"/>
              <w:bottom w:val="nil"/>
              <w:right w:val="nil"/>
            </w:tcBorders>
            <w:vAlign w:val="center"/>
          </w:tcPr>
          <w:p w14:paraId="4041102E" w14:textId="77777777" w:rsidR="002F3255" w:rsidRPr="0049064A" w:rsidRDefault="002F3255">
            <w:pPr>
              <w:rPr>
                <w:rFonts w:asciiTheme="minorHAnsi" w:eastAsia="Times New Roman" w:hAnsiTheme="minorHAnsi" w:cstheme="minorHAnsi"/>
                <w:lang w:val="es-ES"/>
              </w:rPr>
            </w:pPr>
            <w:proofErr w:type="spellStart"/>
            <w:r w:rsidRPr="0049064A">
              <w:rPr>
                <w:rFonts w:asciiTheme="minorHAnsi" w:eastAsia="Times New Roman" w:hAnsiTheme="minorHAnsi" w:cstheme="minorHAnsi"/>
                <w:color w:val="000000"/>
                <w:sz w:val="16"/>
                <w:szCs w:val="16"/>
                <w:lang w:val="es-ES"/>
              </w:rPr>
              <w:t>b/</w:t>
            </w:r>
            <w:proofErr w:type="spellEnd"/>
            <w:r w:rsidRPr="0049064A">
              <w:rPr>
                <w:rFonts w:asciiTheme="minorHAnsi" w:eastAsia="Times New Roman" w:hAnsiTheme="minorHAnsi" w:cstheme="minorHAnsi"/>
                <w:color w:val="000000"/>
                <w:sz w:val="16"/>
                <w:szCs w:val="16"/>
                <w:lang w:val="es-ES"/>
              </w:rPr>
              <w:t xml:space="preserve"> Presupuestos provisionales para 2021 y 2022 a nivel de mantenimiento para garantizar las operaciones de la SCDB durante la pandemia de COVID-19.</w:t>
            </w:r>
          </w:p>
        </w:tc>
      </w:tr>
      <w:tr w:rsidR="002F3255" w:rsidRPr="006A6E89" w14:paraId="40411031" w14:textId="77777777" w:rsidTr="0049064A">
        <w:tc>
          <w:tcPr>
            <w:tcW w:w="7229" w:type="dxa"/>
            <w:gridSpan w:val="3"/>
            <w:tcBorders>
              <w:top w:val="nil"/>
              <w:left w:val="nil"/>
              <w:bottom w:val="nil"/>
              <w:right w:val="nil"/>
            </w:tcBorders>
            <w:vAlign w:val="center"/>
          </w:tcPr>
          <w:p w14:paraId="40411030" w14:textId="77777777" w:rsidR="002F3255" w:rsidRPr="0049064A" w:rsidRDefault="002F3255">
            <w:pPr>
              <w:rPr>
                <w:rFonts w:asciiTheme="minorHAnsi" w:eastAsia="Times New Roman" w:hAnsiTheme="minorHAnsi" w:cstheme="minorHAnsi"/>
                <w:spacing w:val="-2"/>
                <w:lang w:val="es-ES"/>
              </w:rPr>
            </w:pPr>
            <w:r w:rsidRPr="0049064A">
              <w:rPr>
                <w:rFonts w:asciiTheme="minorHAnsi" w:eastAsia="Times New Roman" w:hAnsiTheme="minorHAnsi" w:cstheme="minorHAnsi"/>
                <w:color w:val="000000"/>
                <w:spacing w:val="-2"/>
                <w:sz w:val="16"/>
                <w:szCs w:val="16"/>
                <w:lang w:val="es-ES"/>
              </w:rPr>
              <w:t>c/ Refleja un aumento del 8 % por encima del presupuesto básico aprobado para 2019-2020 menos el crédito para las reuniones extraordinarias sobre el marco mundial de la diversidad biológica posterior a 2020.</w:t>
            </w:r>
          </w:p>
        </w:tc>
      </w:tr>
      <w:tr w:rsidR="002F3255" w:rsidRPr="006A6E89" w14:paraId="40411033" w14:textId="77777777" w:rsidTr="0049064A">
        <w:tc>
          <w:tcPr>
            <w:tcW w:w="7229" w:type="dxa"/>
            <w:gridSpan w:val="3"/>
            <w:tcBorders>
              <w:top w:val="nil"/>
              <w:left w:val="nil"/>
              <w:bottom w:val="nil"/>
              <w:right w:val="nil"/>
            </w:tcBorders>
            <w:vAlign w:val="center"/>
          </w:tcPr>
          <w:p w14:paraId="40411032" w14:textId="77777777" w:rsidR="002F3255" w:rsidRPr="0049064A" w:rsidRDefault="002F3255">
            <w:pPr>
              <w:rPr>
                <w:rFonts w:asciiTheme="minorHAnsi" w:eastAsia="Times New Roman" w:hAnsiTheme="minorHAnsi" w:cstheme="minorHAnsi"/>
                <w:spacing w:val="-2"/>
                <w:lang w:val="es-ES"/>
              </w:rPr>
            </w:pPr>
            <w:r w:rsidRPr="0049064A">
              <w:rPr>
                <w:rFonts w:asciiTheme="minorHAnsi" w:eastAsia="Times New Roman" w:hAnsiTheme="minorHAnsi" w:cstheme="minorHAnsi"/>
                <w:color w:val="000000"/>
                <w:spacing w:val="-2"/>
                <w:sz w:val="16"/>
                <w:szCs w:val="16"/>
                <w:lang w:val="es-ES"/>
              </w:rPr>
              <w:t>d/ Refleja un aumento del 0 % por encima del presupuesto básico aprobado para 2019-2020 menos el crédito para las reuniones extraordinarias sobre el marco mundial de la diversidad biológica posterior a 2020.</w:t>
            </w:r>
          </w:p>
        </w:tc>
      </w:tr>
    </w:tbl>
    <w:p w14:paraId="40411034" w14:textId="77777777" w:rsidR="002F3255" w:rsidRPr="005978DF" w:rsidRDefault="002F3255" w:rsidP="0049064A">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240" w:line="240" w:lineRule="auto"/>
        <w:ind w:right="1253"/>
        <w:outlineLvl w:val="3"/>
        <w:rPr>
          <w:sz w:val="22"/>
          <w:szCs w:val="22"/>
          <w:lang w:val="es-ES"/>
        </w:rPr>
      </w:pPr>
      <w:r w:rsidRPr="005978DF">
        <w:rPr>
          <w:sz w:val="22"/>
          <w:szCs w:val="22"/>
          <w:lang w:val="es-ES"/>
        </w:rPr>
        <w:t>Cuadro 2. Recursos para puestos aprobados por bienio</w:t>
      </w:r>
    </w:p>
    <w:tbl>
      <w:tblPr>
        <w:tblW w:w="9214" w:type="dxa"/>
        <w:tblLayout w:type="fixed"/>
        <w:tblLook w:val="00A0" w:firstRow="1" w:lastRow="0" w:firstColumn="1" w:lastColumn="0" w:noHBand="0" w:noVBand="0"/>
      </w:tblPr>
      <w:tblGrid>
        <w:gridCol w:w="4018"/>
        <w:gridCol w:w="720"/>
        <w:gridCol w:w="4476"/>
      </w:tblGrid>
      <w:tr w:rsidR="002F3255" w:rsidRPr="0049064A" w14:paraId="40411038" w14:textId="77777777" w:rsidTr="0049064A">
        <w:tc>
          <w:tcPr>
            <w:tcW w:w="4018" w:type="dxa"/>
            <w:tcBorders>
              <w:top w:val="single" w:sz="8" w:space="0" w:color="auto"/>
              <w:left w:val="nil"/>
              <w:bottom w:val="single" w:sz="8" w:space="0" w:color="auto"/>
              <w:right w:val="nil"/>
            </w:tcBorders>
            <w:tcMar>
              <w:left w:w="58" w:type="dxa"/>
              <w:right w:w="29" w:type="dxa"/>
            </w:tcMar>
            <w:vAlign w:val="center"/>
          </w:tcPr>
          <w:p w14:paraId="40411035" w14:textId="77777777" w:rsidR="002F3255" w:rsidRPr="0049064A" w:rsidRDefault="002F3255">
            <w:pPr>
              <w:spacing w:before="60"/>
              <w:rPr>
                <w:rFonts w:asciiTheme="minorHAnsi" w:eastAsia="Times New Roman" w:hAnsiTheme="minorHAnsi" w:cstheme="minorHAnsi"/>
                <w:color w:val="000000"/>
                <w:sz w:val="18"/>
                <w:szCs w:val="18"/>
                <w:lang w:val="es-ES"/>
              </w:rPr>
            </w:pPr>
          </w:p>
        </w:tc>
        <w:tc>
          <w:tcPr>
            <w:tcW w:w="720" w:type="dxa"/>
            <w:tcBorders>
              <w:top w:val="single" w:sz="8" w:space="0" w:color="auto"/>
              <w:left w:val="nil"/>
              <w:bottom w:val="single" w:sz="8" w:space="0" w:color="auto"/>
              <w:right w:val="nil"/>
            </w:tcBorders>
            <w:tcMar>
              <w:left w:w="58" w:type="dxa"/>
              <w:right w:w="58" w:type="dxa"/>
            </w:tcMar>
            <w:vAlign w:val="center"/>
          </w:tcPr>
          <w:p w14:paraId="40411036"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i/>
                <w:iCs/>
                <w:color w:val="000000"/>
                <w:sz w:val="18"/>
                <w:szCs w:val="18"/>
                <w:lang w:val="es-ES"/>
              </w:rPr>
              <w:t>Número</w:t>
            </w:r>
          </w:p>
        </w:tc>
        <w:tc>
          <w:tcPr>
            <w:tcW w:w="4476" w:type="dxa"/>
            <w:tcBorders>
              <w:top w:val="single" w:sz="8" w:space="0" w:color="auto"/>
              <w:left w:val="nil"/>
              <w:bottom w:val="single" w:sz="8" w:space="0" w:color="auto"/>
              <w:right w:val="nil"/>
            </w:tcBorders>
            <w:tcMar>
              <w:left w:w="58" w:type="dxa"/>
              <w:right w:w="29" w:type="dxa"/>
            </w:tcMar>
            <w:vAlign w:val="center"/>
          </w:tcPr>
          <w:p w14:paraId="40411037"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i/>
                <w:iCs/>
                <w:color w:val="000000"/>
                <w:sz w:val="18"/>
                <w:szCs w:val="18"/>
                <w:lang w:val="es-ES"/>
              </w:rPr>
              <w:t>Categoría</w:t>
            </w:r>
          </w:p>
        </w:tc>
      </w:tr>
      <w:tr w:rsidR="002F3255" w:rsidRPr="0049064A" w14:paraId="4041103C" w14:textId="77777777" w:rsidTr="0049064A">
        <w:tc>
          <w:tcPr>
            <w:tcW w:w="4018" w:type="dxa"/>
            <w:tcBorders>
              <w:top w:val="nil"/>
              <w:left w:val="nil"/>
              <w:bottom w:val="nil"/>
              <w:right w:val="nil"/>
            </w:tcBorders>
            <w:tcMar>
              <w:left w:w="29" w:type="dxa"/>
              <w:right w:w="29" w:type="dxa"/>
            </w:tcMar>
            <w:vAlign w:val="center"/>
          </w:tcPr>
          <w:p w14:paraId="40411039"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i/>
                <w:iCs/>
                <w:color w:val="000000"/>
                <w:sz w:val="18"/>
                <w:szCs w:val="18"/>
                <w:lang w:val="es-ES"/>
              </w:rPr>
              <w:t>Presupuesto básico</w:t>
            </w:r>
          </w:p>
        </w:tc>
        <w:tc>
          <w:tcPr>
            <w:tcW w:w="720" w:type="dxa"/>
            <w:tcBorders>
              <w:top w:val="nil"/>
              <w:left w:val="nil"/>
              <w:bottom w:val="nil"/>
              <w:right w:val="nil"/>
            </w:tcBorders>
            <w:tcMar>
              <w:left w:w="58" w:type="dxa"/>
              <w:right w:w="58" w:type="dxa"/>
            </w:tcMar>
            <w:vAlign w:val="center"/>
          </w:tcPr>
          <w:p w14:paraId="4041103A" w14:textId="77777777" w:rsidR="002F3255" w:rsidRPr="0049064A" w:rsidRDefault="002F3255">
            <w:pPr>
              <w:spacing w:before="60"/>
              <w:rPr>
                <w:rFonts w:asciiTheme="minorHAnsi" w:eastAsia="Times New Roman" w:hAnsiTheme="minorHAnsi" w:cstheme="minorHAnsi"/>
                <w:i/>
                <w:iCs/>
                <w:color w:val="000000"/>
                <w:sz w:val="18"/>
                <w:szCs w:val="18"/>
                <w:lang w:val="es-ES"/>
              </w:rPr>
            </w:pPr>
          </w:p>
        </w:tc>
        <w:tc>
          <w:tcPr>
            <w:tcW w:w="4476" w:type="dxa"/>
            <w:tcBorders>
              <w:top w:val="single" w:sz="8" w:space="0" w:color="auto"/>
              <w:left w:val="nil"/>
              <w:bottom w:val="nil"/>
              <w:right w:val="nil"/>
            </w:tcBorders>
            <w:tcMar>
              <w:left w:w="58" w:type="dxa"/>
              <w:right w:w="29" w:type="dxa"/>
            </w:tcMar>
            <w:vAlign w:val="center"/>
          </w:tcPr>
          <w:p w14:paraId="4041103B" w14:textId="77777777" w:rsidR="002F3255" w:rsidRPr="0049064A" w:rsidRDefault="002F3255">
            <w:pPr>
              <w:spacing w:before="60"/>
              <w:rPr>
                <w:rFonts w:asciiTheme="minorHAnsi" w:eastAsia="Times New Roman" w:hAnsiTheme="minorHAnsi" w:cstheme="minorHAnsi"/>
                <w:color w:val="000000"/>
                <w:sz w:val="18"/>
                <w:szCs w:val="18"/>
                <w:lang w:val="es-ES"/>
              </w:rPr>
            </w:pPr>
          </w:p>
        </w:tc>
      </w:tr>
      <w:tr w:rsidR="002F3255" w:rsidRPr="0049064A" w14:paraId="40411040" w14:textId="77777777" w:rsidTr="0049064A">
        <w:tc>
          <w:tcPr>
            <w:tcW w:w="4018" w:type="dxa"/>
            <w:tcBorders>
              <w:top w:val="nil"/>
              <w:left w:val="nil"/>
              <w:bottom w:val="nil"/>
              <w:right w:val="nil"/>
            </w:tcBorders>
            <w:tcMar>
              <w:left w:w="29" w:type="dxa"/>
              <w:right w:w="29" w:type="dxa"/>
            </w:tcMar>
            <w:vAlign w:val="center"/>
          </w:tcPr>
          <w:p w14:paraId="4041103D"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Aprobado para el bienio 2019-2020</w:t>
            </w:r>
          </w:p>
        </w:tc>
        <w:tc>
          <w:tcPr>
            <w:tcW w:w="720" w:type="dxa"/>
            <w:tcBorders>
              <w:top w:val="nil"/>
              <w:left w:val="nil"/>
              <w:bottom w:val="nil"/>
              <w:right w:val="nil"/>
            </w:tcBorders>
            <w:tcMar>
              <w:left w:w="58" w:type="dxa"/>
              <w:right w:w="58" w:type="dxa"/>
            </w:tcMar>
            <w:vAlign w:val="center"/>
          </w:tcPr>
          <w:p w14:paraId="4041103E" w14:textId="77777777" w:rsidR="002F3255" w:rsidRPr="0049064A" w:rsidRDefault="002F3255">
            <w:pPr>
              <w:spacing w:before="60"/>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78</w:t>
            </w:r>
          </w:p>
        </w:tc>
        <w:tc>
          <w:tcPr>
            <w:tcW w:w="4476" w:type="dxa"/>
            <w:tcBorders>
              <w:top w:val="nil"/>
              <w:left w:val="nil"/>
              <w:bottom w:val="nil"/>
              <w:right w:val="nil"/>
            </w:tcBorders>
            <w:tcMar>
              <w:left w:w="58" w:type="dxa"/>
              <w:right w:w="29" w:type="dxa"/>
            </w:tcMar>
            <w:vAlign w:val="center"/>
          </w:tcPr>
          <w:p w14:paraId="4041103F" w14:textId="77777777" w:rsidR="002F3255" w:rsidRPr="006A6E89" w:rsidRDefault="002F3255">
            <w:pPr>
              <w:spacing w:before="60"/>
              <w:rPr>
                <w:rFonts w:asciiTheme="minorHAnsi" w:eastAsia="Times New Roman" w:hAnsiTheme="minorHAnsi" w:cstheme="minorHAnsi"/>
                <w:lang w:val="en-US"/>
              </w:rPr>
            </w:pPr>
            <w:r w:rsidRPr="006A6E89">
              <w:rPr>
                <w:rFonts w:asciiTheme="minorHAnsi" w:eastAsia="Times New Roman" w:hAnsiTheme="minorHAnsi" w:cstheme="minorHAnsi"/>
                <w:color w:val="000000"/>
                <w:sz w:val="18"/>
                <w:szCs w:val="18"/>
                <w:lang w:val="en-US"/>
              </w:rPr>
              <w:t>1 SSG, 3 D-1, 10 P-5, 12 P-4, 14 P-3, 9 P-2/1, 29 SG</w:t>
            </w:r>
          </w:p>
        </w:tc>
      </w:tr>
      <w:tr w:rsidR="002F3255" w:rsidRPr="0049064A" w14:paraId="40411044" w14:textId="77777777" w:rsidTr="0049064A">
        <w:tc>
          <w:tcPr>
            <w:tcW w:w="4018" w:type="dxa"/>
            <w:tcBorders>
              <w:top w:val="nil"/>
              <w:left w:val="nil"/>
              <w:bottom w:val="nil"/>
              <w:right w:val="nil"/>
            </w:tcBorders>
            <w:tcMar>
              <w:left w:w="29" w:type="dxa"/>
              <w:right w:w="29" w:type="dxa"/>
            </w:tcMar>
            <w:vAlign w:val="center"/>
          </w:tcPr>
          <w:p w14:paraId="40411041"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Aprobado para el bienio 2021-2022</w:t>
            </w:r>
          </w:p>
        </w:tc>
        <w:tc>
          <w:tcPr>
            <w:tcW w:w="720" w:type="dxa"/>
            <w:tcBorders>
              <w:top w:val="nil"/>
              <w:left w:val="nil"/>
              <w:bottom w:val="nil"/>
              <w:right w:val="nil"/>
            </w:tcBorders>
            <w:tcMar>
              <w:left w:w="58" w:type="dxa"/>
              <w:right w:w="58" w:type="dxa"/>
            </w:tcMar>
            <w:vAlign w:val="center"/>
          </w:tcPr>
          <w:p w14:paraId="40411042" w14:textId="77777777" w:rsidR="002F3255" w:rsidRPr="0049064A" w:rsidRDefault="002F3255">
            <w:pPr>
              <w:spacing w:before="60"/>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78</w:t>
            </w:r>
          </w:p>
        </w:tc>
        <w:tc>
          <w:tcPr>
            <w:tcW w:w="4476" w:type="dxa"/>
            <w:tcBorders>
              <w:top w:val="nil"/>
              <w:left w:val="nil"/>
              <w:bottom w:val="nil"/>
              <w:right w:val="nil"/>
            </w:tcBorders>
            <w:tcMar>
              <w:left w:w="58" w:type="dxa"/>
              <w:right w:w="29" w:type="dxa"/>
            </w:tcMar>
            <w:vAlign w:val="center"/>
          </w:tcPr>
          <w:p w14:paraId="40411043" w14:textId="77777777" w:rsidR="002F3255" w:rsidRPr="006A6E89" w:rsidRDefault="002F3255">
            <w:pPr>
              <w:spacing w:before="60"/>
              <w:rPr>
                <w:rFonts w:asciiTheme="minorHAnsi" w:eastAsia="Times New Roman" w:hAnsiTheme="minorHAnsi" w:cstheme="minorHAnsi"/>
                <w:lang w:val="en-US"/>
              </w:rPr>
            </w:pPr>
            <w:r w:rsidRPr="006A6E89">
              <w:rPr>
                <w:rFonts w:asciiTheme="minorHAnsi" w:eastAsia="Times New Roman" w:hAnsiTheme="minorHAnsi" w:cstheme="minorHAnsi"/>
                <w:color w:val="000000"/>
                <w:sz w:val="18"/>
                <w:szCs w:val="18"/>
                <w:lang w:val="en-US"/>
              </w:rPr>
              <w:t>1 SSG, 3 D-1, 10 P-5, 13 P-4, 13 P-3, 9 P-2/1, 29 SG</w:t>
            </w:r>
          </w:p>
        </w:tc>
      </w:tr>
      <w:tr w:rsidR="002F3255" w:rsidRPr="0049064A" w14:paraId="40411048" w14:textId="77777777" w:rsidTr="0049064A">
        <w:tc>
          <w:tcPr>
            <w:tcW w:w="4018" w:type="dxa"/>
            <w:tcBorders>
              <w:top w:val="nil"/>
              <w:left w:val="nil"/>
              <w:bottom w:val="nil"/>
              <w:right w:val="nil"/>
            </w:tcBorders>
            <w:tcMar>
              <w:left w:w="29" w:type="dxa"/>
              <w:right w:w="29" w:type="dxa"/>
            </w:tcMar>
            <w:vAlign w:val="center"/>
          </w:tcPr>
          <w:p w14:paraId="40411045"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 xml:space="preserve">Hipótesis de crecimiento real nulo para 2023-2024 </w:t>
            </w:r>
          </w:p>
        </w:tc>
        <w:tc>
          <w:tcPr>
            <w:tcW w:w="720" w:type="dxa"/>
            <w:tcBorders>
              <w:top w:val="nil"/>
              <w:left w:val="nil"/>
              <w:bottom w:val="nil"/>
              <w:right w:val="nil"/>
            </w:tcBorders>
            <w:tcMar>
              <w:left w:w="58" w:type="dxa"/>
              <w:right w:w="58" w:type="dxa"/>
            </w:tcMar>
            <w:vAlign w:val="center"/>
          </w:tcPr>
          <w:p w14:paraId="40411046"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sz w:val="18"/>
                <w:szCs w:val="18"/>
                <w:lang w:val="es-ES"/>
              </w:rPr>
              <w:t xml:space="preserve">86 </w:t>
            </w:r>
            <w:r w:rsidRPr="0049064A">
              <w:rPr>
                <w:rFonts w:asciiTheme="minorHAnsi" w:eastAsia="Times New Roman" w:hAnsiTheme="minorHAnsi" w:cstheme="minorHAnsi"/>
                <w:sz w:val="16"/>
                <w:szCs w:val="16"/>
                <w:lang w:val="es-ES"/>
              </w:rPr>
              <w:t>a/</w:t>
            </w:r>
          </w:p>
        </w:tc>
        <w:tc>
          <w:tcPr>
            <w:tcW w:w="4476" w:type="dxa"/>
            <w:tcBorders>
              <w:top w:val="nil"/>
              <w:left w:val="nil"/>
              <w:bottom w:val="nil"/>
              <w:right w:val="nil"/>
            </w:tcBorders>
            <w:tcMar>
              <w:left w:w="58" w:type="dxa"/>
              <w:right w:w="29" w:type="dxa"/>
            </w:tcMar>
            <w:vAlign w:val="center"/>
          </w:tcPr>
          <w:p w14:paraId="40411047" w14:textId="77777777" w:rsidR="002F3255" w:rsidRPr="006A6E89" w:rsidRDefault="002F3255">
            <w:pPr>
              <w:spacing w:before="60"/>
              <w:rPr>
                <w:rFonts w:asciiTheme="minorHAnsi" w:eastAsia="Times New Roman" w:hAnsiTheme="minorHAnsi" w:cstheme="minorHAnsi"/>
                <w:lang w:val="en-US"/>
              </w:rPr>
            </w:pPr>
            <w:r w:rsidRPr="006A6E89">
              <w:rPr>
                <w:rFonts w:asciiTheme="minorHAnsi" w:eastAsia="Times New Roman" w:hAnsiTheme="minorHAnsi" w:cstheme="minorHAnsi"/>
                <w:color w:val="000000"/>
                <w:sz w:val="18"/>
                <w:szCs w:val="18"/>
                <w:lang w:val="en-US"/>
              </w:rPr>
              <w:t>1 SSG, 1 D-2, 2 D-1, 10 P-5, 17 P-4, 17 P-3, 9 P-2/1, 29 SG</w:t>
            </w:r>
          </w:p>
        </w:tc>
      </w:tr>
      <w:tr w:rsidR="002F3255" w:rsidRPr="0049064A" w14:paraId="4041104C" w14:textId="77777777" w:rsidTr="0049064A">
        <w:tc>
          <w:tcPr>
            <w:tcW w:w="4018" w:type="dxa"/>
            <w:tcBorders>
              <w:top w:val="nil"/>
              <w:left w:val="nil"/>
              <w:bottom w:val="single" w:sz="8" w:space="0" w:color="auto"/>
              <w:right w:val="nil"/>
            </w:tcBorders>
            <w:tcMar>
              <w:left w:w="29" w:type="dxa"/>
              <w:right w:w="29" w:type="dxa"/>
            </w:tcMar>
            <w:vAlign w:val="center"/>
          </w:tcPr>
          <w:p w14:paraId="40411049" w14:textId="77777777" w:rsidR="002F3255" w:rsidRPr="0049064A" w:rsidRDefault="002F3255">
            <w:pPr>
              <w:spacing w:before="60"/>
              <w:rPr>
                <w:rFonts w:asciiTheme="minorHAnsi" w:eastAsia="Times New Roman" w:hAnsiTheme="minorHAnsi" w:cstheme="minorHAnsi"/>
                <w:spacing w:val="-2"/>
                <w:lang w:val="es-ES"/>
              </w:rPr>
            </w:pPr>
            <w:r w:rsidRPr="0049064A">
              <w:rPr>
                <w:rFonts w:asciiTheme="minorHAnsi" w:eastAsia="Times New Roman" w:hAnsiTheme="minorHAnsi" w:cstheme="minorHAnsi"/>
                <w:color w:val="000000"/>
                <w:spacing w:val="-2"/>
                <w:sz w:val="18"/>
                <w:szCs w:val="18"/>
                <w:lang w:val="es-ES"/>
              </w:rPr>
              <w:t xml:space="preserve">Hipótesis de crecimiento nominal nulo para 2023-2024 </w:t>
            </w:r>
          </w:p>
        </w:tc>
        <w:tc>
          <w:tcPr>
            <w:tcW w:w="720" w:type="dxa"/>
            <w:tcBorders>
              <w:top w:val="nil"/>
              <w:left w:val="nil"/>
              <w:bottom w:val="single" w:sz="8" w:space="0" w:color="auto"/>
              <w:right w:val="nil"/>
            </w:tcBorders>
            <w:tcMar>
              <w:left w:w="58" w:type="dxa"/>
              <w:right w:w="58" w:type="dxa"/>
            </w:tcMar>
            <w:vAlign w:val="center"/>
          </w:tcPr>
          <w:p w14:paraId="4041104A" w14:textId="77777777" w:rsidR="002F3255" w:rsidRPr="0049064A" w:rsidRDefault="002F3255">
            <w:pPr>
              <w:spacing w:before="60"/>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 xml:space="preserve">78   </w:t>
            </w:r>
            <w:proofErr w:type="spellStart"/>
            <w:r w:rsidRPr="0049064A">
              <w:rPr>
                <w:rFonts w:asciiTheme="minorHAnsi" w:eastAsia="Times New Roman" w:hAnsiTheme="minorHAnsi" w:cstheme="minorHAnsi"/>
                <w:color w:val="000000"/>
                <w:sz w:val="16"/>
                <w:szCs w:val="16"/>
                <w:lang w:val="es-ES"/>
              </w:rPr>
              <w:t>b/</w:t>
            </w:r>
            <w:proofErr w:type="spellEnd"/>
          </w:p>
        </w:tc>
        <w:tc>
          <w:tcPr>
            <w:tcW w:w="4476" w:type="dxa"/>
            <w:tcBorders>
              <w:top w:val="nil"/>
              <w:left w:val="nil"/>
              <w:bottom w:val="single" w:sz="8" w:space="0" w:color="auto"/>
              <w:right w:val="nil"/>
            </w:tcBorders>
            <w:tcMar>
              <w:left w:w="58" w:type="dxa"/>
              <w:right w:w="29" w:type="dxa"/>
            </w:tcMar>
            <w:vAlign w:val="center"/>
          </w:tcPr>
          <w:p w14:paraId="4041104B" w14:textId="77777777" w:rsidR="002F3255" w:rsidRPr="006A6E89" w:rsidRDefault="002F3255">
            <w:pPr>
              <w:spacing w:before="60"/>
              <w:rPr>
                <w:rFonts w:asciiTheme="minorHAnsi" w:eastAsia="Times New Roman" w:hAnsiTheme="minorHAnsi" w:cstheme="minorHAnsi"/>
                <w:lang w:val="en-US"/>
              </w:rPr>
            </w:pPr>
            <w:r w:rsidRPr="006A6E89">
              <w:rPr>
                <w:rFonts w:asciiTheme="minorHAnsi" w:eastAsia="Times New Roman" w:hAnsiTheme="minorHAnsi" w:cstheme="minorHAnsi"/>
                <w:color w:val="000000"/>
                <w:sz w:val="18"/>
                <w:szCs w:val="18"/>
                <w:lang w:val="en-US"/>
              </w:rPr>
              <w:t>1 SSG, 1 D-2, 2 D-1, 10 P-5, 13 P-4, 13 P-3, 9 P-2/1, 29 SG</w:t>
            </w:r>
          </w:p>
        </w:tc>
      </w:tr>
    </w:tbl>
    <w:p w14:paraId="4041104D" w14:textId="77777777" w:rsidR="002F3255" w:rsidRPr="0049064A" w:rsidRDefault="002F3255">
      <w:pPr>
        <w:pStyle w:val="ListParagraph"/>
        <w:ind w:left="567"/>
        <w:rPr>
          <w:rFonts w:asciiTheme="minorHAnsi" w:eastAsia="Times New Roman" w:hAnsiTheme="minorHAnsi" w:cstheme="minorHAnsi"/>
          <w:lang w:val="es-ES"/>
        </w:rPr>
      </w:pPr>
      <w:bookmarkStart w:id="4" w:name="_Hlk528171124"/>
      <w:r w:rsidRPr="0049064A">
        <w:rPr>
          <w:rFonts w:asciiTheme="minorHAnsi" w:eastAsia="Times New Roman" w:hAnsiTheme="minorHAnsi" w:cstheme="minorHAnsi"/>
          <w:sz w:val="16"/>
          <w:szCs w:val="16"/>
          <w:lang w:val="es-ES"/>
        </w:rPr>
        <w:t>a/ Ocho puestos nuevos solicitados, a saber: 4 P-4, 4 P-3 y un aumento de categoría de D-1 a D-2</w:t>
      </w:r>
      <w:r w:rsidR="0012505C">
        <w:rPr>
          <w:rFonts w:asciiTheme="minorHAnsi" w:eastAsia="Times New Roman" w:hAnsiTheme="minorHAnsi" w:cstheme="minorHAnsi"/>
          <w:sz w:val="16"/>
          <w:szCs w:val="16"/>
          <w:lang w:val="es-ES"/>
        </w:rPr>
        <w:t>.</w:t>
      </w:r>
    </w:p>
    <w:bookmarkEnd w:id="4"/>
    <w:p w14:paraId="4041104E" w14:textId="77777777" w:rsidR="002F3255" w:rsidRPr="0049064A" w:rsidRDefault="002F3255">
      <w:pPr>
        <w:pStyle w:val="ListParagraph"/>
        <w:spacing w:after="240"/>
        <w:ind w:left="567"/>
        <w:rPr>
          <w:rFonts w:asciiTheme="minorHAnsi" w:eastAsia="Times New Roman" w:hAnsiTheme="minorHAnsi" w:cstheme="minorHAnsi"/>
          <w:lang w:val="es-ES"/>
        </w:rPr>
      </w:pPr>
      <w:proofErr w:type="spellStart"/>
      <w:r w:rsidRPr="0049064A">
        <w:rPr>
          <w:rFonts w:asciiTheme="minorHAnsi" w:eastAsia="Times New Roman" w:hAnsiTheme="minorHAnsi" w:cstheme="minorHAnsi"/>
          <w:sz w:val="16"/>
          <w:szCs w:val="16"/>
          <w:lang w:val="es-ES"/>
        </w:rPr>
        <w:t>b/</w:t>
      </w:r>
      <w:proofErr w:type="spellEnd"/>
      <w:r w:rsidRPr="0049064A">
        <w:rPr>
          <w:rFonts w:asciiTheme="minorHAnsi" w:eastAsia="Times New Roman" w:hAnsiTheme="minorHAnsi" w:cstheme="minorHAnsi"/>
          <w:sz w:val="16"/>
          <w:szCs w:val="16"/>
          <w:lang w:val="es-ES"/>
        </w:rPr>
        <w:tab/>
        <w:t>Aumento de categoría de D-1 a D-2</w:t>
      </w:r>
      <w:r w:rsidR="0012505C">
        <w:rPr>
          <w:rFonts w:asciiTheme="minorHAnsi" w:eastAsia="Times New Roman" w:hAnsiTheme="minorHAnsi" w:cstheme="minorHAnsi"/>
          <w:sz w:val="16"/>
          <w:szCs w:val="16"/>
          <w:lang w:val="es-ES"/>
        </w:rPr>
        <w:t>.</w:t>
      </w:r>
    </w:p>
    <w:p w14:paraId="4041104F"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kern w:val="22"/>
          <w:sz w:val="22"/>
          <w:szCs w:val="22"/>
          <w:lang w:val="es-ES"/>
        </w:rPr>
        <w:t>El proyecto se basa en la relación de participación en la financiación de los gastos entre el Convenio y los Protocolos de Cartagena y de Nagoya en una relación prorrateada de 72 </w:t>
      </w:r>
      <w:proofErr w:type="gramStart"/>
      <w:r w:rsidRPr="005978DF">
        <w:rPr>
          <w:rFonts w:eastAsia="Times New Roman"/>
          <w:kern w:val="22"/>
          <w:sz w:val="22"/>
          <w:szCs w:val="22"/>
          <w:lang w:val="es-ES"/>
        </w:rPr>
        <w:t>% :</w:t>
      </w:r>
      <w:proofErr w:type="gramEnd"/>
      <w:r w:rsidRPr="005978DF">
        <w:rPr>
          <w:rFonts w:eastAsia="Times New Roman"/>
          <w:kern w:val="22"/>
          <w:sz w:val="22"/>
          <w:szCs w:val="22"/>
          <w:lang w:val="es-ES"/>
        </w:rPr>
        <w:t> 15 % : 13 % respectivamente, conforme a la integración de los procesos y las funciones de la Secr</w:t>
      </w:r>
      <w:r w:rsidR="0012505C">
        <w:rPr>
          <w:rFonts w:eastAsia="Times New Roman"/>
          <w:kern w:val="22"/>
          <w:sz w:val="22"/>
          <w:szCs w:val="22"/>
          <w:lang w:val="es-ES"/>
        </w:rPr>
        <w:t>etaría realizada en el marco de</w:t>
      </w:r>
      <w:r w:rsidRPr="005978DF">
        <w:rPr>
          <w:rFonts w:eastAsia="Times New Roman"/>
          <w:kern w:val="22"/>
          <w:sz w:val="22"/>
          <w:szCs w:val="22"/>
          <w:lang w:val="es-ES"/>
        </w:rPr>
        <w:t>l</w:t>
      </w:r>
      <w:r w:rsidR="0012505C">
        <w:rPr>
          <w:rFonts w:eastAsia="Times New Roman"/>
          <w:kern w:val="22"/>
          <w:sz w:val="22"/>
          <w:szCs w:val="22"/>
          <w:lang w:val="es-ES"/>
        </w:rPr>
        <w:t xml:space="preserve"> ex</w:t>
      </w:r>
      <w:r w:rsidRPr="005978DF">
        <w:rPr>
          <w:rFonts w:eastAsia="Times New Roman"/>
          <w:kern w:val="22"/>
          <w:sz w:val="22"/>
          <w:szCs w:val="22"/>
          <w:lang w:val="es-ES"/>
        </w:rPr>
        <w:t>a</w:t>
      </w:r>
      <w:r w:rsidR="0012505C">
        <w:rPr>
          <w:rFonts w:eastAsia="Times New Roman"/>
          <w:kern w:val="22"/>
          <w:sz w:val="22"/>
          <w:szCs w:val="22"/>
          <w:lang w:val="es-ES"/>
        </w:rPr>
        <w:t>m</w:t>
      </w:r>
      <w:r w:rsidRPr="005978DF">
        <w:rPr>
          <w:rFonts w:eastAsia="Times New Roman"/>
          <w:kern w:val="22"/>
          <w:sz w:val="22"/>
          <w:szCs w:val="22"/>
          <w:lang w:val="es-ES"/>
        </w:rPr>
        <w:t>e</w:t>
      </w:r>
      <w:r w:rsidR="0012505C">
        <w:rPr>
          <w:rFonts w:eastAsia="Times New Roman"/>
          <w:kern w:val="22"/>
          <w:sz w:val="22"/>
          <w:szCs w:val="22"/>
          <w:lang w:val="es-ES"/>
        </w:rPr>
        <w:t>n del funcionamiento y se calcula</w:t>
      </w:r>
      <w:r w:rsidRPr="005978DF">
        <w:rPr>
          <w:rFonts w:eastAsia="Times New Roman"/>
          <w:kern w:val="22"/>
          <w:sz w:val="22"/>
          <w:szCs w:val="22"/>
          <w:lang w:val="es-ES"/>
        </w:rPr>
        <w:t xml:space="preserve"> de acuerdo con la escala de cuotas de las Naciones Unidas. Esta relación contempla un aumento en la proporción asignada al Protocolo de Nagoya (del 11 al 13 %) en consonancia con el aumento en el número de Partes en el Protocolo, que </w:t>
      </w:r>
      <w:r w:rsidR="0012505C" w:rsidRPr="005978DF">
        <w:rPr>
          <w:rFonts w:eastAsia="Times New Roman"/>
          <w:kern w:val="22"/>
          <w:sz w:val="22"/>
          <w:szCs w:val="22"/>
          <w:lang w:val="es-ES"/>
        </w:rPr>
        <w:t>en 2022</w:t>
      </w:r>
      <w:r w:rsidR="0012505C">
        <w:rPr>
          <w:rFonts w:eastAsia="Times New Roman"/>
          <w:kern w:val="22"/>
          <w:sz w:val="22"/>
          <w:szCs w:val="22"/>
          <w:lang w:val="es-ES"/>
        </w:rPr>
        <w:t xml:space="preserve"> </w:t>
      </w:r>
      <w:r w:rsidR="0049064A">
        <w:rPr>
          <w:rFonts w:eastAsia="Times New Roman"/>
          <w:kern w:val="22"/>
          <w:sz w:val="22"/>
          <w:szCs w:val="22"/>
          <w:lang w:val="es-ES"/>
        </w:rPr>
        <w:t>llegó a</w:t>
      </w:r>
      <w:r w:rsidRPr="005978DF">
        <w:rPr>
          <w:rFonts w:eastAsia="Times New Roman"/>
          <w:kern w:val="22"/>
          <w:sz w:val="22"/>
          <w:szCs w:val="22"/>
          <w:lang w:val="es-ES"/>
        </w:rPr>
        <w:t xml:space="preserve"> las 138.</w:t>
      </w:r>
    </w:p>
    <w:p w14:paraId="40411050"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el cuadro 3 se brinda una sinopsis de los recursos financieros por componentes.</w:t>
      </w:r>
    </w:p>
    <w:p w14:paraId="40411051"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lastRenderedPageBreak/>
        <w:t xml:space="preserve">De conformidad con el Reglamento Financiero y Reglamentación Financiera Detallada de la Secretaría de las Naciones Unidas, la Secretaría del Convenio aplica al presupuesto básico y los recursos extrapresupuestarios voluntarios un </w:t>
      </w:r>
      <w:r w:rsidRPr="005978DF">
        <w:rPr>
          <w:rFonts w:eastAsia="Times New Roman"/>
          <w:kern w:val="22"/>
          <w:sz w:val="22"/>
          <w:szCs w:val="22"/>
          <w:lang w:val="es-ES"/>
        </w:rPr>
        <w:t>13 %</w:t>
      </w:r>
      <w:r w:rsidRPr="005978DF">
        <w:rPr>
          <w:rFonts w:eastAsia="Times New Roman"/>
          <w:sz w:val="22"/>
          <w:szCs w:val="22"/>
          <w:lang w:val="es-ES"/>
        </w:rPr>
        <w:t xml:space="preserve"> por concepto de gastos de apoyo a los programas, para cubrir los gastos incrementales asociados con la prestación de servicios de apoyo administrativo para la Secretaría, de los cuales el PNUMA cobra un tercio (1/3) por sus servicios con arreglo a un marco acordado para la participación en la financiación de los gastos.</w:t>
      </w:r>
      <w:r w:rsidRPr="005978DF">
        <w:rPr>
          <w:rFonts w:eastAsia="Times New Roman"/>
          <w:kern w:val="22"/>
          <w:sz w:val="22"/>
          <w:szCs w:val="22"/>
          <w:lang w:val="es-ES"/>
        </w:rPr>
        <w:t xml:space="preserve"> </w:t>
      </w:r>
      <w:r w:rsidRPr="005978DF">
        <w:rPr>
          <w:rFonts w:eastAsia="Times New Roman"/>
          <w:sz w:val="22"/>
          <w:szCs w:val="22"/>
          <w:lang w:val="es-ES"/>
        </w:rPr>
        <w:t>El saldo (2/3) se utiliza para sufragar los gastos del componente de apoyo propio de la Secretaría brindado por la División de Administración, Finanzas y Servicios de Conferencias, que se describen más adelante en la sección E referida a apoyo administrativo.</w:t>
      </w:r>
    </w:p>
    <w:p w14:paraId="40411052"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E</w:t>
      </w:r>
      <w:r w:rsidR="00DD4E81">
        <w:rPr>
          <w:rFonts w:eastAsia="Times New Roman"/>
          <w:sz w:val="22"/>
          <w:szCs w:val="22"/>
          <w:lang w:val="es-ES"/>
        </w:rPr>
        <w:t>n e</w:t>
      </w:r>
      <w:r w:rsidRPr="005978DF">
        <w:rPr>
          <w:rFonts w:eastAsia="Times New Roman"/>
          <w:sz w:val="22"/>
          <w:szCs w:val="22"/>
          <w:lang w:val="es-ES"/>
        </w:rPr>
        <w:t>l cuadro</w:t>
      </w:r>
      <w:r w:rsidR="00DD4E81">
        <w:rPr>
          <w:rFonts w:eastAsia="Times New Roman"/>
          <w:sz w:val="22"/>
          <w:szCs w:val="22"/>
          <w:lang w:val="es-ES"/>
        </w:rPr>
        <w:t> </w:t>
      </w:r>
      <w:r w:rsidRPr="005978DF">
        <w:rPr>
          <w:rFonts w:eastAsia="Times New Roman"/>
          <w:sz w:val="22"/>
          <w:szCs w:val="22"/>
          <w:lang w:val="es-ES"/>
        </w:rPr>
        <w:t xml:space="preserve">4 </w:t>
      </w:r>
      <w:r w:rsidR="00DD4E81">
        <w:rPr>
          <w:rFonts w:eastAsia="Times New Roman"/>
          <w:sz w:val="22"/>
          <w:szCs w:val="22"/>
          <w:lang w:val="es-ES"/>
        </w:rPr>
        <w:t xml:space="preserve">se </w:t>
      </w:r>
      <w:r w:rsidRPr="005978DF">
        <w:rPr>
          <w:rFonts w:eastAsia="Times New Roman"/>
          <w:sz w:val="22"/>
          <w:szCs w:val="22"/>
          <w:lang w:val="es-ES"/>
        </w:rPr>
        <w:t>brinda una sinopsis de los recursos de dotación de personal solicitados en cada hipótesis</w:t>
      </w:r>
      <w:r w:rsidR="00DD4E81">
        <w:rPr>
          <w:rFonts w:eastAsia="Times New Roman"/>
          <w:sz w:val="22"/>
          <w:szCs w:val="22"/>
          <w:lang w:val="es-ES"/>
        </w:rPr>
        <w:t>,</w:t>
      </w:r>
      <w:r w:rsidRPr="005978DF">
        <w:rPr>
          <w:rFonts w:eastAsia="Times New Roman"/>
          <w:sz w:val="22"/>
          <w:szCs w:val="22"/>
          <w:lang w:val="es-ES"/>
        </w:rPr>
        <w:t xml:space="preserve"> por categoría, comparados con el cuadro de dotación de personal autorizada para el bienio 2019-2020 y para el bienio 2021-2022, con las modificaciones realizadas y según lo consignado en el informe de la Secretaria Ejecutiva sobre los ingresos y la ejecución del presupuesto para el Convenio sobre la Diversidad Biológica, el Protocolo de Cartagena sobre Seguridad de la Biotecnología y el Protocolo de Nagoya sobre Acceso y Participación en l</w:t>
      </w:r>
      <w:r w:rsidR="00DD4E81">
        <w:rPr>
          <w:rFonts w:eastAsia="Times New Roman"/>
          <w:sz w:val="22"/>
          <w:szCs w:val="22"/>
          <w:lang w:val="es-ES"/>
        </w:rPr>
        <w:t>os Beneficios para el bienio 20</w:t>
      </w:r>
      <w:r w:rsidRPr="005978DF">
        <w:rPr>
          <w:rFonts w:eastAsia="Times New Roman"/>
          <w:sz w:val="22"/>
          <w:szCs w:val="22"/>
          <w:lang w:val="es-ES"/>
        </w:rPr>
        <w:t>1</w:t>
      </w:r>
      <w:r w:rsidR="00DD4E81">
        <w:rPr>
          <w:rFonts w:eastAsia="Times New Roman"/>
          <w:sz w:val="22"/>
          <w:szCs w:val="22"/>
          <w:lang w:val="es-ES"/>
        </w:rPr>
        <w:t>9</w:t>
      </w:r>
      <w:r w:rsidRPr="005978DF">
        <w:rPr>
          <w:rFonts w:eastAsia="Times New Roman"/>
          <w:sz w:val="22"/>
          <w:szCs w:val="22"/>
          <w:lang w:val="es-ES"/>
        </w:rPr>
        <w:t>-2020 y 2021 (CBD/COP/15/6).</w:t>
      </w:r>
    </w:p>
    <w:p w14:paraId="40411053"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La distribución de los recursos se refleja en el cuadro 5.</w:t>
      </w:r>
    </w:p>
    <w:p w14:paraId="40411054" w14:textId="77777777" w:rsidR="002F3255" w:rsidRPr="005978DF" w:rsidRDefault="002F3255">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imes New Roman"/>
          <w:b/>
          <w:bCs/>
          <w:spacing w:val="4"/>
          <w:w w:val="103"/>
          <w:kern w:val="14"/>
          <w:sz w:val="22"/>
          <w:szCs w:val="22"/>
          <w:lang w:val="es-ES"/>
        </w:rPr>
      </w:pPr>
      <w:r w:rsidRPr="005978DF">
        <w:rPr>
          <w:rFonts w:eastAsia="Times New Roman"/>
          <w:b/>
          <w:bCs/>
          <w:spacing w:val="4"/>
          <w:w w:val="103"/>
          <w:kern w:val="14"/>
          <w:sz w:val="22"/>
          <w:szCs w:val="22"/>
          <w:lang w:val="es-ES"/>
        </w:rPr>
        <w:lastRenderedPageBreak/>
        <w:t>Cuadro 3. Recursos financieros por componente</w:t>
      </w:r>
    </w:p>
    <w:tbl>
      <w:tblPr>
        <w:tblW w:w="10300" w:type="dxa"/>
        <w:tblLayout w:type="fixed"/>
        <w:tblLook w:val="00A0" w:firstRow="1" w:lastRow="0" w:firstColumn="1" w:lastColumn="0" w:noHBand="0" w:noVBand="0"/>
      </w:tblPr>
      <w:tblGrid>
        <w:gridCol w:w="2410"/>
        <w:gridCol w:w="1418"/>
        <w:gridCol w:w="1677"/>
        <w:gridCol w:w="236"/>
        <w:gridCol w:w="1673"/>
        <w:gridCol w:w="1843"/>
        <w:gridCol w:w="372"/>
        <w:gridCol w:w="671"/>
      </w:tblGrid>
      <w:tr w:rsidR="002F3255" w:rsidRPr="0049064A" w14:paraId="4041105B" w14:textId="77777777">
        <w:trPr>
          <w:trHeight w:val="320"/>
        </w:trPr>
        <w:tc>
          <w:tcPr>
            <w:tcW w:w="2410" w:type="dxa"/>
            <w:tcBorders>
              <w:top w:val="nil"/>
              <w:left w:val="nil"/>
              <w:bottom w:val="nil"/>
              <w:right w:val="nil"/>
            </w:tcBorders>
            <w:noWrap/>
            <w:vAlign w:val="bottom"/>
          </w:tcPr>
          <w:p w14:paraId="40411055" w14:textId="77777777" w:rsidR="002F3255" w:rsidRPr="0049064A" w:rsidRDefault="002F3255">
            <w:pPr>
              <w:keepNext/>
              <w:keepLines/>
              <w:rPr>
                <w:rFonts w:asciiTheme="minorHAnsi" w:eastAsia="Times New Roman" w:hAnsiTheme="minorHAnsi" w:cstheme="minorHAnsi"/>
                <w:sz w:val="18"/>
                <w:szCs w:val="18"/>
                <w:lang w:val="es-ES"/>
              </w:rPr>
            </w:pPr>
          </w:p>
        </w:tc>
        <w:tc>
          <w:tcPr>
            <w:tcW w:w="1418" w:type="dxa"/>
            <w:tcBorders>
              <w:top w:val="nil"/>
              <w:left w:val="nil"/>
              <w:bottom w:val="nil"/>
              <w:right w:val="nil"/>
            </w:tcBorders>
            <w:noWrap/>
            <w:vAlign w:val="bottom"/>
          </w:tcPr>
          <w:p w14:paraId="40411056" w14:textId="77777777" w:rsidR="002F3255" w:rsidRPr="0049064A" w:rsidRDefault="002F3255">
            <w:pPr>
              <w:keepNext/>
              <w:keepLines/>
              <w:rPr>
                <w:rFonts w:asciiTheme="minorHAnsi" w:eastAsia="Times New Roman" w:hAnsiTheme="minorHAnsi" w:cstheme="minorHAnsi"/>
                <w:sz w:val="18"/>
                <w:szCs w:val="18"/>
                <w:lang w:val="es-ES"/>
              </w:rPr>
            </w:pPr>
          </w:p>
        </w:tc>
        <w:tc>
          <w:tcPr>
            <w:tcW w:w="1677" w:type="dxa"/>
            <w:tcBorders>
              <w:top w:val="nil"/>
              <w:left w:val="nil"/>
              <w:bottom w:val="nil"/>
              <w:right w:val="nil"/>
            </w:tcBorders>
            <w:noWrap/>
            <w:vAlign w:val="bottom"/>
          </w:tcPr>
          <w:p w14:paraId="40411057" w14:textId="77777777" w:rsidR="002F3255" w:rsidRPr="0049064A" w:rsidRDefault="002F3255">
            <w:pPr>
              <w:keepNext/>
              <w:keepLines/>
              <w:rPr>
                <w:rFonts w:asciiTheme="minorHAnsi" w:eastAsia="Times New Roman" w:hAnsiTheme="minorHAnsi" w:cstheme="minorHAnsi"/>
                <w:sz w:val="18"/>
                <w:szCs w:val="18"/>
                <w:lang w:val="es-ES"/>
              </w:rPr>
            </w:pPr>
          </w:p>
        </w:tc>
        <w:tc>
          <w:tcPr>
            <w:tcW w:w="236" w:type="dxa"/>
            <w:tcBorders>
              <w:top w:val="single" w:sz="8" w:space="0" w:color="auto"/>
              <w:left w:val="nil"/>
              <w:bottom w:val="single" w:sz="8" w:space="0" w:color="auto"/>
              <w:right w:val="nil"/>
            </w:tcBorders>
          </w:tcPr>
          <w:p w14:paraId="40411058"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3516" w:type="dxa"/>
            <w:gridSpan w:val="2"/>
            <w:tcBorders>
              <w:top w:val="single" w:sz="8" w:space="0" w:color="auto"/>
              <w:left w:val="nil"/>
              <w:bottom w:val="single" w:sz="8" w:space="0" w:color="auto"/>
              <w:right w:val="nil"/>
            </w:tcBorders>
            <w:noWrap/>
            <w:vAlign w:val="center"/>
          </w:tcPr>
          <w:p w14:paraId="40411059"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2023-2024</w:t>
            </w:r>
          </w:p>
        </w:tc>
        <w:tc>
          <w:tcPr>
            <w:tcW w:w="1043" w:type="dxa"/>
            <w:gridSpan w:val="2"/>
            <w:tcBorders>
              <w:top w:val="nil"/>
              <w:left w:val="nil"/>
              <w:bottom w:val="nil"/>
              <w:right w:val="nil"/>
            </w:tcBorders>
            <w:noWrap/>
            <w:vAlign w:val="bottom"/>
          </w:tcPr>
          <w:p w14:paraId="4041105A"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r>
      <w:tr w:rsidR="002F3255" w:rsidRPr="006A6E89" w14:paraId="40411063" w14:textId="77777777">
        <w:trPr>
          <w:gridAfter w:val="1"/>
          <w:wAfter w:w="671" w:type="dxa"/>
          <w:trHeight w:val="310"/>
        </w:trPr>
        <w:tc>
          <w:tcPr>
            <w:tcW w:w="2410" w:type="dxa"/>
            <w:tcBorders>
              <w:top w:val="nil"/>
              <w:left w:val="nil"/>
              <w:bottom w:val="nil"/>
              <w:right w:val="nil"/>
            </w:tcBorders>
            <w:noWrap/>
            <w:vAlign w:val="bottom"/>
          </w:tcPr>
          <w:p w14:paraId="4041105C" w14:textId="77777777" w:rsidR="002F3255" w:rsidRPr="0049064A" w:rsidRDefault="002F3255">
            <w:pPr>
              <w:keepNext/>
              <w:keepLines/>
              <w:rPr>
                <w:rFonts w:asciiTheme="minorHAnsi" w:eastAsia="Times New Roman" w:hAnsiTheme="minorHAnsi" w:cstheme="minorHAnsi"/>
                <w:sz w:val="18"/>
                <w:szCs w:val="18"/>
                <w:lang w:val="es-ES"/>
              </w:rPr>
            </w:pPr>
          </w:p>
        </w:tc>
        <w:tc>
          <w:tcPr>
            <w:tcW w:w="1418" w:type="dxa"/>
            <w:tcBorders>
              <w:top w:val="nil"/>
              <w:left w:val="nil"/>
              <w:bottom w:val="nil"/>
              <w:right w:val="nil"/>
            </w:tcBorders>
            <w:noWrap/>
            <w:vAlign w:val="center"/>
          </w:tcPr>
          <w:p w14:paraId="4041105D" w14:textId="77777777" w:rsidR="002F3255" w:rsidRPr="0049064A" w:rsidRDefault="002F3255">
            <w:pPr>
              <w:keepNext/>
              <w:keepLines/>
              <w:jc w:val="right"/>
              <w:rPr>
                <w:rFonts w:asciiTheme="minorHAnsi" w:eastAsia="Times New Roman" w:hAnsiTheme="minorHAnsi" w:cstheme="minorHAnsi"/>
                <w:i/>
                <w:iCs/>
                <w:color w:val="000000"/>
                <w:sz w:val="18"/>
                <w:szCs w:val="18"/>
                <w:lang w:val="es-ES"/>
              </w:rPr>
            </w:pPr>
            <w:r w:rsidRPr="0049064A">
              <w:rPr>
                <w:rFonts w:asciiTheme="minorHAnsi" w:eastAsia="Times New Roman" w:hAnsiTheme="minorHAnsi" w:cstheme="minorHAnsi"/>
                <w:i/>
                <w:iCs/>
                <w:color w:val="000000"/>
                <w:sz w:val="18"/>
                <w:szCs w:val="18"/>
                <w:lang w:val="es-ES"/>
              </w:rPr>
              <w:t>2019-2020</w:t>
            </w:r>
          </w:p>
        </w:tc>
        <w:tc>
          <w:tcPr>
            <w:tcW w:w="1677" w:type="dxa"/>
            <w:tcBorders>
              <w:top w:val="nil"/>
              <w:left w:val="nil"/>
              <w:bottom w:val="nil"/>
              <w:right w:val="nil"/>
            </w:tcBorders>
            <w:noWrap/>
            <w:vAlign w:val="center"/>
          </w:tcPr>
          <w:p w14:paraId="4041105E" w14:textId="77777777" w:rsidR="002F3255" w:rsidRPr="0049064A" w:rsidRDefault="002F3255">
            <w:pPr>
              <w:keepNext/>
              <w:keepLines/>
              <w:ind w:left="-1098" w:right="33"/>
              <w:jc w:val="right"/>
              <w:rPr>
                <w:rFonts w:asciiTheme="minorHAnsi" w:eastAsia="Times New Roman" w:hAnsiTheme="minorHAnsi" w:cstheme="minorHAnsi"/>
                <w:i/>
                <w:iCs/>
                <w:color w:val="000000"/>
                <w:sz w:val="18"/>
                <w:szCs w:val="18"/>
                <w:lang w:val="es-ES"/>
              </w:rPr>
            </w:pPr>
            <w:r w:rsidRPr="0049064A">
              <w:rPr>
                <w:rFonts w:asciiTheme="minorHAnsi" w:eastAsia="Times New Roman" w:hAnsiTheme="minorHAnsi" w:cstheme="minorHAnsi"/>
                <w:i/>
                <w:iCs/>
                <w:color w:val="000000"/>
                <w:sz w:val="18"/>
                <w:szCs w:val="18"/>
                <w:lang w:val="es-ES"/>
              </w:rPr>
              <w:t>2021-2022</w:t>
            </w:r>
          </w:p>
        </w:tc>
        <w:tc>
          <w:tcPr>
            <w:tcW w:w="236" w:type="dxa"/>
            <w:tcBorders>
              <w:top w:val="nil"/>
              <w:left w:val="nil"/>
              <w:bottom w:val="nil"/>
              <w:right w:val="nil"/>
            </w:tcBorders>
          </w:tcPr>
          <w:p w14:paraId="4041105F" w14:textId="77777777" w:rsidR="002F3255" w:rsidRPr="0049064A" w:rsidRDefault="002F3255">
            <w:pPr>
              <w:keepNext/>
              <w:keepLines/>
              <w:jc w:val="center"/>
              <w:rPr>
                <w:rFonts w:asciiTheme="minorHAnsi" w:eastAsia="Times New Roman" w:hAnsiTheme="minorHAnsi" w:cstheme="minorHAnsi"/>
                <w:i/>
                <w:iCs/>
                <w:color w:val="000000"/>
                <w:sz w:val="18"/>
                <w:szCs w:val="18"/>
                <w:lang w:val="es-ES"/>
              </w:rPr>
            </w:pPr>
          </w:p>
        </w:tc>
        <w:tc>
          <w:tcPr>
            <w:tcW w:w="1673" w:type="dxa"/>
            <w:tcBorders>
              <w:top w:val="nil"/>
              <w:left w:val="nil"/>
              <w:bottom w:val="nil"/>
              <w:right w:val="nil"/>
            </w:tcBorders>
            <w:noWrap/>
            <w:vAlign w:val="center"/>
          </w:tcPr>
          <w:p w14:paraId="40411060" w14:textId="77777777" w:rsidR="002F3255" w:rsidRPr="0049064A" w:rsidRDefault="002F3255">
            <w:pPr>
              <w:keepNext/>
              <w:keepLines/>
              <w:jc w:val="right"/>
              <w:rPr>
                <w:rFonts w:asciiTheme="minorHAnsi" w:eastAsia="Times New Roman" w:hAnsiTheme="minorHAnsi" w:cstheme="minorHAnsi"/>
                <w:lang w:val="es-ES"/>
              </w:rPr>
            </w:pPr>
            <w:r w:rsidRPr="0049064A">
              <w:rPr>
                <w:rFonts w:asciiTheme="minorHAnsi" w:eastAsia="Times New Roman" w:hAnsiTheme="minorHAnsi" w:cstheme="minorHAnsi"/>
                <w:i/>
                <w:iCs/>
                <w:color w:val="000000"/>
                <w:sz w:val="18"/>
                <w:szCs w:val="18"/>
                <w:lang w:val="es-ES"/>
              </w:rPr>
              <w:t>Hipótesis de crecimiento real nulo (8 %)</w:t>
            </w:r>
          </w:p>
        </w:tc>
        <w:tc>
          <w:tcPr>
            <w:tcW w:w="1843" w:type="dxa"/>
            <w:tcBorders>
              <w:top w:val="nil"/>
              <w:left w:val="nil"/>
              <w:bottom w:val="nil"/>
              <w:right w:val="nil"/>
            </w:tcBorders>
            <w:noWrap/>
            <w:vAlign w:val="center"/>
          </w:tcPr>
          <w:p w14:paraId="40411061" w14:textId="77777777" w:rsidR="002F3255" w:rsidRPr="0049064A" w:rsidRDefault="002F3255">
            <w:pPr>
              <w:keepNext/>
              <w:keepLines/>
              <w:jc w:val="right"/>
              <w:rPr>
                <w:rFonts w:asciiTheme="minorHAnsi" w:eastAsia="Times New Roman" w:hAnsiTheme="minorHAnsi" w:cstheme="minorHAnsi"/>
                <w:lang w:val="es-ES"/>
              </w:rPr>
            </w:pPr>
            <w:r w:rsidRPr="0049064A">
              <w:rPr>
                <w:rFonts w:asciiTheme="minorHAnsi" w:eastAsia="Times New Roman" w:hAnsiTheme="minorHAnsi" w:cstheme="minorHAnsi"/>
                <w:i/>
                <w:iCs/>
                <w:color w:val="000000"/>
                <w:sz w:val="18"/>
                <w:szCs w:val="18"/>
                <w:lang w:val="es-ES"/>
              </w:rPr>
              <w:t>Hipótesis de crecimiento nominal nulo (0 %)</w:t>
            </w:r>
          </w:p>
        </w:tc>
        <w:tc>
          <w:tcPr>
            <w:tcW w:w="372" w:type="dxa"/>
            <w:tcBorders>
              <w:top w:val="nil"/>
              <w:left w:val="nil"/>
              <w:bottom w:val="nil"/>
              <w:right w:val="nil"/>
            </w:tcBorders>
            <w:noWrap/>
            <w:vAlign w:val="bottom"/>
          </w:tcPr>
          <w:p w14:paraId="40411062" w14:textId="77777777" w:rsidR="002F3255" w:rsidRPr="0049064A" w:rsidRDefault="002F3255">
            <w:pPr>
              <w:keepNext/>
              <w:keepLines/>
              <w:jc w:val="center"/>
              <w:rPr>
                <w:rFonts w:asciiTheme="minorHAnsi" w:eastAsia="Times New Roman" w:hAnsiTheme="minorHAnsi" w:cstheme="minorHAnsi"/>
                <w:i/>
                <w:iCs/>
                <w:color w:val="000000"/>
                <w:sz w:val="18"/>
                <w:szCs w:val="18"/>
                <w:lang w:val="es-ES"/>
              </w:rPr>
            </w:pPr>
          </w:p>
        </w:tc>
      </w:tr>
      <w:tr w:rsidR="002F3255" w:rsidRPr="0049064A" w14:paraId="4041106B" w14:textId="77777777">
        <w:trPr>
          <w:gridAfter w:val="1"/>
          <w:wAfter w:w="671" w:type="dxa"/>
          <w:trHeight w:val="78"/>
        </w:trPr>
        <w:tc>
          <w:tcPr>
            <w:tcW w:w="2410" w:type="dxa"/>
            <w:tcBorders>
              <w:top w:val="nil"/>
              <w:left w:val="nil"/>
              <w:bottom w:val="single" w:sz="8" w:space="0" w:color="auto"/>
              <w:right w:val="nil"/>
            </w:tcBorders>
            <w:noWrap/>
            <w:vAlign w:val="center"/>
          </w:tcPr>
          <w:p w14:paraId="40411064" w14:textId="77777777" w:rsidR="002F3255" w:rsidRPr="0049064A" w:rsidRDefault="002F3255">
            <w:pPr>
              <w:keepNext/>
              <w:keepLines/>
              <w:jc w:val="right"/>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 </w:t>
            </w:r>
          </w:p>
        </w:tc>
        <w:tc>
          <w:tcPr>
            <w:tcW w:w="1418" w:type="dxa"/>
            <w:tcBorders>
              <w:top w:val="nil"/>
              <w:left w:val="nil"/>
              <w:bottom w:val="single" w:sz="8" w:space="0" w:color="auto"/>
              <w:right w:val="nil"/>
            </w:tcBorders>
            <w:noWrap/>
            <w:vAlign w:val="center"/>
          </w:tcPr>
          <w:p w14:paraId="40411065" w14:textId="77777777" w:rsidR="002F3255" w:rsidRPr="0049064A" w:rsidRDefault="002F3255">
            <w:pPr>
              <w:keepNext/>
              <w:keepLines/>
              <w:jc w:val="right"/>
              <w:rPr>
                <w:rFonts w:asciiTheme="minorHAnsi" w:eastAsia="Times New Roman" w:hAnsiTheme="minorHAnsi" w:cstheme="minorHAnsi"/>
                <w:lang w:val="es-ES"/>
              </w:rPr>
            </w:pPr>
            <w:r w:rsidRPr="0049064A">
              <w:rPr>
                <w:rFonts w:asciiTheme="minorHAnsi" w:eastAsia="Times New Roman" w:hAnsiTheme="minorHAnsi" w:cstheme="minorHAnsi"/>
                <w:i/>
                <w:iCs/>
                <w:color w:val="000000"/>
                <w:sz w:val="18"/>
                <w:szCs w:val="18"/>
                <w:lang w:val="es-ES"/>
              </w:rPr>
              <w:t>COP 14/37</w:t>
            </w:r>
          </w:p>
        </w:tc>
        <w:tc>
          <w:tcPr>
            <w:tcW w:w="1677" w:type="dxa"/>
            <w:tcBorders>
              <w:top w:val="nil"/>
              <w:left w:val="nil"/>
              <w:bottom w:val="single" w:sz="8" w:space="0" w:color="auto"/>
              <w:right w:val="nil"/>
            </w:tcBorders>
            <w:vAlign w:val="center"/>
          </w:tcPr>
          <w:p w14:paraId="40411066" w14:textId="77777777" w:rsidR="002F3255" w:rsidRPr="0049064A" w:rsidRDefault="002F3255">
            <w:pPr>
              <w:keepNext/>
              <w:keepLines/>
              <w:ind w:left="-506" w:right="33"/>
              <w:jc w:val="right"/>
              <w:rPr>
                <w:rFonts w:asciiTheme="minorHAnsi" w:eastAsia="Times New Roman" w:hAnsiTheme="minorHAnsi" w:cstheme="minorHAnsi"/>
                <w:lang w:val="es-ES"/>
              </w:rPr>
            </w:pPr>
            <w:r w:rsidRPr="0049064A">
              <w:rPr>
                <w:rFonts w:asciiTheme="minorHAnsi" w:eastAsia="Times New Roman" w:hAnsiTheme="minorHAnsi" w:cstheme="minorHAnsi"/>
                <w:i/>
                <w:iCs/>
                <w:color w:val="000000"/>
                <w:sz w:val="18"/>
                <w:szCs w:val="18"/>
                <w:lang w:val="es-ES"/>
              </w:rPr>
              <w:t>EM-2/1 y COP15/1</w:t>
            </w:r>
          </w:p>
        </w:tc>
        <w:tc>
          <w:tcPr>
            <w:tcW w:w="236" w:type="dxa"/>
            <w:tcBorders>
              <w:top w:val="nil"/>
              <w:left w:val="nil"/>
              <w:bottom w:val="single" w:sz="8" w:space="0" w:color="auto"/>
              <w:right w:val="nil"/>
            </w:tcBorders>
          </w:tcPr>
          <w:p w14:paraId="40411067" w14:textId="77777777" w:rsidR="002F3255" w:rsidRPr="0049064A" w:rsidRDefault="002F3255">
            <w:pPr>
              <w:keepNext/>
              <w:keepLines/>
              <w:jc w:val="center"/>
              <w:rPr>
                <w:rFonts w:asciiTheme="minorHAnsi" w:eastAsia="Times New Roman" w:hAnsiTheme="minorHAnsi" w:cstheme="minorHAnsi"/>
                <w:i/>
                <w:iCs/>
                <w:color w:val="000000"/>
                <w:sz w:val="18"/>
                <w:szCs w:val="18"/>
                <w:lang w:val="es-ES"/>
              </w:rPr>
            </w:pPr>
          </w:p>
        </w:tc>
        <w:tc>
          <w:tcPr>
            <w:tcW w:w="1673" w:type="dxa"/>
            <w:tcBorders>
              <w:top w:val="nil"/>
              <w:left w:val="nil"/>
              <w:bottom w:val="single" w:sz="8" w:space="0" w:color="auto"/>
              <w:right w:val="nil"/>
            </w:tcBorders>
            <w:noWrap/>
            <w:vAlign w:val="center"/>
          </w:tcPr>
          <w:p w14:paraId="40411068" w14:textId="77777777" w:rsidR="002F3255" w:rsidRPr="0049064A" w:rsidRDefault="002F3255">
            <w:pPr>
              <w:keepNext/>
              <w:keepLines/>
              <w:jc w:val="both"/>
              <w:rPr>
                <w:rFonts w:asciiTheme="minorHAnsi" w:eastAsia="Times New Roman" w:hAnsiTheme="minorHAnsi" w:cstheme="minorHAnsi"/>
                <w:i/>
                <w:iCs/>
                <w:color w:val="000000"/>
                <w:sz w:val="18"/>
                <w:szCs w:val="18"/>
                <w:lang w:val="es-ES"/>
              </w:rPr>
            </w:pPr>
          </w:p>
        </w:tc>
        <w:tc>
          <w:tcPr>
            <w:tcW w:w="1843" w:type="dxa"/>
            <w:tcBorders>
              <w:top w:val="nil"/>
              <w:left w:val="nil"/>
              <w:bottom w:val="single" w:sz="8" w:space="0" w:color="auto"/>
              <w:right w:val="nil"/>
            </w:tcBorders>
            <w:noWrap/>
            <w:vAlign w:val="center"/>
          </w:tcPr>
          <w:p w14:paraId="40411069" w14:textId="77777777" w:rsidR="002F3255" w:rsidRPr="0049064A" w:rsidRDefault="002F3255">
            <w:pPr>
              <w:keepNext/>
              <w:keepLines/>
              <w:jc w:val="both"/>
              <w:rPr>
                <w:rFonts w:asciiTheme="minorHAnsi" w:eastAsia="Times New Roman" w:hAnsiTheme="minorHAnsi" w:cstheme="minorHAnsi"/>
                <w:i/>
                <w:iCs/>
                <w:color w:val="000000"/>
                <w:sz w:val="18"/>
                <w:szCs w:val="18"/>
                <w:lang w:val="es-ES"/>
              </w:rPr>
            </w:pPr>
          </w:p>
        </w:tc>
        <w:tc>
          <w:tcPr>
            <w:tcW w:w="372" w:type="dxa"/>
            <w:tcBorders>
              <w:top w:val="nil"/>
              <w:left w:val="nil"/>
              <w:bottom w:val="nil"/>
              <w:right w:val="nil"/>
            </w:tcBorders>
            <w:noWrap/>
            <w:vAlign w:val="bottom"/>
          </w:tcPr>
          <w:p w14:paraId="4041106A" w14:textId="77777777" w:rsidR="002F3255" w:rsidRPr="0049064A" w:rsidRDefault="002F3255">
            <w:pPr>
              <w:keepNext/>
              <w:keepLines/>
              <w:jc w:val="center"/>
              <w:rPr>
                <w:rFonts w:asciiTheme="minorHAnsi" w:eastAsia="Times New Roman" w:hAnsiTheme="minorHAnsi" w:cstheme="minorHAnsi"/>
                <w:i/>
                <w:iCs/>
                <w:color w:val="000000"/>
                <w:sz w:val="18"/>
                <w:szCs w:val="18"/>
                <w:lang w:val="es-ES"/>
              </w:rPr>
            </w:pPr>
          </w:p>
        </w:tc>
      </w:tr>
      <w:tr w:rsidR="002F3255" w:rsidRPr="0049064A" w14:paraId="40411073" w14:textId="77777777">
        <w:trPr>
          <w:gridAfter w:val="1"/>
          <w:wAfter w:w="671" w:type="dxa"/>
          <w:trHeight w:val="310"/>
        </w:trPr>
        <w:tc>
          <w:tcPr>
            <w:tcW w:w="2410" w:type="dxa"/>
            <w:tcBorders>
              <w:top w:val="nil"/>
              <w:left w:val="nil"/>
              <w:bottom w:val="nil"/>
              <w:right w:val="nil"/>
            </w:tcBorders>
            <w:noWrap/>
            <w:vAlign w:val="center"/>
          </w:tcPr>
          <w:p w14:paraId="4041106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Gastos de personal</w:t>
            </w:r>
          </w:p>
        </w:tc>
        <w:tc>
          <w:tcPr>
            <w:tcW w:w="1418" w:type="dxa"/>
            <w:tcBorders>
              <w:top w:val="nil"/>
              <w:left w:val="nil"/>
              <w:bottom w:val="nil"/>
              <w:right w:val="nil"/>
            </w:tcBorders>
            <w:noWrap/>
            <w:vAlign w:val="bottom"/>
          </w:tcPr>
          <w:p w14:paraId="4041106D" w14:textId="77777777" w:rsidR="002F3255" w:rsidRPr="0049064A" w:rsidRDefault="002F3255">
            <w:pPr>
              <w:keepNext/>
              <w:keepLines/>
              <w:rPr>
                <w:rFonts w:asciiTheme="minorHAnsi" w:eastAsia="Times New Roman" w:hAnsiTheme="minorHAnsi" w:cstheme="minorHAnsi"/>
                <w:b/>
                <w:bCs/>
                <w:color w:val="000000"/>
                <w:sz w:val="18"/>
                <w:szCs w:val="18"/>
                <w:lang w:val="es-ES"/>
              </w:rPr>
            </w:pPr>
          </w:p>
        </w:tc>
        <w:tc>
          <w:tcPr>
            <w:tcW w:w="1677" w:type="dxa"/>
            <w:tcBorders>
              <w:top w:val="nil"/>
              <w:left w:val="nil"/>
              <w:bottom w:val="nil"/>
              <w:right w:val="nil"/>
            </w:tcBorders>
            <w:noWrap/>
            <w:vAlign w:val="bottom"/>
          </w:tcPr>
          <w:p w14:paraId="4041106E" w14:textId="77777777" w:rsidR="002F3255" w:rsidRPr="0049064A" w:rsidRDefault="002F3255">
            <w:pPr>
              <w:keepNext/>
              <w:keepLines/>
              <w:ind w:left="-506" w:right="33"/>
              <w:rPr>
                <w:rFonts w:asciiTheme="minorHAnsi" w:eastAsia="Times New Roman" w:hAnsiTheme="minorHAnsi" w:cstheme="minorHAnsi"/>
                <w:sz w:val="18"/>
                <w:szCs w:val="18"/>
                <w:lang w:val="es-ES"/>
              </w:rPr>
            </w:pPr>
          </w:p>
        </w:tc>
        <w:tc>
          <w:tcPr>
            <w:tcW w:w="236" w:type="dxa"/>
            <w:tcBorders>
              <w:top w:val="nil"/>
              <w:left w:val="nil"/>
              <w:bottom w:val="nil"/>
              <w:right w:val="nil"/>
            </w:tcBorders>
          </w:tcPr>
          <w:p w14:paraId="4041106F" w14:textId="77777777" w:rsidR="002F3255" w:rsidRPr="0049064A" w:rsidRDefault="002F3255">
            <w:pPr>
              <w:keepNext/>
              <w:keepLines/>
              <w:rPr>
                <w:rFonts w:asciiTheme="minorHAnsi" w:eastAsia="Times New Roman" w:hAnsiTheme="minorHAnsi" w:cstheme="minorHAnsi"/>
                <w:sz w:val="18"/>
                <w:szCs w:val="18"/>
                <w:lang w:val="es-ES"/>
              </w:rPr>
            </w:pPr>
          </w:p>
        </w:tc>
        <w:tc>
          <w:tcPr>
            <w:tcW w:w="1673" w:type="dxa"/>
            <w:tcBorders>
              <w:top w:val="nil"/>
              <w:left w:val="nil"/>
              <w:bottom w:val="nil"/>
              <w:right w:val="nil"/>
            </w:tcBorders>
            <w:noWrap/>
            <w:vAlign w:val="bottom"/>
          </w:tcPr>
          <w:p w14:paraId="40411070" w14:textId="77777777" w:rsidR="002F3255" w:rsidRPr="0049064A" w:rsidRDefault="002F3255">
            <w:pPr>
              <w:keepNext/>
              <w:keepLines/>
              <w:rPr>
                <w:rFonts w:asciiTheme="minorHAnsi" w:eastAsia="Times New Roman" w:hAnsiTheme="minorHAnsi" w:cstheme="minorHAnsi"/>
                <w:sz w:val="18"/>
                <w:szCs w:val="18"/>
                <w:lang w:val="es-ES"/>
              </w:rPr>
            </w:pPr>
          </w:p>
        </w:tc>
        <w:tc>
          <w:tcPr>
            <w:tcW w:w="1843" w:type="dxa"/>
            <w:tcBorders>
              <w:top w:val="nil"/>
              <w:left w:val="nil"/>
              <w:bottom w:val="nil"/>
              <w:right w:val="nil"/>
            </w:tcBorders>
            <w:noWrap/>
            <w:vAlign w:val="bottom"/>
          </w:tcPr>
          <w:p w14:paraId="40411071" w14:textId="77777777" w:rsidR="002F3255" w:rsidRPr="0049064A" w:rsidRDefault="002F3255">
            <w:pPr>
              <w:keepNext/>
              <w:keepLines/>
              <w:rPr>
                <w:rFonts w:asciiTheme="minorHAnsi" w:eastAsia="Times New Roman" w:hAnsiTheme="minorHAnsi" w:cstheme="minorHAnsi"/>
                <w:sz w:val="18"/>
                <w:szCs w:val="18"/>
                <w:lang w:val="es-ES"/>
              </w:rPr>
            </w:pPr>
          </w:p>
        </w:tc>
        <w:tc>
          <w:tcPr>
            <w:tcW w:w="372" w:type="dxa"/>
            <w:tcBorders>
              <w:top w:val="nil"/>
              <w:left w:val="nil"/>
              <w:bottom w:val="nil"/>
              <w:right w:val="nil"/>
            </w:tcBorders>
            <w:noWrap/>
            <w:vAlign w:val="bottom"/>
          </w:tcPr>
          <w:p w14:paraId="40411072" w14:textId="77777777" w:rsidR="002F3255" w:rsidRPr="0049064A" w:rsidRDefault="002F3255">
            <w:pPr>
              <w:keepNext/>
              <w:keepLines/>
              <w:rPr>
                <w:rFonts w:asciiTheme="minorHAnsi" w:eastAsia="Times New Roman" w:hAnsiTheme="minorHAnsi" w:cstheme="minorHAnsi"/>
                <w:sz w:val="18"/>
                <w:szCs w:val="18"/>
                <w:lang w:val="es-ES"/>
              </w:rPr>
            </w:pPr>
          </w:p>
        </w:tc>
      </w:tr>
      <w:tr w:rsidR="002F3255" w:rsidRPr="0049064A" w14:paraId="4041107B" w14:textId="77777777">
        <w:trPr>
          <w:gridAfter w:val="1"/>
          <w:wAfter w:w="671" w:type="dxa"/>
          <w:trHeight w:val="290"/>
        </w:trPr>
        <w:tc>
          <w:tcPr>
            <w:tcW w:w="2410" w:type="dxa"/>
            <w:tcBorders>
              <w:top w:val="nil"/>
              <w:left w:val="nil"/>
              <w:bottom w:val="nil"/>
              <w:right w:val="nil"/>
            </w:tcBorders>
            <w:noWrap/>
            <w:vAlign w:val="center"/>
          </w:tcPr>
          <w:p w14:paraId="4041107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Personal</w:t>
            </w:r>
          </w:p>
        </w:tc>
        <w:tc>
          <w:tcPr>
            <w:tcW w:w="1418" w:type="dxa"/>
            <w:tcBorders>
              <w:top w:val="nil"/>
              <w:left w:val="nil"/>
              <w:bottom w:val="nil"/>
              <w:right w:val="nil"/>
            </w:tcBorders>
            <w:noWrap/>
            <w:vAlign w:val="center"/>
          </w:tcPr>
          <w:p w14:paraId="4041107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23</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080,5</w:t>
            </w:r>
          </w:p>
        </w:tc>
        <w:tc>
          <w:tcPr>
            <w:tcW w:w="1677" w:type="dxa"/>
            <w:tcBorders>
              <w:top w:val="nil"/>
              <w:left w:val="nil"/>
              <w:bottom w:val="nil"/>
              <w:right w:val="nil"/>
            </w:tcBorders>
            <w:noWrap/>
            <w:vAlign w:val="center"/>
          </w:tcPr>
          <w:p w14:paraId="40411076" w14:textId="77777777" w:rsidR="002F3255" w:rsidRPr="0049064A" w:rsidRDefault="002F3255">
            <w:pPr>
              <w:keepNext/>
              <w:keepLines/>
              <w:ind w:left="-506" w:right="33"/>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24</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156,8</w:t>
            </w:r>
          </w:p>
        </w:tc>
        <w:tc>
          <w:tcPr>
            <w:tcW w:w="236" w:type="dxa"/>
            <w:tcBorders>
              <w:top w:val="nil"/>
              <w:left w:val="nil"/>
              <w:bottom w:val="nil"/>
              <w:right w:val="nil"/>
            </w:tcBorders>
          </w:tcPr>
          <w:p w14:paraId="4041107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7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25</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290,7</w:t>
            </w:r>
          </w:p>
        </w:tc>
        <w:tc>
          <w:tcPr>
            <w:tcW w:w="1843" w:type="dxa"/>
            <w:tcBorders>
              <w:top w:val="nil"/>
              <w:left w:val="nil"/>
              <w:bottom w:val="nil"/>
              <w:right w:val="nil"/>
            </w:tcBorders>
            <w:noWrap/>
            <w:vAlign w:val="center"/>
          </w:tcPr>
          <w:p w14:paraId="4041107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22</w:t>
            </w:r>
            <w:r w:rsid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645,1</w:t>
            </w:r>
          </w:p>
        </w:tc>
        <w:tc>
          <w:tcPr>
            <w:tcW w:w="372" w:type="dxa"/>
            <w:tcBorders>
              <w:top w:val="nil"/>
              <w:left w:val="nil"/>
              <w:bottom w:val="nil"/>
              <w:right w:val="nil"/>
            </w:tcBorders>
            <w:noWrap/>
            <w:vAlign w:val="center"/>
          </w:tcPr>
          <w:p w14:paraId="4041107A"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sz w:val="18"/>
                <w:szCs w:val="18"/>
                <w:lang w:val="es-ES"/>
              </w:rPr>
              <w:t>a/</w:t>
            </w:r>
          </w:p>
        </w:tc>
      </w:tr>
      <w:tr w:rsidR="002F3255" w:rsidRPr="0049064A" w14:paraId="40411083" w14:textId="77777777">
        <w:trPr>
          <w:gridAfter w:val="1"/>
          <w:wAfter w:w="671" w:type="dxa"/>
          <w:trHeight w:val="300"/>
        </w:trPr>
        <w:tc>
          <w:tcPr>
            <w:tcW w:w="2410" w:type="dxa"/>
            <w:tcBorders>
              <w:top w:val="nil"/>
              <w:left w:val="nil"/>
              <w:bottom w:val="nil"/>
              <w:right w:val="nil"/>
            </w:tcBorders>
            <w:noWrap/>
            <w:vAlign w:val="center"/>
          </w:tcPr>
          <w:p w14:paraId="4041107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sz w:val="18"/>
                <w:szCs w:val="18"/>
                <w:lang w:val="es-ES"/>
              </w:rPr>
              <w:t>Personal temporario general</w:t>
            </w:r>
          </w:p>
        </w:tc>
        <w:tc>
          <w:tcPr>
            <w:tcW w:w="1418" w:type="dxa"/>
            <w:tcBorders>
              <w:top w:val="nil"/>
              <w:left w:val="nil"/>
              <w:bottom w:val="nil"/>
              <w:right w:val="nil"/>
            </w:tcBorders>
            <w:noWrap/>
            <w:vAlign w:val="center"/>
          </w:tcPr>
          <w:p w14:paraId="4041107D"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200,0</w:t>
            </w:r>
          </w:p>
        </w:tc>
        <w:tc>
          <w:tcPr>
            <w:tcW w:w="1677" w:type="dxa"/>
            <w:tcBorders>
              <w:top w:val="nil"/>
              <w:left w:val="nil"/>
              <w:bottom w:val="nil"/>
              <w:right w:val="nil"/>
            </w:tcBorders>
            <w:noWrap/>
            <w:vAlign w:val="center"/>
          </w:tcPr>
          <w:p w14:paraId="4041107E" w14:textId="77777777" w:rsidR="002F3255" w:rsidRPr="0049064A" w:rsidRDefault="002F3255">
            <w:pPr>
              <w:keepNext/>
              <w:keepLines/>
              <w:ind w:left="-506" w:right="33"/>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200,0</w:t>
            </w:r>
          </w:p>
        </w:tc>
        <w:tc>
          <w:tcPr>
            <w:tcW w:w="236" w:type="dxa"/>
            <w:tcBorders>
              <w:top w:val="nil"/>
              <w:left w:val="nil"/>
              <w:bottom w:val="nil"/>
              <w:right w:val="nil"/>
            </w:tcBorders>
          </w:tcPr>
          <w:p w14:paraId="4041107F"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80"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200,0</w:t>
            </w:r>
          </w:p>
        </w:tc>
        <w:tc>
          <w:tcPr>
            <w:tcW w:w="1843" w:type="dxa"/>
            <w:tcBorders>
              <w:top w:val="nil"/>
              <w:left w:val="nil"/>
              <w:bottom w:val="nil"/>
              <w:right w:val="nil"/>
            </w:tcBorders>
            <w:noWrap/>
            <w:vAlign w:val="center"/>
          </w:tcPr>
          <w:p w14:paraId="40411081"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200,0</w:t>
            </w:r>
          </w:p>
        </w:tc>
        <w:tc>
          <w:tcPr>
            <w:tcW w:w="372" w:type="dxa"/>
            <w:tcBorders>
              <w:top w:val="nil"/>
              <w:left w:val="nil"/>
              <w:bottom w:val="nil"/>
              <w:right w:val="nil"/>
            </w:tcBorders>
            <w:noWrap/>
            <w:vAlign w:val="bottom"/>
          </w:tcPr>
          <w:p w14:paraId="40411082"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8B" w14:textId="77777777">
        <w:trPr>
          <w:gridAfter w:val="1"/>
          <w:wAfter w:w="671" w:type="dxa"/>
          <w:trHeight w:val="300"/>
        </w:trPr>
        <w:tc>
          <w:tcPr>
            <w:tcW w:w="2410" w:type="dxa"/>
            <w:tcBorders>
              <w:top w:val="single" w:sz="8" w:space="0" w:color="auto"/>
              <w:left w:val="nil"/>
              <w:bottom w:val="single" w:sz="8" w:space="0" w:color="auto"/>
              <w:right w:val="nil"/>
            </w:tcBorders>
            <w:noWrap/>
            <w:vAlign w:val="center"/>
          </w:tcPr>
          <w:p w14:paraId="4041108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Subtotal</w:t>
            </w:r>
          </w:p>
        </w:tc>
        <w:tc>
          <w:tcPr>
            <w:tcW w:w="1418" w:type="dxa"/>
            <w:tcBorders>
              <w:top w:val="single" w:sz="8" w:space="0" w:color="auto"/>
              <w:left w:val="nil"/>
              <w:bottom w:val="single" w:sz="8" w:space="0" w:color="auto"/>
              <w:right w:val="nil"/>
            </w:tcBorders>
            <w:noWrap/>
            <w:vAlign w:val="center"/>
          </w:tcPr>
          <w:p w14:paraId="40411085"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23</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280,5</w:t>
            </w:r>
          </w:p>
        </w:tc>
        <w:tc>
          <w:tcPr>
            <w:tcW w:w="1677" w:type="dxa"/>
            <w:tcBorders>
              <w:top w:val="single" w:sz="8" w:space="0" w:color="auto"/>
              <w:left w:val="nil"/>
              <w:bottom w:val="single" w:sz="8" w:space="0" w:color="auto"/>
              <w:right w:val="nil"/>
            </w:tcBorders>
            <w:noWrap/>
            <w:vAlign w:val="center"/>
          </w:tcPr>
          <w:p w14:paraId="40411086" w14:textId="77777777" w:rsidR="002F3255" w:rsidRPr="0049064A" w:rsidRDefault="002F3255">
            <w:pPr>
              <w:keepNext/>
              <w:keepLines/>
              <w:ind w:left="-506" w:right="33"/>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24</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356,8</w:t>
            </w:r>
          </w:p>
        </w:tc>
        <w:tc>
          <w:tcPr>
            <w:tcW w:w="236" w:type="dxa"/>
            <w:tcBorders>
              <w:top w:val="single" w:sz="8" w:space="0" w:color="auto"/>
              <w:left w:val="nil"/>
              <w:bottom w:val="single" w:sz="8" w:space="0" w:color="auto"/>
              <w:right w:val="nil"/>
            </w:tcBorders>
          </w:tcPr>
          <w:p w14:paraId="40411087"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single" w:sz="8" w:space="0" w:color="auto"/>
              <w:left w:val="nil"/>
              <w:bottom w:val="single" w:sz="8" w:space="0" w:color="auto"/>
              <w:right w:val="nil"/>
            </w:tcBorders>
            <w:noWrap/>
            <w:vAlign w:val="center"/>
          </w:tcPr>
          <w:p w14:paraId="40411088"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25</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490,7</w:t>
            </w:r>
          </w:p>
        </w:tc>
        <w:tc>
          <w:tcPr>
            <w:tcW w:w="1843" w:type="dxa"/>
            <w:tcBorders>
              <w:top w:val="single" w:sz="8" w:space="0" w:color="auto"/>
              <w:left w:val="nil"/>
              <w:bottom w:val="single" w:sz="8" w:space="0" w:color="auto"/>
              <w:right w:val="nil"/>
            </w:tcBorders>
            <w:noWrap/>
            <w:vAlign w:val="center"/>
          </w:tcPr>
          <w:p w14:paraId="40411089"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22</w:t>
            </w:r>
            <w:r w:rsid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845,1</w:t>
            </w:r>
          </w:p>
        </w:tc>
        <w:tc>
          <w:tcPr>
            <w:tcW w:w="372" w:type="dxa"/>
            <w:tcBorders>
              <w:top w:val="nil"/>
              <w:left w:val="nil"/>
              <w:bottom w:val="nil"/>
              <w:right w:val="nil"/>
            </w:tcBorders>
            <w:noWrap/>
            <w:vAlign w:val="bottom"/>
          </w:tcPr>
          <w:p w14:paraId="4041108A"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r>
      <w:tr w:rsidR="002F3255" w:rsidRPr="0049064A" w14:paraId="40411093" w14:textId="77777777">
        <w:trPr>
          <w:gridAfter w:val="1"/>
          <w:wAfter w:w="671" w:type="dxa"/>
          <w:trHeight w:val="310"/>
        </w:trPr>
        <w:tc>
          <w:tcPr>
            <w:tcW w:w="2410" w:type="dxa"/>
            <w:tcBorders>
              <w:top w:val="nil"/>
              <w:left w:val="nil"/>
              <w:bottom w:val="nil"/>
              <w:right w:val="nil"/>
            </w:tcBorders>
            <w:noWrap/>
            <w:vAlign w:val="center"/>
          </w:tcPr>
          <w:p w14:paraId="4041108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Gastos de reuniones</w:t>
            </w:r>
          </w:p>
        </w:tc>
        <w:tc>
          <w:tcPr>
            <w:tcW w:w="1418" w:type="dxa"/>
            <w:tcBorders>
              <w:top w:val="nil"/>
              <w:left w:val="nil"/>
              <w:bottom w:val="nil"/>
              <w:right w:val="nil"/>
            </w:tcBorders>
            <w:noWrap/>
            <w:vAlign w:val="bottom"/>
          </w:tcPr>
          <w:p w14:paraId="4041108D" w14:textId="77777777" w:rsidR="002F3255" w:rsidRPr="0049064A" w:rsidRDefault="002F3255">
            <w:pPr>
              <w:keepNext/>
              <w:keepLines/>
              <w:rPr>
                <w:rFonts w:asciiTheme="minorHAnsi" w:eastAsia="Times New Roman" w:hAnsiTheme="minorHAnsi" w:cstheme="minorHAnsi"/>
                <w:b/>
                <w:bCs/>
                <w:color w:val="000000"/>
                <w:sz w:val="18"/>
                <w:szCs w:val="18"/>
                <w:lang w:val="es-ES"/>
              </w:rPr>
            </w:pPr>
          </w:p>
        </w:tc>
        <w:tc>
          <w:tcPr>
            <w:tcW w:w="1677" w:type="dxa"/>
            <w:tcBorders>
              <w:top w:val="nil"/>
              <w:left w:val="nil"/>
              <w:bottom w:val="nil"/>
              <w:right w:val="nil"/>
            </w:tcBorders>
            <w:noWrap/>
            <w:vAlign w:val="bottom"/>
          </w:tcPr>
          <w:p w14:paraId="4041108E" w14:textId="77777777" w:rsidR="002F3255" w:rsidRPr="0049064A" w:rsidRDefault="002F3255">
            <w:pPr>
              <w:keepNext/>
              <w:keepLines/>
              <w:ind w:left="-506" w:right="-705"/>
              <w:rPr>
                <w:rFonts w:asciiTheme="minorHAnsi" w:eastAsia="Times New Roman" w:hAnsiTheme="minorHAnsi" w:cstheme="minorHAnsi"/>
                <w:sz w:val="18"/>
                <w:szCs w:val="18"/>
                <w:lang w:val="es-ES"/>
              </w:rPr>
            </w:pPr>
          </w:p>
        </w:tc>
        <w:tc>
          <w:tcPr>
            <w:tcW w:w="236" w:type="dxa"/>
            <w:tcBorders>
              <w:top w:val="nil"/>
              <w:left w:val="nil"/>
              <w:bottom w:val="nil"/>
              <w:right w:val="nil"/>
            </w:tcBorders>
          </w:tcPr>
          <w:p w14:paraId="4041108F" w14:textId="77777777" w:rsidR="002F3255" w:rsidRPr="0049064A" w:rsidRDefault="002F3255">
            <w:pPr>
              <w:keepNext/>
              <w:keepLines/>
              <w:rPr>
                <w:rFonts w:asciiTheme="minorHAnsi" w:eastAsia="Times New Roman" w:hAnsiTheme="minorHAnsi" w:cstheme="minorHAnsi"/>
                <w:sz w:val="18"/>
                <w:szCs w:val="18"/>
                <w:lang w:val="es-ES"/>
              </w:rPr>
            </w:pPr>
          </w:p>
        </w:tc>
        <w:tc>
          <w:tcPr>
            <w:tcW w:w="1673" w:type="dxa"/>
            <w:tcBorders>
              <w:top w:val="nil"/>
              <w:left w:val="nil"/>
              <w:bottom w:val="nil"/>
              <w:right w:val="nil"/>
            </w:tcBorders>
            <w:noWrap/>
            <w:vAlign w:val="bottom"/>
          </w:tcPr>
          <w:p w14:paraId="40411090" w14:textId="77777777" w:rsidR="002F3255" w:rsidRPr="0049064A" w:rsidRDefault="002F3255">
            <w:pPr>
              <w:keepNext/>
              <w:keepLines/>
              <w:rPr>
                <w:rFonts w:asciiTheme="minorHAnsi" w:eastAsia="Times New Roman" w:hAnsiTheme="minorHAnsi" w:cstheme="minorHAnsi"/>
                <w:sz w:val="18"/>
                <w:szCs w:val="18"/>
                <w:lang w:val="es-ES"/>
              </w:rPr>
            </w:pPr>
          </w:p>
        </w:tc>
        <w:tc>
          <w:tcPr>
            <w:tcW w:w="1843" w:type="dxa"/>
            <w:tcBorders>
              <w:top w:val="nil"/>
              <w:left w:val="nil"/>
              <w:bottom w:val="nil"/>
              <w:right w:val="nil"/>
            </w:tcBorders>
            <w:noWrap/>
            <w:vAlign w:val="bottom"/>
          </w:tcPr>
          <w:p w14:paraId="40411091" w14:textId="77777777" w:rsidR="002F3255" w:rsidRPr="0049064A" w:rsidRDefault="002F3255">
            <w:pPr>
              <w:keepNext/>
              <w:keepLines/>
              <w:rPr>
                <w:rFonts w:asciiTheme="minorHAnsi" w:eastAsia="Times New Roman" w:hAnsiTheme="minorHAnsi" w:cstheme="minorHAnsi"/>
                <w:sz w:val="18"/>
                <w:szCs w:val="18"/>
                <w:lang w:val="es-ES"/>
              </w:rPr>
            </w:pPr>
          </w:p>
        </w:tc>
        <w:tc>
          <w:tcPr>
            <w:tcW w:w="372" w:type="dxa"/>
            <w:tcBorders>
              <w:top w:val="nil"/>
              <w:left w:val="nil"/>
              <w:bottom w:val="nil"/>
              <w:right w:val="nil"/>
            </w:tcBorders>
            <w:noWrap/>
            <w:vAlign w:val="bottom"/>
          </w:tcPr>
          <w:p w14:paraId="40411092" w14:textId="77777777" w:rsidR="002F3255" w:rsidRPr="0049064A" w:rsidRDefault="002F3255">
            <w:pPr>
              <w:keepNext/>
              <w:keepLines/>
              <w:rPr>
                <w:rFonts w:asciiTheme="minorHAnsi" w:eastAsia="Times New Roman" w:hAnsiTheme="minorHAnsi" w:cstheme="minorHAnsi"/>
                <w:sz w:val="18"/>
                <w:szCs w:val="18"/>
                <w:lang w:val="es-ES"/>
              </w:rPr>
            </w:pPr>
          </w:p>
        </w:tc>
      </w:tr>
      <w:tr w:rsidR="002F3255" w:rsidRPr="0049064A" w14:paraId="4041109B" w14:textId="77777777">
        <w:trPr>
          <w:gridAfter w:val="1"/>
          <w:wAfter w:w="671" w:type="dxa"/>
          <w:trHeight w:val="290"/>
        </w:trPr>
        <w:tc>
          <w:tcPr>
            <w:tcW w:w="2410" w:type="dxa"/>
            <w:tcBorders>
              <w:top w:val="nil"/>
              <w:left w:val="nil"/>
              <w:bottom w:val="nil"/>
              <w:right w:val="nil"/>
            </w:tcBorders>
            <w:noWrap/>
            <w:vAlign w:val="center"/>
          </w:tcPr>
          <w:p w14:paraId="40411094" w14:textId="77777777" w:rsidR="002F3255" w:rsidRPr="0049064A" w:rsidRDefault="002F3255" w:rsidP="00CB2E18">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Reuniones de Mesa</w:t>
            </w:r>
          </w:p>
        </w:tc>
        <w:tc>
          <w:tcPr>
            <w:tcW w:w="1418" w:type="dxa"/>
            <w:tcBorders>
              <w:top w:val="nil"/>
              <w:left w:val="nil"/>
              <w:bottom w:val="nil"/>
              <w:right w:val="nil"/>
            </w:tcBorders>
            <w:noWrap/>
            <w:vAlign w:val="center"/>
          </w:tcPr>
          <w:p w14:paraId="4041109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365,0</w:t>
            </w:r>
          </w:p>
        </w:tc>
        <w:tc>
          <w:tcPr>
            <w:tcW w:w="1677" w:type="dxa"/>
            <w:tcBorders>
              <w:top w:val="nil"/>
              <w:left w:val="nil"/>
              <w:bottom w:val="nil"/>
              <w:right w:val="nil"/>
            </w:tcBorders>
            <w:noWrap/>
            <w:vAlign w:val="center"/>
          </w:tcPr>
          <w:p w14:paraId="40411096" w14:textId="77777777" w:rsidR="002F3255" w:rsidRPr="0049064A" w:rsidRDefault="002F3255">
            <w:pPr>
              <w:keepNext/>
              <w:keepLines/>
              <w:ind w:left="-506" w:right="35"/>
              <w:jc w:val="right"/>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w:t>
            </w:r>
          </w:p>
        </w:tc>
        <w:tc>
          <w:tcPr>
            <w:tcW w:w="236" w:type="dxa"/>
            <w:tcBorders>
              <w:top w:val="nil"/>
              <w:left w:val="nil"/>
              <w:bottom w:val="nil"/>
              <w:right w:val="nil"/>
            </w:tcBorders>
          </w:tcPr>
          <w:p w14:paraId="4041109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9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278,9</w:t>
            </w:r>
          </w:p>
        </w:tc>
        <w:tc>
          <w:tcPr>
            <w:tcW w:w="1843" w:type="dxa"/>
            <w:tcBorders>
              <w:top w:val="nil"/>
              <w:left w:val="nil"/>
              <w:bottom w:val="nil"/>
              <w:right w:val="nil"/>
            </w:tcBorders>
            <w:noWrap/>
            <w:vAlign w:val="center"/>
          </w:tcPr>
          <w:p w14:paraId="4041109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278,9</w:t>
            </w:r>
          </w:p>
        </w:tc>
        <w:tc>
          <w:tcPr>
            <w:tcW w:w="372" w:type="dxa"/>
            <w:tcBorders>
              <w:top w:val="nil"/>
              <w:left w:val="nil"/>
              <w:bottom w:val="nil"/>
              <w:right w:val="nil"/>
            </w:tcBorders>
            <w:noWrap/>
            <w:vAlign w:val="bottom"/>
          </w:tcPr>
          <w:p w14:paraId="4041109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A3" w14:textId="77777777">
        <w:trPr>
          <w:gridAfter w:val="1"/>
          <w:wAfter w:w="671" w:type="dxa"/>
          <w:trHeight w:val="290"/>
        </w:trPr>
        <w:tc>
          <w:tcPr>
            <w:tcW w:w="2410" w:type="dxa"/>
            <w:tcBorders>
              <w:top w:val="nil"/>
              <w:left w:val="nil"/>
              <w:bottom w:val="nil"/>
              <w:right w:val="nil"/>
            </w:tcBorders>
            <w:noWrap/>
            <w:vAlign w:val="center"/>
          </w:tcPr>
          <w:p w14:paraId="4041109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Reuniones de expertos</w:t>
            </w:r>
          </w:p>
        </w:tc>
        <w:tc>
          <w:tcPr>
            <w:tcW w:w="1418" w:type="dxa"/>
            <w:tcBorders>
              <w:top w:val="nil"/>
              <w:left w:val="nil"/>
              <w:bottom w:val="nil"/>
              <w:right w:val="nil"/>
            </w:tcBorders>
            <w:noWrap/>
            <w:vAlign w:val="center"/>
          </w:tcPr>
          <w:p w14:paraId="4041109D"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320,0</w:t>
            </w:r>
          </w:p>
        </w:tc>
        <w:tc>
          <w:tcPr>
            <w:tcW w:w="1677" w:type="dxa"/>
            <w:tcBorders>
              <w:top w:val="nil"/>
              <w:left w:val="nil"/>
              <w:bottom w:val="nil"/>
              <w:right w:val="nil"/>
            </w:tcBorders>
            <w:noWrap/>
            <w:vAlign w:val="center"/>
          </w:tcPr>
          <w:p w14:paraId="4041109E" w14:textId="77777777" w:rsidR="002F3255" w:rsidRPr="0049064A" w:rsidRDefault="002F3255">
            <w:pPr>
              <w:keepNext/>
              <w:keepLines/>
              <w:ind w:left="-506" w:right="35"/>
              <w:jc w:val="right"/>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w:t>
            </w:r>
          </w:p>
        </w:tc>
        <w:tc>
          <w:tcPr>
            <w:tcW w:w="236" w:type="dxa"/>
            <w:tcBorders>
              <w:top w:val="nil"/>
              <w:left w:val="nil"/>
              <w:bottom w:val="nil"/>
              <w:right w:val="nil"/>
            </w:tcBorders>
          </w:tcPr>
          <w:p w14:paraId="4041109F"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A0"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320,0</w:t>
            </w:r>
          </w:p>
        </w:tc>
        <w:tc>
          <w:tcPr>
            <w:tcW w:w="1843" w:type="dxa"/>
            <w:tcBorders>
              <w:top w:val="nil"/>
              <w:left w:val="nil"/>
              <w:bottom w:val="nil"/>
              <w:right w:val="nil"/>
            </w:tcBorders>
            <w:noWrap/>
            <w:vAlign w:val="center"/>
          </w:tcPr>
          <w:p w14:paraId="404110A1"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320,0</w:t>
            </w:r>
          </w:p>
        </w:tc>
        <w:tc>
          <w:tcPr>
            <w:tcW w:w="372" w:type="dxa"/>
            <w:tcBorders>
              <w:top w:val="nil"/>
              <w:left w:val="nil"/>
              <w:bottom w:val="nil"/>
              <w:right w:val="nil"/>
            </w:tcBorders>
            <w:noWrap/>
            <w:vAlign w:val="bottom"/>
          </w:tcPr>
          <w:p w14:paraId="404110A2"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AB" w14:textId="77777777">
        <w:trPr>
          <w:gridAfter w:val="1"/>
          <w:wAfter w:w="671" w:type="dxa"/>
          <w:trHeight w:val="310"/>
        </w:trPr>
        <w:tc>
          <w:tcPr>
            <w:tcW w:w="2410" w:type="dxa"/>
            <w:tcBorders>
              <w:top w:val="nil"/>
              <w:left w:val="nil"/>
              <w:bottom w:val="nil"/>
              <w:right w:val="nil"/>
            </w:tcBorders>
            <w:noWrap/>
            <w:vAlign w:val="center"/>
          </w:tcPr>
          <w:p w14:paraId="404110A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Reuniones de órganos intergubernamentales</w:t>
            </w:r>
          </w:p>
        </w:tc>
        <w:tc>
          <w:tcPr>
            <w:tcW w:w="1418" w:type="dxa"/>
            <w:tcBorders>
              <w:top w:val="nil"/>
              <w:left w:val="nil"/>
              <w:bottom w:val="nil"/>
              <w:right w:val="nil"/>
            </w:tcBorders>
            <w:noWrap/>
            <w:vAlign w:val="center"/>
          </w:tcPr>
          <w:p w14:paraId="404110A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688,0</w:t>
            </w:r>
          </w:p>
        </w:tc>
        <w:tc>
          <w:tcPr>
            <w:tcW w:w="1677" w:type="dxa"/>
            <w:tcBorders>
              <w:top w:val="nil"/>
              <w:left w:val="nil"/>
              <w:bottom w:val="nil"/>
              <w:right w:val="nil"/>
            </w:tcBorders>
            <w:noWrap/>
            <w:vAlign w:val="center"/>
          </w:tcPr>
          <w:p w14:paraId="404110A6"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469,8</w:t>
            </w:r>
          </w:p>
        </w:tc>
        <w:tc>
          <w:tcPr>
            <w:tcW w:w="236" w:type="dxa"/>
            <w:tcBorders>
              <w:top w:val="nil"/>
              <w:left w:val="nil"/>
              <w:bottom w:val="nil"/>
              <w:right w:val="nil"/>
            </w:tcBorders>
          </w:tcPr>
          <w:p w14:paraId="404110A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A8" w14:textId="77777777" w:rsidR="002F3255" w:rsidRPr="0049064A" w:rsidRDefault="002F3255">
            <w:pPr>
              <w:jc w:val="right"/>
              <w:rPr>
                <w:rFonts w:asciiTheme="minorHAnsi" w:eastAsia="Times New Roman" w:hAnsiTheme="minorHAnsi" w:cstheme="minorHAnsi"/>
                <w:sz w:val="18"/>
                <w:szCs w:val="18"/>
                <w:lang w:val="es-ES"/>
              </w:rPr>
            </w:pPr>
            <w:r w:rsidRPr="0049064A">
              <w:rPr>
                <w:rFonts w:asciiTheme="minorHAnsi" w:eastAsia="Times New Roman" w:hAnsiTheme="minorHAnsi" w:cstheme="minorHAnsi"/>
                <w:sz w:val="18"/>
                <w:szCs w:val="18"/>
                <w:lang w:val="es-ES"/>
              </w:rPr>
              <w:t>3</w:t>
            </w:r>
            <w:r w:rsidR="0049064A" w:rsidRPr="0049064A">
              <w:rPr>
                <w:rFonts w:asciiTheme="minorHAnsi" w:eastAsia="Times New Roman" w:hAnsiTheme="minorHAnsi" w:cstheme="minorHAnsi"/>
                <w:sz w:val="18"/>
                <w:szCs w:val="18"/>
                <w:lang w:val="es-ES"/>
              </w:rPr>
              <w:t xml:space="preserve"> </w:t>
            </w:r>
            <w:r w:rsidRPr="0049064A">
              <w:rPr>
                <w:rFonts w:asciiTheme="minorHAnsi" w:eastAsia="Times New Roman" w:hAnsiTheme="minorHAnsi" w:cstheme="minorHAnsi"/>
                <w:sz w:val="18"/>
                <w:szCs w:val="18"/>
                <w:lang w:val="es-ES"/>
              </w:rPr>
              <w:t>970,0</w:t>
            </w:r>
          </w:p>
        </w:tc>
        <w:tc>
          <w:tcPr>
            <w:tcW w:w="1843" w:type="dxa"/>
            <w:tcBorders>
              <w:top w:val="nil"/>
              <w:left w:val="nil"/>
              <w:bottom w:val="nil"/>
              <w:right w:val="nil"/>
            </w:tcBorders>
            <w:noWrap/>
            <w:vAlign w:val="center"/>
          </w:tcPr>
          <w:p w14:paraId="404110A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sz w:val="18"/>
                <w:szCs w:val="18"/>
                <w:lang w:val="es-ES"/>
              </w:rPr>
              <w:t>3</w:t>
            </w:r>
            <w:r w:rsidR="0049064A">
              <w:rPr>
                <w:rFonts w:asciiTheme="minorHAnsi" w:eastAsia="Times New Roman" w:hAnsiTheme="minorHAnsi" w:cstheme="minorHAnsi"/>
                <w:sz w:val="18"/>
                <w:szCs w:val="18"/>
                <w:lang w:val="es-ES"/>
              </w:rPr>
              <w:t xml:space="preserve"> </w:t>
            </w:r>
            <w:r w:rsidRPr="0049064A">
              <w:rPr>
                <w:rFonts w:asciiTheme="minorHAnsi" w:eastAsia="Times New Roman" w:hAnsiTheme="minorHAnsi" w:cstheme="minorHAnsi"/>
                <w:sz w:val="18"/>
                <w:szCs w:val="18"/>
                <w:lang w:val="es-ES"/>
              </w:rPr>
              <w:t>970,0</w:t>
            </w:r>
          </w:p>
        </w:tc>
        <w:tc>
          <w:tcPr>
            <w:tcW w:w="372" w:type="dxa"/>
            <w:tcBorders>
              <w:top w:val="nil"/>
              <w:left w:val="nil"/>
              <w:bottom w:val="nil"/>
              <w:right w:val="nil"/>
            </w:tcBorders>
            <w:noWrap/>
            <w:vAlign w:val="bottom"/>
          </w:tcPr>
          <w:p w14:paraId="404110A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B3" w14:textId="77777777">
        <w:trPr>
          <w:gridAfter w:val="1"/>
          <w:wAfter w:w="671" w:type="dxa"/>
          <w:trHeight w:val="320"/>
        </w:trPr>
        <w:tc>
          <w:tcPr>
            <w:tcW w:w="2410" w:type="dxa"/>
            <w:tcBorders>
              <w:top w:val="nil"/>
              <w:left w:val="nil"/>
              <w:bottom w:val="nil"/>
              <w:right w:val="nil"/>
            </w:tcBorders>
            <w:noWrap/>
            <w:vAlign w:val="center"/>
          </w:tcPr>
          <w:p w14:paraId="404110A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Reuniones extraordinarias sobre el marco mundial de la diversidad biológica posterior a 2020</w:t>
            </w:r>
          </w:p>
        </w:tc>
        <w:tc>
          <w:tcPr>
            <w:tcW w:w="1418" w:type="dxa"/>
            <w:tcBorders>
              <w:top w:val="nil"/>
              <w:left w:val="nil"/>
              <w:bottom w:val="nil"/>
              <w:right w:val="nil"/>
            </w:tcBorders>
            <w:noWrap/>
            <w:vAlign w:val="center"/>
          </w:tcPr>
          <w:p w14:paraId="404110AD"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310,0</w:t>
            </w:r>
          </w:p>
        </w:tc>
        <w:tc>
          <w:tcPr>
            <w:tcW w:w="1677" w:type="dxa"/>
            <w:tcBorders>
              <w:top w:val="nil"/>
              <w:left w:val="nil"/>
              <w:bottom w:val="nil"/>
              <w:right w:val="nil"/>
            </w:tcBorders>
            <w:noWrap/>
            <w:vAlign w:val="center"/>
          </w:tcPr>
          <w:p w14:paraId="404110AE"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350,0</w:t>
            </w:r>
          </w:p>
        </w:tc>
        <w:tc>
          <w:tcPr>
            <w:tcW w:w="236" w:type="dxa"/>
            <w:tcBorders>
              <w:top w:val="nil"/>
              <w:left w:val="nil"/>
              <w:bottom w:val="nil"/>
              <w:right w:val="nil"/>
            </w:tcBorders>
          </w:tcPr>
          <w:p w14:paraId="404110AF"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nil"/>
              <w:left w:val="nil"/>
              <w:bottom w:val="nil"/>
              <w:right w:val="nil"/>
            </w:tcBorders>
            <w:noWrap/>
            <w:vAlign w:val="center"/>
          </w:tcPr>
          <w:p w14:paraId="404110B0"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w:t>
            </w:r>
          </w:p>
        </w:tc>
        <w:tc>
          <w:tcPr>
            <w:tcW w:w="1843" w:type="dxa"/>
            <w:tcBorders>
              <w:top w:val="nil"/>
              <w:left w:val="nil"/>
              <w:bottom w:val="nil"/>
              <w:right w:val="nil"/>
            </w:tcBorders>
            <w:noWrap/>
            <w:vAlign w:val="bottom"/>
          </w:tcPr>
          <w:p w14:paraId="404110B1" w14:textId="77777777" w:rsidR="002F3255" w:rsidRPr="0049064A" w:rsidRDefault="002F3255">
            <w:pPr>
              <w:keepNext/>
              <w:keepLines/>
              <w:jc w:val="right"/>
              <w:rPr>
                <w:rFonts w:asciiTheme="minorHAnsi" w:eastAsia="Times New Roman" w:hAnsiTheme="minorHAnsi" w:cstheme="minorHAnsi"/>
                <w:sz w:val="18"/>
                <w:szCs w:val="18"/>
                <w:lang w:val="es-ES"/>
              </w:rPr>
            </w:pPr>
            <w:r w:rsidRPr="0049064A">
              <w:rPr>
                <w:rFonts w:asciiTheme="minorHAnsi" w:eastAsia="Times New Roman" w:hAnsiTheme="minorHAnsi" w:cstheme="minorHAnsi"/>
                <w:b/>
                <w:bCs/>
                <w:color w:val="000000"/>
                <w:sz w:val="18"/>
                <w:szCs w:val="18"/>
                <w:lang w:val="es-ES"/>
              </w:rPr>
              <w:t>---</w:t>
            </w:r>
          </w:p>
        </w:tc>
        <w:tc>
          <w:tcPr>
            <w:tcW w:w="372" w:type="dxa"/>
            <w:tcBorders>
              <w:top w:val="nil"/>
              <w:left w:val="nil"/>
              <w:bottom w:val="nil"/>
              <w:right w:val="nil"/>
            </w:tcBorders>
            <w:noWrap/>
            <w:vAlign w:val="bottom"/>
          </w:tcPr>
          <w:p w14:paraId="404110B2" w14:textId="77777777" w:rsidR="002F3255" w:rsidRPr="0049064A" w:rsidRDefault="002F3255">
            <w:pPr>
              <w:keepNext/>
              <w:keepLines/>
              <w:rPr>
                <w:rFonts w:asciiTheme="minorHAnsi" w:eastAsia="Times New Roman" w:hAnsiTheme="minorHAnsi" w:cstheme="minorHAnsi"/>
                <w:sz w:val="18"/>
                <w:szCs w:val="18"/>
                <w:lang w:val="es-ES"/>
              </w:rPr>
            </w:pPr>
          </w:p>
        </w:tc>
      </w:tr>
      <w:tr w:rsidR="002F3255" w:rsidRPr="0049064A" w14:paraId="404110BB" w14:textId="77777777">
        <w:trPr>
          <w:gridAfter w:val="1"/>
          <w:wAfter w:w="671" w:type="dxa"/>
          <w:trHeight w:val="300"/>
        </w:trPr>
        <w:tc>
          <w:tcPr>
            <w:tcW w:w="2410" w:type="dxa"/>
            <w:tcBorders>
              <w:top w:val="single" w:sz="8" w:space="0" w:color="auto"/>
              <w:left w:val="nil"/>
              <w:bottom w:val="single" w:sz="8" w:space="0" w:color="auto"/>
              <w:right w:val="nil"/>
            </w:tcBorders>
            <w:noWrap/>
            <w:vAlign w:val="center"/>
          </w:tcPr>
          <w:p w14:paraId="404110B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Subtotal</w:t>
            </w:r>
          </w:p>
        </w:tc>
        <w:tc>
          <w:tcPr>
            <w:tcW w:w="1418" w:type="dxa"/>
            <w:tcBorders>
              <w:top w:val="single" w:sz="8" w:space="0" w:color="auto"/>
              <w:left w:val="nil"/>
              <w:bottom w:val="single" w:sz="8" w:space="0" w:color="auto"/>
              <w:right w:val="nil"/>
            </w:tcBorders>
            <w:noWrap/>
            <w:vAlign w:val="center"/>
          </w:tcPr>
          <w:p w14:paraId="404110B5"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5</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683,0</w:t>
            </w:r>
          </w:p>
        </w:tc>
        <w:tc>
          <w:tcPr>
            <w:tcW w:w="1677" w:type="dxa"/>
            <w:tcBorders>
              <w:top w:val="single" w:sz="8" w:space="0" w:color="auto"/>
              <w:left w:val="nil"/>
              <w:bottom w:val="single" w:sz="8" w:space="0" w:color="auto"/>
              <w:right w:val="nil"/>
            </w:tcBorders>
            <w:noWrap/>
            <w:vAlign w:val="center"/>
          </w:tcPr>
          <w:p w14:paraId="404110B6" w14:textId="77777777" w:rsidR="002F3255" w:rsidRPr="0049064A" w:rsidRDefault="002F3255">
            <w:pPr>
              <w:keepNext/>
              <w:keepLines/>
              <w:ind w:left="-506" w:right="35"/>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1</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819,8</w:t>
            </w:r>
          </w:p>
        </w:tc>
        <w:tc>
          <w:tcPr>
            <w:tcW w:w="236" w:type="dxa"/>
            <w:tcBorders>
              <w:top w:val="single" w:sz="8" w:space="0" w:color="auto"/>
              <w:left w:val="nil"/>
              <w:bottom w:val="single" w:sz="8" w:space="0" w:color="auto"/>
              <w:right w:val="nil"/>
            </w:tcBorders>
          </w:tcPr>
          <w:p w14:paraId="404110B7"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single" w:sz="8" w:space="0" w:color="auto"/>
              <w:left w:val="nil"/>
              <w:bottom w:val="single" w:sz="8" w:space="0" w:color="auto"/>
              <w:right w:val="nil"/>
            </w:tcBorders>
            <w:noWrap/>
            <w:vAlign w:val="center"/>
          </w:tcPr>
          <w:p w14:paraId="404110B8"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4</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568,9</w:t>
            </w:r>
          </w:p>
        </w:tc>
        <w:tc>
          <w:tcPr>
            <w:tcW w:w="1843" w:type="dxa"/>
            <w:tcBorders>
              <w:top w:val="single" w:sz="8" w:space="0" w:color="auto"/>
              <w:left w:val="nil"/>
              <w:bottom w:val="single" w:sz="8" w:space="0" w:color="auto"/>
              <w:right w:val="nil"/>
            </w:tcBorders>
            <w:noWrap/>
            <w:vAlign w:val="center"/>
          </w:tcPr>
          <w:p w14:paraId="404110B9"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4</w:t>
            </w:r>
            <w:r w:rsid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568,9</w:t>
            </w:r>
          </w:p>
        </w:tc>
        <w:tc>
          <w:tcPr>
            <w:tcW w:w="372" w:type="dxa"/>
            <w:tcBorders>
              <w:top w:val="nil"/>
              <w:left w:val="nil"/>
              <w:bottom w:val="nil"/>
              <w:right w:val="nil"/>
            </w:tcBorders>
            <w:noWrap/>
            <w:vAlign w:val="bottom"/>
          </w:tcPr>
          <w:p w14:paraId="404110BA"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r>
      <w:tr w:rsidR="002F3255" w:rsidRPr="0049064A" w14:paraId="404110C3" w14:textId="77777777">
        <w:trPr>
          <w:gridAfter w:val="1"/>
          <w:wAfter w:w="671" w:type="dxa"/>
          <w:trHeight w:val="310"/>
        </w:trPr>
        <w:tc>
          <w:tcPr>
            <w:tcW w:w="2410" w:type="dxa"/>
            <w:tcBorders>
              <w:top w:val="nil"/>
              <w:left w:val="nil"/>
              <w:bottom w:val="nil"/>
              <w:right w:val="nil"/>
            </w:tcBorders>
            <w:noWrap/>
            <w:vAlign w:val="center"/>
          </w:tcPr>
          <w:p w14:paraId="404110B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Gastos de funcionamiento</w:t>
            </w:r>
          </w:p>
        </w:tc>
        <w:tc>
          <w:tcPr>
            <w:tcW w:w="1418" w:type="dxa"/>
            <w:tcBorders>
              <w:top w:val="nil"/>
              <w:left w:val="nil"/>
              <w:bottom w:val="nil"/>
              <w:right w:val="nil"/>
            </w:tcBorders>
            <w:noWrap/>
            <w:vAlign w:val="bottom"/>
          </w:tcPr>
          <w:p w14:paraId="404110BD" w14:textId="77777777" w:rsidR="002F3255" w:rsidRPr="0049064A" w:rsidRDefault="002F3255">
            <w:pPr>
              <w:keepNext/>
              <w:keepLines/>
              <w:rPr>
                <w:rFonts w:asciiTheme="minorHAnsi" w:eastAsia="Times New Roman" w:hAnsiTheme="minorHAnsi" w:cstheme="minorHAnsi"/>
                <w:b/>
                <w:bCs/>
                <w:color w:val="000000"/>
                <w:sz w:val="18"/>
                <w:szCs w:val="18"/>
                <w:lang w:val="es-ES"/>
              </w:rPr>
            </w:pPr>
          </w:p>
        </w:tc>
        <w:tc>
          <w:tcPr>
            <w:tcW w:w="1677" w:type="dxa"/>
            <w:tcBorders>
              <w:top w:val="nil"/>
              <w:left w:val="nil"/>
              <w:bottom w:val="nil"/>
              <w:right w:val="nil"/>
            </w:tcBorders>
            <w:noWrap/>
            <w:vAlign w:val="bottom"/>
          </w:tcPr>
          <w:p w14:paraId="404110BE" w14:textId="77777777" w:rsidR="002F3255" w:rsidRPr="0049064A" w:rsidRDefault="002F3255">
            <w:pPr>
              <w:keepNext/>
              <w:keepLines/>
              <w:ind w:left="-506" w:right="-705"/>
              <w:rPr>
                <w:rFonts w:asciiTheme="minorHAnsi" w:eastAsia="Times New Roman" w:hAnsiTheme="minorHAnsi" w:cstheme="minorHAnsi"/>
                <w:sz w:val="18"/>
                <w:szCs w:val="18"/>
                <w:lang w:val="es-ES"/>
              </w:rPr>
            </w:pPr>
          </w:p>
        </w:tc>
        <w:tc>
          <w:tcPr>
            <w:tcW w:w="236" w:type="dxa"/>
            <w:tcBorders>
              <w:top w:val="nil"/>
              <w:left w:val="nil"/>
              <w:bottom w:val="nil"/>
              <w:right w:val="nil"/>
            </w:tcBorders>
          </w:tcPr>
          <w:p w14:paraId="404110BF" w14:textId="77777777" w:rsidR="002F3255" w:rsidRPr="0049064A" w:rsidRDefault="002F3255">
            <w:pPr>
              <w:keepNext/>
              <w:keepLines/>
              <w:rPr>
                <w:rFonts w:asciiTheme="minorHAnsi" w:eastAsia="Times New Roman" w:hAnsiTheme="minorHAnsi" w:cstheme="minorHAnsi"/>
                <w:sz w:val="18"/>
                <w:szCs w:val="18"/>
                <w:lang w:val="es-ES"/>
              </w:rPr>
            </w:pPr>
          </w:p>
        </w:tc>
        <w:tc>
          <w:tcPr>
            <w:tcW w:w="1673" w:type="dxa"/>
            <w:tcBorders>
              <w:top w:val="nil"/>
              <w:left w:val="nil"/>
              <w:bottom w:val="nil"/>
              <w:right w:val="nil"/>
            </w:tcBorders>
            <w:noWrap/>
            <w:vAlign w:val="bottom"/>
          </w:tcPr>
          <w:p w14:paraId="404110C0" w14:textId="77777777" w:rsidR="002F3255" w:rsidRPr="0049064A" w:rsidRDefault="002F3255">
            <w:pPr>
              <w:keepNext/>
              <w:keepLines/>
              <w:rPr>
                <w:rFonts w:asciiTheme="minorHAnsi" w:eastAsia="Times New Roman" w:hAnsiTheme="minorHAnsi" w:cstheme="minorHAnsi"/>
                <w:sz w:val="18"/>
                <w:szCs w:val="18"/>
                <w:lang w:val="es-ES"/>
              </w:rPr>
            </w:pPr>
          </w:p>
        </w:tc>
        <w:tc>
          <w:tcPr>
            <w:tcW w:w="1843" w:type="dxa"/>
            <w:tcBorders>
              <w:top w:val="nil"/>
              <w:left w:val="nil"/>
              <w:bottom w:val="nil"/>
              <w:right w:val="nil"/>
            </w:tcBorders>
            <w:noWrap/>
            <w:vAlign w:val="bottom"/>
          </w:tcPr>
          <w:p w14:paraId="404110C1" w14:textId="77777777" w:rsidR="002F3255" w:rsidRPr="0049064A" w:rsidRDefault="002F3255">
            <w:pPr>
              <w:keepNext/>
              <w:keepLines/>
              <w:rPr>
                <w:rFonts w:asciiTheme="minorHAnsi" w:eastAsia="Times New Roman" w:hAnsiTheme="minorHAnsi" w:cstheme="minorHAnsi"/>
                <w:sz w:val="18"/>
                <w:szCs w:val="18"/>
                <w:lang w:val="es-ES"/>
              </w:rPr>
            </w:pPr>
          </w:p>
        </w:tc>
        <w:tc>
          <w:tcPr>
            <w:tcW w:w="372" w:type="dxa"/>
            <w:tcBorders>
              <w:top w:val="nil"/>
              <w:left w:val="nil"/>
              <w:bottom w:val="nil"/>
              <w:right w:val="nil"/>
            </w:tcBorders>
            <w:noWrap/>
            <w:vAlign w:val="bottom"/>
          </w:tcPr>
          <w:p w14:paraId="404110C2" w14:textId="77777777" w:rsidR="002F3255" w:rsidRPr="0049064A" w:rsidRDefault="002F3255">
            <w:pPr>
              <w:keepNext/>
              <w:keepLines/>
              <w:rPr>
                <w:rFonts w:asciiTheme="minorHAnsi" w:eastAsia="Times New Roman" w:hAnsiTheme="minorHAnsi" w:cstheme="minorHAnsi"/>
                <w:sz w:val="18"/>
                <w:szCs w:val="18"/>
                <w:lang w:val="es-ES"/>
              </w:rPr>
            </w:pPr>
          </w:p>
        </w:tc>
      </w:tr>
      <w:tr w:rsidR="002F3255" w:rsidRPr="0049064A" w14:paraId="404110CB" w14:textId="77777777">
        <w:trPr>
          <w:gridAfter w:val="1"/>
          <w:wAfter w:w="671" w:type="dxa"/>
          <w:trHeight w:val="290"/>
        </w:trPr>
        <w:tc>
          <w:tcPr>
            <w:tcW w:w="2410" w:type="dxa"/>
            <w:tcBorders>
              <w:top w:val="nil"/>
              <w:left w:val="nil"/>
              <w:bottom w:val="nil"/>
              <w:right w:val="nil"/>
            </w:tcBorders>
            <w:noWrap/>
            <w:vAlign w:val="center"/>
          </w:tcPr>
          <w:p w14:paraId="404110C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Consultores</w:t>
            </w:r>
          </w:p>
        </w:tc>
        <w:tc>
          <w:tcPr>
            <w:tcW w:w="1418" w:type="dxa"/>
            <w:tcBorders>
              <w:top w:val="nil"/>
              <w:left w:val="nil"/>
              <w:bottom w:val="nil"/>
              <w:right w:val="nil"/>
            </w:tcBorders>
            <w:noWrap/>
            <w:vAlign w:val="center"/>
          </w:tcPr>
          <w:p w14:paraId="404110C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1677" w:type="dxa"/>
            <w:tcBorders>
              <w:top w:val="nil"/>
              <w:left w:val="nil"/>
              <w:bottom w:val="nil"/>
              <w:right w:val="nil"/>
            </w:tcBorders>
            <w:noWrap/>
            <w:vAlign w:val="center"/>
          </w:tcPr>
          <w:p w14:paraId="404110C6"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236" w:type="dxa"/>
            <w:tcBorders>
              <w:top w:val="nil"/>
              <w:left w:val="nil"/>
              <w:bottom w:val="nil"/>
              <w:right w:val="nil"/>
            </w:tcBorders>
          </w:tcPr>
          <w:p w14:paraId="404110C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C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1843" w:type="dxa"/>
            <w:tcBorders>
              <w:top w:val="nil"/>
              <w:left w:val="nil"/>
              <w:bottom w:val="nil"/>
              <w:right w:val="nil"/>
            </w:tcBorders>
            <w:noWrap/>
            <w:vAlign w:val="center"/>
          </w:tcPr>
          <w:p w14:paraId="404110C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372" w:type="dxa"/>
            <w:tcBorders>
              <w:top w:val="nil"/>
              <w:left w:val="nil"/>
              <w:bottom w:val="nil"/>
              <w:right w:val="nil"/>
            </w:tcBorders>
            <w:noWrap/>
            <w:vAlign w:val="bottom"/>
          </w:tcPr>
          <w:p w14:paraId="404110C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D3" w14:textId="77777777">
        <w:trPr>
          <w:gridAfter w:val="1"/>
          <w:wAfter w:w="671" w:type="dxa"/>
          <w:trHeight w:val="290"/>
        </w:trPr>
        <w:tc>
          <w:tcPr>
            <w:tcW w:w="2410" w:type="dxa"/>
            <w:tcBorders>
              <w:top w:val="nil"/>
              <w:left w:val="nil"/>
              <w:bottom w:val="nil"/>
              <w:right w:val="nil"/>
            </w:tcBorders>
            <w:noWrap/>
            <w:vAlign w:val="center"/>
          </w:tcPr>
          <w:p w14:paraId="404110C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Viajes oficiales</w:t>
            </w:r>
          </w:p>
        </w:tc>
        <w:tc>
          <w:tcPr>
            <w:tcW w:w="1418" w:type="dxa"/>
            <w:tcBorders>
              <w:top w:val="nil"/>
              <w:left w:val="nil"/>
              <w:bottom w:val="nil"/>
              <w:right w:val="nil"/>
            </w:tcBorders>
            <w:noWrap/>
            <w:vAlign w:val="center"/>
          </w:tcPr>
          <w:p w14:paraId="404110CD"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800,0</w:t>
            </w:r>
          </w:p>
        </w:tc>
        <w:tc>
          <w:tcPr>
            <w:tcW w:w="1677" w:type="dxa"/>
            <w:tcBorders>
              <w:top w:val="nil"/>
              <w:left w:val="nil"/>
              <w:bottom w:val="nil"/>
              <w:right w:val="nil"/>
            </w:tcBorders>
            <w:noWrap/>
            <w:vAlign w:val="center"/>
          </w:tcPr>
          <w:p w14:paraId="404110CE"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550,0</w:t>
            </w:r>
          </w:p>
        </w:tc>
        <w:tc>
          <w:tcPr>
            <w:tcW w:w="236" w:type="dxa"/>
            <w:tcBorders>
              <w:top w:val="nil"/>
              <w:left w:val="nil"/>
              <w:bottom w:val="nil"/>
              <w:right w:val="nil"/>
            </w:tcBorders>
          </w:tcPr>
          <w:p w14:paraId="404110CF"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D0"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640,0</w:t>
            </w:r>
          </w:p>
        </w:tc>
        <w:tc>
          <w:tcPr>
            <w:tcW w:w="1843" w:type="dxa"/>
            <w:tcBorders>
              <w:top w:val="nil"/>
              <w:left w:val="nil"/>
              <w:bottom w:val="nil"/>
              <w:right w:val="nil"/>
            </w:tcBorders>
            <w:noWrap/>
            <w:vAlign w:val="center"/>
          </w:tcPr>
          <w:p w14:paraId="404110D1"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600,0</w:t>
            </w:r>
          </w:p>
        </w:tc>
        <w:tc>
          <w:tcPr>
            <w:tcW w:w="372" w:type="dxa"/>
            <w:tcBorders>
              <w:top w:val="nil"/>
              <w:left w:val="nil"/>
              <w:bottom w:val="nil"/>
              <w:right w:val="nil"/>
            </w:tcBorders>
            <w:noWrap/>
            <w:vAlign w:val="bottom"/>
          </w:tcPr>
          <w:p w14:paraId="404110D2"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DB" w14:textId="77777777">
        <w:trPr>
          <w:gridAfter w:val="1"/>
          <w:wAfter w:w="671" w:type="dxa"/>
          <w:trHeight w:val="290"/>
        </w:trPr>
        <w:tc>
          <w:tcPr>
            <w:tcW w:w="2410" w:type="dxa"/>
            <w:tcBorders>
              <w:top w:val="nil"/>
              <w:left w:val="nil"/>
              <w:bottom w:val="nil"/>
              <w:right w:val="nil"/>
            </w:tcBorders>
            <w:noWrap/>
            <w:vAlign w:val="center"/>
          </w:tcPr>
          <w:p w14:paraId="404110D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Alquiler y gastos relacionados</w:t>
            </w:r>
          </w:p>
        </w:tc>
        <w:tc>
          <w:tcPr>
            <w:tcW w:w="1418" w:type="dxa"/>
            <w:tcBorders>
              <w:top w:val="nil"/>
              <w:left w:val="nil"/>
              <w:bottom w:val="nil"/>
              <w:right w:val="nil"/>
            </w:tcBorders>
            <w:noWrap/>
            <w:vAlign w:val="center"/>
          </w:tcPr>
          <w:p w14:paraId="404110D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652,9</w:t>
            </w:r>
          </w:p>
        </w:tc>
        <w:tc>
          <w:tcPr>
            <w:tcW w:w="1677" w:type="dxa"/>
            <w:tcBorders>
              <w:top w:val="nil"/>
              <w:left w:val="nil"/>
              <w:bottom w:val="nil"/>
              <w:right w:val="nil"/>
            </w:tcBorders>
            <w:noWrap/>
            <w:vAlign w:val="center"/>
          </w:tcPr>
          <w:p w14:paraId="404110D6"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839,4</w:t>
            </w:r>
          </w:p>
        </w:tc>
        <w:tc>
          <w:tcPr>
            <w:tcW w:w="236" w:type="dxa"/>
            <w:tcBorders>
              <w:top w:val="nil"/>
              <w:left w:val="nil"/>
              <w:bottom w:val="nil"/>
              <w:right w:val="nil"/>
            </w:tcBorders>
          </w:tcPr>
          <w:p w14:paraId="404110D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D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918,7</w:t>
            </w:r>
          </w:p>
        </w:tc>
        <w:tc>
          <w:tcPr>
            <w:tcW w:w="1843" w:type="dxa"/>
            <w:tcBorders>
              <w:top w:val="nil"/>
              <w:left w:val="nil"/>
              <w:bottom w:val="nil"/>
              <w:right w:val="nil"/>
            </w:tcBorders>
            <w:noWrap/>
            <w:vAlign w:val="center"/>
          </w:tcPr>
          <w:p w14:paraId="404110D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w:t>
            </w:r>
            <w:r w:rsid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918,7</w:t>
            </w:r>
          </w:p>
        </w:tc>
        <w:tc>
          <w:tcPr>
            <w:tcW w:w="372" w:type="dxa"/>
            <w:tcBorders>
              <w:top w:val="nil"/>
              <w:left w:val="nil"/>
              <w:bottom w:val="nil"/>
              <w:right w:val="nil"/>
            </w:tcBorders>
            <w:noWrap/>
            <w:vAlign w:val="bottom"/>
          </w:tcPr>
          <w:p w14:paraId="404110D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E3" w14:textId="77777777">
        <w:trPr>
          <w:gridAfter w:val="1"/>
          <w:wAfter w:w="671" w:type="dxa"/>
          <w:trHeight w:val="290"/>
        </w:trPr>
        <w:tc>
          <w:tcPr>
            <w:tcW w:w="2410" w:type="dxa"/>
            <w:tcBorders>
              <w:top w:val="nil"/>
              <w:left w:val="nil"/>
              <w:bottom w:val="nil"/>
              <w:right w:val="nil"/>
            </w:tcBorders>
            <w:noWrap/>
            <w:vAlign w:val="center"/>
          </w:tcPr>
          <w:p w14:paraId="404110D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Capacitación</w:t>
            </w:r>
          </w:p>
        </w:tc>
        <w:tc>
          <w:tcPr>
            <w:tcW w:w="1418" w:type="dxa"/>
            <w:tcBorders>
              <w:top w:val="nil"/>
              <w:left w:val="nil"/>
              <w:bottom w:val="nil"/>
              <w:right w:val="nil"/>
            </w:tcBorders>
            <w:noWrap/>
            <w:vAlign w:val="center"/>
          </w:tcPr>
          <w:p w14:paraId="404110DD"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w:t>
            </w:r>
          </w:p>
        </w:tc>
        <w:tc>
          <w:tcPr>
            <w:tcW w:w="1677" w:type="dxa"/>
            <w:tcBorders>
              <w:top w:val="nil"/>
              <w:left w:val="nil"/>
              <w:bottom w:val="nil"/>
              <w:right w:val="nil"/>
            </w:tcBorders>
            <w:noWrap/>
            <w:vAlign w:val="center"/>
          </w:tcPr>
          <w:p w14:paraId="404110DE"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w:t>
            </w:r>
          </w:p>
        </w:tc>
        <w:tc>
          <w:tcPr>
            <w:tcW w:w="236" w:type="dxa"/>
            <w:tcBorders>
              <w:top w:val="nil"/>
              <w:left w:val="nil"/>
              <w:bottom w:val="nil"/>
              <w:right w:val="nil"/>
            </w:tcBorders>
          </w:tcPr>
          <w:p w14:paraId="404110DF"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E0"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w:t>
            </w:r>
          </w:p>
        </w:tc>
        <w:tc>
          <w:tcPr>
            <w:tcW w:w="1843" w:type="dxa"/>
            <w:tcBorders>
              <w:top w:val="nil"/>
              <w:left w:val="nil"/>
              <w:bottom w:val="nil"/>
              <w:right w:val="nil"/>
            </w:tcBorders>
            <w:noWrap/>
            <w:vAlign w:val="center"/>
          </w:tcPr>
          <w:p w14:paraId="404110E1"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w:t>
            </w:r>
          </w:p>
        </w:tc>
        <w:tc>
          <w:tcPr>
            <w:tcW w:w="372" w:type="dxa"/>
            <w:tcBorders>
              <w:top w:val="nil"/>
              <w:left w:val="nil"/>
              <w:bottom w:val="nil"/>
              <w:right w:val="nil"/>
            </w:tcBorders>
            <w:noWrap/>
            <w:vAlign w:val="bottom"/>
          </w:tcPr>
          <w:p w14:paraId="404110E2"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EB" w14:textId="77777777">
        <w:trPr>
          <w:gridAfter w:val="1"/>
          <w:wAfter w:w="671" w:type="dxa"/>
          <w:trHeight w:val="290"/>
        </w:trPr>
        <w:tc>
          <w:tcPr>
            <w:tcW w:w="2410" w:type="dxa"/>
            <w:tcBorders>
              <w:top w:val="nil"/>
              <w:left w:val="nil"/>
              <w:bottom w:val="nil"/>
              <w:right w:val="nil"/>
            </w:tcBorders>
            <w:noWrap/>
            <w:vAlign w:val="center"/>
          </w:tcPr>
          <w:p w14:paraId="404110E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Tecnología de la información</w:t>
            </w:r>
          </w:p>
        </w:tc>
        <w:tc>
          <w:tcPr>
            <w:tcW w:w="1418" w:type="dxa"/>
            <w:tcBorders>
              <w:top w:val="nil"/>
              <w:left w:val="nil"/>
              <w:bottom w:val="nil"/>
              <w:right w:val="nil"/>
            </w:tcBorders>
            <w:noWrap/>
            <w:vAlign w:val="center"/>
          </w:tcPr>
          <w:p w14:paraId="404110E5" w14:textId="77777777" w:rsidR="002F3255" w:rsidRPr="0049064A" w:rsidRDefault="002F3255">
            <w:pPr>
              <w:keepNext/>
              <w:keepLines/>
              <w:jc w:val="right"/>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1677" w:type="dxa"/>
            <w:tcBorders>
              <w:top w:val="nil"/>
              <w:left w:val="nil"/>
              <w:bottom w:val="nil"/>
              <w:right w:val="nil"/>
            </w:tcBorders>
            <w:noWrap/>
            <w:vAlign w:val="center"/>
          </w:tcPr>
          <w:p w14:paraId="404110E6" w14:textId="77777777" w:rsidR="002F3255" w:rsidRPr="0049064A" w:rsidRDefault="002F3255">
            <w:pPr>
              <w:keepNext/>
              <w:keepLines/>
              <w:ind w:left="-506" w:right="35"/>
              <w:jc w:val="right"/>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236" w:type="dxa"/>
            <w:tcBorders>
              <w:top w:val="nil"/>
              <w:left w:val="nil"/>
              <w:bottom w:val="nil"/>
              <w:right w:val="nil"/>
            </w:tcBorders>
          </w:tcPr>
          <w:p w14:paraId="404110E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E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130,0</w:t>
            </w:r>
          </w:p>
        </w:tc>
        <w:tc>
          <w:tcPr>
            <w:tcW w:w="1843" w:type="dxa"/>
            <w:tcBorders>
              <w:top w:val="nil"/>
              <w:left w:val="nil"/>
              <w:bottom w:val="nil"/>
              <w:right w:val="nil"/>
            </w:tcBorders>
            <w:noWrap/>
            <w:vAlign w:val="center"/>
          </w:tcPr>
          <w:p w14:paraId="404110E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130,0</w:t>
            </w:r>
          </w:p>
        </w:tc>
        <w:tc>
          <w:tcPr>
            <w:tcW w:w="372" w:type="dxa"/>
            <w:tcBorders>
              <w:top w:val="nil"/>
              <w:left w:val="nil"/>
              <w:bottom w:val="nil"/>
              <w:right w:val="nil"/>
            </w:tcBorders>
            <w:noWrap/>
            <w:vAlign w:val="bottom"/>
          </w:tcPr>
          <w:p w14:paraId="404110E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F3" w14:textId="77777777">
        <w:trPr>
          <w:gridAfter w:val="1"/>
          <w:wAfter w:w="671" w:type="dxa"/>
          <w:trHeight w:val="290"/>
        </w:trPr>
        <w:tc>
          <w:tcPr>
            <w:tcW w:w="2410" w:type="dxa"/>
            <w:tcBorders>
              <w:top w:val="nil"/>
              <w:left w:val="nil"/>
              <w:bottom w:val="nil"/>
              <w:right w:val="nil"/>
            </w:tcBorders>
            <w:noWrap/>
            <w:vAlign w:val="center"/>
          </w:tcPr>
          <w:p w14:paraId="404110E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Gastos generales de funcionamiento</w:t>
            </w:r>
          </w:p>
        </w:tc>
        <w:tc>
          <w:tcPr>
            <w:tcW w:w="1418" w:type="dxa"/>
            <w:tcBorders>
              <w:top w:val="nil"/>
              <w:left w:val="nil"/>
              <w:bottom w:val="nil"/>
              <w:right w:val="nil"/>
            </w:tcBorders>
            <w:noWrap/>
            <w:vAlign w:val="center"/>
          </w:tcPr>
          <w:p w14:paraId="404110ED"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453,2</w:t>
            </w:r>
          </w:p>
        </w:tc>
        <w:tc>
          <w:tcPr>
            <w:tcW w:w="1677" w:type="dxa"/>
            <w:tcBorders>
              <w:top w:val="nil"/>
              <w:left w:val="nil"/>
              <w:bottom w:val="nil"/>
              <w:right w:val="nil"/>
            </w:tcBorders>
            <w:noWrap/>
            <w:vAlign w:val="center"/>
          </w:tcPr>
          <w:p w14:paraId="404110EE"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453,2</w:t>
            </w:r>
          </w:p>
        </w:tc>
        <w:tc>
          <w:tcPr>
            <w:tcW w:w="236" w:type="dxa"/>
            <w:tcBorders>
              <w:top w:val="nil"/>
              <w:left w:val="nil"/>
              <w:bottom w:val="nil"/>
              <w:right w:val="nil"/>
            </w:tcBorders>
          </w:tcPr>
          <w:p w14:paraId="404110EF"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F0"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453,2</w:t>
            </w:r>
          </w:p>
        </w:tc>
        <w:tc>
          <w:tcPr>
            <w:tcW w:w="1843" w:type="dxa"/>
            <w:tcBorders>
              <w:top w:val="nil"/>
              <w:left w:val="nil"/>
              <w:bottom w:val="nil"/>
              <w:right w:val="nil"/>
            </w:tcBorders>
            <w:noWrap/>
            <w:vAlign w:val="center"/>
          </w:tcPr>
          <w:p w14:paraId="404110F1"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w:t>
            </w:r>
            <w:r w:rsid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453,2</w:t>
            </w:r>
          </w:p>
        </w:tc>
        <w:tc>
          <w:tcPr>
            <w:tcW w:w="372" w:type="dxa"/>
            <w:tcBorders>
              <w:top w:val="nil"/>
              <w:left w:val="nil"/>
              <w:bottom w:val="nil"/>
              <w:right w:val="nil"/>
            </w:tcBorders>
            <w:noWrap/>
            <w:vAlign w:val="bottom"/>
          </w:tcPr>
          <w:p w14:paraId="404110F2"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0FB" w14:textId="77777777">
        <w:trPr>
          <w:gridAfter w:val="1"/>
          <w:wAfter w:w="671" w:type="dxa"/>
          <w:trHeight w:val="290"/>
        </w:trPr>
        <w:tc>
          <w:tcPr>
            <w:tcW w:w="2410" w:type="dxa"/>
            <w:tcBorders>
              <w:top w:val="nil"/>
              <w:left w:val="nil"/>
              <w:bottom w:val="nil"/>
              <w:right w:val="nil"/>
            </w:tcBorders>
            <w:noWrap/>
            <w:vAlign w:val="center"/>
          </w:tcPr>
          <w:p w14:paraId="404110F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Materiales de concienciación del público</w:t>
            </w:r>
          </w:p>
        </w:tc>
        <w:tc>
          <w:tcPr>
            <w:tcW w:w="1418" w:type="dxa"/>
            <w:tcBorders>
              <w:top w:val="nil"/>
              <w:left w:val="nil"/>
              <w:bottom w:val="nil"/>
              <w:right w:val="nil"/>
            </w:tcBorders>
            <w:noWrap/>
            <w:vAlign w:val="center"/>
          </w:tcPr>
          <w:p w14:paraId="404110F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1677" w:type="dxa"/>
            <w:tcBorders>
              <w:top w:val="nil"/>
              <w:left w:val="nil"/>
              <w:bottom w:val="nil"/>
              <w:right w:val="nil"/>
            </w:tcBorders>
            <w:noWrap/>
            <w:vAlign w:val="center"/>
          </w:tcPr>
          <w:p w14:paraId="404110F6"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236" w:type="dxa"/>
            <w:tcBorders>
              <w:top w:val="nil"/>
              <w:left w:val="nil"/>
              <w:bottom w:val="nil"/>
              <w:right w:val="nil"/>
            </w:tcBorders>
          </w:tcPr>
          <w:p w14:paraId="404110F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0F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1843" w:type="dxa"/>
            <w:tcBorders>
              <w:top w:val="nil"/>
              <w:left w:val="nil"/>
              <w:bottom w:val="nil"/>
              <w:right w:val="nil"/>
            </w:tcBorders>
            <w:noWrap/>
            <w:vAlign w:val="center"/>
          </w:tcPr>
          <w:p w14:paraId="404110F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100,0</w:t>
            </w:r>
          </w:p>
        </w:tc>
        <w:tc>
          <w:tcPr>
            <w:tcW w:w="372" w:type="dxa"/>
            <w:tcBorders>
              <w:top w:val="nil"/>
              <w:left w:val="nil"/>
              <w:bottom w:val="nil"/>
              <w:right w:val="nil"/>
            </w:tcBorders>
            <w:noWrap/>
            <w:vAlign w:val="bottom"/>
          </w:tcPr>
          <w:p w14:paraId="404110F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103" w14:textId="77777777">
        <w:trPr>
          <w:gridAfter w:val="1"/>
          <w:wAfter w:w="671" w:type="dxa"/>
          <w:trHeight w:val="300"/>
        </w:trPr>
        <w:tc>
          <w:tcPr>
            <w:tcW w:w="2410" w:type="dxa"/>
            <w:tcBorders>
              <w:top w:val="nil"/>
              <w:left w:val="nil"/>
              <w:bottom w:val="single" w:sz="8" w:space="0" w:color="auto"/>
              <w:right w:val="nil"/>
            </w:tcBorders>
            <w:noWrap/>
            <w:vAlign w:val="center"/>
          </w:tcPr>
          <w:p w14:paraId="404110F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Traducción de los sitios web del mecanismo de facilitación</w:t>
            </w:r>
          </w:p>
        </w:tc>
        <w:tc>
          <w:tcPr>
            <w:tcW w:w="1418" w:type="dxa"/>
            <w:tcBorders>
              <w:top w:val="nil"/>
              <w:left w:val="nil"/>
              <w:bottom w:val="nil"/>
              <w:right w:val="nil"/>
            </w:tcBorders>
            <w:noWrap/>
            <w:vAlign w:val="center"/>
          </w:tcPr>
          <w:p w14:paraId="404110FD"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130,0</w:t>
            </w:r>
          </w:p>
        </w:tc>
        <w:tc>
          <w:tcPr>
            <w:tcW w:w="1677" w:type="dxa"/>
            <w:tcBorders>
              <w:top w:val="nil"/>
              <w:left w:val="nil"/>
              <w:bottom w:val="nil"/>
              <w:right w:val="nil"/>
            </w:tcBorders>
            <w:noWrap/>
            <w:vAlign w:val="center"/>
          </w:tcPr>
          <w:p w14:paraId="404110FE"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130,0</w:t>
            </w:r>
          </w:p>
        </w:tc>
        <w:tc>
          <w:tcPr>
            <w:tcW w:w="236" w:type="dxa"/>
            <w:tcBorders>
              <w:top w:val="nil"/>
              <w:left w:val="nil"/>
              <w:bottom w:val="nil"/>
              <w:right w:val="nil"/>
            </w:tcBorders>
          </w:tcPr>
          <w:p w14:paraId="404110FF"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100"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130,0</w:t>
            </w:r>
          </w:p>
        </w:tc>
        <w:tc>
          <w:tcPr>
            <w:tcW w:w="1843" w:type="dxa"/>
            <w:tcBorders>
              <w:top w:val="nil"/>
              <w:left w:val="nil"/>
              <w:bottom w:val="nil"/>
              <w:right w:val="nil"/>
            </w:tcBorders>
            <w:noWrap/>
            <w:vAlign w:val="center"/>
          </w:tcPr>
          <w:p w14:paraId="40411101"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130,0</w:t>
            </w:r>
          </w:p>
        </w:tc>
        <w:tc>
          <w:tcPr>
            <w:tcW w:w="372" w:type="dxa"/>
            <w:tcBorders>
              <w:top w:val="nil"/>
              <w:left w:val="nil"/>
              <w:bottom w:val="nil"/>
              <w:right w:val="nil"/>
            </w:tcBorders>
            <w:noWrap/>
            <w:vAlign w:val="bottom"/>
          </w:tcPr>
          <w:p w14:paraId="40411102"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10B" w14:textId="77777777">
        <w:trPr>
          <w:gridAfter w:val="1"/>
          <w:wAfter w:w="671" w:type="dxa"/>
          <w:trHeight w:val="300"/>
        </w:trPr>
        <w:tc>
          <w:tcPr>
            <w:tcW w:w="2410" w:type="dxa"/>
            <w:tcBorders>
              <w:top w:val="nil"/>
              <w:left w:val="nil"/>
              <w:bottom w:val="single" w:sz="8" w:space="0" w:color="auto"/>
              <w:right w:val="nil"/>
            </w:tcBorders>
            <w:noWrap/>
            <w:vAlign w:val="center"/>
          </w:tcPr>
          <w:p w14:paraId="4041110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Subtotal</w:t>
            </w:r>
          </w:p>
        </w:tc>
        <w:tc>
          <w:tcPr>
            <w:tcW w:w="1418" w:type="dxa"/>
            <w:tcBorders>
              <w:top w:val="single" w:sz="8" w:space="0" w:color="auto"/>
              <w:left w:val="nil"/>
              <w:bottom w:val="single" w:sz="8" w:space="0" w:color="auto"/>
              <w:right w:val="nil"/>
            </w:tcBorders>
            <w:noWrap/>
            <w:vAlign w:val="center"/>
          </w:tcPr>
          <w:p w14:paraId="40411105"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5</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246,1</w:t>
            </w:r>
          </w:p>
        </w:tc>
        <w:tc>
          <w:tcPr>
            <w:tcW w:w="1677" w:type="dxa"/>
            <w:tcBorders>
              <w:top w:val="single" w:sz="8" w:space="0" w:color="auto"/>
              <w:left w:val="nil"/>
              <w:bottom w:val="single" w:sz="8" w:space="0" w:color="auto"/>
              <w:right w:val="nil"/>
            </w:tcBorders>
            <w:noWrap/>
            <w:vAlign w:val="center"/>
          </w:tcPr>
          <w:p w14:paraId="40411106" w14:textId="77777777" w:rsidR="002F3255" w:rsidRPr="0049064A" w:rsidRDefault="002F3255">
            <w:pPr>
              <w:keepNext/>
              <w:keepLines/>
              <w:ind w:left="-506" w:right="35"/>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5</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182,6</w:t>
            </w:r>
          </w:p>
        </w:tc>
        <w:tc>
          <w:tcPr>
            <w:tcW w:w="236" w:type="dxa"/>
            <w:tcBorders>
              <w:top w:val="single" w:sz="8" w:space="0" w:color="auto"/>
              <w:left w:val="nil"/>
              <w:bottom w:val="single" w:sz="8" w:space="0" w:color="auto"/>
              <w:right w:val="nil"/>
            </w:tcBorders>
          </w:tcPr>
          <w:p w14:paraId="40411107"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single" w:sz="8" w:space="0" w:color="auto"/>
              <w:left w:val="nil"/>
              <w:bottom w:val="single" w:sz="8" w:space="0" w:color="auto"/>
              <w:right w:val="nil"/>
            </w:tcBorders>
            <w:noWrap/>
            <w:vAlign w:val="center"/>
          </w:tcPr>
          <w:p w14:paraId="40411108" w14:textId="77777777" w:rsidR="002F3255" w:rsidRPr="0049064A" w:rsidRDefault="002F3255">
            <w:pPr>
              <w:jc w:val="right"/>
              <w:rPr>
                <w:rFonts w:asciiTheme="minorHAnsi" w:eastAsia="Times New Roman" w:hAnsiTheme="minorHAnsi" w:cstheme="minorHAnsi"/>
                <w:b/>
                <w:bCs/>
                <w:sz w:val="18"/>
                <w:szCs w:val="18"/>
                <w:lang w:val="es-ES"/>
              </w:rPr>
            </w:pPr>
            <w:r w:rsidRPr="0049064A">
              <w:rPr>
                <w:rFonts w:asciiTheme="minorHAnsi" w:eastAsia="Times New Roman" w:hAnsiTheme="minorHAnsi" w:cstheme="minorHAnsi"/>
                <w:b/>
                <w:bCs/>
                <w:sz w:val="18"/>
                <w:szCs w:val="18"/>
                <w:lang w:val="es-ES"/>
              </w:rPr>
              <w:t>5</w:t>
            </w:r>
            <w:r w:rsidR="0049064A" w:rsidRPr="0049064A">
              <w:rPr>
                <w:rFonts w:asciiTheme="minorHAnsi" w:eastAsia="Times New Roman" w:hAnsiTheme="minorHAnsi" w:cstheme="minorHAnsi"/>
                <w:b/>
                <w:bCs/>
                <w:sz w:val="18"/>
                <w:szCs w:val="18"/>
                <w:lang w:val="es-ES"/>
              </w:rPr>
              <w:t xml:space="preserve"> </w:t>
            </w:r>
            <w:r w:rsidRPr="0049064A">
              <w:rPr>
                <w:rFonts w:asciiTheme="minorHAnsi" w:eastAsia="Times New Roman" w:hAnsiTheme="minorHAnsi" w:cstheme="minorHAnsi"/>
                <w:b/>
                <w:bCs/>
                <w:sz w:val="18"/>
                <w:szCs w:val="18"/>
                <w:lang w:val="es-ES"/>
              </w:rPr>
              <w:t>481,9</w:t>
            </w:r>
          </w:p>
        </w:tc>
        <w:tc>
          <w:tcPr>
            <w:tcW w:w="1843" w:type="dxa"/>
            <w:tcBorders>
              <w:top w:val="single" w:sz="8" w:space="0" w:color="auto"/>
              <w:left w:val="nil"/>
              <w:bottom w:val="single" w:sz="8" w:space="0" w:color="auto"/>
              <w:right w:val="nil"/>
            </w:tcBorders>
            <w:noWrap/>
            <w:vAlign w:val="center"/>
          </w:tcPr>
          <w:p w14:paraId="40411109" w14:textId="77777777" w:rsidR="002F3255" w:rsidRPr="0049064A" w:rsidRDefault="002F3255">
            <w:pPr>
              <w:jc w:val="right"/>
              <w:rPr>
                <w:rFonts w:asciiTheme="minorHAnsi" w:eastAsia="Times New Roman" w:hAnsiTheme="minorHAnsi" w:cstheme="minorHAnsi"/>
                <w:b/>
                <w:bCs/>
                <w:sz w:val="18"/>
                <w:szCs w:val="18"/>
                <w:lang w:val="es-ES"/>
              </w:rPr>
            </w:pPr>
            <w:r w:rsidRPr="0049064A">
              <w:rPr>
                <w:rFonts w:asciiTheme="minorHAnsi" w:eastAsia="Times New Roman" w:hAnsiTheme="minorHAnsi" w:cstheme="minorHAnsi"/>
                <w:b/>
                <w:bCs/>
                <w:sz w:val="18"/>
                <w:szCs w:val="18"/>
                <w:lang w:val="es-ES"/>
              </w:rPr>
              <w:t>5</w:t>
            </w:r>
            <w:r w:rsidR="0049064A">
              <w:rPr>
                <w:rFonts w:asciiTheme="minorHAnsi" w:eastAsia="Times New Roman" w:hAnsiTheme="minorHAnsi" w:cstheme="minorHAnsi"/>
                <w:b/>
                <w:bCs/>
                <w:sz w:val="18"/>
                <w:szCs w:val="18"/>
                <w:lang w:val="es-ES"/>
              </w:rPr>
              <w:t xml:space="preserve"> </w:t>
            </w:r>
            <w:r w:rsidRPr="0049064A">
              <w:rPr>
                <w:rFonts w:asciiTheme="minorHAnsi" w:eastAsia="Times New Roman" w:hAnsiTheme="minorHAnsi" w:cstheme="minorHAnsi"/>
                <w:b/>
                <w:bCs/>
                <w:sz w:val="18"/>
                <w:szCs w:val="18"/>
                <w:lang w:val="es-ES"/>
              </w:rPr>
              <w:t>441,9</w:t>
            </w:r>
          </w:p>
        </w:tc>
        <w:tc>
          <w:tcPr>
            <w:tcW w:w="372" w:type="dxa"/>
            <w:tcBorders>
              <w:top w:val="nil"/>
              <w:left w:val="nil"/>
              <w:bottom w:val="nil"/>
              <w:right w:val="nil"/>
            </w:tcBorders>
            <w:noWrap/>
            <w:vAlign w:val="bottom"/>
          </w:tcPr>
          <w:p w14:paraId="4041110A"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r>
      <w:tr w:rsidR="002F3255" w:rsidRPr="0049064A" w14:paraId="40411113" w14:textId="77777777">
        <w:trPr>
          <w:gridAfter w:val="1"/>
          <w:wAfter w:w="671" w:type="dxa"/>
          <w:trHeight w:val="300"/>
        </w:trPr>
        <w:tc>
          <w:tcPr>
            <w:tcW w:w="2410" w:type="dxa"/>
            <w:tcBorders>
              <w:top w:val="nil"/>
              <w:left w:val="nil"/>
              <w:bottom w:val="single" w:sz="8" w:space="0" w:color="auto"/>
              <w:right w:val="nil"/>
            </w:tcBorders>
            <w:noWrap/>
            <w:vAlign w:val="center"/>
          </w:tcPr>
          <w:p w14:paraId="4041110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Requerimientos totales</w:t>
            </w:r>
          </w:p>
        </w:tc>
        <w:tc>
          <w:tcPr>
            <w:tcW w:w="1418" w:type="dxa"/>
            <w:tcBorders>
              <w:top w:val="nil"/>
              <w:left w:val="nil"/>
              <w:bottom w:val="single" w:sz="8" w:space="0" w:color="auto"/>
              <w:right w:val="nil"/>
            </w:tcBorders>
            <w:noWrap/>
            <w:vAlign w:val="center"/>
          </w:tcPr>
          <w:p w14:paraId="4041110D"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34</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209,6</w:t>
            </w:r>
          </w:p>
        </w:tc>
        <w:tc>
          <w:tcPr>
            <w:tcW w:w="1677" w:type="dxa"/>
            <w:tcBorders>
              <w:top w:val="nil"/>
              <w:left w:val="nil"/>
              <w:bottom w:val="single" w:sz="8" w:space="0" w:color="auto"/>
              <w:right w:val="nil"/>
            </w:tcBorders>
            <w:noWrap/>
            <w:vAlign w:val="center"/>
          </w:tcPr>
          <w:p w14:paraId="4041110E" w14:textId="77777777" w:rsidR="002F3255" w:rsidRPr="0049064A" w:rsidRDefault="002F3255">
            <w:pPr>
              <w:keepNext/>
              <w:keepLines/>
              <w:ind w:left="-506" w:right="35"/>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31</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359,2</w:t>
            </w:r>
          </w:p>
        </w:tc>
        <w:tc>
          <w:tcPr>
            <w:tcW w:w="236" w:type="dxa"/>
            <w:tcBorders>
              <w:top w:val="nil"/>
              <w:left w:val="nil"/>
              <w:bottom w:val="single" w:sz="8" w:space="0" w:color="auto"/>
              <w:right w:val="nil"/>
            </w:tcBorders>
          </w:tcPr>
          <w:p w14:paraId="4041110F"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nil"/>
              <w:left w:val="nil"/>
              <w:bottom w:val="single" w:sz="8" w:space="0" w:color="auto"/>
              <w:right w:val="nil"/>
            </w:tcBorders>
            <w:noWrap/>
            <w:vAlign w:val="center"/>
          </w:tcPr>
          <w:p w14:paraId="40411110"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35</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541,5</w:t>
            </w:r>
          </w:p>
        </w:tc>
        <w:tc>
          <w:tcPr>
            <w:tcW w:w="1843" w:type="dxa"/>
            <w:tcBorders>
              <w:top w:val="nil"/>
              <w:left w:val="nil"/>
              <w:bottom w:val="single" w:sz="8" w:space="0" w:color="auto"/>
              <w:right w:val="nil"/>
            </w:tcBorders>
            <w:noWrap/>
            <w:vAlign w:val="center"/>
          </w:tcPr>
          <w:p w14:paraId="40411111"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32</w:t>
            </w:r>
            <w:r w:rsid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855,9</w:t>
            </w:r>
          </w:p>
        </w:tc>
        <w:tc>
          <w:tcPr>
            <w:tcW w:w="372" w:type="dxa"/>
            <w:tcBorders>
              <w:top w:val="nil"/>
              <w:left w:val="nil"/>
              <w:bottom w:val="nil"/>
              <w:right w:val="nil"/>
            </w:tcBorders>
            <w:noWrap/>
            <w:vAlign w:val="bottom"/>
          </w:tcPr>
          <w:p w14:paraId="40411112"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r>
      <w:tr w:rsidR="002F3255" w:rsidRPr="0049064A" w14:paraId="4041111B" w14:textId="77777777">
        <w:trPr>
          <w:gridAfter w:val="1"/>
          <w:wAfter w:w="671" w:type="dxa"/>
          <w:trHeight w:val="300"/>
        </w:trPr>
        <w:tc>
          <w:tcPr>
            <w:tcW w:w="2410" w:type="dxa"/>
            <w:tcBorders>
              <w:top w:val="nil"/>
              <w:left w:val="nil"/>
              <w:bottom w:val="single" w:sz="8" w:space="0" w:color="auto"/>
              <w:right w:val="nil"/>
            </w:tcBorders>
            <w:noWrap/>
            <w:vAlign w:val="center"/>
          </w:tcPr>
          <w:p w14:paraId="4041111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Apoyo a programas (13 %)</w:t>
            </w:r>
          </w:p>
        </w:tc>
        <w:tc>
          <w:tcPr>
            <w:tcW w:w="1418" w:type="dxa"/>
            <w:tcBorders>
              <w:top w:val="nil"/>
              <w:left w:val="nil"/>
              <w:bottom w:val="nil"/>
              <w:right w:val="nil"/>
            </w:tcBorders>
            <w:noWrap/>
            <w:vAlign w:val="center"/>
          </w:tcPr>
          <w:p w14:paraId="4041111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4</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447,2</w:t>
            </w:r>
          </w:p>
        </w:tc>
        <w:tc>
          <w:tcPr>
            <w:tcW w:w="1677" w:type="dxa"/>
            <w:tcBorders>
              <w:top w:val="nil"/>
              <w:left w:val="nil"/>
              <w:bottom w:val="nil"/>
              <w:right w:val="nil"/>
            </w:tcBorders>
            <w:noWrap/>
            <w:vAlign w:val="center"/>
          </w:tcPr>
          <w:p w14:paraId="40411116" w14:textId="77777777" w:rsidR="002F3255" w:rsidRPr="0049064A" w:rsidRDefault="002F3255">
            <w:pPr>
              <w:keepNext/>
              <w:keepLines/>
              <w:ind w:left="-506" w:right="35"/>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4</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076,7</w:t>
            </w:r>
          </w:p>
        </w:tc>
        <w:tc>
          <w:tcPr>
            <w:tcW w:w="236" w:type="dxa"/>
            <w:tcBorders>
              <w:top w:val="nil"/>
              <w:left w:val="nil"/>
              <w:bottom w:val="nil"/>
              <w:right w:val="nil"/>
            </w:tcBorders>
          </w:tcPr>
          <w:p w14:paraId="4041111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nil"/>
              <w:right w:val="nil"/>
            </w:tcBorders>
            <w:noWrap/>
            <w:vAlign w:val="center"/>
          </w:tcPr>
          <w:p w14:paraId="4041111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4</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620,4</w:t>
            </w:r>
          </w:p>
        </w:tc>
        <w:tc>
          <w:tcPr>
            <w:tcW w:w="1843" w:type="dxa"/>
            <w:tcBorders>
              <w:top w:val="nil"/>
              <w:left w:val="nil"/>
              <w:bottom w:val="nil"/>
              <w:right w:val="nil"/>
            </w:tcBorders>
            <w:noWrap/>
            <w:vAlign w:val="center"/>
          </w:tcPr>
          <w:p w14:paraId="4041111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4</w:t>
            </w:r>
            <w:r w:rsid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271,3</w:t>
            </w:r>
          </w:p>
        </w:tc>
        <w:tc>
          <w:tcPr>
            <w:tcW w:w="372" w:type="dxa"/>
            <w:tcBorders>
              <w:top w:val="nil"/>
              <w:left w:val="nil"/>
              <w:bottom w:val="nil"/>
              <w:right w:val="nil"/>
            </w:tcBorders>
            <w:noWrap/>
            <w:vAlign w:val="bottom"/>
          </w:tcPr>
          <w:p w14:paraId="4041111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123" w14:textId="77777777">
        <w:trPr>
          <w:gridAfter w:val="1"/>
          <w:wAfter w:w="671" w:type="dxa"/>
          <w:trHeight w:val="300"/>
        </w:trPr>
        <w:tc>
          <w:tcPr>
            <w:tcW w:w="2410" w:type="dxa"/>
            <w:tcBorders>
              <w:top w:val="nil"/>
              <w:left w:val="nil"/>
              <w:bottom w:val="single" w:sz="8" w:space="0" w:color="auto"/>
              <w:right w:val="nil"/>
            </w:tcBorders>
            <w:noWrap/>
            <w:vAlign w:val="center"/>
          </w:tcPr>
          <w:p w14:paraId="4041111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Total</w:t>
            </w:r>
          </w:p>
        </w:tc>
        <w:tc>
          <w:tcPr>
            <w:tcW w:w="1418" w:type="dxa"/>
            <w:tcBorders>
              <w:top w:val="single" w:sz="8" w:space="0" w:color="auto"/>
              <w:left w:val="nil"/>
              <w:bottom w:val="single" w:sz="8" w:space="0" w:color="auto"/>
              <w:right w:val="nil"/>
            </w:tcBorders>
            <w:noWrap/>
            <w:vAlign w:val="center"/>
          </w:tcPr>
          <w:p w14:paraId="4041111D"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38</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656,8</w:t>
            </w:r>
          </w:p>
        </w:tc>
        <w:tc>
          <w:tcPr>
            <w:tcW w:w="1677" w:type="dxa"/>
            <w:tcBorders>
              <w:top w:val="single" w:sz="8" w:space="0" w:color="auto"/>
              <w:left w:val="nil"/>
              <w:bottom w:val="single" w:sz="8" w:space="0" w:color="auto"/>
              <w:right w:val="nil"/>
            </w:tcBorders>
            <w:noWrap/>
            <w:vAlign w:val="center"/>
          </w:tcPr>
          <w:p w14:paraId="4041111E" w14:textId="77777777" w:rsidR="002F3255" w:rsidRPr="0049064A" w:rsidRDefault="002F3255">
            <w:pPr>
              <w:keepNext/>
              <w:keepLines/>
              <w:ind w:left="-506" w:right="35"/>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35</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435,9</w:t>
            </w:r>
          </w:p>
        </w:tc>
        <w:tc>
          <w:tcPr>
            <w:tcW w:w="236" w:type="dxa"/>
            <w:tcBorders>
              <w:top w:val="single" w:sz="8" w:space="0" w:color="auto"/>
              <w:left w:val="nil"/>
              <w:bottom w:val="single" w:sz="8" w:space="0" w:color="auto"/>
              <w:right w:val="nil"/>
            </w:tcBorders>
          </w:tcPr>
          <w:p w14:paraId="4041111F"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single" w:sz="8" w:space="0" w:color="auto"/>
              <w:left w:val="nil"/>
              <w:bottom w:val="single" w:sz="8" w:space="0" w:color="auto"/>
              <w:right w:val="nil"/>
            </w:tcBorders>
            <w:noWrap/>
            <w:vAlign w:val="center"/>
          </w:tcPr>
          <w:p w14:paraId="40411120"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40</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161,9</w:t>
            </w:r>
          </w:p>
        </w:tc>
        <w:tc>
          <w:tcPr>
            <w:tcW w:w="1843" w:type="dxa"/>
            <w:tcBorders>
              <w:top w:val="single" w:sz="8" w:space="0" w:color="auto"/>
              <w:left w:val="nil"/>
              <w:bottom w:val="single" w:sz="8" w:space="0" w:color="auto"/>
              <w:right w:val="nil"/>
            </w:tcBorders>
            <w:noWrap/>
            <w:vAlign w:val="center"/>
          </w:tcPr>
          <w:p w14:paraId="40411121"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37</w:t>
            </w:r>
            <w:r w:rsid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127,2</w:t>
            </w:r>
          </w:p>
        </w:tc>
        <w:tc>
          <w:tcPr>
            <w:tcW w:w="372" w:type="dxa"/>
            <w:tcBorders>
              <w:top w:val="nil"/>
              <w:left w:val="nil"/>
              <w:bottom w:val="nil"/>
              <w:right w:val="nil"/>
            </w:tcBorders>
            <w:noWrap/>
            <w:vAlign w:val="bottom"/>
          </w:tcPr>
          <w:p w14:paraId="40411122"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r>
      <w:tr w:rsidR="002F3255" w:rsidRPr="0049064A" w14:paraId="4041112B" w14:textId="77777777">
        <w:trPr>
          <w:gridAfter w:val="1"/>
          <w:wAfter w:w="671" w:type="dxa"/>
          <w:trHeight w:val="290"/>
        </w:trPr>
        <w:tc>
          <w:tcPr>
            <w:tcW w:w="2410" w:type="dxa"/>
            <w:tcBorders>
              <w:top w:val="nil"/>
              <w:left w:val="nil"/>
              <w:bottom w:val="nil"/>
              <w:right w:val="nil"/>
            </w:tcBorders>
            <w:noWrap/>
            <w:vAlign w:val="center"/>
          </w:tcPr>
          <w:p w14:paraId="4041112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Reserva operacional</w:t>
            </w:r>
          </w:p>
        </w:tc>
        <w:tc>
          <w:tcPr>
            <w:tcW w:w="1418" w:type="dxa"/>
            <w:tcBorders>
              <w:top w:val="nil"/>
              <w:left w:val="nil"/>
              <w:bottom w:val="nil"/>
              <w:right w:val="nil"/>
            </w:tcBorders>
            <w:noWrap/>
            <w:vAlign w:val="center"/>
          </w:tcPr>
          <w:p w14:paraId="40411125"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187,3</w:t>
            </w:r>
          </w:p>
        </w:tc>
        <w:tc>
          <w:tcPr>
            <w:tcW w:w="1677" w:type="dxa"/>
            <w:tcBorders>
              <w:top w:val="nil"/>
              <w:left w:val="nil"/>
              <w:bottom w:val="nil"/>
              <w:right w:val="nil"/>
            </w:tcBorders>
            <w:noWrap/>
            <w:vAlign w:val="center"/>
          </w:tcPr>
          <w:p w14:paraId="40411126" w14:textId="77777777" w:rsidR="002F3255" w:rsidRPr="0049064A" w:rsidRDefault="002F3255">
            <w:pPr>
              <w:keepNext/>
              <w:keepLines/>
              <w:ind w:left="-506" w:right="35"/>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-223,7</w:t>
            </w:r>
          </w:p>
        </w:tc>
        <w:tc>
          <w:tcPr>
            <w:tcW w:w="236" w:type="dxa"/>
            <w:tcBorders>
              <w:top w:val="nil"/>
              <w:left w:val="nil"/>
              <w:bottom w:val="nil"/>
              <w:right w:val="nil"/>
            </w:tcBorders>
          </w:tcPr>
          <w:p w14:paraId="40411127"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nil"/>
              <w:left w:val="nil"/>
              <w:bottom w:val="nil"/>
              <w:right w:val="nil"/>
            </w:tcBorders>
            <w:noWrap/>
            <w:vAlign w:val="center"/>
          </w:tcPr>
          <w:p w14:paraId="40411128"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color w:val="000000"/>
                <w:sz w:val="18"/>
                <w:szCs w:val="18"/>
                <w:lang w:val="es-ES"/>
              </w:rPr>
              <w:t>281,9</w:t>
            </w:r>
          </w:p>
        </w:tc>
        <w:tc>
          <w:tcPr>
            <w:tcW w:w="1843" w:type="dxa"/>
            <w:tcBorders>
              <w:top w:val="nil"/>
              <w:left w:val="nil"/>
              <w:bottom w:val="nil"/>
              <w:right w:val="nil"/>
            </w:tcBorders>
            <w:noWrap/>
            <w:vAlign w:val="center"/>
          </w:tcPr>
          <w:p w14:paraId="40411129" w14:textId="77777777" w:rsidR="002F3255" w:rsidRPr="0049064A" w:rsidRDefault="002F3255">
            <w:pPr>
              <w:keepNext/>
              <w:keepLines/>
              <w:jc w:val="right"/>
              <w:rPr>
                <w:rFonts w:asciiTheme="minorHAnsi" w:eastAsia="Times New Roman" w:hAnsiTheme="minorHAnsi" w:cstheme="minorHAnsi"/>
                <w:sz w:val="18"/>
                <w:szCs w:val="18"/>
                <w:lang w:val="es-ES"/>
              </w:rPr>
            </w:pPr>
            <w:r w:rsidRPr="0049064A">
              <w:rPr>
                <w:rFonts w:asciiTheme="minorHAnsi" w:eastAsia="Times New Roman" w:hAnsiTheme="minorHAnsi" w:cstheme="minorHAnsi"/>
                <w:sz w:val="18"/>
                <w:szCs w:val="18"/>
                <w:lang w:val="es-ES"/>
              </w:rPr>
              <w:t>54,0</w:t>
            </w:r>
          </w:p>
        </w:tc>
        <w:tc>
          <w:tcPr>
            <w:tcW w:w="372" w:type="dxa"/>
            <w:tcBorders>
              <w:top w:val="nil"/>
              <w:left w:val="nil"/>
              <w:bottom w:val="nil"/>
              <w:right w:val="nil"/>
            </w:tcBorders>
            <w:noWrap/>
            <w:vAlign w:val="bottom"/>
          </w:tcPr>
          <w:p w14:paraId="4041112A" w14:textId="77777777" w:rsidR="002F3255" w:rsidRPr="0049064A" w:rsidRDefault="002F3255">
            <w:pPr>
              <w:keepNext/>
              <w:keepLines/>
              <w:jc w:val="center"/>
              <w:rPr>
                <w:rFonts w:asciiTheme="minorHAnsi" w:eastAsia="Times New Roman" w:hAnsiTheme="minorHAnsi" w:cstheme="minorHAnsi"/>
                <w:sz w:val="18"/>
                <w:szCs w:val="18"/>
                <w:lang w:val="es-ES"/>
              </w:rPr>
            </w:pPr>
          </w:p>
        </w:tc>
      </w:tr>
      <w:tr w:rsidR="002F3255" w:rsidRPr="0049064A" w14:paraId="40411133" w14:textId="77777777">
        <w:trPr>
          <w:gridAfter w:val="1"/>
          <w:wAfter w:w="671" w:type="dxa"/>
          <w:trHeight w:val="300"/>
        </w:trPr>
        <w:tc>
          <w:tcPr>
            <w:tcW w:w="2410" w:type="dxa"/>
            <w:tcBorders>
              <w:top w:val="single" w:sz="4" w:space="0" w:color="auto"/>
              <w:left w:val="nil"/>
              <w:bottom w:val="single" w:sz="8" w:space="0" w:color="auto"/>
              <w:right w:val="nil"/>
            </w:tcBorders>
            <w:noWrap/>
            <w:vAlign w:val="center"/>
          </w:tcPr>
          <w:p w14:paraId="4041112C"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Requerimientos totales</w:t>
            </w:r>
          </w:p>
        </w:tc>
        <w:tc>
          <w:tcPr>
            <w:tcW w:w="1418" w:type="dxa"/>
            <w:tcBorders>
              <w:top w:val="single" w:sz="4" w:space="0" w:color="auto"/>
              <w:left w:val="nil"/>
              <w:bottom w:val="single" w:sz="8" w:space="0" w:color="auto"/>
              <w:right w:val="nil"/>
            </w:tcBorders>
            <w:noWrap/>
            <w:vAlign w:val="center"/>
          </w:tcPr>
          <w:p w14:paraId="4041112D" w14:textId="77777777" w:rsidR="002F3255" w:rsidRPr="0049064A" w:rsidRDefault="002F3255">
            <w:pPr>
              <w:keepNext/>
              <w:keepLines/>
              <w:ind w:right="25"/>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38</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844,1</w:t>
            </w:r>
          </w:p>
        </w:tc>
        <w:tc>
          <w:tcPr>
            <w:tcW w:w="1677" w:type="dxa"/>
            <w:tcBorders>
              <w:top w:val="single" w:sz="4" w:space="0" w:color="auto"/>
              <w:left w:val="nil"/>
              <w:bottom w:val="single" w:sz="8" w:space="0" w:color="auto"/>
              <w:right w:val="nil"/>
            </w:tcBorders>
            <w:noWrap/>
            <w:vAlign w:val="center"/>
          </w:tcPr>
          <w:p w14:paraId="4041112E" w14:textId="77777777" w:rsidR="002F3255" w:rsidRPr="0049064A" w:rsidRDefault="002F3255">
            <w:pPr>
              <w:keepNext/>
              <w:keepLines/>
              <w:ind w:left="-506" w:right="35"/>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35</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212,2</w:t>
            </w:r>
          </w:p>
        </w:tc>
        <w:tc>
          <w:tcPr>
            <w:tcW w:w="236" w:type="dxa"/>
            <w:tcBorders>
              <w:top w:val="single" w:sz="4" w:space="0" w:color="auto"/>
              <w:left w:val="nil"/>
              <w:bottom w:val="single" w:sz="8" w:space="0" w:color="auto"/>
              <w:right w:val="nil"/>
            </w:tcBorders>
          </w:tcPr>
          <w:p w14:paraId="4041112F"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c>
          <w:tcPr>
            <w:tcW w:w="1673" w:type="dxa"/>
            <w:tcBorders>
              <w:top w:val="single" w:sz="4" w:space="0" w:color="auto"/>
              <w:left w:val="nil"/>
              <w:bottom w:val="single" w:sz="8" w:space="0" w:color="auto"/>
              <w:right w:val="nil"/>
            </w:tcBorders>
            <w:noWrap/>
            <w:vAlign w:val="center"/>
          </w:tcPr>
          <w:p w14:paraId="40411130" w14:textId="77777777" w:rsidR="002F3255" w:rsidRPr="0049064A" w:rsidRDefault="002F3255">
            <w:pPr>
              <w:keepNext/>
              <w:keepLines/>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40</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443,8</w:t>
            </w:r>
          </w:p>
        </w:tc>
        <w:tc>
          <w:tcPr>
            <w:tcW w:w="1843" w:type="dxa"/>
            <w:tcBorders>
              <w:top w:val="single" w:sz="4" w:space="0" w:color="auto"/>
              <w:left w:val="nil"/>
              <w:bottom w:val="single" w:sz="8" w:space="0" w:color="auto"/>
              <w:right w:val="nil"/>
            </w:tcBorders>
            <w:noWrap/>
            <w:vAlign w:val="center"/>
          </w:tcPr>
          <w:p w14:paraId="40411131" w14:textId="77777777" w:rsidR="002F3255" w:rsidRPr="0049064A" w:rsidRDefault="002F3255">
            <w:pPr>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37</w:t>
            </w:r>
            <w:r w:rsid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181,2</w:t>
            </w:r>
          </w:p>
        </w:tc>
        <w:tc>
          <w:tcPr>
            <w:tcW w:w="372" w:type="dxa"/>
            <w:tcBorders>
              <w:top w:val="nil"/>
              <w:left w:val="nil"/>
              <w:bottom w:val="nil"/>
              <w:right w:val="nil"/>
            </w:tcBorders>
            <w:noWrap/>
            <w:vAlign w:val="bottom"/>
          </w:tcPr>
          <w:p w14:paraId="40411132" w14:textId="77777777" w:rsidR="002F3255" w:rsidRPr="0049064A" w:rsidRDefault="002F3255">
            <w:pPr>
              <w:keepNext/>
              <w:keepLines/>
              <w:jc w:val="center"/>
              <w:rPr>
                <w:rFonts w:asciiTheme="minorHAnsi" w:eastAsia="Times New Roman" w:hAnsiTheme="minorHAnsi" w:cstheme="minorHAnsi"/>
                <w:b/>
                <w:bCs/>
                <w:color w:val="000000"/>
                <w:sz w:val="18"/>
                <w:szCs w:val="18"/>
                <w:lang w:val="es-ES"/>
              </w:rPr>
            </w:pPr>
          </w:p>
        </w:tc>
      </w:tr>
      <w:tr w:rsidR="002F3255" w:rsidRPr="0049064A" w14:paraId="4041113B" w14:textId="77777777">
        <w:trPr>
          <w:gridAfter w:val="1"/>
          <w:wAfter w:w="671" w:type="dxa"/>
          <w:trHeight w:val="300"/>
        </w:trPr>
        <w:tc>
          <w:tcPr>
            <w:tcW w:w="2410" w:type="dxa"/>
            <w:tcBorders>
              <w:top w:val="nil"/>
              <w:left w:val="nil"/>
              <w:bottom w:val="single" w:sz="8" w:space="0" w:color="auto"/>
              <w:right w:val="nil"/>
            </w:tcBorders>
            <w:noWrap/>
            <w:vAlign w:val="center"/>
          </w:tcPr>
          <w:p w14:paraId="4041113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Menos las contribuciones del país anfitrión</w:t>
            </w:r>
          </w:p>
        </w:tc>
        <w:tc>
          <w:tcPr>
            <w:tcW w:w="1418" w:type="dxa"/>
            <w:tcBorders>
              <w:top w:val="nil"/>
              <w:left w:val="nil"/>
              <w:bottom w:val="single" w:sz="8" w:space="0" w:color="auto"/>
              <w:right w:val="nil"/>
            </w:tcBorders>
            <w:noWrap/>
            <w:vAlign w:val="bottom"/>
          </w:tcPr>
          <w:p w14:paraId="40411135" w14:textId="77777777" w:rsidR="002F3255" w:rsidRPr="0049064A" w:rsidRDefault="002F3255">
            <w:pPr>
              <w:keepNext/>
              <w:keepLines/>
              <w:rPr>
                <w:rFonts w:asciiTheme="minorHAnsi" w:eastAsia="Times New Roman" w:hAnsiTheme="minorHAnsi" w:cstheme="minorHAnsi"/>
                <w:lang w:val="es-ES"/>
              </w:rPr>
            </w:pPr>
          </w:p>
        </w:tc>
        <w:tc>
          <w:tcPr>
            <w:tcW w:w="1677" w:type="dxa"/>
            <w:tcBorders>
              <w:top w:val="nil"/>
              <w:left w:val="nil"/>
              <w:bottom w:val="single" w:sz="8" w:space="0" w:color="auto"/>
              <w:right w:val="nil"/>
            </w:tcBorders>
            <w:noWrap/>
            <w:vAlign w:val="bottom"/>
          </w:tcPr>
          <w:p w14:paraId="40411136" w14:textId="77777777" w:rsidR="002F3255" w:rsidRPr="0049064A" w:rsidRDefault="002F3255">
            <w:pPr>
              <w:keepNext/>
              <w:keepLines/>
              <w:ind w:left="-506" w:right="-705"/>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236" w:type="dxa"/>
            <w:tcBorders>
              <w:top w:val="nil"/>
              <w:left w:val="nil"/>
              <w:bottom w:val="single" w:sz="8" w:space="0" w:color="auto"/>
              <w:right w:val="nil"/>
            </w:tcBorders>
          </w:tcPr>
          <w:p w14:paraId="4041113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single" w:sz="8" w:space="0" w:color="auto"/>
              <w:right w:val="nil"/>
            </w:tcBorders>
            <w:noWrap/>
            <w:vAlign w:val="bottom"/>
          </w:tcPr>
          <w:p w14:paraId="4041113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298,1</w:t>
            </w:r>
          </w:p>
        </w:tc>
        <w:tc>
          <w:tcPr>
            <w:tcW w:w="1843" w:type="dxa"/>
            <w:tcBorders>
              <w:top w:val="nil"/>
              <w:left w:val="nil"/>
              <w:bottom w:val="single" w:sz="8" w:space="0" w:color="auto"/>
              <w:right w:val="nil"/>
            </w:tcBorders>
            <w:noWrap/>
            <w:vAlign w:val="bottom"/>
          </w:tcPr>
          <w:p w14:paraId="40411139"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-3</w:t>
            </w:r>
            <w:r w:rsid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298,1</w:t>
            </w:r>
          </w:p>
        </w:tc>
        <w:tc>
          <w:tcPr>
            <w:tcW w:w="372" w:type="dxa"/>
            <w:tcBorders>
              <w:top w:val="nil"/>
              <w:left w:val="nil"/>
              <w:bottom w:val="nil"/>
              <w:right w:val="nil"/>
            </w:tcBorders>
            <w:noWrap/>
            <w:vAlign w:val="bottom"/>
          </w:tcPr>
          <w:p w14:paraId="4041113A"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143" w14:textId="77777777">
        <w:trPr>
          <w:gridAfter w:val="1"/>
          <w:wAfter w:w="671" w:type="dxa"/>
          <w:trHeight w:val="300"/>
        </w:trPr>
        <w:tc>
          <w:tcPr>
            <w:tcW w:w="2410" w:type="dxa"/>
            <w:tcBorders>
              <w:top w:val="nil"/>
              <w:left w:val="nil"/>
              <w:bottom w:val="single" w:sz="8" w:space="0" w:color="auto"/>
              <w:right w:val="nil"/>
            </w:tcBorders>
            <w:noWrap/>
            <w:vAlign w:val="center"/>
          </w:tcPr>
          <w:p w14:paraId="4041113C" w14:textId="77777777" w:rsidR="002F3255" w:rsidRPr="0049064A" w:rsidRDefault="002F3255">
            <w:pPr>
              <w:keepNext/>
              <w:keepLines/>
              <w:rPr>
                <w:rFonts w:asciiTheme="minorHAnsi" w:eastAsia="Times New Roman" w:hAnsiTheme="minorHAnsi" w:cstheme="minorHAnsi"/>
                <w:lang w:val="es-ES"/>
              </w:rPr>
            </w:pPr>
            <w:proofErr w:type="gramStart"/>
            <w:r w:rsidRPr="0049064A">
              <w:rPr>
                <w:rFonts w:asciiTheme="minorHAnsi" w:eastAsia="Times New Roman" w:hAnsiTheme="minorHAnsi" w:cstheme="minorHAnsi"/>
                <w:b/>
                <w:bCs/>
                <w:color w:val="000000"/>
                <w:sz w:val="18"/>
                <w:szCs w:val="18"/>
                <w:lang w:val="es-ES"/>
              </w:rPr>
              <w:t>Total</w:t>
            </w:r>
            <w:proofErr w:type="gramEnd"/>
            <w:r w:rsidRPr="0049064A">
              <w:rPr>
                <w:rFonts w:asciiTheme="minorHAnsi" w:eastAsia="Times New Roman" w:hAnsiTheme="minorHAnsi" w:cstheme="minorHAnsi"/>
                <w:b/>
                <w:bCs/>
                <w:color w:val="000000"/>
                <w:sz w:val="18"/>
                <w:szCs w:val="18"/>
                <w:lang w:val="es-ES"/>
              </w:rPr>
              <w:t xml:space="preserve"> neto (a dividir entre las Partes)</w:t>
            </w:r>
          </w:p>
        </w:tc>
        <w:tc>
          <w:tcPr>
            <w:tcW w:w="1418" w:type="dxa"/>
            <w:tcBorders>
              <w:top w:val="nil"/>
              <w:left w:val="nil"/>
              <w:bottom w:val="single" w:sz="8" w:space="0" w:color="auto"/>
              <w:right w:val="nil"/>
            </w:tcBorders>
            <w:noWrap/>
            <w:vAlign w:val="bottom"/>
          </w:tcPr>
          <w:p w14:paraId="4041113D"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1677" w:type="dxa"/>
            <w:tcBorders>
              <w:top w:val="nil"/>
              <w:left w:val="nil"/>
              <w:bottom w:val="single" w:sz="8" w:space="0" w:color="auto"/>
              <w:right w:val="nil"/>
            </w:tcBorders>
            <w:noWrap/>
            <w:vAlign w:val="bottom"/>
          </w:tcPr>
          <w:p w14:paraId="4041113E" w14:textId="77777777" w:rsidR="002F3255" w:rsidRPr="0049064A" w:rsidRDefault="002F3255">
            <w:pPr>
              <w:keepNext/>
              <w:keepLines/>
              <w:ind w:left="-506" w:right="-705"/>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236" w:type="dxa"/>
            <w:tcBorders>
              <w:top w:val="nil"/>
              <w:left w:val="nil"/>
              <w:bottom w:val="single" w:sz="8" w:space="0" w:color="auto"/>
              <w:right w:val="nil"/>
            </w:tcBorders>
          </w:tcPr>
          <w:p w14:paraId="4041113F"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single" w:sz="8" w:space="0" w:color="auto"/>
              <w:right w:val="nil"/>
            </w:tcBorders>
            <w:noWrap/>
            <w:vAlign w:val="bottom"/>
          </w:tcPr>
          <w:p w14:paraId="40411140" w14:textId="77777777" w:rsidR="002F3255" w:rsidRPr="0049064A" w:rsidRDefault="002F3255">
            <w:pPr>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37</w:t>
            </w:r>
            <w:r w:rsidR="0049064A" w:rsidRP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145,7</w:t>
            </w:r>
          </w:p>
        </w:tc>
        <w:tc>
          <w:tcPr>
            <w:tcW w:w="1843" w:type="dxa"/>
            <w:tcBorders>
              <w:top w:val="nil"/>
              <w:left w:val="nil"/>
              <w:bottom w:val="single" w:sz="8" w:space="0" w:color="auto"/>
              <w:right w:val="nil"/>
            </w:tcBorders>
            <w:noWrap/>
            <w:vAlign w:val="bottom"/>
          </w:tcPr>
          <w:p w14:paraId="40411141" w14:textId="77777777" w:rsidR="002F3255" w:rsidRPr="0049064A" w:rsidRDefault="002F3255">
            <w:pPr>
              <w:jc w:val="right"/>
              <w:rPr>
                <w:rFonts w:asciiTheme="minorHAnsi" w:eastAsia="Times New Roman" w:hAnsiTheme="minorHAnsi" w:cstheme="minorHAnsi"/>
                <w:b/>
                <w:bCs/>
                <w:color w:val="000000"/>
                <w:sz w:val="18"/>
                <w:szCs w:val="18"/>
                <w:lang w:val="es-ES"/>
              </w:rPr>
            </w:pPr>
            <w:r w:rsidRPr="0049064A">
              <w:rPr>
                <w:rFonts w:asciiTheme="minorHAnsi" w:eastAsia="Times New Roman" w:hAnsiTheme="minorHAnsi" w:cstheme="minorHAnsi"/>
                <w:b/>
                <w:bCs/>
                <w:color w:val="000000"/>
                <w:sz w:val="18"/>
                <w:szCs w:val="18"/>
                <w:lang w:val="es-ES"/>
              </w:rPr>
              <w:t>33</w:t>
            </w:r>
            <w:r w:rsidR="0049064A">
              <w:rPr>
                <w:rFonts w:asciiTheme="minorHAnsi" w:eastAsia="Times New Roman" w:hAnsiTheme="minorHAnsi" w:cstheme="minorHAnsi"/>
                <w:b/>
                <w:bCs/>
                <w:color w:val="000000"/>
                <w:sz w:val="18"/>
                <w:szCs w:val="18"/>
                <w:lang w:val="es-ES"/>
              </w:rPr>
              <w:t xml:space="preserve"> </w:t>
            </w:r>
            <w:r w:rsidRPr="0049064A">
              <w:rPr>
                <w:rFonts w:asciiTheme="minorHAnsi" w:eastAsia="Times New Roman" w:hAnsiTheme="minorHAnsi" w:cstheme="minorHAnsi"/>
                <w:b/>
                <w:bCs/>
                <w:color w:val="000000"/>
                <w:sz w:val="18"/>
                <w:szCs w:val="18"/>
                <w:lang w:val="es-ES"/>
              </w:rPr>
              <w:t>883,1</w:t>
            </w:r>
          </w:p>
        </w:tc>
        <w:tc>
          <w:tcPr>
            <w:tcW w:w="372" w:type="dxa"/>
            <w:tcBorders>
              <w:top w:val="nil"/>
              <w:left w:val="nil"/>
              <w:bottom w:val="nil"/>
              <w:right w:val="nil"/>
            </w:tcBorders>
            <w:noWrap/>
            <w:vAlign w:val="bottom"/>
          </w:tcPr>
          <w:p w14:paraId="40411142"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14A" w14:textId="77777777">
        <w:trPr>
          <w:gridAfter w:val="1"/>
          <w:wAfter w:w="671" w:type="dxa"/>
          <w:trHeight w:val="300"/>
        </w:trPr>
        <w:tc>
          <w:tcPr>
            <w:tcW w:w="3828" w:type="dxa"/>
            <w:gridSpan w:val="2"/>
            <w:tcBorders>
              <w:top w:val="single" w:sz="8" w:space="0" w:color="auto"/>
              <w:left w:val="nil"/>
              <w:bottom w:val="single" w:sz="8" w:space="0" w:color="auto"/>
              <w:right w:val="nil"/>
            </w:tcBorders>
            <w:noWrap/>
            <w:vAlign w:val="center"/>
          </w:tcPr>
          <w:p w14:paraId="40411144"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Porcentaje del presupuesto integrado que corresponde al Convenio (72 %)</w:t>
            </w:r>
          </w:p>
        </w:tc>
        <w:tc>
          <w:tcPr>
            <w:tcW w:w="1677" w:type="dxa"/>
            <w:tcBorders>
              <w:top w:val="nil"/>
              <w:left w:val="nil"/>
              <w:bottom w:val="single" w:sz="8" w:space="0" w:color="auto"/>
              <w:right w:val="nil"/>
            </w:tcBorders>
            <w:noWrap/>
            <w:vAlign w:val="bottom"/>
          </w:tcPr>
          <w:p w14:paraId="40411145" w14:textId="77777777" w:rsidR="002F3255" w:rsidRPr="0049064A" w:rsidRDefault="002F3255">
            <w:pPr>
              <w:keepNext/>
              <w:keepLines/>
              <w:ind w:left="-506" w:right="-705"/>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236" w:type="dxa"/>
            <w:tcBorders>
              <w:top w:val="nil"/>
              <w:left w:val="nil"/>
              <w:bottom w:val="single" w:sz="8" w:space="0" w:color="auto"/>
              <w:right w:val="nil"/>
            </w:tcBorders>
          </w:tcPr>
          <w:p w14:paraId="40411146"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single" w:sz="8" w:space="0" w:color="auto"/>
              <w:right w:val="nil"/>
            </w:tcBorders>
            <w:noWrap/>
            <w:vAlign w:val="center"/>
          </w:tcPr>
          <w:p w14:paraId="40411147"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26.744,8</w:t>
            </w:r>
          </w:p>
        </w:tc>
        <w:tc>
          <w:tcPr>
            <w:tcW w:w="1843" w:type="dxa"/>
            <w:tcBorders>
              <w:top w:val="nil"/>
              <w:left w:val="nil"/>
              <w:bottom w:val="single" w:sz="8" w:space="0" w:color="auto"/>
              <w:right w:val="nil"/>
            </w:tcBorders>
            <w:noWrap/>
            <w:vAlign w:val="center"/>
          </w:tcPr>
          <w:p w14:paraId="40411148"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24</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395,8</w:t>
            </w:r>
          </w:p>
        </w:tc>
        <w:tc>
          <w:tcPr>
            <w:tcW w:w="372" w:type="dxa"/>
            <w:tcBorders>
              <w:top w:val="nil"/>
              <w:left w:val="nil"/>
              <w:bottom w:val="nil"/>
              <w:right w:val="nil"/>
            </w:tcBorders>
            <w:noWrap/>
            <w:vAlign w:val="bottom"/>
          </w:tcPr>
          <w:p w14:paraId="40411149"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151" w14:textId="77777777">
        <w:trPr>
          <w:gridAfter w:val="1"/>
          <w:wAfter w:w="671" w:type="dxa"/>
          <w:trHeight w:val="300"/>
        </w:trPr>
        <w:tc>
          <w:tcPr>
            <w:tcW w:w="3828" w:type="dxa"/>
            <w:gridSpan w:val="2"/>
            <w:tcBorders>
              <w:top w:val="single" w:sz="8" w:space="0" w:color="auto"/>
              <w:left w:val="nil"/>
              <w:bottom w:val="single" w:sz="8" w:space="0" w:color="auto"/>
              <w:right w:val="nil"/>
            </w:tcBorders>
            <w:noWrap/>
            <w:vAlign w:val="center"/>
          </w:tcPr>
          <w:p w14:paraId="4041114B"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Porcentaje del presupuesto integrado que corresponde al Protocolo de Cartagena (15 %)</w:t>
            </w:r>
          </w:p>
        </w:tc>
        <w:tc>
          <w:tcPr>
            <w:tcW w:w="1677" w:type="dxa"/>
            <w:tcBorders>
              <w:top w:val="nil"/>
              <w:left w:val="nil"/>
              <w:bottom w:val="single" w:sz="8" w:space="0" w:color="auto"/>
              <w:right w:val="nil"/>
            </w:tcBorders>
            <w:noWrap/>
            <w:vAlign w:val="bottom"/>
          </w:tcPr>
          <w:p w14:paraId="4041114C" w14:textId="77777777" w:rsidR="002F3255" w:rsidRPr="0049064A" w:rsidRDefault="002F3255">
            <w:pPr>
              <w:keepNext/>
              <w:keepLines/>
              <w:ind w:left="-506" w:right="-705"/>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236" w:type="dxa"/>
            <w:tcBorders>
              <w:top w:val="nil"/>
              <w:left w:val="nil"/>
              <w:bottom w:val="single" w:sz="8" w:space="0" w:color="auto"/>
              <w:right w:val="nil"/>
            </w:tcBorders>
          </w:tcPr>
          <w:p w14:paraId="4041114D"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single" w:sz="8" w:space="0" w:color="auto"/>
              <w:right w:val="nil"/>
            </w:tcBorders>
            <w:noWrap/>
            <w:vAlign w:val="center"/>
          </w:tcPr>
          <w:p w14:paraId="4041114E"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5.571,8</w:t>
            </w:r>
          </w:p>
        </w:tc>
        <w:tc>
          <w:tcPr>
            <w:tcW w:w="1843" w:type="dxa"/>
            <w:tcBorders>
              <w:top w:val="nil"/>
              <w:left w:val="nil"/>
              <w:bottom w:val="single" w:sz="8" w:space="0" w:color="auto"/>
              <w:right w:val="nil"/>
            </w:tcBorders>
            <w:noWrap/>
            <w:vAlign w:val="center"/>
          </w:tcPr>
          <w:p w14:paraId="4041114F"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5</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082,5</w:t>
            </w:r>
          </w:p>
        </w:tc>
        <w:tc>
          <w:tcPr>
            <w:tcW w:w="372" w:type="dxa"/>
            <w:tcBorders>
              <w:top w:val="nil"/>
              <w:left w:val="nil"/>
              <w:bottom w:val="nil"/>
              <w:right w:val="nil"/>
            </w:tcBorders>
            <w:noWrap/>
            <w:vAlign w:val="bottom"/>
          </w:tcPr>
          <w:p w14:paraId="40411150"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r w:rsidR="002F3255" w:rsidRPr="0049064A" w14:paraId="40411158" w14:textId="77777777">
        <w:trPr>
          <w:gridAfter w:val="1"/>
          <w:wAfter w:w="671" w:type="dxa"/>
          <w:trHeight w:val="300"/>
        </w:trPr>
        <w:tc>
          <w:tcPr>
            <w:tcW w:w="3828" w:type="dxa"/>
            <w:gridSpan w:val="2"/>
            <w:tcBorders>
              <w:top w:val="single" w:sz="8" w:space="0" w:color="auto"/>
              <w:left w:val="nil"/>
              <w:bottom w:val="single" w:sz="8" w:space="0" w:color="auto"/>
              <w:right w:val="nil"/>
            </w:tcBorders>
            <w:noWrap/>
            <w:vAlign w:val="center"/>
          </w:tcPr>
          <w:p w14:paraId="40411152"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b/>
                <w:bCs/>
                <w:color w:val="000000"/>
                <w:sz w:val="18"/>
                <w:szCs w:val="18"/>
                <w:lang w:val="es-ES"/>
              </w:rPr>
              <w:t>Porcentaje del presupuesto integrado que corresponde al Protocolo de Nagoya (13 %)</w:t>
            </w:r>
          </w:p>
        </w:tc>
        <w:tc>
          <w:tcPr>
            <w:tcW w:w="1677" w:type="dxa"/>
            <w:tcBorders>
              <w:top w:val="nil"/>
              <w:left w:val="nil"/>
              <w:bottom w:val="single" w:sz="8" w:space="0" w:color="auto"/>
              <w:right w:val="nil"/>
            </w:tcBorders>
            <w:noWrap/>
            <w:vAlign w:val="bottom"/>
          </w:tcPr>
          <w:p w14:paraId="40411153" w14:textId="77777777" w:rsidR="002F3255" w:rsidRPr="0049064A" w:rsidRDefault="002F3255">
            <w:pPr>
              <w:keepNext/>
              <w:keepLines/>
              <w:ind w:left="-506" w:right="-705"/>
              <w:rPr>
                <w:rFonts w:asciiTheme="minorHAnsi" w:eastAsia="Times New Roman" w:hAnsiTheme="minorHAnsi" w:cstheme="minorHAnsi"/>
                <w:lang w:val="es-ES"/>
              </w:rPr>
            </w:pPr>
            <w:r w:rsidRPr="0049064A">
              <w:rPr>
                <w:rFonts w:asciiTheme="minorHAnsi" w:eastAsia="Times New Roman" w:hAnsiTheme="minorHAnsi" w:cstheme="minorHAnsi"/>
                <w:color w:val="000000"/>
                <w:sz w:val="18"/>
                <w:szCs w:val="18"/>
                <w:lang w:val="es-ES"/>
              </w:rPr>
              <w:t>.</w:t>
            </w:r>
          </w:p>
        </w:tc>
        <w:tc>
          <w:tcPr>
            <w:tcW w:w="236" w:type="dxa"/>
            <w:tcBorders>
              <w:top w:val="nil"/>
              <w:left w:val="nil"/>
              <w:bottom w:val="single" w:sz="8" w:space="0" w:color="auto"/>
              <w:right w:val="nil"/>
            </w:tcBorders>
          </w:tcPr>
          <w:p w14:paraId="40411154"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c>
          <w:tcPr>
            <w:tcW w:w="1673" w:type="dxa"/>
            <w:tcBorders>
              <w:top w:val="nil"/>
              <w:left w:val="nil"/>
              <w:bottom w:val="single" w:sz="8" w:space="0" w:color="auto"/>
              <w:right w:val="nil"/>
            </w:tcBorders>
            <w:noWrap/>
            <w:vAlign w:val="center"/>
          </w:tcPr>
          <w:p w14:paraId="40411155"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4.828,9</w:t>
            </w:r>
          </w:p>
        </w:tc>
        <w:tc>
          <w:tcPr>
            <w:tcW w:w="1843" w:type="dxa"/>
            <w:tcBorders>
              <w:top w:val="nil"/>
              <w:left w:val="nil"/>
              <w:bottom w:val="single" w:sz="8" w:space="0" w:color="auto"/>
              <w:right w:val="nil"/>
            </w:tcBorders>
            <w:noWrap/>
            <w:vAlign w:val="center"/>
          </w:tcPr>
          <w:p w14:paraId="40411156" w14:textId="77777777" w:rsidR="002F3255" w:rsidRPr="0049064A" w:rsidRDefault="002F3255">
            <w:pPr>
              <w:keepNext/>
              <w:keepLines/>
              <w:jc w:val="right"/>
              <w:rPr>
                <w:rFonts w:asciiTheme="minorHAnsi" w:eastAsia="Times New Roman" w:hAnsiTheme="minorHAnsi" w:cstheme="minorHAnsi"/>
                <w:color w:val="000000"/>
                <w:sz w:val="18"/>
                <w:szCs w:val="18"/>
                <w:lang w:val="es-ES"/>
              </w:rPr>
            </w:pPr>
            <w:r w:rsidRPr="0049064A">
              <w:rPr>
                <w:rFonts w:asciiTheme="minorHAnsi" w:eastAsia="Times New Roman" w:hAnsiTheme="minorHAnsi" w:cstheme="minorHAnsi"/>
                <w:color w:val="000000"/>
                <w:sz w:val="18"/>
                <w:szCs w:val="18"/>
                <w:lang w:val="es-ES"/>
              </w:rPr>
              <w:t>4</w:t>
            </w:r>
            <w:r w:rsidR="0049064A" w:rsidRPr="0049064A">
              <w:rPr>
                <w:rFonts w:asciiTheme="minorHAnsi" w:eastAsia="Times New Roman" w:hAnsiTheme="minorHAnsi" w:cstheme="minorHAnsi"/>
                <w:color w:val="000000"/>
                <w:sz w:val="18"/>
                <w:szCs w:val="18"/>
                <w:lang w:val="es-ES"/>
              </w:rPr>
              <w:t xml:space="preserve"> </w:t>
            </w:r>
            <w:r w:rsidRPr="0049064A">
              <w:rPr>
                <w:rFonts w:asciiTheme="minorHAnsi" w:eastAsia="Times New Roman" w:hAnsiTheme="minorHAnsi" w:cstheme="minorHAnsi"/>
                <w:color w:val="000000"/>
                <w:sz w:val="18"/>
                <w:szCs w:val="18"/>
                <w:lang w:val="es-ES"/>
              </w:rPr>
              <w:t>404,8</w:t>
            </w:r>
          </w:p>
        </w:tc>
        <w:tc>
          <w:tcPr>
            <w:tcW w:w="372" w:type="dxa"/>
            <w:tcBorders>
              <w:top w:val="nil"/>
              <w:left w:val="nil"/>
              <w:bottom w:val="nil"/>
              <w:right w:val="nil"/>
            </w:tcBorders>
            <w:noWrap/>
            <w:vAlign w:val="bottom"/>
          </w:tcPr>
          <w:p w14:paraId="40411157" w14:textId="77777777" w:rsidR="002F3255" w:rsidRPr="0049064A" w:rsidRDefault="002F3255">
            <w:pPr>
              <w:keepNext/>
              <w:keepLines/>
              <w:jc w:val="center"/>
              <w:rPr>
                <w:rFonts w:asciiTheme="minorHAnsi" w:eastAsia="Times New Roman" w:hAnsiTheme="minorHAnsi" w:cstheme="minorHAnsi"/>
                <w:color w:val="000000"/>
                <w:sz w:val="18"/>
                <w:szCs w:val="18"/>
                <w:lang w:val="es-ES"/>
              </w:rPr>
            </w:pPr>
          </w:p>
        </w:tc>
      </w:tr>
    </w:tbl>
    <w:p w14:paraId="40411159" w14:textId="77777777" w:rsidR="002F3255" w:rsidRPr="0049064A" w:rsidRDefault="002F3255">
      <w:pPr>
        <w:keepNext/>
        <w:keepLines/>
        <w:rPr>
          <w:rFonts w:asciiTheme="minorHAnsi" w:eastAsia="Times New Roman" w:hAnsiTheme="minorHAnsi" w:cstheme="minorHAnsi"/>
          <w:lang w:val="es-ES"/>
        </w:rPr>
      </w:pPr>
      <w:r w:rsidRPr="0049064A">
        <w:rPr>
          <w:rFonts w:asciiTheme="minorHAnsi" w:eastAsia="Times New Roman" w:hAnsiTheme="minorHAnsi" w:cstheme="minorHAnsi"/>
          <w:color w:val="000000"/>
          <w:sz w:val="16"/>
          <w:szCs w:val="16"/>
          <w:lang w:val="es-ES"/>
        </w:rPr>
        <w:t>a/ Refleja la aplicación de la tasa de vacantes estándar empleada en gastos salariales estándar de los puestos del Cuadro Orgánico. Para los puestos</w:t>
      </w:r>
      <w:r w:rsidR="0078158C">
        <w:rPr>
          <w:rFonts w:asciiTheme="minorHAnsi" w:eastAsia="Times New Roman" w:hAnsiTheme="minorHAnsi" w:cstheme="minorHAnsi"/>
          <w:color w:val="000000"/>
          <w:sz w:val="16"/>
          <w:szCs w:val="16"/>
          <w:lang w:val="es-ES"/>
        </w:rPr>
        <w:t> </w:t>
      </w:r>
      <w:r w:rsidRPr="0049064A">
        <w:rPr>
          <w:rFonts w:asciiTheme="minorHAnsi" w:eastAsia="Times New Roman" w:hAnsiTheme="minorHAnsi" w:cstheme="minorHAnsi"/>
          <w:color w:val="000000"/>
          <w:sz w:val="16"/>
          <w:szCs w:val="16"/>
          <w:lang w:val="es-ES"/>
        </w:rPr>
        <w:t>de</w:t>
      </w:r>
      <w:r w:rsidR="0078158C">
        <w:rPr>
          <w:rFonts w:asciiTheme="minorHAnsi" w:eastAsia="Times New Roman" w:hAnsiTheme="minorHAnsi" w:cstheme="minorHAnsi"/>
          <w:color w:val="000000"/>
          <w:sz w:val="16"/>
          <w:szCs w:val="16"/>
          <w:lang w:val="es-ES"/>
        </w:rPr>
        <w:t> </w:t>
      </w:r>
      <w:r w:rsidRPr="0049064A">
        <w:rPr>
          <w:rFonts w:asciiTheme="minorHAnsi" w:eastAsia="Times New Roman" w:hAnsiTheme="minorHAnsi" w:cstheme="minorHAnsi"/>
          <w:color w:val="000000"/>
          <w:sz w:val="16"/>
          <w:szCs w:val="16"/>
          <w:lang w:val="es-ES"/>
        </w:rPr>
        <w:t>Servicios Generales no se aplicó la tasa de vacantes.</w:t>
      </w:r>
    </w:p>
    <w:p w14:paraId="4041115A" w14:textId="77777777" w:rsidR="002F3255" w:rsidRPr="005978DF" w:rsidRDefault="002F3255">
      <w:pPr>
        <w:keepNext/>
        <w:spacing w:before="120" w:after="120"/>
        <w:rPr>
          <w:rFonts w:eastAsia="Times New Roman"/>
          <w:b/>
          <w:bCs/>
          <w:sz w:val="22"/>
          <w:szCs w:val="22"/>
          <w:lang w:val="es-ES"/>
        </w:rPr>
      </w:pPr>
    </w:p>
    <w:p w14:paraId="4041115B" w14:textId="77777777" w:rsidR="002F3255" w:rsidRPr="005978DF" w:rsidRDefault="002F3255" w:rsidP="0027390C">
      <w:pPr>
        <w:keepNext/>
        <w:tabs>
          <w:tab w:val="left" w:pos="1080"/>
        </w:tabs>
        <w:spacing w:before="120" w:after="120"/>
        <w:outlineLvl w:val="3"/>
        <w:rPr>
          <w:rFonts w:eastAsia="Times New Roman"/>
          <w:lang w:val="es-ES"/>
        </w:rPr>
      </w:pPr>
      <w:r w:rsidRPr="005978DF">
        <w:rPr>
          <w:rFonts w:eastAsia="Times New Roman"/>
          <w:b/>
          <w:bCs/>
          <w:sz w:val="22"/>
          <w:szCs w:val="22"/>
          <w:lang w:val="es-ES"/>
        </w:rPr>
        <w:t>Cuadro 4. Recursos para puestos</w:t>
      </w:r>
      <w:r w:rsidRPr="005978DF">
        <w:rPr>
          <w:rFonts w:eastAsia="Times New Roman"/>
          <w:lang w:val="es-ES"/>
        </w:rPr>
        <w:fldChar w:fldCharType="begin"/>
      </w:r>
      <w:r w:rsidRPr="005978DF">
        <w:rPr>
          <w:rFonts w:eastAsia="Times New Roman"/>
          <w:lang w:val="es-ES"/>
        </w:rPr>
        <w:instrText xml:space="preserve"> LINK Excel.Sheet.12 "https://d.docs.live.net/7d65890dd59c735d/Documents/Budget document - 2023-24 biennium.xlsx" "Staffing table!R4C2:R18C7" \a \f 4 \h  \* MERGEFORMAT </w:instrText>
      </w:r>
      <w:r w:rsidRPr="005978DF">
        <w:rPr>
          <w:rFonts w:eastAsia="Times New Roman"/>
          <w:lang w:val="es-ES"/>
        </w:rPr>
        <w:fldChar w:fldCharType="separate"/>
      </w:r>
    </w:p>
    <w:tbl>
      <w:tblPr>
        <w:tblW w:w="0" w:type="auto"/>
        <w:jc w:val="center"/>
        <w:tblLayout w:type="fixed"/>
        <w:tblLook w:val="00A0" w:firstRow="1" w:lastRow="0" w:firstColumn="1" w:lastColumn="0" w:noHBand="0" w:noVBand="0"/>
      </w:tblPr>
      <w:tblGrid>
        <w:gridCol w:w="2410"/>
        <w:gridCol w:w="2077"/>
        <w:gridCol w:w="1260"/>
        <w:gridCol w:w="1080"/>
        <w:gridCol w:w="1067"/>
      </w:tblGrid>
      <w:tr w:rsidR="002F3255" w:rsidRPr="005978DF" w14:paraId="4041115E" w14:textId="77777777">
        <w:trPr>
          <w:trHeight w:val="146"/>
          <w:jc w:val="center"/>
        </w:trPr>
        <w:tc>
          <w:tcPr>
            <w:tcW w:w="2410" w:type="dxa"/>
            <w:vMerge w:val="restart"/>
            <w:tcBorders>
              <w:top w:val="single" w:sz="8" w:space="0" w:color="auto"/>
              <w:left w:val="nil"/>
              <w:bottom w:val="single" w:sz="8" w:space="0" w:color="000000"/>
              <w:right w:val="nil"/>
            </w:tcBorders>
            <w:shd w:val="clear" w:color="auto" w:fill="FFFFFF"/>
            <w:vAlign w:val="center"/>
          </w:tcPr>
          <w:p w14:paraId="4041115C"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p>
        </w:tc>
        <w:tc>
          <w:tcPr>
            <w:tcW w:w="5484" w:type="dxa"/>
            <w:gridSpan w:val="4"/>
            <w:tcBorders>
              <w:top w:val="single" w:sz="8" w:space="0" w:color="auto"/>
              <w:left w:val="nil"/>
              <w:bottom w:val="nil"/>
              <w:right w:val="nil"/>
            </w:tcBorders>
            <w:shd w:val="clear" w:color="auto" w:fill="FFFFFF"/>
            <w:vAlign w:val="center"/>
          </w:tcPr>
          <w:p w14:paraId="4041115D" w14:textId="77777777" w:rsidR="002F3255" w:rsidRPr="005978DF" w:rsidRDefault="002F3255" w:rsidP="00CB2E18">
            <w:pPr>
              <w:keepNext/>
              <w:tabs>
                <w:tab w:val="left" w:pos="1080"/>
              </w:tabs>
              <w:snapToGrid w:val="0"/>
              <w:outlineLvl w:val="2"/>
              <w:rPr>
                <w:rFonts w:ascii="Calibri" w:eastAsia="Times New Roman" w:hAnsi="Calibri" w:cs="Calibri"/>
                <w:color w:val="000000"/>
                <w:sz w:val="18"/>
                <w:szCs w:val="18"/>
                <w:lang w:val="es-ES"/>
              </w:rPr>
            </w:pPr>
          </w:p>
        </w:tc>
      </w:tr>
      <w:tr w:rsidR="002F3255" w:rsidRPr="005978DF" w14:paraId="40411164" w14:textId="77777777">
        <w:trPr>
          <w:jc w:val="center"/>
        </w:trPr>
        <w:tc>
          <w:tcPr>
            <w:tcW w:w="2410" w:type="dxa"/>
            <w:vMerge/>
            <w:tcBorders>
              <w:top w:val="single" w:sz="8" w:space="0" w:color="auto"/>
              <w:left w:val="nil"/>
              <w:bottom w:val="single" w:sz="8" w:space="0" w:color="000000"/>
              <w:right w:val="nil"/>
            </w:tcBorders>
            <w:shd w:val="clear" w:color="auto" w:fill="FFFFFF"/>
            <w:vAlign w:val="center"/>
          </w:tcPr>
          <w:p w14:paraId="4041115F"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p>
        </w:tc>
        <w:tc>
          <w:tcPr>
            <w:tcW w:w="2077" w:type="dxa"/>
            <w:tcBorders>
              <w:top w:val="nil"/>
              <w:left w:val="nil"/>
              <w:bottom w:val="nil"/>
              <w:right w:val="nil"/>
            </w:tcBorders>
            <w:shd w:val="clear" w:color="auto" w:fill="FFFFFF"/>
            <w:vAlign w:val="center"/>
          </w:tcPr>
          <w:p w14:paraId="40411160"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Presupuesto básico autorizado</w:t>
            </w:r>
          </w:p>
        </w:tc>
        <w:tc>
          <w:tcPr>
            <w:tcW w:w="1260" w:type="dxa"/>
            <w:tcBorders>
              <w:top w:val="nil"/>
              <w:left w:val="nil"/>
              <w:bottom w:val="nil"/>
              <w:right w:val="nil"/>
            </w:tcBorders>
            <w:shd w:val="clear" w:color="auto" w:fill="FFFFFF"/>
            <w:vAlign w:val="center"/>
          </w:tcPr>
          <w:p w14:paraId="40411161"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 xml:space="preserve">Autorizado </w:t>
            </w:r>
          </w:p>
        </w:tc>
        <w:tc>
          <w:tcPr>
            <w:tcW w:w="1080" w:type="dxa"/>
            <w:tcBorders>
              <w:top w:val="nil"/>
              <w:left w:val="nil"/>
              <w:bottom w:val="nil"/>
              <w:right w:val="nil"/>
            </w:tcBorders>
            <w:shd w:val="clear" w:color="auto" w:fill="FFFFFF"/>
            <w:vAlign w:val="center"/>
          </w:tcPr>
          <w:p w14:paraId="40411162"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CRN</w:t>
            </w:r>
          </w:p>
        </w:tc>
        <w:tc>
          <w:tcPr>
            <w:tcW w:w="1067" w:type="dxa"/>
            <w:tcBorders>
              <w:top w:val="nil"/>
              <w:left w:val="nil"/>
              <w:bottom w:val="nil"/>
              <w:right w:val="nil"/>
            </w:tcBorders>
            <w:shd w:val="clear" w:color="auto" w:fill="FFFFFF"/>
            <w:vAlign w:val="center"/>
          </w:tcPr>
          <w:p w14:paraId="40411163"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CNN</w:t>
            </w:r>
          </w:p>
        </w:tc>
      </w:tr>
      <w:tr w:rsidR="002F3255" w:rsidRPr="005978DF" w14:paraId="4041116A" w14:textId="77777777">
        <w:trPr>
          <w:jc w:val="center"/>
        </w:trPr>
        <w:tc>
          <w:tcPr>
            <w:tcW w:w="2410" w:type="dxa"/>
            <w:vMerge/>
            <w:tcBorders>
              <w:top w:val="single" w:sz="8" w:space="0" w:color="auto"/>
              <w:left w:val="nil"/>
              <w:bottom w:val="single" w:sz="8" w:space="0" w:color="000000"/>
              <w:right w:val="nil"/>
            </w:tcBorders>
            <w:shd w:val="clear" w:color="auto" w:fill="FFFFFF"/>
            <w:vAlign w:val="center"/>
          </w:tcPr>
          <w:p w14:paraId="40411165"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p>
        </w:tc>
        <w:tc>
          <w:tcPr>
            <w:tcW w:w="2077" w:type="dxa"/>
            <w:tcBorders>
              <w:top w:val="nil"/>
              <w:left w:val="nil"/>
              <w:bottom w:val="single" w:sz="8" w:space="0" w:color="auto"/>
              <w:right w:val="nil"/>
            </w:tcBorders>
            <w:shd w:val="clear" w:color="auto" w:fill="FFFFFF"/>
            <w:vAlign w:val="center"/>
          </w:tcPr>
          <w:p w14:paraId="40411166"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2019-20</w:t>
            </w:r>
          </w:p>
        </w:tc>
        <w:tc>
          <w:tcPr>
            <w:tcW w:w="1260" w:type="dxa"/>
            <w:tcBorders>
              <w:top w:val="nil"/>
              <w:left w:val="nil"/>
              <w:bottom w:val="single" w:sz="8" w:space="0" w:color="auto"/>
              <w:right w:val="nil"/>
            </w:tcBorders>
            <w:shd w:val="clear" w:color="auto" w:fill="FFFFFF"/>
            <w:vAlign w:val="center"/>
          </w:tcPr>
          <w:p w14:paraId="40411167"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2021-22</w:t>
            </w:r>
          </w:p>
        </w:tc>
        <w:tc>
          <w:tcPr>
            <w:tcW w:w="1080" w:type="dxa"/>
            <w:tcBorders>
              <w:top w:val="nil"/>
              <w:left w:val="nil"/>
              <w:bottom w:val="single" w:sz="8" w:space="0" w:color="auto"/>
              <w:right w:val="nil"/>
            </w:tcBorders>
            <w:shd w:val="clear" w:color="auto" w:fill="FFFFFF"/>
            <w:vAlign w:val="center"/>
          </w:tcPr>
          <w:p w14:paraId="40411168"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2023-24</w:t>
            </w:r>
          </w:p>
        </w:tc>
        <w:tc>
          <w:tcPr>
            <w:tcW w:w="1067" w:type="dxa"/>
            <w:tcBorders>
              <w:top w:val="nil"/>
              <w:left w:val="nil"/>
              <w:bottom w:val="single" w:sz="8" w:space="0" w:color="auto"/>
              <w:right w:val="nil"/>
            </w:tcBorders>
            <w:shd w:val="clear" w:color="auto" w:fill="FFFFFF"/>
            <w:vAlign w:val="center"/>
          </w:tcPr>
          <w:p w14:paraId="40411169"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color w:val="000000"/>
                <w:sz w:val="18"/>
                <w:szCs w:val="18"/>
                <w:lang w:val="es-ES"/>
              </w:rPr>
            </w:pPr>
            <w:r w:rsidRPr="005978DF">
              <w:rPr>
                <w:rFonts w:ascii="Calibri" w:eastAsia="Times New Roman" w:hAnsi="Calibri" w:cs="Calibri"/>
                <w:i/>
                <w:iCs/>
                <w:color w:val="000000"/>
                <w:sz w:val="18"/>
                <w:szCs w:val="18"/>
                <w:lang w:val="es-ES"/>
              </w:rPr>
              <w:t>2023-24</w:t>
            </w:r>
          </w:p>
        </w:tc>
      </w:tr>
      <w:tr w:rsidR="002F3255" w:rsidRPr="005978DF" w14:paraId="4041116F" w14:textId="77777777">
        <w:trPr>
          <w:jc w:val="center"/>
        </w:trPr>
        <w:tc>
          <w:tcPr>
            <w:tcW w:w="4487" w:type="dxa"/>
            <w:gridSpan w:val="2"/>
            <w:tcBorders>
              <w:top w:val="nil"/>
              <w:left w:val="nil"/>
              <w:bottom w:val="nil"/>
              <w:right w:val="nil"/>
            </w:tcBorders>
            <w:shd w:val="clear" w:color="auto" w:fill="FFFFFF"/>
            <w:noWrap/>
            <w:vAlign w:val="center"/>
          </w:tcPr>
          <w:p w14:paraId="4041116B"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Cuadro Orgánico o superior</w:t>
            </w:r>
          </w:p>
        </w:tc>
        <w:tc>
          <w:tcPr>
            <w:tcW w:w="1260" w:type="dxa"/>
            <w:tcBorders>
              <w:top w:val="nil"/>
              <w:left w:val="nil"/>
              <w:bottom w:val="nil"/>
              <w:right w:val="nil"/>
            </w:tcBorders>
            <w:shd w:val="clear" w:color="auto" w:fill="FFFFFF"/>
            <w:vAlign w:val="center"/>
          </w:tcPr>
          <w:p w14:paraId="4041116C"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p>
        </w:tc>
        <w:tc>
          <w:tcPr>
            <w:tcW w:w="1080" w:type="dxa"/>
            <w:tcBorders>
              <w:top w:val="nil"/>
              <w:left w:val="nil"/>
              <w:bottom w:val="nil"/>
              <w:right w:val="nil"/>
            </w:tcBorders>
            <w:shd w:val="clear" w:color="auto" w:fill="FFFFFF"/>
            <w:vAlign w:val="center"/>
          </w:tcPr>
          <w:p w14:paraId="4041116D"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sz w:val="18"/>
                <w:szCs w:val="18"/>
                <w:lang w:val="es-ES"/>
              </w:rPr>
            </w:pPr>
          </w:p>
        </w:tc>
        <w:tc>
          <w:tcPr>
            <w:tcW w:w="1067" w:type="dxa"/>
            <w:tcBorders>
              <w:top w:val="nil"/>
              <w:left w:val="nil"/>
              <w:bottom w:val="nil"/>
              <w:right w:val="nil"/>
            </w:tcBorders>
            <w:shd w:val="clear" w:color="auto" w:fill="FFFFFF"/>
            <w:vAlign w:val="center"/>
          </w:tcPr>
          <w:p w14:paraId="4041116E"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sz w:val="18"/>
                <w:szCs w:val="18"/>
                <w:lang w:val="es-ES"/>
              </w:rPr>
            </w:pPr>
          </w:p>
        </w:tc>
      </w:tr>
      <w:tr w:rsidR="002F3255" w:rsidRPr="005978DF" w14:paraId="40411175" w14:textId="77777777">
        <w:trPr>
          <w:jc w:val="center"/>
        </w:trPr>
        <w:tc>
          <w:tcPr>
            <w:tcW w:w="2410" w:type="dxa"/>
            <w:tcBorders>
              <w:top w:val="nil"/>
              <w:left w:val="nil"/>
              <w:bottom w:val="nil"/>
              <w:right w:val="nil"/>
            </w:tcBorders>
            <w:shd w:val="clear" w:color="auto" w:fill="FFFFFF"/>
            <w:vAlign w:val="center"/>
          </w:tcPr>
          <w:p w14:paraId="40411170"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SSG</w:t>
            </w:r>
          </w:p>
        </w:tc>
        <w:tc>
          <w:tcPr>
            <w:tcW w:w="2077" w:type="dxa"/>
            <w:tcBorders>
              <w:top w:val="nil"/>
              <w:left w:val="nil"/>
              <w:bottom w:val="nil"/>
              <w:right w:val="nil"/>
            </w:tcBorders>
            <w:shd w:val="clear" w:color="auto" w:fill="FFFFFF"/>
            <w:vAlign w:val="center"/>
          </w:tcPr>
          <w:p w14:paraId="40411171"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w:t>
            </w:r>
          </w:p>
        </w:tc>
        <w:tc>
          <w:tcPr>
            <w:tcW w:w="1260" w:type="dxa"/>
            <w:tcBorders>
              <w:top w:val="nil"/>
              <w:left w:val="nil"/>
              <w:bottom w:val="nil"/>
              <w:right w:val="nil"/>
            </w:tcBorders>
            <w:shd w:val="clear" w:color="auto" w:fill="FFFFFF"/>
            <w:vAlign w:val="center"/>
          </w:tcPr>
          <w:p w14:paraId="40411172"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w:t>
            </w:r>
          </w:p>
        </w:tc>
        <w:tc>
          <w:tcPr>
            <w:tcW w:w="1080" w:type="dxa"/>
            <w:tcBorders>
              <w:top w:val="nil"/>
              <w:left w:val="nil"/>
              <w:bottom w:val="nil"/>
              <w:right w:val="nil"/>
            </w:tcBorders>
            <w:shd w:val="clear" w:color="auto" w:fill="FFFFFF"/>
            <w:vAlign w:val="center"/>
          </w:tcPr>
          <w:p w14:paraId="40411173"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w:t>
            </w:r>
          </w:p>
        </w:tc>
        <w:tc>
          <w:tcPr>
            <w:tcW w:w="1067" w:type="dxa"/>
            <w:tcBorders>
              <w:top w:val="nil"/>
              <w:left w:val="nil"/>
              <w:bottom w:val="nil"/>
              <w:right w:val="nil"/>
            </w:tcBorders>
            <w:shd w:val="clear" w:color="auto" w:fill="FFFFFF"/>
            <w:vAlign w:val="center"/>
          </w:tcPr>
          <w:p w14:paraId="40411174"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w:t>
            </w:r>
          </w:p>
        </w:tc>
      </w:tr>
      <w:tr w:rsidR="002F3255" w:rsidRPr="005978DF" w14:paraId="4041117B" w14:textId="77777777">
        <w:trPr>
          <w:jc w:val="center"/>
        </w:trPr>
        <w:tc>
          <w:tcPr>
            <w:tcW w:w="2410" w:type="dxa"/>
            <w:tcBorders>
              <w:top w:val="nil"/>
              <w:left w:val="nil"/>
              <w:bottom w:val="nil"/>
              <w:right w:val="nil"/>
            </w:tcBorders>
            <w:shd w:val="clear" w:color="auto" w:fill="FFFFFF"/>
            <w:vAlign w:val="center"/>
          </w:tcPr>
          <w:p w14:paraId="40411176"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D-2</w:t>
            </w:r>
          </w:p>
        </w:tc>
        <w:tc>
          <w:tcPr>
            <w:tcW w:w="2077" w:type="dxa"/>
            <w:tcBorders>
              <w:top w:val="nil"/>
              <w:left w:val="nil"/>
              <w:bottom w:val="nil"/>
              <w:right w:val="nil"/>
            </w:tcBorders>
            <w:shd w:val="clear" w:color="auto" w:fill="FFFFFF"/>
            <w:vAlign w:val="center"/>
          </w:tcPr>
          <w:p w14:paraId="40411177"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w:t>
            </w:r>
          </w:p>
        </w:tc>
        <w:tc>
          <w:tcPr>
            <w:tcW w:w="1260" w:type="dxa"/>
            <w:tcBorders>
              <w:top w:val="nil"/>
              <w:left w:val="nil"/>
              <w:bottom w:val="nil"/>
              <w:right w:val="nil"/>
            </w:tcBorders>
            <w:shd w:val="clear" w:color="auto" w:fill="FFFFFF"/>
            <w:vAlign w:val="center"/>
          </w:tcPr>
          <w:p w14:paraId="40411178"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w:t>
            </w:r>
          </w:p>
        </w:tc>
        <w:tc>
          <w:tcPr>
            <w:tcW w:w="1080" w:type="dxa"/>
            <w:tcBorders>
              <w:top w:val="nil"/>
              <w:left w:val="nil"/>
              <w:bottom w:val="nil"/>
              <w:right w:val="nil"/>
            </w:tcBorders>
            <w:shd w:val="clear" w:color="auto" w:fill="FFFFFF"/>
            <w:vAlign w:val="center"/>
          </w:tcPr>
          <w:p w14:paraId="40411179"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w:t>
            </w:r>
          </w:p>
        </w:tc>
        <w:tc>
          <w:tcPr>
            <w:tcW w:w="1067" w:type="dxa"/>
            <w:tcBorders>
              <w:top w:val="nil"/>
              <w:left w:val="nil"/>
              <w:bottom w:val="nil"/>
              <w:right w:val="nil"/>
            </w:tcBorders>
            <w:shd w:val="clear" w:color="auto" w:fill="FFFFFF"/>
            <w:vAlign w:val="center"/>
          </w:tcPr>
          <w:p w14:paraId="4041117A"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w:t>
            </w:r>
          </w:p>
        </w:tc>
      </w:tr>
      <w:tr w:rsidR="002F3255" w:rsidRPr="005978DF" w14:paraId="40411181" w14:textId="77777777">
        <w:trPr>
          <w:jc w:val="center"/>
        </w:trPr>
        <w:tc>
          <w:tcPr>
            <w:tcW w:w="2410" w:type="dxa"/>
            <w:tcBorders>
              <w:top w:val="nil"/>
              <w:left w:val="nil"/>
              <w:bottom w:val="nil"/>
              <w:right w:val="nil"/>
            </w:tcBorders>
            <w:shd w:val="clear" w:color="auto" w:fill="FFFFFF"/>
            <w:vAlign w:val="center"/>
          </w:tcPr>
          <w:p w14:paraId="4041117C"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D-1</w:t>
            </w:r>
          </w:p>
        </w:tc>
        <w:tc>
          <w:tcPr>
            <w:tcW w:w="2077" w:type="dxa"/>
            <w:tcBorders>
              <w:top w:val="nil"/>
              <w:left w:val="nil"/>
              <w:bottom w:val="nil"/>
              <w:right w:val="nil"/>
            </w:tcBorders>
            <w:shd w:val="clear" w:color="auto" w:fill="FFFFFF"/>
            <w:vAlign w:val="center"/>
          </w:tcPr>
          <w:p w14:paraId="4041117D"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3</w:t>
            </w:r>
          </w:p>
        </w:tc>
        <w:tc>
          <w:tcPr>
            <w:tcW w:w="1260" w:type="dxa"/>
            <w:tcBorders>
              <w:top w:val="nil"/>
              <w:left w:val="nil"/>
              <w:bottom w:val="nil"/>
              <w:right w:val="nil"/>
            </w:tcBorders>
            <w:shd w:val="clear" w:color="auto" w:fill="FFFFFF"/>
            <w:vAlign w:val="center"/>
          </w:tcPr>
          <w:p w14:paraId="4041117E"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3</w:t>
            </w:r>
          </w:p>
        </w:tc>
        <w:tc>
          <w:tcPr>
            <w:tcW w:w="1080" w:type="dxa"/>
            <w:tcBorders>
              <w:top w:val="nil"/>
              <w:left w:val="nil"/>
              <w:bottom w:val="nil"/>
              <w:right w:val="nil"/>
            </w:tcBorders>
            <w:shd w:val="clear" w:color="auto" w:fill="FFFFFF"/>
            <w:vAlign w:val="center"/>
          </w:tcPr>
          <w:p w14:paraId="4041117F"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2</w:t>
            </w:r>
          </w:p>
        </w:tc>
        <w:tc>
          <w:tcPr>
            <w:tcW w:w="1067" w:type="dxa"/>
            <w:tcBorders>
              <w:top w:val="nil"/>
              <w:left w:val="nil"/>
              <w:bottom w:val="nil"/>
              <w:right w:val="nil"/>
            </w:tcBorders>
            <w:shd w:val="clear" w:color="auto" w:fill="FFFFFF"/>
            <w:vAlign w:val="center"/>
          </w:tcPr>
          <w:p w14:paraId="40411180"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2</w:t>
            </w:r>
          </w:p>
        </w:tc>
      </w:tr>
      <w:tr w:rsidR="002F3255" w:rsidRPr="005978DF" w14:paraId="40411187" w14:textId="77777777">
        <w:trPr>
          <w:jc w:val="center"/>
        </w:trPr>
        <w:tc>
          <w:tcPr>
            <w:tcW w:w="2410" w:type="dxa"/>
            <w:tcBorders>
              <w:top w:val="nil"/>
              <w:left w:val="nil"/>
              <w:bottom w:val="nil"/>
              <w:right w:val="nil"/>
            </w:tcBorders>
            <w:shd w:val="clear" w:color="auto" w:fill="FFFFFF"/>
            <w:vAlign w:val="center"/>
          </w:tcPr>
          <w:p w14:paraId="40411182"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P-5</w:t>
            </w:r>
          </w:p>
        </w:tc>
        <w:tc>
          <w:tcPr>
            <w:tcW w:w="2077" w:type="dxa"/>
            <w:tcBorders>
              <w:top w:val="nil"/>
              <w:left w:val="nil"/>
              <w:bottom w:val="nil"/>
              <w:right w:val="nil"/>
            </w:tcBorders>
            <w:shd w:val="clear" w:color="auto" w:fill="FFFFFF"/>
            <w:vAlign w:val="center"/>
          </w:tcPr>
          <w:p w14:paraId="40411183"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10</w:t>
            </w:r>
          </w:p>
        </w:tc>
        <w:tc>
          <w:tcPr>
            <w:tcW w:w="1260" w:type="dxa"/>
            <w:tcBorders>
              <w:top w:val="nil"/>
              <w:left w:val="nil"/>
              <w:bottom w:val="nil"/>
              <w:right w:val="nil"/>
            </w:tcBorders>
            <w:shd w:val="clear" w:color="auto" w:fill="FFFFFF"/>
            <w:vAlign w:val="center"/>
          </w:tcPr>
          <w:p w14:paraId="40411184"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10</w:t>
            </w:r>
          </w:p>
        </w:tc>
        <w:tc>
          <w:tcPr>
            <w:tcW w:w="1080" w:type="dxa"/>
            <w:tcBorders>
              <w:top w:val="nil"/>
              <w:left w:val="nil"/>
              <w:bottom w:val="nil"/>
              <w:right w:val="nil"/>
            </w:tcBorders>
            <w:shd w:val="clear" w:color="auto" w:fill="FFFFFF"/>
            <w:vAlign w:val="center"/>
          </w:tcPr>
          <w:p w14:paraId="40411185"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10</w:t>
            </w:r>
          </w:p>
        </w:tc>
        <w:tc>
          <w:tcPr>
            <w:tcW w:w="1067" w:type="dxa"/>
            <w:tcBorders>
              <w:top w:val="nil"/>
              <w:left w:val="nil"/>
              <w:bottom w:val="nil"/>
              <w:right w:val="nil"/>
            </w:tcBorders>
            <w:shd w:val="clear" w:color="auto" w:fill="FFFFFF"/>
            <w:vAlign w:val="center"/>
          </w:tcPr>
          <w:p w14:paraId="40411186"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10</w:t>
            </w:r>
          </w:p>
        </w:tc>
      </w:tr>
      <w:tr w:rsidR="002F3255" w:rsidRPr="005978DF" w14:paraId="4041118D" w14:textId="77777777">
        <w:trPr>
          <w:jc w:val="center"/>
        </w:trPr>
        <w:tc>
          <w:tcPr>
            <w:tcW w:w="2410" w:type="dxa"/>
            <w:tcBorders>
              <w:top w:val="nil"/>
              <w:left w:val="nil"/>
              <w:bottom w:val="nil"/>
              <w:right w:val="nil"/>
            </w:tcBorders>
            <w:shd w:val="clear" w:color="auto" w:fill="FFFFFF"/>
            <w:vAlign w:val="center"/>
          </w:tcPr>
          <w:p w14:paraId="40411188"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P-4</w:t>
            </w:r>
          </w:p>
        </w:tc>
        <w:tc>
          <w:tcPr>
            <w:tcW w:w="2077" w:type="dxa"/>
            <w:tcBorders>
              <w:top w:val="nil"/>
              <w:left w:val="nil"/>
              <w:bottom w:val="nil"/>
              <w:right w:val="nil"/>
            </w:tcBorders>
            <w:shd w:val="clear" w:color="auto" w:fill="FFFFFF"/>
            <w:vAlign w:val="center"/>
          </w:tcPr>
          <w:p w14:paraId="40411189"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12</w:t>
            </w:r>
          </w:p>
        </w:tc>
        <w:tc>
          <w:tcPr>
            <w:tcW w:w="1260" w:type="dxa"/>
            <w:tcBorders>
              <w:top w:val="nil"/>
              <w:left w:val="nil"/>
              <w:bottom w:val="nil"/>
              <w:right w:val="nil"/>
            </w:tcBorders>
            <w:shd w:val="clear" w:color="auto" w:fill="FFFFFF"/>
            <w:vAlign w:val="center"/>
          </w:tcPr>
          <w:p w14:paraId="4041118A"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13</w:t>
            </w:r>
          </w:p>
        </w:tc>
        <w:tc>
          <w:tcPr>
            <w:tcW w:w="1080" w:type="dxa"/>
            <w:tcBorders>
              <w:top w:val="nil"/>
              <w:left w:val="nil"/>
              <w:bottom w:val="nil"/>
              <w:right w:val="nil"/>
            </w:tcBorders>
            <w:shd w:val="clear" w:color="auto" w:fill="FFFFFF"/>
            <w:vAlign w:val="center"/>
          </w:tcPr>
          <w:p w14:paraId="4041118B"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17</w:t>
            </w:r>
          </w:p>
        </w:tc>
        <w:tc>
          <w:tcPr>
            <w:tcW w:w="1067" w:type="dxa"/>
            <w:tcBorders>
              <w:top w:val="nil"/>
              <w:left w:val="nil"/>
              <w:bottom w:val="nil"/>
              <w:right w:val="nil"/>
            </w:tcBorders>
            <w:shd w:val="clear" w:color="auto" w:fill="FFFFFF"/>
            <w:vAlign w:val="center"/>
          </w:tcPr>
          <w:p w14:paraId="4041118C"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12</w:t>
            </w:r>
          </w:p>
        </w:tc>
      </w:tr>
      <w:tr w:rsidR="002F3255" w:rsidRPr="005978DF" w14:paraId="40411193" w14:textId="77777777">
        <w:trPr>
          <w:jc w:val="center"/>
        </w:trPr>
        <w:tc>
          <w:tcPr>
            <w:tcW w:w="2410" w:type="dxa"/>
            <w:tcBorders>
              <w:top w:val="nil"/>
              <w:left w:val="nil"/>
              <w:bottom w:val="nil"/>
              <w:right w:val="nil"/>
            </w:tcBorders>
            <w:shd w:val="clear" w:color="auto" w:fill="FFFFFF"/>
            <w:vAlign w:val="center"/>
          </w:tcPr>
          <w:p w14:paraId="4041118E"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P-3</w:t>
            </w:r>
          </w:p>
        </w:tc>
        <w:tc>
          <w:tcPr>
            <w:tcW w:w="2077" w:type="dxa"/>
            <w:tcBorders>
              <w:top w:val="nil"/>
              <w:left w:val="nil"/>
              <w:bottom w:val="nil"/>
              <w:right w:val="nil"/>
            </w:tcBorders>
            <w:shd w:val="clear" w:color="auto" w:fill="FFFFFF"/>
            <w:vAlign w:val="center"/>
          </w:tcPr>
          <w:p w14:paraId="4041118F"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14</w:t>
            </w:r>
          </w:p>
        </w:tc>
        <w:tc>
          <w:tcPr>
            <w:tcW w:w="1260" w:type="dxa"/>
            <w:tcBorders>
              <w:top w:val="nil"/>
              <w:left w:val="nil"/>
              <w:bottom w:val="nil"/>
              <w:right w:val="nil"/>
            </w:tcBorders>
            <w:shd w:val="clear" w:color="auto" w:fill="FFFFFF"/>
            <w:vAlign w:val="center"/>
          </w:tcPr>
          <w:p w14:paraId="40411190"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13</w:t>
            </w:r>
          </w:p>
        </w:tc>
        <w:tc>
          <w:tcPr>
            <w:tcW w:w="1080" w:type="dxa"/>
            <w:tcBorders>
              <w:top w:val="nil"/>
              <w:left w:val="nil"/>
              <w:bottom w:val="nil"/>
              <w:right w:val="nil"/>
            </w:tcBorders>
            <w:shd w:val="clear" w:color="auto" w:fill="FFFFFF"/>
            <w:vAlign w:val="center"/>
          </w:tcPr>
          <w:p w14:paraId="40411191"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17</w:t>
            </w:r>
          </w:p>
        </w:tc>
        <w:tc>
          <w:tcPr>
            <w:tcW w:w="1067" w:type="dxa"/>
            <w:tcBorders>
              <w:top w:val="nil"/>
              <w:left w:val="nil"/>
              <w:bottom w:val="nil"/>
              <w:right w:val="nil"/>
            </w:tcBorders>
            <w:shd w:val="clear" w:color="auto" w:fill="FFFFFF"/>
            <w:vAlign w:val="center"/>
          </w:tcPr>
          <w:p w14:paraId="40411192"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14</w:t>
            </w:r>
          </w:p>
        </w:tc>
      </w:tr>
      <w:tr w:rsidR="002F3255" w:rsidRPr="005978DF" w14:paraId="40411199" w14:textId="77777777">
        <w:trPr>
          <w:jc w:val="center"/>
        </w:trPr>
        <w:tc>
          <w:tcPr>
            <w:tcW w:w="2410" w:type="dxa"/>
            <w:tcBorders>
              <w:top w:val="nil"/>
              <w:left w:val="nil"/>
              <w:bottom w:val="nil"/>
              <w:right w:val="nil"/>
            </w:tcBorders>
            <w:shd w:val="clear" w:color="auto" w:fill="FFFFFF"/>
            <w:vAlign w:val="center"/>
          </w:tcPr>
          <w:p w14:paraId="40411194"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P-2/1</w:t>
            </w:r>
          </w:p>
        </w:tc>
        <w:tc>
          <w:tcPr>
            <w:tcW w:w="2077" w:type="dxa"/>
            <w:tcBorders>
              <w:top w:val="nil"/>
              <w:left w:val="nil"/>
              <w:bottom w:val="nil"/>
              <w:right w:val="nil"/>
            </w:tcBorders>
            <w:shd w:val="clear" w:color="auto" w:fill="FFFFFF"/>
            <w:vAlign w:val="center"/>
          </w:tcPr>
          <w:p w14:paraId="40411195"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9</w:t>
            </w:r>
          </w:p>
        </w:tc>
        <w:tc>
          <w:tcPr>
            <w:tcW w:w="1260" w:type="dxa"/>
            <w:tcBorders>
              <w:top w:val="nil"/>
              <w:left w:val="nil"/>
              <w:bottom w:val="nil"/>
              <w:right w:val="nil"/>
            </w:tcBorders>
            <w:shd w:val="clear" w:color="auto" w:fill="FFFFFF"/>
            <w:vAlign w:val="center"/>
          </w:tcPr>
          <w:p w14:paraId="40411196"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9</w:t>
            </w:r>
          </w:p>
        </w:tc>
        <w:tc>
          <w:tcPr>
            <w:tcW w:w="1080" w:type="dxa"/>
            <w:tcBorders>
              <w:top w:val="nil"/>
              <w:left w:val="nil"/>
              <w:bottom w:val="nil"/>
              <w:right w:val="nil"/>
            </w:tcBorders>
            <w:shd w:val="clear" w:color="auto" w:fill="FFFFFF"/>
            <w:vAlign w:val="center"/>
          </w:tcPr>
          <w:p w14:paraId="40411197"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9</w:t>
            </w:r>
          </w:p>
        </w:tc>
        <w:tc>
          <w:tcPr>
            <w:tcW w:w="1067" w:type="dxa"/>
            <w:tcBorders>
              <w:top w:val="nil"/>
              <w:left w:val="nil"/>
              <w:bottom w:val="nil"/>
              <w:right w:val="nil"/>
            </w:tcBorders>
            <w:shd w:val="clear" w:color="auto" w:fill="FFFFFF"/>
            <w:vAlign w:val="center"/>
          </w:tcPr>
          <w:p w14:paraId="40411198"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9</w:t>
            </w:r>
          </w:p>
        </w:tc>
      </w:tr>
      <w:tr w:rsidR="002F3255" w:rsidRPr="005978DF" w14:paraId="4041119F" w14:textId="77777777">
        <w:trPr>
          <w:jc w:val="center"/>
        </w:trPr>
        <w:tc>
          <w:tcPr>
            <w:tcW w:w="2410" w:type="dxa"/>
            <w:tcBorders>
              <w:top w:val="single" w:sz="8" w:space="0" w:color="auto"/>
              <w:left w:val="nil"/>
              <w:bottom w:val="single" w:sz="8" w:space="0" w:color="auto"/>
              <w:right w:val="nil"/>
            </w:tcBorders>
            <w:shd w:val="clear" w:color="auto" w:fill="FFFFFF"/>
            <w:vAlign w:val="center"/>
          </w:tcPr>
          <w:p w14:paraId="4041119A"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Subtotal</w:t>
            </w:r>
          </w:p>
        </w:tc>
        <w:tc>
          <w:tcPr>
            <w:tcW w:w="2077" w:type="dxa"/>
            <w:tcBorders>
              <w:top w:val="single" w:sz="8" w:space="0" w:color="auto"/>
              <w:left w:val="nil"/>
              <w:bottom w:val="single" w:sz="8" w:space="0" w:color="auto"/>
              <w:right w:val="nil"/>
            </w:tcBorders>
            <w:shd w:val="clear" w:color="auto" w:fill="FFFFFF"/>
            <w:vAlign w:val="center"/>
          </w:tcPr>
          <w:p w14:paraId="4041119B"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49</w:t>
            </w:r>
          </w:p>
        </w:tc>
        <w:tc>
          <w:tcPr>
            <w:tcW w:w="1260" w:type="dxa"/>
            <w:tcBorders>
              <w:top w:val="single" w:sz="8" w:space="0" w:color="auto"/>
              <w:left w:val="nil"/>
              <w:bottom w:val="single" w:sz="8" w:space="0" w:color="auto"/>
              <w:right w:val="nil"/>
            </w:tcBorders>
            <w:shd w:val="clear" w:color="auto" w:fill="FFFFFF"/>
            <w:vAlign w:val="center"/>
          </w:tcPr>
          <w:p w14:paraId="4041119C"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49</w:t>
            </w:r>
          </w:p>
        </w:tc>
        <w:tc>
          <w:tcPr>
            <w:tcW w:w="1080" w:type="dxa"/>
            <w:tcBorders>
              <w:top w:val="single" w:sz="8" w:space="0" w:color="auto"/>
              <w:left w:val="nil"/>
              <w:bottom w:val="single" w:sz="8" w:space="0" w:color="auto"/>
              <w:right w:val="nil"/>
            </w:tcBorders>
            <w:shd w:val="clear" w:color="auto" w:fill="FFFFFF"/>
            <w:vAlign w:val="center"/>
          </w:tcPr>
          <w:p w14:paraId="4041119D"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57</w:t>
            </w:r>
          </w:p>
        </w:tc>
        <w:tc>
          <w:tcPr>
            <w:tcW w:w="1067" w:type="dxa"/>
            <w:tcBorders>
              <w:top w:val="single" w:sz="8" w:space="0" w:color="auto"/>
              <w:left w:val="nil"/>
              <w:bottom w:val="single" w:sz="8" w:space="0" w:color="auto"/>
              <w:right w:val="nil"/>
            </w:tcBorders>
            <w:shd w:val="clear" w:color="auto" w:fill="FFFFFF"/>
            <w:vAlign w:val="center"/>
          </w:tcPr>
          <w:p w14:paraId="4041119E"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49</w:t>
            </w:r>
          </w:p>
        </w:tc>
      </w:tr>
      <w:tr w:rsidR="002F3255" w:rsidRPr="005978DF" w14:paraId="404111A5" w14:textId="77777777">
        <w:trPr>
          <w:jc w:val="center"/>
        </w:trPr>
        <w:tc>
          <w:tcPr>
            <w:tcW w:w="2410" w:type="dxa"/>
            <w:tcBorders>
              <w:top w:val="nil"/>
              <w:left w:val="nil"/>
              <w:bottom w:val="nil"/>
              <w:right w:val="nil"/>
            </w:tcBorders>
            <w:shd w:val="clear" w:color="auto" w:fill="FFFFFF"/>
            <w:vAlign w:val="center"/>
          </w:tcPr>
          <w:p w14:paraId="404111A0"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Servicios Generales</w:t>
            </w:r>
          </w:p>
        </w:tc>
        <w:tc>
          <w:tcPr>
            <w:tcW w:w="2077" w:type="dxa"/>
            <w:tcBorders>
              <w:top w:val="nil"/>
              <w:left w:val="nil"/>
              <w:bottom w:val="nil"/>
              <w:right w:val="nil"/>
            </w:tcBorders>
            <w:shd w:val="clear" w:color="auto" w:fill="FFFFFF"/>
            <w:vAlign w:val="center"/>
          </w:tcPr>
          <w:p w14:paraId="404111A1"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29</w:t>
            </w:r>
          </w:p>
        </w:tc>
        <w:tc>
          <w:tcPr>
            <w:tcW w:w="1260" w:type="dxa"/>
            <w:tcBorders>
              <w:top w:val="nil"/>
              <w:left w:val="nil"/>
              <w:bottom w:val="nil"/>
              <w:right w:val="nil"/>
            </w:tcBorders>
            <w:shd w:val="clear" w:color="auto" w:fill="FFFFFF"/>
            <w:vAlign w:val="center"/>
          </w:tcPr>
          <w:p w14:paraId="404111A2"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29</w:t>
            </w:r>
          </w:p>
        </w:tc>
        <w:tc>
          <w:tcPr>
            <w:tcW w:w="1080" w:type="dxa"/>
            <w:tcBorders>
              <w:top w:val="nil"/>
              <w:left w:val="nil"/>
              <w:bottom w:val="nil"/>
              <w:right w:val="nil"/>
            </w:tcBorders>
            <w:shd w:val="clear" w:color="auto" w:fill="FFFFFF"/>
            <w:vAlign w:val="center"/>
          </w:tcPr>
          <w:p w14:paraId="404111A3"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29</w:t>
            </w:r>
          </w:p>
        </w:tc>
        <w:tc>
          <w:tcPr>
            <w:tcW w:w="1067" w:type="dxa"/>
            <w:tcBorders>
              <w:top w:val="nil"/>
              <w:left w:val="nil"/>
              <w:bottom w:val="nil"/>
              <w:right w:val="nil"/>
            </w:tcBorders>
            <w:shd w:val="clear" w:color="auto" w:fill="FFFFFF"/>
            <w:vAlign w:val="center"/>
          </w:tcPr>
          <w:p w14:paraId="404111A4"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i/>
                <w:iCs/>
                <w:color w:val="000000"/>
                <w:sz w:val="18"/>
                <w:szCs w:val="18"/>
                <w:lang w:val="es-ES"/>
              </w:rPr>
            </w:pPr>
            <w:r w:rsidRPr="005978DF">
              <w:rPr>
                <w:rFonts w:ascii="Calibri" w:eastAsia="Times New Roman" w:hAnsi="Calibri" w:cs="Calibri"/>
                <w:color w:val="000000"/>
                <w:sz w:val="18"/>
                <w:szCs w:val="18"/>
                <w:lang w:val="es-ES"/>
              </w:rPr>
              <w:t>29</w:t>
            </w:r>
          </w:p>
        </w:tc>
      </w:tr>
      <w:tr w:rsidR="002F3255" w:rsidRPr="005978DF" w14:paraId="404111AB" w14:textId="77777777">
        <w:trPr>
          <w:jc w:val="center"/>
        </w:trPr>
        <w:tc>
          <w:tcPr>
            <w:tcW w:w="2410" w:type="dxa"/>
            <w:tcBorders>
              <w:top w:val="single" w:sz="8" w:space="0" w:color="auto"/>
              <w:left w:val="nil"/>
              <w:bottom w:val="single" w:sz="8" w:space="0" w:color="auto"/>
              <w:right w:val="nil"/>
            </w:tcBorders>
            <w:shd w:val="clear" w:color="auto" w:fill="FFFFFF"/>
            <w:vAlign w:val="center"/>
          </w:tcPr>
          <w:p w14:paraId="404111A6"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Subtotal</w:t>
            </w:r>
          </w:p>
        </w:tc>
        <w:tc>
          <w:tcPr>
            <w:tcW w:w="2077" w:type="dxa"/>
            <w:tcBorders>
              <w:top w:val="single" w:sz="8" w:space="0" w:color="auto"/>
              <w:left w:val="nil"/>
              <w:bottom w:val="single" w:sz="8" w:space="0" w:color="auto"/>
              <w:right w:val="nil"/>
            </w:tcBorders>
            <w:shd w:val="clear" w:color="auto" w:fill="FFFFFF"/>
            <w:vAlign w:val="center"/>
          </w:tcPr>
          <w:p w14:paraId="404111A7"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29</w:t>
            </w:r>
          </w:p>
        </w:tc>
        <w:tc>
          <w:tcPr>
            <w:tcW w:w="1260" w:type="dxa"/>
            <w:tcBorders>
              <w:top w:val="single" w:sz="8" w:space="0" w:color="auto"/>
              <w:left w:val="nil"/>
              <w:bottom w:val="single" w:sz="8" w:space="0" w:color="auto"/>
              <w:right w:val="nil"/>
            </w:tcBorders>
            <w:shd w:val="clear" w:color="auto" w:fill="FFFFFF"/>
            <w:vAlign w:val="center"/>
          </w:tcPr>
          <w:p w14:paraId="404111A8"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29</w:t>
            </w:r>
          </w:p>
        </w:tc>
        <w:tc>
          <w:tcPr>
            <w:tcW w:w="1080" w:type="dxa"/>
            <w:tcBorders>
              <w:top w:val="single" w:sz="8" w:space="0" w:color="auto"/>
              <w:left w:val="nil"/>
              <w:bottom w:val="single" w:sz="8" w:space="0" w:color="auto"/>
              <w:right w:val="nil"/>
            </w:tcBorders>
            <w:shd w:val="clear" w:color="auto" w:fill="FFFFFF"/>
            <w:vAlign w:val="center"/>
          </w:tcPr>
          <w:p w14:paraId="404111A9"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86</w:t>
            </w:r>
          </w:p>
        </w:tc>
        <w:tc>
          <w:tcPr>
            <w:tcW w:w="1067" w:type="dxa"/>
            <w:tcBorders>
              <w:top w:val="single" w:sz="8" w:space="0" w:color="auto"/>
              <w:left w:val="nil"/>
              <w:bottom w:val="single" w:sz="8" w:space="0" w:color="auto"/>
              <w:right w:val="nil"/>
            </w:tcBorders>
            <w:shd w:val="clear" w:color="auto" w:fill="FFFFFF"/>
            <w:vAlign w:val="center"/>
          </w:tcPr>
          <w:p w14:paraId="404111AA"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29</w:t>
            </w:r>
          </w:p>
        </w:tc>
      </w:tr>
      <w:tr w:rsidR="002F3255" w:rsidRPr="005978DF" w14:paraId="404111B1" w14:textId="77777777">
        <w:trPr>
          <w:jc w:val="center"/>
        </w:trPr>
        <w:tc>
          <w:tcPr>
            <w:tcW w:w="2410" w:type="dxa"/>
            <w:tcBorders>
              <w:top w:val="nil"/>
              <w:left w:val="nil"/>
              <w:bottom w:val="single" w:sz="8" w:space="0" w:color="auto"/>
              <w:right w:val="nil"/>
            </w:tcBorders>
            <w:shd w:val="clear" w:color="auto" w:fill="FFFFFF"/>
            <w:vAlign w:val="center"/>
          </w:tcPr>
          <w:p w14:paraId="404111AC" w14:textId="77777777" w:rsidR="002F3255" w:rsidRPr="005978DF" w:rsidRDefault="002F3255" w:rsidP="0027390C">
            <w:pPr>
              <w:keepNext/>
              <w:tabs>
                <w:tab w:val="left" w:pos="1080"/>
              </w:tabs>
              <w:snapToGrid w:val="0"/>
              <w:spacing w:before="60" w:after="60"/>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Total</w:t>
            </w:r>
          </w:p>
        </w:tc>
        <w:tc>
          <w:tcPr>
            <w:tcW w:w="2077" w:type="dxa"/>
            <w:tcBorders>
              <w:top w:val="nil"/>
              <w:left w:val="nil"/>
              <w:bottom w:val="single" w:sz="8" w:space="0" w:color="auto"/>
              <w:right w:val="nil"/>
            </w:tcBorders>
            <w:shd w:val="clear" w:color="auto" w:fill="FFFFFF"/>
            <w:vAlign w:val="center"/>
          </w:tcPr>
          <w:p w14:paraId="404111AD"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78</w:t>
            </w:r>
          </w:p>
        </w:tc>
        <w:tc>
          <w:tcPr>
            <w:tcW w:w="1260" w:type="dxa"/>
            <w:tcBorders>
              <w:top w:val="nil"/>
              <w:left w:val="nil"/>
              <w:bottom w:val="single" w:sz="8" w:space="0" w:color="auto"/>
              <w:right w:val="nil"/>
            </w:tcBorders>
            <w:shd w:val="clear" w:color="auto" w:fill="FFFFFF"/>
            <w:vAlign w:val="center"/>
          </w:tcPr>
          <w:p w14:paraId="404111AE"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78</w:t>
            </w:r>
          </w:p>
        </w:tc>
        <w:tc>
          <w:tcPr>
            <w:tcW w:w="1080" w:type="dxa"/>
            <w:tcBorders>
              <w:top w:val="nil"/>
              <w:left w:val="nil"/>
              <w:bottom w:val="single" w:sz="8" w:space="0" w:color="auto"/>
              <w:right w:val="nil"/>
            </w:tcBorders>
            <w:shd w:val="clear" w:color="auto" w:fill="FFFFFF"/>
            <w:vAlign w:val="center"/>
          </w:tcPr>
          <w:p w14:paraId="404111AF"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86</w:t>
            </w:r>
          </w:p>
        </w:tc>
        <w:tc>
          <w:tcPr>
            <w:tcW w:w="1067" w:type="dxa"/>
            <w:tcBorders>
              <w:top w:val="nil"/>
              <w:left w:val="nil"/>
              <w:bottom w:val="single" w:sz="8" w:space="0" w:color="auto"/>
              <w:right w:val="nil"/>
            </w:tcBorders>
            <w:shd w:val="clear" w:color="auto" w:fill="FFFFFF"/>
            <w:vAlign w:val="center"/>
          </w:tcPr>
          <w:p w14:paraId="404111B0" w14:textId="77777777" w:rsidR="002F3255" w:rsidRPr="005978DF" w:rsidRDefault="002F3255" w:rsidP="0027390C">
            <w:pPr>
              <w:keepNext/>
              <w:tabs>
                <w:tab w:val="left" w:pos="1080"/>
              </w:tabs>
              <w:snapToGrid w:val="0"/>
              <w:spacing w:before="60" w:after="60"/>
              <w:jc w:val="right"/>
              <w:outlineLvl w:val="2"/>
              <w:rPr>
                <w:rFonts w:ascii="Calibri" w:eastAsia="Times New Roman" w:hAnsi="Calibri" w:cs="Calibri"/>
                <w:b/>
                <w:bCs/>
                <w:i/>
                <w:iCs/>
                <w:color w:val="000000"/>
                <w:sz w:val="18"/>
                <w:szCs w:val="18"/>
                <w:lang w:val="es-ES"/>
              </w:rPr>
            </w:pPr>
            <w:r w:rsidRPr="005978DF">
              <w:rPr>
                <w:rFonts w:ascii="Calibri" w:eastAsia="Times New Roman" w:hAnsi="Calibri" w:cs="Calibri"/>
                <w:b/>
                <w:bCs/>
                <w:color w:val="000000"/>
                <w:sz w:val="18"/>
                <w:szCs w:val="18"/>
                <w:lang w:val="es-ES"/>
              </w:rPr>
              <w:t>78</w:t>
            </w:r>
          </w:p>
        </w:tc>
      </w:tr>
    </w:tbl>
    <w:p w14:paraId="404111B2" w14:textId="77777777" w:rsidR="002F3255" w:rsidRPr="005978DF" w:rsidRDefault="002F3255" w:rsidP="0027390C">
      <w:pPr>
        <w:widowControl w:val="0"/>
        <w:tabs>
          <w:tab w:val="left" w:pos="1080"/>
        </w:tabs>
        <w:spacing w:before="360" w:after="120"/>
        <w:outlineLvl w:val="3"/>
        <w:rPr>
          <w:rFonts w:eastAsia="Times New Roman"/>
          <w:b/>
          <w:bCs/>
          <w:lang w:val="es-ES"/>
        </w:rPr>
      </w:pPr>
      <w:r w:rsidRPr="005978DF">
        <w:rPr>
          <w:rFonts w:eastAsia="Times New Roman"/>
          <w:lang w:val="es-ES"/>
        </w:rPr>
        <w:fldChar w:fldCharType="end"/>
      </w:r>
      <w:r w:rsidRPr="005978DF">
        <w:rPr>
          <w:rFonts w:eastAsia="Times New Roman"/>
          <w:b/>
          <w:bCs/>
          <w:sz w:val="22"/>
          <w:szCs w:val="22"/>
          <w:lang w:val="es-ES"/>
        </w:rPr>
        <w:t>Cuadro 5.</w:t>
      </w:r>
      <w:r w:rsidR="0027390C">
        <w:rPr>
          <w:rFonts w:eastAsia="Times New Roman"/>
          <w:b/>
          <w:bCs/>
          <w:sz w:val="22"/>
          <w:szCs w:val="22"/>
          <w:lang w:val="es-ES"/>
        </w:rPr>
        <w:tab/>
      </w:r>
      <w:r w:rsidRPr="005978DF">
        <w:rPr>
          <w:rFonts w:eastAsia="Times New Roman"/>
          <w:b/>
          <w:bCs/>
          <w:sz w:val="22"/>
          <w:szCs w:val="22"/>
          <w:lang w:val="es-ES"/>
        </w:rPr>
        <w:t>Distribución de recursos por componente</w:t>
      </w:r>
    </w:p>
    <w:p w14:paraId="404111B3" w14:textId="77777777" w:rsidR="002F3255" w:rsidRPr="005978DF" w:rsidRDefault="0027390C" w:rsidP="0027390C">
      <w:pPr>
        <w:pStyle w:val="H23"/>
        <w:widowControl w:val="0"/>
        <w:tabs>
          <w:tab w:val="right" w:pos="1022"/>
          <w:tab w:val="left" w:pos="1080"/>
          <w:tab w:val="left" w:pos="1267"/>
          <w:tab w:val="left" w:pos="1742"/>
          <w:tab w:val="left" w:pos="2218"/>
          <w:tab w:val="left" w:pos="2693"/>
          <w:tab w:val="left" w:pos="3182"/>
          <w:tab w:val="left" w:pos="3658"/>
          <w:tab w:val="left" w:pos="4133"/>
          <w:tab w:val="left" w:pos="4622"/>
          <w:tab w:val="left" w:pos="5098"/>
          <w:tab w:val="left" w:pos="5573"/>
          <w:tab w:val="left" w:pos="6048"/>
        </w:tabs>
        <w:spacing w:after="60" w:line="240" w:lineRule="auto"/>
        <w:ind w:right="1259"/>
        <w:outlineLvl w:val="9"/>
        <w:rPr>
          <w:rFonts w:ascii="Calibri" w:hAnsi="Calibri" w:cs="Calibri"/>
          <w:b w:val="0"/>
          <w:bCs w:val="0"/>
          <w:i/>
          <w:iCs/>
          <w:sz w:val="17"/>
          <w:szCs w:val="17"/>
          <w:lang w:val="es-ES"/>
        </w:rPr>
      </w:pPr>
      <w:r>
        <w:rPr>
          <w:rFonts w:ascii="Calibri" w:hAnsi="Calibri" w:cs="Calibri"/>
          <w:b w:val="0"/>
          <w:bCs w:val="0"/>
          <w:i/>
          <w:iCs/>
          <w:sz w:val="17"/>
          <w:szCs w:val="17"/>
          <w:lang w:val="es-ES"/>
        </w:rPr>
        <w:tab/>
      </w:r>
      <w:r>
        <w:rPr>
          <w:rFonts w:ascii="Calibri" w:hAnsi="Calibri" w:cs="Calibri"/>
          <w:b w:val="0"/>
          <w:bCs w:val="0"/>
          <w:i/>
          <w:iCs/>
          <w:sz w:val="17"/>
          <w:szCs w:val="17"/>
          <w:lang w:val="es-ES"/>
        </w:rPr>
        <w:tab/>
      </w:r>
      <w:r w:rsidR="002F3255" w:rsidRPr="005978DF">
        <w:rPr>
          <w:rFonts w:ascii="Calibri" w:hAnsi="Calibri" w:cs="Calibri"/>
          <w:b w:val="0"/>
          <w:bCs w:val="0"/>
          <w:i/>
          <w:iCs/>
          <w:sz w:val="17"/>
          <w:szCs w:val="17"/>
          <w:lang w:val="es-ES"/>
        </w:rPr>
        <w:t>(En miles de dólares de los Estados Unidos)</w:t>
      </w:r>
    </w:p>
    <w:p w14:paraId="404111B4" w14:textId="77777777" w:rsidR="002F3255" w:rsidRPr="005978DF" w:rsidRDefault="002F3255">
      <w:pPr>
        <w:widowControl w:val="0"/>
        <w:rPr>
          <w:rFonts w:eastAsia="Times New Roman"/>
          <w:lang w:val="es-ES"/>
        </w:rPr>
      </w:pPr>
    </w:p>
    <w:tbl>
      <w:tblPr>
        <w:tblW w:w="0" w:type="auto"/>
        <w:jc w:val="center"/>
        <w:tblLayout w:type="fixed"/>
        <w:tblLook w:val="00A0" w:firstRow="1" w:lastRow="0" w:firstColumn="1" w:lastColumn="0" w:noHBand="0" w:noVBand="0"/>
      </w:tblPr>
      <w:tblGrid>
        <w:gridCol w:w="2799"/>
        <w:gridCol w:w="1907"/>
        <w:gridCol w:w="539"/>
        <w:gridCol w:w="1418"/>
        <w:gridCol w:w="1275"/>
      </w:tblGrid>
      <w:tr w:rsidR="002F3255" w:rsidRPr="005978DF" w14:paraId="404111BA" w14:textId="77777777" w:rsidTr="00231CF4">
        <w:trPr>
          <w:jc w:val="center"/>
        </w:trPr>
        <w:tc>
          <w:tcPr>
            <w:tcW w:w="2799" w:type="dxa"/>
            <w:vMerge w:val="restart"/>
            <w:tcBorders>
              <w:top w:val="single" w:sz="8" w:space="0" w:color="auto"/>
              <w:left w:val="nil"/>
              <w:bottom w:val="single" w:sz="12" w:space="0" w:color="000000"/>
              <w:right w:val="nil"/>
            </w:tcBorders>
            <w:vAlign w:val="center"/>
          </w:tcPr>
          <w:p w14:paraId="404111B5" w14:textId="77777777" w:rsidR="002F3255" w:rsidRPr="005978DF" w:rsidRDefault="002F3255">
            <w:pPr>
              <w:widowControl w:val="0"/>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 </w:t>
            </w:r>
          </w:p>
        </w:tc>
        <w:tc>
          <w:tcPr>
            <w:tcW w:w="1907" w:type="dxa"/>
            <w:vMerge w:val="restart"/>
            <w:tcBorders>
              <w:top w:val="single" w:sz="8" w:space="0" w:color="auto"/>
              <w:left w:val="nil"/>
              <w:bottom w:val="single" w:sz="12" w:space="0" w:color="000000"/>
              <w:right w:val="nil"/>
            </w:tcBorders>
            <w:vAlign w:val="center"/>
          </w:tcPr>
          <w:p w14:paraId="404111B6" w14:textId="77777777" w:rsidR="002F3255" w:rsidRPr="005978DF" w:rsidRDefault="002F3255">
            <w:pPr>
              <w:widowControl w:val="0"/>
              <w:jc w:val="right"/>
              <w:rPr>
                <w:rFonts w:ascii="Calibri" w:eastAsia="Times New Roman" w:hAnsi="Calibri" w:cs="Calibri"/>
                <w:i/>
                <w:iCs/>
                <w:color w:val="000000"/>
                <w:sz w:val="18"/>
                <w:szCs w:val="18"/>
                <w:lang w:val="es-ES"/>
              </w:rPr>
            </w:pPr>
            <w:r w:rsidRPr="005978DF">
              <w:rPr>
                <w:rFonts w:ascii="Calibri" w:eastAsia="Times New Roman" w:hAnsi="Calibri" w:cs="Calibri"/>
                <w:i/>
                <w:iCs/>
                <w:color w:val="000000"/>
                <w:sz w:val="18"/>
                <w:szCs w:val="18"/>
                <w:lang w:val="es-ES"/>
              </w:rPr>
              <w:t>Presupuesto aprobado 2019-2020</w:t>
            </w:r>
          </w:p>
        </w:tc>
        <w:tc>
          <w:tcPr>
            <w:tcW w:w="539" w:type="dxa"/>
            <w:tcBorders>
              <w:top w:val="single" w:sz="8" w:space="0" w:color="auto"/>
              <w:left w:val="nil"/>
              <w:bottom w:val="nil"/>
              <w:right w:val="nil"/>
            </w:tcBorders>
            <w:vAlign w:val="center"/>
          </w:tcPr>
          <w:p w14:paraId="404111B7" w14:textId="77777777" w:rsidR="002F3255" w:rsidRPr="005978DF" w:rsidRDefault="002F3255">
            <w:pPr>
              <w:widowControl w:val="0"/>
              <w:jc w:val="right"/>
              <w:rPr>
                <w:rFonts w:ascii="Calibri" w:eastAsia="Times New Roman" w:hAnsi="Calibri" w:cs="Calibri"/>
                <w:i/>
                <w:iCs/>
                <w:color w:val="000000"/>
                <w:sz w:val="18"/>
                <w:szCs w:val="18"/>
                <w:lang w:val="es-ES"/>
              </w:rPr>
            </w:pPr>
            <w:r w:rsidRPr="005978DF">
              <w:rPr>
                <w:rFonts w:ascii="Calibri" w:eastAsia="Times New Roman" w:hAnsi="Calibri" w:cs="Calibri"/>
                <w:i/>
                <w:iCs/>
                <w:color w:val="000000"/>
                <w:sz w:val="18"/>
                <w:szCs w:val="18"/>
                <w:lang w:val="es-ES"/>
              </w:rPr>
              <w:t> </w:t>
            </w:r>
          </w:p>
        </w:tc>
        <w:tc>
          <w:tcPr>
            <w:tcW w:w="1418" w:type="dxa"/>
            <w:vMerge w:val="restart"/>
            <w:tcBorders>
              <w:top w:val="single" w:sz="8" w:space="0" w:color="auto"/>
              <w:left w:val="nil"/>
              <w:bottom w:val="single" w:sz="12" w:space="0" w:color="000000"/>
              <w:right w:val="nil"/>
            </w:tcBorders>
            <w:vAlign w:val="center"/>
          </w:tcPr>
          <w:p w14:paraId="404111B8" w14:textId="77777777" w:rsidR="002F3255" w:rsidRPr="005978DF" w:rsidRDefault="002F3255">
            <w:pPr>
              <w:widowControl w:val="0"/>
              <w:jc w:val="right"/>
              <w:rPr>
                <w:rFonts w:ascii="Calibri" w:eastAsia="Times New Roman" w:hAnsi="Calibri" w:cs="Calibri"/>
                <w:i/>
                <w:iCs/>
                <w:color w:val="000000"/>
                <w:sz w:val="18"/>
                <w:szCs w:val="18"/>
                <w:lang w:val="es-ES"/>
              </w:rPr>
            </w:pPr>
            <w:r w:rsidRPr="005978DF">
              <w:rPr>
                <w:rFonts w:ascii="Calibri" w:eastAsia="Times New Roman" w:hAnsi="Calibri" w:cs="Calibri"/>
                <w:i/>
                <w:iCs/>
                <w:color w:val="000000"/>
                <w:sz w:val="18"/>
                <w:szCs w:val="18"/>
                <w:lang w:val="es-ES"/>
              </w:rPr>
              <w:t>CRN1</w:t>
            </w:r>
            <w:r w:rsidRPr="005978DF">
              <w:rPr>
                <w:rFonts w:ascii="Calibri" w:eastAsia="Times New Roman" w:hAnsi="Calibri" w:cs="Calibri"/>
                <w:i/>
                <w:iCs/>
                <w:color w:val="000000"/>
                <w:sz w:val="18"/>
                <w:szCs w:val="18"/>
                <w:lang w:val="es-ES"/>
              </w:rPr>
              <w:br w:type="textWrapping" w:clear="all"/>
              <w:t>2023-2024</w:t>
            </w:r>
          </w:p>
        </w:tc>
        <w:tc>
          <w:tcPr>
            <w:tcW w:w="1275" w:type="dxa"/>
            <w:vMerge w:val="restart"/>
            <w:tcBorders>
              <w:top w:val="single" w:sz="8" w:space="0" w:color="auto"/>
              <w:left w:val="nil"/>
              <w:bottom w:val="single" w:sz="12" w:space="0" w:color="000000"/>
              <w:right w:val="nil"/>
            </w:tcBorders>
            <w:vAlign w:val="center"/>
          </w:tcPr>
          <w:p w14:paraId="404111B9" w14:textId="77777777" w:rsidR="002F3255" w:rsidRPr="005978DF" w:rsidRDefault="002F3255">
            <w:pPr>
              <w:widowControl w:val="0"/>
              <w:jc w:val="right"/>
              <w:rPr>
                <w:rFonts w:ascii="Calibri" w:eastAsia="Times New Roman" w:hAnsi="Calibri" w:cs="Calibri"/>
                <w:i/>
                <w:iCs/>
                <w:color w:val="000000"/>
                <w:sz w:val="18"/>
                <w:szCs w:val="18"/>
                <w:lang w:val="es-ES"/>
              </w:rPr>
            </w:pPr>
            <w:r w:rsidRPr="005978DF">
              <w:rPr>
                <w:rFonts w:ascii="Calibri" w:eastAsia="Times New Roman" w:hAnsi="Calibri" w:cs="Calibri"/>
                <w:i/>
                <w:iCs/>
                <w:color w:val="000000"/>
                <w:sz w:val="18"/>
                <w:szCs w:val="18"/>
                <w:lang w:val="es-ES"/>
              </w:rPr>
              <w:t>CNN</w:t>
            </w:r>
            <w:r w:rsidRPr="005978DF">
              <w:rPr>
                <w:rFonts w:ascii="Calibri" w:eastAsia="Times New Roman" w:hAnsi="Calibri" w:cs="Calibri"/>
                <w:i/>
                <w:iCs/>
                <w:color w:val="000000"/>
                <w:sz w:val="18"/>
                <w:szCs w:val="18"/>
                <w:lang w:val="es-ES"/>
              </w:rPr>
              <w:br w:type="textWrapping" w:clear="all"/>
              <w:t>2023-2024</w:t>
            </w:r>
          </w:p>
        </w:tc>
      </w:tr>
      <w:tr w:rsidR="002F3255" w:rsidRPr="005978DF" w14:paraId="404111C0" w14:textId="77777777" w:rsidTr="00231CF4">
        <w:trPr>
          <w:jc w:val="center"/>
        </w:trPr>
        <w:tc>
          <w:tcPr>
            <w:tcW w:w="2799" w:type="dxa"/>
            <w:vMerge/>
            <w:tcBorders>
              <w:top w:val="single" w:sz="8" w:space="0" w:color="auto"/>
              <w:left w:val="nil"/>
              <w:bottom w:val="single" w:sz="12" w:space="0" w:color="000000"/>
              <w:right w:val="nil"/>
            </w:tcBorders>
            <w:vAlign w:val="center"/>
          </w:tcPr>
          <w:p w14:paraId="404111BB" w14:textId="77777777" w:rsidR="002F3255" w:rsidRPr="005978DF" w:rsidRDefault="002F3255">
            <w:pPr>
              <w:widowControl w:val="0"/>
              <w:rPr>
                <w:rFonts w:ascii="Calibri" w:eastAsia="Times New Roman" w:hAnsi="Calibri" w:cs="Calibri"/>
                <w:color w:val="000000"/>
                <w:sz w:val="18"/>
                <w:szCs w:val="18"/>
                <w:lang w:val="es-ES"/>
              </w:rPr>
            </w:pPr>
          </w:p>
        </w:tc>
        <w:tc>
          <w:tcPr>
            <w:tcW w:w="1907" w:type="dxa"/>
            <w:vMerge/>
            <w:tcBorders>
              <w:top w:val="single" w:sz="8" w:space="0" w:color="auto"/>
              <w:left w:val="nil"/>
              <w:bottom w:val="single" w:sz="12" w:space="0" w:color="000000"/>
              <w:right w:val="nil"/>
            </w:tcBorders>
            <w:vAlign w:val="center"/>
          </w:tcPr>
          <w:p w14:paraId="404111BC" w14:textId="77777777" w:rsidR="002F3255" w:rsidRPr="005978DF" w:rsidRDefault="002F3255">
            <w:pPr>
              <w:widowControl w:val="0"/>
              <w:rPr>
                <w:rFonts w:ascii="Calibri" w:eastAsia="Times New Roman" w:hAnsi="Calibri" w:cs="Calibri"/>
                <w:i/>
                <w:iCs/>
                <w:color w:val="000000"/>
                <w:sz w:val="18"/>
                <w:szCs w:val="18"/>
                <w:lang w:val="es-ES"/>
              </w:rPr>
            </w:pPr>
          </w:p>
        </w:tc>
        <w:tc>
          <w:tcPr>
            <w:tcW w:w="539" w:type="dxa"/>
            <w:tcBorders>
              <w:top w:val="nil"/>
              <w:left w:val="nil"/>
              <w:bottom w:val="nil"/>
              <w:right w:val="nil"/>
            </w:tcBorders>
            <w:vAlign w:val="center"/>
          </w:tcPr>
          <w:p w14:paraId="404111BD" w14:textId="77777777" w:rsidR="002F3255" w:rsidRPr="005978DF" w:rsidRDefault="002F3255">
            <w:pPr>
              <w:widowControl w:val="0"/>
              <w:jc w:val="right"/>
              <w:rPr>
                <w:rFonts w:ascii="Calibri" w:eastAsia="Times New Roman" w:hAnsi="Calibri" w:cs="Calibri"/>
                <w:i/>
                <w:iCs/>
                <w:color w:val="000000"/>
                <w:sz w:val="18"/>
                <w:szCs w:val="18"/>
                <w:lang w:val="es-ES"/>
              </w:rPr>
            </w:pPr>
          </w:p>
        </w:tc>
        <w:tc>
          <w:tcPr>
            <w:tcW w:w="1418" w:type="dxa"/>
            <w:vMerge/>
            <w:tcBorders>
              <w:top w:val="single" w:sz="8" w:space="0" w:color="auto"/>
              <w:left w:val="nil"/>
              <w:bottom w:val="single" w:sz="12" w:space="0" w:color="000000"/>
              <w:right w:val="nil"/>
            </w:tcBorders>
            <w:vAlign w:val="center"/>
          </w:tcPr>
          <w:p w14:paraId="404111BE" w14:textId="77777777" w:rsidR="002F3255" w:rsidRPr="005978DF" w:rsidRDefault="002F3255">
            <w:pPr>
              <w:widowControl w:val="0"/>
              <w:rPr>
                <w:rFonts w:ascii="Calibri" w:eastAsia="Times New Roman" w:hAnsi="Calibri" w:cs="Calibri"/>
                <w:i/>
                <w:iCs/>
                <w:color w:val="000000"/>
                <w:sz w:val="18"/>
                <w:szCs w:val="18"/>
                <w:lang w:val="es-ES"/>
              </w:rPr>
            </w:pPr>
          </w:p>
        </w:tc>
        <w:tc>
          <w:tcPr>
            <w:tcW w:w="1275" w:type="dxa"/>
            <w:vMerge/>
            <w:tcBorders>
              <w:top w:val="single" w:sz="8" w:space="0" w:color="auto"/>
              <w:left w:val="nil"/>
              <w:bottom w:val="single" w:sz="12" w:space="0" w:color="000000"/>
              <w:right w:val="nil"/>
            </w:tcBorders>
            <w:vAlign w:val="center"/>
          </w:tcPr>
          <w:p w14:paraId="404111BF" w14:textId="77777777" w:rsidR="002F3255" w:rsidRPr="005978DF" w:rsidRDefault="002F3255">
            <w:pPr>
              <w:widowControl w:val="0"/>
              <w:rPr>
                <w:rFonts w:ascii="Calibri" w:eastAsia="Times New Roman" w:hAnsi="Calibri" w:cs="Calibri"/>
                <w:i/>
                <w:iCs/>
                <w:color w:val="000000"/>
                <w:sz w:val="18"/>
                <w:szCs w:val="18"/>
                <w:lang w:val="es-ES"/>
              </w:rPr>
            </w:pPr>
          </w:p>
        </w:tc>
      </w:tr>
      <w:tr w:rsidR="002F3255" w:rsidRPr="005978DF" w14:paraId="404111C6" w14:textId="77777777" w:rsidTr="00231CF4">
        <w:trPr>
          <w:jc w:val="center"/>
        </w:trPr>
        <w:tc>
          <w:tcPr>
            <w:tcW w:w="2799" w:type="dxa"/>
            <w:vMerge/>
            <w:tcBorders>
              <w:top w:val="single" w:sz="8" w:space="0" w:color="auto"/>
              <w:left w:val="nil"/>
              <w:bottom w:val="single" w:sz="12" w:space="0" w:color="000000"/>
              <w:right w:val="nil"/>
            </w:tcBorders>
            <w:vAlign w:val="center"/>
          </w:tcPr>
          <w:p w14:paraId="404111C1" w14:textId="77777777" w:rsidR="002F3255" w:rsidRPr="005978DF" w:rsidRDefault="002F3255">
            <w:pPr>
              <w:widowControl w:val="0"/>
              <w:rPr>
                <w:rFonts w:ascii="Calibri" w:eastAsia="Times New Roman" w:hAnsi="Calibri" w:cs="Calibri"/>
                <w:color w:val="000000"/>
                <w:sz w:val="18"/>
                <w:szCs w:val="18"/>
                <w:lang w:val="es-ES"/>
              </w:rPr>
            </w:pPr>
          </w:p>
        </w:tc>
        <w:tc>
          <w:tcPr>
            <w:tcW w:w="1907" w:type="dxa"/>
            <w:vMerge/>
            <w:tcBorders>
              <w:top w:val="single" w:sz="8" w:space="0" w:color="auto"/>
              <w:left w:val="nil"/>
              <w:bottom w:val="single" w:sz="12" w:space="0" w:color="000000"/>
              <w:right w:val="nil"/>
            </w:tcBorders>
            <w:vAlign w:val="center"/>
          </w:tcPr>
          <w:p w14:paraId="404111C2" w14:textId="77777777" w:rsidR="002F3255" w:rsidRPr="005978DF" w:rsidRDefault="002F3255">
            <w:pPr>
              <w:widowControl w:val="0"/>
              <w:rPr>
                <w:rFonts w:ascii="Calibri" w:eastAsia="Times New Roman" w:hAnsi="Calibri" w:cs="Calibri"/>
                <w:i/>
                <w:iCs/>
                <w:color w:val="000000"/>
                <w:sz w:val="18"/>
                <w:szCs w:val="18"/>
                <w:lang w:val="es-ES"/>
              </w:rPr>
            </w:pPr>
          </w:p>
        </w:tc>
        <w:tc>
          <w:tcPr>
            <w:tcW w:w="539" w:type="dxa"/>
            <w:tcBorders>
              <w:top w:val="nil"/>
              <w:left w:val="nil"/>
              <w:bottom w:val="single" w:sz="12" w:space="0" w:color="000000"/>
              <w:right w:val="nil"/>
            </w:tcBorders>
            <w:vAlign w:val="center"/>
          </w:tcPr>
          <w:p w14:paraId="404111C3" w14:textId="77777777" w:rsidR="002F3255" w:rsidRPr="005978DF" w:rsidRDefault="002F3255">
            <w:pPr>
              <w:widowControl w:val="0"/>
              <w:jc w:val="right"/>
              <w:rPr>
                <w:rFonts w:ascii="Calibri" w:eastAsia="Times New Roman" w:hAnsi="Calibri" w:cs="Calibri"/>
                <w:i/>
                <w:iCs/>
                <w:color w:val="000000"/>
                <w:sz w:val="18"/>
                <w:szCs w:val="18"/>
                <w:lang w:val="es-ES"/>
              </w:rPr>
            </w:pPr>
          </w:p>
        </w:tc>
        <w:tc>
          <w:tcPr>
            <w:tcW w:w="1418" w:type="dxa"/>
            <w:vMerge/>
            <w:tcBorders>
              <w:top w:val="single" w:sz="8" w:space="0" w:color="auto"/>
              <w:left w:val="nil"/>
              <w:bottom w:val="single" w:sz="12" w:space="0" w:color="000000"/>
              <w:right w:val="nil"/>
            </w:tcBorders>
            <w:vAlign w:val="center"/>
          </w:tcPr>
          <w:p w14:paraId="404111C4" w14:textId="77777777" w:rsidR="002F3255" w:rsidRPr="005978DF" w:rsidRDefault="002F3255">
            <w:pPr>
              <w:widowControl w:val="0"/>
              <w:rPr>
                <w:rFonts w:ascii="Calibri" w:eastAsia="Times New Roman" w:hAnsi="Calibri" w:cs="Calibri"/>
                <w:i/>
                <w:iCs/>
                <w:color w:val="000000"/>
                <w:sz w:val="18"/>
                <w:szCs w:val="18"/>
                <w:lang w:val="es-ES"/>
              </w:rPr>
            </w:pPr>
          </w:p>
        </w:tc>
        <w:tc>
          <w:tcPr>
            <w:tcW w:w="1275" w:type="dxa"/>
            <w:vMerge/>
            <w:tcBorders>
              <w:top w:val="single" w:sz="8" w:space="0" w:color="auto"/>
              <w:left w:val="nil"/>
              <w:bottom w:val="single" w:sz="12" w:space="0" w:color="000000"/>
              <w:right w:val="nil"/>
            </w:tcBorders>
            <w:vAlign w:val="center"/>
          </w:tcPr>
          <w:p w14:paraId="404111C5" w14:textId="77777777" w:rsidR="002F3255" w:rsidRPr="005978DF" w:rsidRDefault="002F3255">
            <w:pPr>
              <w:widowControl w:val="0"/>
              <w:rPr>
                <w:rFonts w:ascii="Calibri" w:eastAsia="Times New Roman" w:hAnsi="Calibri" w:cs="Calibri"/>
                <w:i/>
                <w:iCs/>
                <w:color w:val="000000"/>
                <w:sz w:val="18"/>
                <w:szCs w:val="18"/>
                <w:lang w:val="es-ES"/>
              </w:rPr>
            </w:pPr>
          </w:p>
        </w:tc>
      </w:tr>
      <w:tr w:rsidR="002F3255" w:rsidRPr="005978DF" w14:paraId="404111CC" w14:textId="77777777" w:rsidTr="00231CF4">
        <w:trPr>
          <w:jc w:val="center"/>
        </w:trPr>
        <w:tc>
          <w:tcPr>
            <w:tcW w:w="2799" w:type="dxa"/>
            <w:tcBorders>
              <w:top w:val="nil"/>
              <w:left w:val="nil"/>
              <w:bottom w:val="nil"/>
              <w:right w:val="nil"/>
            </w:tcBorders>
            <w:vAlign w:val="center"/>
          </w:tcPr>
          <w:p w14:paraId="404111C7" w14:textId="77777777" w:rsidR="002F3255" w:rsidRPr="005978DF" w:rsidRDefault="002F3255">
            <w:pPr>
              <w:widowControl w:val="0"/>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A. Órganos rectores y subsidiarios</w:t>
            </w:r>
          </w:p>
        </w:tc>
        <w:tc>
          <w:tcPr>
            <w:tcW w:w="1907" w:type="dxa"/>
            <w:tcBorders>
              <w:top w:val="nil"/>
              <w:left w:val="nil"/>
              <w:bottom w:val="nil"/>
              <w:right w:val="nil"/>
            </w:tcBorders>
            <w:vAlign w:val="center"/>
          </w:tcPr>
          <w:p w14:paraId="404111C8"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4</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373,0</w:t>
            </w:r>
          </w:p>
        </w:tc>
        <w:tc>
          <w:tcPr>
            <w:tcW w:w="539" w:type="dxa"/>
            <w:tcBorders>
              <w:top w:val="nil"/>
              <w:left w:val="nil"/>
              <w:bottom w:val="nil"/>
              <w:right w:val="nil"/>
            </w:tcBorders>
            <w:vAlign w:val="center"/>
          </w:tcPr>
          <w:p w14:paraId="404111C9" w14:textId="77777777" w:rsidR="002F3255" w:rsidRPr="005978DF" w:rsidRDefault="002F3255">
            <w:pPr>
              <w:widowControl w:val="0"/>
              <w:jc w:val="right"/>
              <w:rPr>
                <w:rFonts w:ascii="Calibri" w:eastAsia="Times New Roman" w:hAnsi="Calibri" w:cs="Calibri"/>
                <w:color w:val="000000"/>
                <w:sz w:val="18"/>
                <w:szCs w:val="18"/>
                <w:lang w:val="es-ES"/>
              </w:rPr>
            </w:pPr>
          </w:p>
        </w:tc>
        <w:tc>
          <w:tcPr>
            <w:tcW w:w="1418" w:type="dxa"/>
            <w:tcBorders>
              <w:top w:val="nil"/>
              <w:left w:val="nil"/>
              <w:bottom w:val="nil"/>
              <w:right w:val="nil"/>
            </w:tcBorders>
            <w:vAlign w:val="center"/>
          </w:tcPr>
          <w:p w14:paraId="404111CA"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4</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568,9</w:t>
            </w:r>
          </w:p>
        </w:tc>
        <w:tc>
          <w:tcPr>
            <w:tcW w:w="1275" w:type="dxa"/>
            <w:tcBorders>
              <w:top w:val="nil"/>
              <w:left w:val="nil"/>
              <w:bottom w:val="nil"/>
              <w:right w:val="nil"/>
            </w:tcBorders>
            <w:vAlign w:val="center"/>
          </w:tcPr>
          <w:p w14:paraId="404111CB"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4</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568,9</w:t>
            </w:r>
          </w:p>
        </w:tc>
      </w:tr>
      <w:tr w:rsidR="002F3255" w:rsidRPr="005978DF" w14:paraId="404111D2" w14:textId="77777777" w:rsidTr="00231CF4">
        <w:trPr>
          <w:jc w:val="center"/>
        </w:trPr>
        <w:tc>
          <w:tcPr>
            <w:tcW w:w="2799" w:type="dxa"/>
            <w:tcBorders>
              <w:top w:val="nil"/>
              <w:left w:val="nil"/>
              <w:bottom w:val="nil"/>
              <w:right w:val="nil"/>
            </w:tcBorders>
            <w:vAlign w:val="center"/>
          </w:tcPr>
          <w:p w14:paraId="404111CD" w14:textId="77777777" w:rsidR="002F3255" w:rsidRPr="005978DF" w:rsidRDefault="002F3255">
            <w:pPr>
              <w:widowControl w:val="0"/>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B. Dirección y gestión ejecutivas</w:t>
            </w:r>
          </w:p>
        </w:tc>
        <w:tc>
          <w:tcPr>
            <w:tcW w:w="1907" w:type="dxa"/>
            <w:tcBorders>
              <w:top w:val="nil"/>
              <w:left w:val="nil"/>
              <w:bottom w:val="nil"/>
              <w:right w:val="nil"/>
            </w:tcBorders>
            <w:vAlign w:val="center"/>
          </w:tcPr>
          <w:p w14:paraId="404111CE"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5</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304,3</w:t>
            </w:r>
          </w:p>
        </w:tc>
        <w:tc>
          <w:tcPr>
            <w:tcW w:w="539" w:type="dxa"/>
            <w:tcBorders>
              <w:top w:val="nil"/>
              <w:left w:val="nil"/>
              <w:bottom w:val="nil"/>
              <w:right w:val="nil"/>
            </w:tcBorders>
            <w:vAlign w:val="center"/>
          </w:tcPr>
          <w:p w14:paraId="404111CF" w14:textId="77777777" w:rsidR="002F3255" w:rsidRPr="005978DF" w:rsidRDefault="002F3255">
            <w:pPr>
              <w:widowControl w:val="0"/>
              <w:jc w:val="right"/>
              <w:rPr>
                <w:rFonts w:ascii="Calibri" w:eastAsia="Times New Roman" w:hAnsi="Calibri" w:cs="Calibri"/>
                <w:color w:val="000000"/>
                <w:sz w:val="18"/>
                <w:szCs w:val="18"/>
                <w:lang w:val="es-ES"/>
              </w:rPr>
            </w:pPr>
          </w:p>
        </w:tc>
        <w:tc>
          <w:tcPr>
            <w:tcW w:w="1418" w:type="dxa"/>
            <w:tcBorders>
              <w:top w:val="nil"/>
              <w:left w:val="nil"/>
              <w:bottom w:val="nil"/>
              <w:right w:val="nil"/>
            </w:tcBorders>
            <w:vAlign w:val="center"/>
          </w:tcPr>
          <w:p w14:paraId="404111D0"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6</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206,2</w:t>
            </w:r>
          </w:p>
        </w:tc>
        <w:tc>
          <w:tcPr>
            <w:tcW w:w="1275" w:type="dxa"/>
            <w:tcBorders>
              <w:top w:val="nil"/>
              <w:left w:val="nil"/>
              <w:bottom w:val="nil"/>
              <w:right w:val="nil"/>
            </w:tcBorders>
            <w:vAlign w:val="center"/>
          </w:tcPr>
          <w:p w14:paraId="404111D1"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5</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481,6</w:t>
            </w:r>
          </w:p>
        </w:tc>
      </w:tr>
      <w:tr w:rsidR="002F3255" w:rsidRPr="005978DF" w14:paraId="404111D8" w14:textId="77777777" w:rsidTr="00231CF4">
        <w:trPr>
          <w:jc w:val="center"/>
        </w:trPr>
        <w:tc>
          <w:tcPr>
            <w:tcW w:w="2799" w:type="dxa"/>
            <w:tcBorders>
              <w:top w:val="nil"/>
              <w:left w:val="nil"/>
              <w:bottom w:val="nil"/>
              <w:right w:val="nil"/>
            </w:tcBorders>
            <w:vAlign w:val="center"/>
          </w:tcPr>
          <w:p w14:paraId="404111D3" w14:textId="77777777" w:rsidR="002F3255" w:rsidRPr="005978DF" w:rsidRDefault="002F3255">
            <w:pPr>
              <w:widowControl w:val="0"/>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C. Programa de trabajo</w:t>
            </w:r>
          </w:p>
        </w:tc>
        <w:tc>
          <w:tcPr>
            <w:tcW w:w="1907" w:type="dxa"/>
            <w:tcBorders>
              <w:top w:val="nil"/>
              <w:left w:val="nil"/>
              <w:bottom w:val="nil"/>
              <w:right w:val="nil"/>
            </w:tcBorders>
            <w:vAlign w:val="center"/>
          </w:tcPr>
          <w:p w14:paraId="404111D4"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18</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552,5</w:t>
            </w:r>
          </w:p>
        </w:tc>
        <w:tc>
          <w:tcPr>
            <w:tcW w:w="539" w:type="dxa"/>
            <w:tcBorders>
              <w:top w:val="nil"/>
              <w:left w:val="nil"/>
              <w:bottom w:val="nil"/>
              <w:right w:val="nil"/>
            </w:tcBorders>
            <w:vAlign w:val="center"/>
          </w:tcPr>
          <w:p w14:paraId="404111D5" w14:textId="77777777" w:rsidR="002F3255" w:rsidRPr="005978DF" w:rsidRDefault="002F3255">
            <w:pPr>
              <w:widowControl w:val="0"/>
              <w:jc w:val="right"/>
              <w:rPr>
                <w:rFonts w:ascii="Calibri" w:eastAsia="Times New Roman" w:hAnsi="Calibri" w:cs="Calibri"/>
                <w:color w:val="000000"/>
                <w:sz w:val="18"/>
                <w:szCs w:val="18"/>
                <w:lang w:val="es-ES"/>
              </w:rPr>
            </w:pPr>
          </w:p>
        </w:tc>
        <w:tc>
          <w:tcPr>
            <w:tcW w:w="1418" w:type="dxa"/>
            <w:tcBorders>
              <w:top w:val="nil"/>
              <w:left w:val="nil"/>
              <w:bottom w:val="nil"/>
              <w:right w:val="nil"/>
            </w:tcBorders>
            <w:vAlign w:val="center"/>
          </w:tcPr>
          <w:p w14:paraId="404111D6"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18</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737,8</w:t>
            </w:r>
          </w:p>
        </w:tc>
        <w:tc>
          <w:tcPr>
            <w:tcW w:w="1275" w:type="dxa"/>
            <w:tcBorders>
              <w:top w:val="nil"/>
              <w:left w:val="nil"/>
              <w:bottom w:val="nil"/>
              <w:right w:val="nil"/>
            </w:tcBorders>
            <w:vAlign w:val="center"/>
          </w:tcPr>
          <w:p w14:paraId="404111D7"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17</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145,6</w:t>
            </w:r>
          </w:p>
        </w:tc>
      </w:tr>
      <w:tr w:rsidR="002F3255" w:rsidRPr="005978DF" w14:paraId="404111DE" w14:textId="77777777" w:rsidTr="00231CF4">
        <w:trPr>
          <w:jc w:val="center"/>
        </w:trPr>
        <w:tc>
          <w:tcPr>
            <w:tcW w:w="2799" w:type="dxa"/>
            <w:tcBorders>
              <w:top w:val="nil"/>
              <w:left w:val="nil"/>
              <w:bottom w:val="nil"/>
              <w:right w:val="nil"/>
            </w:tcBorders>
            <w:vAlign w:val="center"/>
          </w:tcPr>
          <w:p w14:paraId="404111D9" w14:textId="77777777" w:rsidR="002F3255" w:rsidRPr="005978DF" w:rsidRDefault="002F3255">
            <w:pPr>
              <w:widowControl w:val="0"/>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D. Apoyo administrativo</w:t>
            </w:r>
          </w:p>
        </w:tc>
        <w:tc>
          <w:tcPr>
            <w:tcW w:w="1907" w:type="dxa"/>
            <w:tcBorders>
              <w:top w:val="nil"/>
              <w:left w:val="nil"/>
              <w:bottom w:val="nil"/>
              <w:right w:val="nil"/>
            </w:tcBorders>
            <w:vAlign w:val="center"/>
          </w:tcPr>
          <w:p w14:paraId="404111DA"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5</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979,7</w:t>
            </w:r>
          </w:p>
        </w:tc>
        <w:tc>
          <w:tcPr>
            <w:tcW w:w="539" w:type="dxa"/>
            <w:tcBorders>
              <w:top w:val="nil"/>
              <w:left w:val="nil"/>
              <w:bottom w:val="nil"/>
              <w:right w:val="nil"/>
            </w:tcBorders>
            <w:vAlign w:val="center"/>
          </w:tcPr>
          <w:p w14:paraId="404111DB" w14:textId="77777777" w:rsidR="002F3255" w:rsidRPr="005978DF" w:rsidRDefault="002F3255">
            <w:pPr>
              <w:widowControl w:val="0"/>
              <w:jc w:val="right"/>
              <w:rPr>
                <w:rFonts w:ascii="Calibri" w:eastAsia="Times New Roman" w:hAnsi="Calibri" w:cs="Calibri"/>
                <w:color w:val="000000"/>
                <w:sz w:val="18"/>
                <w:szCs w:val="18"/>
                <w:lang w:val="es-ES"/>
              </w:rPr>
            </w:pPr>
          </w:p>
        </w:tc>
        <w:tc>
          <w:tcPr>
            <w:tcW w:w="1418" w:type="dxa"/>
            <w:tcBorders>
              <w:top w:val="nil"/>
              <w:left w:val="nil"/>
              <w:bottom w:val="nil"/>
              <w:right w:val="nil"/>
            </w:tcBorders>
            <w:vAlign w:val="center"/>
          </w:tcPr>
          <w:p w14:paraId="404111DC"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6</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028,6</w:t>
            </w:r>
          </w:p>
        </w:tc>
        <w:tc>
          <w:tcPr>
            <w:tcW w:w="1275" w:type="dxa"/>
            <w:tcBorders>
              <w:top w:val="nil"/>
              <w:left w:val="nil"/>
              <w:bottom w:val="nil"/>
              <w:right w:val="nil"/>
            </w:tcBorders>
            <w:vAlign w:val="center"/>
          </w:tcPr>
          <w:p w14:paraId="404111DD"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5</w:t>
            </w:r>
            <w:r w:rsidR="00231CF4">
              <w:rPr>
                <w:rFonts w:ascii="Calibri" w:eastAsia="Times New Roman" w:hAnsi="Calibri" w:cs="Calibri"/>
                <w:color w:val="000000"/>
                <w:sz w:val="18"/>
                <w:szCs w:val="18"/>
                <w:lang w:val="es-ES"/>
              </w:rPr>
              <w:t xml:space="preserve"> </w:t>
            </w:r>
            <w:r w:rsidRPr="005978DF">
              <w:rPr>
                <w:rFonts w:ascii="Calibri" w:eastAsia="Times New Roman" w:hAnsi="Calibri" w:cs="Calibri"/>
                <w:color w:val="000000"/>
                <w:sz w:val="18"/>
                <w:szCs w:val="18"/>
                <w:lang w:val="es-ES"/>
              </w:rPr>
              <w:t>659,8</w:t>
            </w:r>
          </w:p>
        </w:tc>
      </w:tr>
      <w:tr w:rsidR="002F3255" w:rsidRPr="005978DF" w14:paraId="404111E4" w14:textId="77777777" w:rsidTr="00231CF4">
        <w:trPr>
          <w:jc w:val="center"/>
        </w:trPr>
        <w:tc>
          <w:tcPr>
            <w:tcW w:w="2799" w:type="dxa"/>
            <w:tcBorders>
              <w:top w:val="single" w:sz="4" w:space="0" w:color="auto"/>
              <w:left w:val="nil"/>
              <w:bottom w:val="single" w:sz="8" w:space="0" w:color="auto"/>
              <w:right w:val="nil"/>
            </w:tcBorders>
            <w:vAlign w:val="center"/>
          </w:tcPr>
          <w:p w14:paraId="404111DF" w14:textId="77777777" w:rsidR="002F3255" w:rsidRPr="005978DF" w:rsidRDefault="002F3255">
            <w:pPr>
              <w:widowControl w:val="0"/>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Subtotal</w:t>
            </w:r>
          </w:p>
        </w:tc>
        <w:tc>
          <w:tcPr>
            <w:tcW w:w="1907" w:type="dxa"/>
            <w:tcBorders>
              <w:top w:val="single" w:sz="4" w:space="0" w:color="auto"/>
              <w:left w:val="nil"/>
              <w:bottom w:val="single" w:sz="8" w:space="0" w:color="auto"/>
              <w:right w:val="nil"/>
            </w:tcBorders>
            <w:vAlign w:val="center"/>
          </w:tcPr>
          <w:p w14:paraId="404111E0"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34</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209,5</w:t>
            </w:r>
          </w:p>
        </w:tc>
        <w:tc>
          <w:tcPr>
            <w:tcW w:w="539" w:type="dxa"/>
            <w:tcBorders>
              <w:top w:val="single" w:sz="4" w:space="0" w:color="auto"/>
              <w:left w:val="nil"/>
              <w:bottom w:val="single" w:sz="8" w:space="0" w:color="auto"/>
              <w:right w:val="nil"/>
            </w:tcBorders>
            <w:vAlign w:val="center"/>
          </w:tcPr>
          <w:p w14:paraId="404111E1" w14:textId="77777777" w:rsidR="002F3255" w:rsidRPr="005978DF" w:rsidRDefault="00231CF4">
            <w:pPr>
              <w:widowControl w:val="0"/>
              <w:jc w:val="right"/>
              <w:rPr>
                <w:rFonts w:ascii="Calibri" w:eastAsia="Times New Roman" w:hAnsi="Calibri" w:cs="Calibri"/>
                <w:b/>
                <w:bCs/>
                <w:color w:val="000000"/>
                <w:sz w:val="18"/>
                <w:szCs w:val="18"/>
                <w:lang w:val="es-ES"/>
              </w:rPr>
            </w:pPr>
            <w:r>
              <w:rPr>
                <w:rFonts w:ascii="Calibri" w:eastAsia="Times New Roman" w:hAnsi="Calibri" w:cs="Calibri"/>
                <w:b/>
                <w:bCs/>
                <w:color w:val="000000"/>
                <w:sz w:val="18"/>
                <w:szCs w:val="18"/>
                <w:lang w:val="es-ES"/>
              </w:rPr>
              <w:t xml:space="preserve"> </w:t>
            </w:r>
          </w:p>
        </w:tc>
        <w:tc>
          <w:tcPr>
            <w:tcW w:w="1418" w:type="dxa"/>
            <w:tcBorders>
              <w:top w:val="single" w:sz="4" w:space="0" w:color="auto"/>
              <w:left w:val="nil"/>
              <w:bottom w:val="single" w:sz="8" w:space="0" w:color="auto"/>
              <w:right w:val="nil"/>
            </w:tcBorders>
            <w:vAlign w:val="center"/>
          </w:tcPr>
          <w:p w14:paraId="404111E2"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35</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541,5</w:t>
            </w:r>
          </w:p>
        </w:tc>
        <w:tc>
          <w:tcPr>
            <w:tcW w:w="1275" w:type="dxa"/>
            <w:tcBorders>
              <w:top w:val="single" w:sz="4" w:space="0" w:color="auto"/>
              <w:left w:val="nil"/>
              <w:bottom w:val="single" w:sz="8" w:space="0" w:color="auto"/>
              <w:right w:val="nil"/>
            </w:tcBorders>
            <w:vAlign w:val="center"/>
          </w:tcPr>
          <w:p w14:paraId="404111E3"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32</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855,9</w:t>
            </w:r>
          </w:p>
        </w:tc>
      </w:tr>
      <w:tr w:rsidR="002F3255" w:rsidRPr="005978DF" w14:paraId="404111EA" w14:textId="77777777" w:rsidTr="00231CF4">
        <w:trPr>
          <w:jc w:val="center"/>
        </w:trPr>
        <w:tc>
          <w:tcPr>
            <w:tcW w:w="2799" w:type="dxa"/>
            <w:tcBorders>
              <w:top w:val="nil"/>
              <w:left w:val="nil"/>
              <w:bottom w:val="nil"/>
              <w:right w:val="nil"/>
            </w:tcBorders>
            <w:vAlign w:val="center"/>
          </w:tcPr>
          <w:p w14:paraId="404111E5" w14:textId="77777777" w:rsidR="002F3255" w:rsidRPr="005978DF" w:rsidRDefault="002F3255">
            <w:pPr>
              <w:widowControl w:val="0"/>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Gastos de apoyo al programa</w:t>
            </w:r>
          </w:p>
        </w:tc>
        <w:tc>
          <w:tcPr>
            <w:tcW w:w="1907" w:type="dxa"/>
            <w:tcBorders>
              <w:top w:val="nil"/>
              <w:left w:val="nil"/>
              <w:bottom w:val="nil"/>
              <w:right w:val="nil"/>
            </w:tcBorders>
            <w:vAlign w:val="center"/>
          </w:tcPr>
          <w:p w14:paraId="404111E6"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4</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447,2</w:t>
            </w:r>
          </w:p>
        </w:tc>
        <w:tc>
          <w:tcPr>
            <w:tcW w:w="539" w:type="dxa"/>
            <w:tcBorders>
              <w:top w:val="nil"/>
              <w:left w:val="nil"/>
              <w:bottom w:val="nil"/>
              <w:right w:val="nil"/>
            </w:tcBorders>
            <w:vAlign w:val="center"/>
          </w:tcPr>
          <w:p w14:paraId="404111E7" w14:textId="77777777" w:rsidR="002F3255" w:rsidRPr="005978DF" w:rsidRDefault="002F3255">
            <w:pPr>
              <w:widowControl w:val="0"/>
              <w:jc w:val="right"/>
              <w:rPr>
                <w:rFonts w:ascii="Calibri" w:eastAsia="Times New Roman" w:hAnsi="Calibri" w:cs="Calibri"/>
                <w:b/>
                <w:bCs/>
                <w:color w:val="000000"/>
                <w:sz w:val="18"/>
                <w:szCs w:val="18"/>
                <w:lang w:val="es-ES"/>
              </w:rPr>
            </w:pPr>
          </w:p>
        </w:tc>
        <w:tc>
          <w:tcPr>
            <w:tcW w:w="1418" w:type="dxa"/>
            <w:tcBorders>
              <w:top w:val="nil"/>
              <w:left w:val="nil"/>
              <w:bottom w:val="nil"/>
              <w:right w:val="nil"/>
            </w:tcBorders>
            <w:vAlign w:val="center"/>
          </w:tcPr>
          <w:p w14:paraId="404111E8"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4</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620,4</w:t>
            </w:r>
          </w:p>
        </w:tc>
        <w:tc>
          <w:tcPr>
            <w:tcW w:w="1275" w:type="dxa"/>
            <w:tcBorders>
              <w:top w:val="nil"/>
              <w:left w:val="nil"/>
              <w:bottom w:val="nil"/>
              <w:right w:val="nil"/>
            </w:tcBorders>
            <w:vAlign w:val="center"/>
          </w:tcPr>
          <w:p w14:paraId="404111E9"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4</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271,3</w:t>
            </w:r>
          </w:p>
        </w:tc>
      </w:tr>
      <w:tr w:rsidR="002F3255" w:rsidRPr="005978DF" w14:paraId="404111F0" w14:textId="77777777" w:rsidTr="00231CF4">
        <w:trPr>
          <w:jc w:val="center"/>
        </w:trPr>
        <w:tc>
          <w:tcPr>
            <w:tcW w:w="2799" w:type="dxa"/>
            <w:tcBorders>
              <w:top w:val="nil"/>
              <w:left w:val="nil"/>
              <w:bottom w:val="nil"/>
              <w:right w:val="nil"/>
            </w:tcBorders>
            <w:vAlign w:val="center"/>
          </w:tcPr>
          <w:p w14:paraId="404111EB" w14:textId="77777777" w:rsidR="002F3255" w:rsidRPr="005978DF" w:rsidRDefault="002F3255">
            <w:pPr>
              <w:widowControl w:val="0"/>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Reserva operacional</w:t>
            </w:r>
          </w:p>
        </w:tc>
        <w:tc>
          <w:tcPr>
            <w:tcW w:w="1907" w:type="dxa"/>
            <w:tcBorders>
              <w:top w:val="nil"/>
              <w:left w:val="nil"/>
              <w:bottom w:val="nil"/>
              <w:right w:val="nil"/>
            </w:tcBorders>
            <w:vAlign w:val="center"/>
          </w:tcPr>
          <w:p w14:paraId="404111EC"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187,4</w:t>
            </w:r>
          </w:p>
        </w:tc>
        <w:tc>
          <w:tcPr>
            <w:tcW w:w="539" w:type="dxa"/>
            <w:tcBorders>
              <w:top w:val="nil"/>
              <w:left w:val="nil"/>
              <w:bottom w:val="nil"/>
              <w:right w:val="nil"/>
            </w:tcBorders>
            <w:noWrap/>
            <w:vAlign w:val="bottom"/>
          </w:tcPr>
          <w:p w14:paraId="404111ED" w14:textId="77777777" w:rsidR="002F3255" w:rsidRPr="005978DF" w:rsidRDefault="002F3255">
            <w:pPr>
              <w:widowControl w:val="0"/>
              <w:jc w:val="right"/>
              <w:rPr>
                <w:rFonts w:ascii="Calibri" w:eastAsia="Times New Roman" w:hAnsi="Calibri" w:cs="Calibri"/>
                <w:color w:val="000000"/>
                <w:sz w:val="18"/>
                <w:szCs w:val="18"/>
                <w:lang w:val="es-ES"/>
              </w:rPr>
            </w:pPr>
          </w:p>
        </w:tc>
        <w:tc>
          <w:tcPr>
            <w:tcW w:w="1418" w:type="dxa"/>
            <w:tcBorders>
              <w:top w:val="nil"/>
              <w:left w:val="nil"/>
              <w:bottom w:val="nil"/>
              <w:right w:val="nil"/>
            </w:tcBorders>
            <w:vAlign w:val="center"/>
          </w:tcPr>
          <w:p w14:paraId="404111EE"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281,9</w:t>
            </w:r>
          </w:p>
        </w:tc>
        <w:tc>
          <w:tcPr>
            <w:tcW w:w="1275" w:type="dxa"/>
            <w:tcBorders>
              <w:top w:val="nil"/>
              <w:left w:val="nil"/>
              <w:bottom w:val="nil"/>
              <w:right w:val="nil"/>
            </w:tcBorders>
            <w:vAlign w:val="center"/>
          </w:tcPr>
          <w:p w14:paraId="404111EF" w14:textId="77777777" w:rsidR="002F3255" w:rsidRPr="005978DF" w:rsidRDefault="002F3255">
            <w:pPr>
              <w:widowControl w:val="0"/>
              <w:jc w:val="right"/>
              <w:rPr>
                <w:rFonts w:ascii="Calibri" w:eastAsia="Times New Roman" w:hAnsi="Calibri" w:cs="Calibri"/>
                <w:color w:val="000000"/>
                <w:sz w:val="18"/>
                <w:szCs w:val="18"/>
                <w:lang w:val="es-ES"/>
              </w:rPr>
            </w:pPr>
            <w:r w:rsidRPr="005978DF">
              <w:rPr>
                <w:rFonts w:ascii="Calibri" w:eastAsia="Times New Roman" w:hAnsi="Calibri" w:cs="Calibri"/>
                <w:color w:val="000000"/>
                <w:sz w:val="18"/>
                <w:szCs w:val="18"/>
                <w:lang w:val="es-ES"/>
              </w:rPr>
              <w:t>54,0</w:t>
            </w:r>
          </w:p>
        </w:tc>
      </w:tr>
      <w:tr w:rsidR="002F3255" w:rsidRPr="005978DF" w14:paraId="404111F6" w14:textId="77777777" w:rsidTr="00231CF4">
        <w:trPr>
          <w:jc w:val="center"/>
        </w:trPr>
        <w:tc>
          <w:tcPr>
            <w:tcW w:w="2799" w:type="dxa"/>
            <w:tcBorders>
              <w:top w:val="single" w:sz="4" w:space="0" w:color="auto"/>
              <w:left w:val="nil"/>
              <w:bottom w:val="single" w:sz="8" w:space="0" w:color="auto"/>
              <w:right w:val="nil"/>
            </w:tcBorders>
            <w:vAlign w:val="center"/>
          </w:tcPr>
          <w:p w14:paraId="404111F1" w14:textId="77777777" w:rsidR="002F3255" w:rsidRPr="005978DF" w:rsidRDefault="002F3255">
            <w:pPr>
              <w:widowControl w:val="0"/>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Requerimientos totales</w:t>
            </w:r>
          </w:p>
        </w:tc>
        <w:tc>
          <w:tcPr>
            <w:tcW w:w="1907" w:type="dxa"/>
            <w:tcBorders>
              <w:top w:val="single" w:sz="4" w:space="0" w:color="auto"/>
              <w:left w:val="nil"/>
              <w:bottom w:val="single" w:sz="8" w:space="0" w:color="auto"/>
              <w:right w:val="nil"/>
            </w:tcBorders>
            <w:vAlign w:val="center"/>
          </w:tcPr>
          <w:p w14:paraId="404111F2"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38</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844,1</w:t>
            </w:r>
          </w:p>
        </w:tc>
        <w:tc>
          <w:tcPr>
            <w:tcW w:w="539" w:type="dxa"/>
            <w:tcBorders>
              <w:top w:val="single" w:sz="4" w:space="0" w:color="auto"/>
              <w:left w:val="nil"/>
              <w:bottom w:val="single" w:sz="8" w:space="0" w:color="auto"/>
              <w:right w:val="nil"/>
            </w:tcBorders>
            <w:vAlign w:val="center"/>
          </w:tcPr>
          <w:p w14:paraId="404111F3" w14:textId="77777777" w:rsidR="002F3255" w:rsidRPr="005978DF" w:rsidRDefault="00231CF4">
            <w:pPr>
              <w:widowControl w:val="0"/>
              <w:jc w:val="right"/>
              <w:rPr>
                <w:rFonts w:ascii="Calibri" w:eastAsia="Times New Roman" w:hAnsi="Calibri" w:cs="Calibri"/>
                <w:b/>
                <w:bCs/>
                <w:color w:val="000000"/>
                <w:sz w:val="18"/>
                <w:szCs w:val="18"/>
                <w:lang w:val="es-ES"/>
              </w:rPr>
            </w:pPr>
            <w:r>
              <w:rPr>
                <w:rFonts w:ascii="Calibri" w:eastAsia="Times New Roman" w:hAnsi="Calibri" w:cs="Calibri"/>
                <w:b/>
                <w:bCs/>
                <w:color w:val="000000"/>
                <w:sz w:val="18"/>
                <w:szCs w:val="18"/>
                <w:lang w:val="es-ES"/>
              </w:rPr>
              <w:t xml:space="preserve"> </w:t>
            </w:r>
          </w:p>
        </w:tc>
        <w:tc>
          <w:tcPr>
            <w:tcW w:w="1418" w:type="dxa"/>
            <w:tcBorders>
              <w:top w:val="single" w:sz="4" w:space="0" w:color="auto"/>
              <w:left w:val="nil"/>
              <w:bottom w:val="single" w:sz="8" w:space="0" w:color="auto"/>
              <w:right w:val="nil"/>
            </w:tcBorders>
            <w:vAlign w:val="center"/>
          </w:tcPr>
          <w:p w14:paraId="404111F4"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40</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443,8</w:t>
            </w:r>
          </w:p>
        </w:tc>
        <w:tc>
          <w:tcPr>
            <w:tcW w:w="1275" w:type="dxa"/>
            <w:tcBorders>
              <w:top w:val="single" w:sz="4" w:space="0" w:color="auto"/>
              <w:left w:val="nil"/>
              <w:bottom w:val="single" w:sz="8" w:space="0" w:color="auto"/>
              <w:right w:val="nil"/>
            </w:tcBorders>
            <w:vAlign w:val="center"/>
          </w:tcPr>
          <w:p w14:paraId="404111F5" w14:textId="77777777" w:rsidR="002F3255" w:rsidRPr="005978DF" w:rsidRDefault="002F3255">
            <w:pPr>
              <w:widowControl w:val="0"/>
              <w:jc w:val="right"/>
              <w:rPr>
                <w:rFonts w:ascii="Calibri" w:eastAsia="Times New Roman" w:hAnsi="Calibri" w:cs="Calibri"/>
                <w:b/>
                <w:bCs/>
                <w:color w:val="000000"/>
                <w:sz w:val="18"/>
                <w:szCs w:val="18"/>
                <w:lang w:val="es-ES"/>
              </w:rPr>
            </w:pPr>
            <w:r w:rsidRPr="005978DF">
              <w:rPr>
                <w:rFonts w:ascii="Calibri" w:eastAsia="Times New Roman" w:hAnsi="Calibri" w:cs="Calibri"/>
                <w:b/>
                <w:bCs/>
                <w:color w:val="000000"/>
                <w:sz w:val="18"/>
                <w:szCs w:val="18"/>
                <w:lang w:val="es-ES"/>
              </w:rPr>
              <w:t>37</w:t>
            </w:r>
            <w:r w:rsidR="00231CF4">
              <w:rPr>
                <w:rFonts w:ascii="Calibri" w:eastAsia="Times New Roman" w:hAnsi="Calibri" w:cs="Calibri"/>
                <w:b/>
                <w:bCs/>
                <w:color w:val="000000"/>
                <w:sz w:val="18"/>
                <w:szCs w:val="18"/>
                <w:lang w:val="es-ES"/>
              </w:rPr>
              <w:t xml:space="preserve"> </w:t>
            </w:r>
            <w:r w:rsidRPr="005978DF">
              <w:rPr>
                <w:rFonts w:ascii="Calibri" w:eastAsia="Times New Roman" w:hAnsi="Calibri" w:cs="Calibri"/>
                <w:b/>
                <w:bCs/>
                <w:color w:val="000000"/>
                <w:sz w:val="18"/>
                <w:szCs w:val="18"/>
                <w:lang w:val="es-ES"/>
              </w:rPr>
              <w:t>181,2</w:t>
            </w:r>
          </w:p>
        </w:tc>
      </w:tr>
    </w:tbl>
    <w:p w14:paraId="404111F7" w14:textId="77777777" w:rsidR="002F3255" w:rsidRPr="005978DF" w:rsidRDefault="00E917A0" w:rsidP="00E917A0">
      <w:pPr>
        <w:widowControl w:val="0"/>
        <w:tabs>
          <w:tab w:val="left" w:pos="1080"/>
        </w:tabs>
        <w:spacing w:before="360" w:after="120"/>
        <w:outlineLvl w:val="3"/>
        <w:rPr>
          <w:rFonts w:eastAsia="Times New Roman"/>
          <w:sz w:val="22"/>
          <w:szCs w:val="22"/>
          <w:lang w:val="es-ES"/>
        </w:rPr>
      </w:pPr>
      <w:r>
        <w:rPr>
          <w:rFonts w:eastAsia="Times New Roman"/>
          <w:b/>
          <w:bCs/>
          <w:sz w:val="22"/>
          <w:szCs w:val="22"/>
          <w:lang w:val="es-ES"/>
        </w:rPr>
        <w:t>Cuadro 6.</w:t>
      </w:r>
      <w:r>
        <w:rPr>
          <w:rFonts w:eastAsia="Times New Roman"/>
          <w:b/>
          <w:bCs/>
          <w:sz w:val="22"/>
          <w:szCs w:val="22"/>
          <w:lang w:val="es-ES"/>
        </w:rPr>
        <w:tab/>
      </w:r>
      <w:r w:rsidR="002F3255" w:rsidRPr="005978DF">
        <w:rPr>
          <w:rFonts w:eastAsia="Times New Roman"/>
          <w:b/>
          <w:bCs/>
          <w:sz w:val="22"/>
          <w:szCs w:val="22"/>
          <w:lang w:val="es-ES"/>
        </w:rPr>
        <w:t>Distribución de recursos por componente en porcentaje</w:t>
      </w:r>
    </w:p>
    <w:p w14:paraId="404111F8" w14:textId="77777777" w:rsidR="002F3255" w:rsidRPr="00231CF4" w:rsidRDefault="002F3255" w:rsidP="00E917A0">
      <w:pPr>
        <w:pStyle w:val="H23"/>
        <w:widowControl w:val="0"/>
        <w:tabs>
          <w:tab w:val="left" w:pos="1080"/>
        </w:tabs>
        <w:spacing w:before="0" w:after="0" w:line="240" w:lineRule="auto"/>
        <w:ind w:left="1134"/>
        <w:outlineLvl w:val="9"/>
        <w:rPr>
          <w:rFonts w:asciiTheme="minorHAnsi" w:hAnsiTheme="minorHAnsi" w:cstheme="minorHAnsi"/>
          <w:lang w:val="es-ES"/>
        </w:rPr>
      </w:pPr>
      <w:r w:rsidRPr="00231CF4">
        <w:rPr>
          <w:rFonts w:asciiTheme="minorHAnsi" w:hAnsiTheme="minorHAnsi" w:cstheme="minorHAnsi"/>
          <w:b w:val="0"/>
          <w:bCs w:val="0"/>
          <w:i/>
          <w:iCs/>
          <w:sz w:val="18"/>
          <w:szCs w:val="18"/>
          <w:lang w:val="es-ES"/>
        </w:rPr>
        <w:t>(En porcentaje)</w:t>
      </w:r>
    </w:p>
    <w:tbl>
      <w:tblPr>
        <w:tblW w:w="0" w:type="auto"/>
        <w:jc w:val="center"/>
        <w:tblLayout w:type="fixed"/>
        <w:tblLook w:val="00A0" w:firstRow="1" w:lastRow="0" w:firstColumn="1" w:lastColumn="0" w:noHBand="0" w:noVBand="0"/>
      </w:tblPr>
      <w:tblGrid>
        <w:gridCol w:w="3969"/>
        <w:gridCol w:w="1418"/>
        <w:gridCol w:w="1424"/>
        <w:gridCol w:w="1694"/>
      </w:tblGrid>
      <w:tr w:rsidR="002F3255" w:rsidRPr="00231CF4" w14:paraId="404111FD" w14:textId="77777777">
        <w:trPr>
          <w:jc w:val="center"/>
        </w:trPr>
        <w:tc>
          <w:tcPr>
            <w:tcW w:w="3969" w:type="dxa"/>
            <w:tcBorders>
              <w:top w:val="single" w:sz="8" w:space="0" w:color="auto"/>
              <w:left w:val="nil"/>
              <w:bottom w:val="nil"/>
              <w:right w:val="nil"/>
            </w:tcBorders>
            <w:noWrap/>
            <w:vAlign w:val="bottom"/>
          </w:tcPr>
          <w:p w14:paraId="404111F9" w14:textId="77777777" w:rsidR="002F3255" w:rsidRPr="00231CF4" w:rsidRDefault="002F3255">
            <w:pPr>
              <w:widowControl w:val="0"/>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 </w:t>
            </w:r>
          </w:p>
        </w:tc>
        <w:tc>
          <w:tcPr>
            <w:tcW w:w="1418" w:type="dxa"/>
            <w:tcBorders>
              <w:top w:val="single" w:sz="8" w:space="0" w:color="auto"/>
              <w:left w:val="nil"/>
              <w:bottom w:val="nil"/>
              <w:right w:val="nil"/>
            </w:tcBorders>
            <w:vAlign w:val="center"/>
          </w:tcPr>
          <w:p w14:paraId="404111FA" w14:textId="77777777" w:rsidR="002F3255" w:rsidRPr="00231CF4" w:rsidRDefault="002F3255">
            <w:pPr>
              <w:widowControl w:val="0"/>
              <w:jc w:val="right"/>
              <w:rPr>
                <w:rFonts w:asciiTheme="minorHAnsi" w:eastAsia="Times New Roman" w:hAnsiTheme="minorHAnsi" w:cstheme="minorHAnsi"/>
                <w:lang w:val="es-ES"/>
              </w:rPr>
            </w:pPr>
            <w:r w:rsidRPr="00231CF4">
              <w:rPr>
                <w:rFonts w:asciiTheme="minorHAnsi" w:eastAsia="Times New Roman" w:hAnsiTheme="minorHAnsi" w:cstheme="minorHAnsi"/>
                <w:i/>
                <w:iCs/>
                <w:color w:val="000000"/>
                <w:sz w:val="18"/>
                <w:szCs w:val="18"/>
                <w:lang w:val="es-ES"/>
              </w:rPr>
              <w:t>Autorizado</w:t>
            </w:r>
          </w:p>
        </w:tc>
        <w:tc>
          <w:tcPr>
            <w:tcW w:w="1424" w:type="dxa"/>
            <w:tcBorders>
              <w:top w:val="single" w:sz="8" w:space="0" w:color="auto"/>
              <w:left w:val="nil"/>
              <w:bottom w:val="nil"/>
              <w:right w:val="nil"/>
            </w:tcBorders>
            <w:vAlign w:val="center"/>
          </w:tcPr>
          <w:p w14:paraId="404111FB" w14:textId="77777777" w:rsidR="002F3255" w:rsidRPr="00231CF4" w:rsidRDefault="002F3255">
            <w:pPr>
              <w:widowControl w:val="0"/>
              <w:jc w:val="right"/>
              <w:rPr>
                <w:rFonts w:asciiTheme="minorHAnsi" w:eastAsia="Times New Roman" w:hAnsiTheme="minorHAnsi" w:cstheme="minorHAnsi"/>
                <w:lang w:val="es-ES"/>
              </w:rPr>
            </w:pPr>
            <w:r w:rsidRPr="00231CF4">
              <w:rPr>
                <w:rFonts w:asciiTheme="minorHAnsi" w:eastAsia="Times New Roman" w:hAnsiTheme="minorHAnsi" w:cstheme="minorHAnsi"/>
                <w:i/>
                <w:iCs/>
                <w:color w:val="000000"/>
                <w:sz w:val="18"/>
                <w:szCs w:val="18"/>
                <w:lang w:val="es-ES"/>
              </w:rPr>
              <w:t>CRN</w:t>
            </w:r>
          </w:p>
        </w:tc>
        <w:tc>
          <w:tcPr>
            <w:tcW w:w="1694" w:type="dxa"/>
            <w:tcBorders>
              <w:top w:val="single" w:sz="8" w:space="0" w:color="auto"/>
              <w:left w:val="nil"/>
              <w:bottom w:val="nil"/>
              <w:right w:val="nil"/>
            </w:tcBorders>
            <w:vAlign w:val="center"/>
          </w:tcPr>
          <w:p w14:paraId="404111FC" w14:textId="77777777" w:rsidR="002F3255" w:rsidRPr="00231CF4" w:rsidRDefault="002F3255">
            <w:pPr>
              <w:widowControl w:val="0"/>
              <w:jc w:val="right"/>
              <w:rPr>
                <w:rFonts w:asciiTheme="minorHAnsi" w:eastAsia="Times New Roman" w:hAnsiTheme="minorHAnsi" w:cstheme="minorHAnsi"/>
                <w:lang w:val="es-ES"/>
              </w:rPr>
            </w:pPr>
            <w:r w:rsidRPr="00231CF4">
              <w:rPr>
                <w:rFonts w:asciiTheme="minorHAnsi" w:eastAsia="Times New Roman" w:hAnsiTheme="minorHAnsi" w:cstheme="minorHAnsi"/>
                <w:i/>
                <w:iCs/>
                <w:color w:val="000000"/>
                <w:sz w:val="18"/>
                <w:szCs w:val="18"/>
                <w:lang w:val="es-ES"/>
              </w:rPr>
              <w:t>CNN</w:t>
            </w:r>
          </w:p>
        </w:tc>
      </w:tr>
      <w:tr w:rsidR="002F3255" w:rsidRPr="00231CF4" w14:paraId="40411202" w14:textId="77777777">
        <w:trPr>
          <w:jc w:val="center"/>
        </w:trPr>
        <w:tc>
          <w:tcPr>
            <w:tcW w:w="3969" w:type="dxa"/>
            <w:tcBorders>
              <w:top w:val="nil"/>
              <w:left w:val="nil"/>
              <w:bottom w:val="single" w:sz="8" w:space="0" w:color="auto"/>
              <w:right w:val="nil"/>
            </w:tcBorders>
            <w:vAlign w:val="center"/>
          </w:tcPr>
          <w:p w14:paraId="404111FE" w14:textId="77777777" w:rsidR="002F3255" w:rsidRPr="00231CF4" w:rsidRDefault="002F3255">
            <w:pPr>
              <w:widowControl w:val="0"/>
              <w:rPr>
                <w:rFonts w:asciiTheme="minorHAnsi" w:eastAsia="Times New Roman" w:hAnsiTheme="minorHAnsi" w:cstheme="minorHAnsi"/>
                <w:lang w:val="es-ES"/>
              </w:rPr>
            </w:pPr>
            <w:r w:rsidRPr="00231CF4">
              <w:rPr>
                <w:rFonts w:asciiTheme="minorHAnsi" w:eastAsia="Times New Roman" w:hAnsiTheme="minorHAnsi" w:cstheme="minorHAnsi"/>
                <w:i/>
                <w:iCs/>
                <w:color w:val="000000"/>
                <w:sz w:val="18"/>
                <w:szCs w:val="18"/>
                <w:lang w:val="es-ES"/>
              </w:rPr>
              <w:t> </w:t>
            </w:r>
          </w:p>
        </w:tc>
        <w:tc>
          <w:tcPr>
            <w:tcW w:w="1418" w:type="dxa"/>
            <w:tcBorders>
              <w:top w:val="nil"/>
              <w:left w:val="nil"/>
              <w:bottom w:val="single" w:sz="8" w:space="0" w:color="auto"/>
              <w:right w:val="nil"/>
            </w:tcBorders>
            <w:vAlign w:val="center"/>
          </w:tcPr>
          <w:p w14:paraId="404111FF" w14:textId="77777777" w:rsidR="002F3255" w:rsidRPr="00231CF4" w:rsidRDefault="002F3255">
            <w:pPr>
              <w:widowControl w:val="0"/>
              <w:jc w:val="right"/>
              <w:rPr>
                <w:rFonts w:asciiTheme="minorHAnsi" w:eastAsia="Times New Roman" w:hAnsiTheme="minorHAnsi" w:cstheme="minorHAnsi"/>
                <w:i/>
                <w:iCs/>
                <w:color w:val="000000"/>
                <w:sz w:val="18"/>
                <w:szCs w:val="18"/>
                <w:lang w:val="es-ES"/>
              </w:rPr>
            </w:pPr>
            <w:r w:rsidRPr="00231CF4">
              <w:rPr>
                <w:rFonts w:asciiTheme="minorHAnsi" w:eastAsia="Times New Roman" w:hAnsiTheme="minorHAnsi" w:cstheme="minorHAnsi"/>
                <w:i/>
                <w:iCs/>
                <w:color w:val="000000"/>
                <w:sz w:val="18"/>
                <w:szCs w:val="18"/>
                <w:lang w:val="es-ES"/>
              </w:rPr>
              <w:t>2019-20</w:t>
            </w:r>
          </w:p>
        </w:tc>
        <w:tc>
          <w:tcPr>
            <w:tcW w:w="1424" w:type="dxa"/>
            <w:tcBorders>
              <w:top w:val="nil"/>
              <w:left w:val="nil"/>
              <w:bottom w:val="single" w:sz="8" w:space="0" w:color="auto"/>
              <w:right w:val="nil"/>
            </w:tcBorders>
            <w:vAlign w:val="center"/>
          </w:tcPr>
          <w:p w14:paraId="40411200" w14:textId="77777777" w:rsidR="002F3255" w:rsidRPr="00231CF4" w:rsidRDefault="002F3255">
            <w:pPr>
              <w:widowControl w:val="0"/>
              <w:jc w:val="right"/>
              <w:rPr>
                <w:rFonts w:asciiTheme="minorHAnsi" w:eastAsia="Times New Roman" w:hAnsiTheme="minorHAnsi" w:cstheme="minorHAnsi"/>
                <w:i/>
                <w:iCs/>
                <w:color w:val="000000"/>
                <w:sz w:val="18"/>
                <w:szCs w:val="18"/>
                <w:lang w:val="es-ES"/>
              </w:rPr>
            </w:pPr>
            <w:r w:rsidRPr="00231CF4">
              <w:rPr>
                <w:rFonts w:asciiTheme="minorHAnsi" w:eastAsia="Times New Roman" w:hAnsiTheme="minorHAnsi" w:cstheme="minorHAnsi"/>
                <w:i/>
                <w:iCs/>
                <w:color w:val="000000"/>
                <w:sz w:val="18"/>
                <w:szCs w:val="18"/>
                <w:lang w:val="es-ES"/>
              </w:rPr>
              <w:t>2023-24</w:t>
            </w:r>
          </w:p>
        </w:tc>
        <w:tc>
          <w:tcPr>
            <w:tcW w:w="1694" w:type="dxa"/>
            <w:tcBorders>
              <w:top w:val="nil"/>
              <w:left w:val="nil"/>
              <w:bottom w:val="single" w:sz="8" w:space="0" w:color="auto"/>
              <w:right w:val="nil"/>
            </w:tcBorders>
            <w:vAlign w:val="center"/>
          </w:tcPr>
          <w:p w14:paraId="40411201" w14:textId="77777777" w:rsidR="002F3255" w:rsidRPr="00231CF4" w:rsidRDefault="002F3255">
            <w:pPr>
              <w:widowControl w:val="0"/>
              <w:jc w:val="right"/>
              <w:rPr>
                <w:rFonts w:asciiTheme="minorHAnsi" w:eastAsia="Times New Roman" w:hAnsiTheme="minorHAnsi" w:cstheme="minorHAnsi"/>
                <w:i/>
                <w:iCs/>
                <w:color w:val="000000"/>
                <w:sz w:val="18"/>
                <w:szCs w:val="18"/>
                <w:lang w:val="es-ES"/>
              </w:rPr>
            </w:pPr>
            <w:r w:rsidRPr="00231CF4">
              <w:rPr>
                <w:rFonts w:asciiTheme="minorHAnsi" w:eastAsia="Times New Roman" w:hAnsiTheme="minorHAnsi" w:cstheme="minorHAnsi"/>
                <w:i/>
                <w:iCs/>
                <w:color w:val="000000"/>
                <w:sz w:val="18"/>
                <w:szCs w:val="18"/>
                <w:lang w:val="es-ES"/>
              </w:rPr>
              <w:t>2023-24</w:t>
            </w:r>
          </w:p>
        </w:tc>
      </w:tr>
      <w:tr w:rsidR="002F3255" w:rsidRPr="00231CF4" w14:paraId="40411207" w14:textId="77777777">
        <w:trPr>
          <w:jc w:val="center"/>
        </w:trPr>
        <w:tc>
          <w:tcPr>
            <w:tcW w:w="3969" w:type="dxa"/>
            <w:tcBorders>
              <w:top w:val="nil"/>
              <w:left w:val="nil"/>
              <w:bottom w:val="nil"/>
              <w:right w:val="nil"/>
            </w:tcBorders>
            <w:vAlign w:val="center"/>
          </w:tcPr>
          <w:p w14:paraId="40411203" w14:textId="77777777" w:rsidR="002F3255" w:rsidRPr="00231CF4" w:rsidRDefault="002F3255">
            <w:pPr>
              <w:widowControl w:val="0"/>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A. Órganos rectores y subsidiarios</w:t>
            </w:r>
          </w:p>
        </w:tc>
        <w:tc>
          <w:tcPr>
            <w:tcW w:w="1418" w:type="dxa"/>
            <w:tcBorders>
              <w:top w:val="nil"/>
              <w:left w:val="nil"/>
              <w:bottom w:val="nil"/>
              <w:right w:val="nil"/>
            </w:tcBorders>
            <w:vAlign w:val="center"/>
          </w:tcPr>
          <w:p w14:paraId="40411204"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12,8</w:t>
            </w:r>
          </w:p>
        </w:tc>
        <w:tc>
          <w:tcPr>
            <w:tcW w:w="1424" w:type="dxa"/>
            <w:tcBorders>
              <w:top w:val="nil"/>
              <w:left w:val="nil"/>
              <w:bottom w:val="nil"/>
              <w:right w:val="nil"/>
            </w:tcBorders>
            <w:vAlign w:val="center"/>
          </w:tcPr>
          <w:p w14:paraId="40411205"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12,9</w:t>
            </w:r>
          </w:p>
        </w:tc>
        <w:tc>
          <w:tcPr>
            <w:tcW w:w="1694" w:type="dxa"/>
            <w:tcBorders>
              <w:top w:val="nil"/>
              <w:left w:val="nil"/>
              <w:bottom w:val="nil"/>
              <w:right w:val="nil"/>
            </w:tcBorders>
            <w:vAlign w:val="center"/>
          </w:tcPr>
          <w:p w14:paraId="40411206"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13,9</w:t>
            </w:r>
          </w:p>
        </w:tc>
      </w:tr>
      <w:tr w:rsidR="002F3255" w:rsidRPr="00231CF4" w14:paraId="4041120C" w14:textId="77777777">
        <w:trPr>
          <w:jc w:val="center"/>
        </w:trPr>
        <w:tc>
          <w:tcPr>
            <w:tcW w:w="3969" w:type="dxa"/>
            <w:tcBorders>
              <w:top w:val="nil"/>
              <w:left w:val="nil"/>
              <w:bottom w:val="nil"/>
              <w:right w:val="nil"/>
            </w:tcBorders>
            <w:vAlign w:val="center"/>
          </w:tcPr>
          <w:p w14:paraId="40411208" w14:textId="77777777" w:rsidR="002F3255" w:rsidRPr="00231CF4" w:rsidRDefault="002F3255">
            <w:pPr>
              <w:widowControl w:val="0"/>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B. Dirección y gestión ejecutivas</w:t>
            </w:r>
          </w:p>
        </w:tc>
        <w:tc>
          <w:tcPr>
            <w:tcW w:w="1418" w:type="dxa"/>
            <w:tcBorders>
              <w:top w:val="nil"/>
              <w:left w:val="nil"/>
              <w:bottom w:val="nil"/>
              <w:right w:val="nil"/>
            </w:tcBorders>
            <w:vAlign w:val="center"/>
          </w:tcPr>
          <w:p w14:paraId="40411209"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15,5</w:t>
            </w:r>
          </w:p>
        </w:tc>
        <w:tc>
          <w:tcPr>
            <w:tcW w:w="1424" w:type="dxa"/>
            <w:tcBorders>
              <w:top w:val="nil"/>
              <w:left w:val="nil"/>
              <w:bottom w:val="nil"/>
              <w:right w:val="nil"/>
            </w:tcBorders>
            <w:vAlign w:val="center"/>
          </w:tcPr>
          <w:p w14:paraId="4041120A"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17,5</w:t>
            </w:r>
          </w:p>
        </w:tc>
        <w:tc>
          <w:tcPr>
            <w:tcW w:w="1694" w:type="dxa"/>
            <w:tcBorders>
              <w:top w:val="nil"/>
              <w:left w:val="nil"/>
              <w:bottom w:val="nil"/>
              <w:right w:val="nil"/>
            </w:tcBorders>
            <w:vAlign w:val="center"/>
          </w:tcPr>
          <w:p w14:paraId="4041120B"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16,7</w:t>
            </w:r>
          </w:p>
        </w:tc>
      </w:tr>
      <w:tr w:rsidR="002F3255" w:rsidRPr="00231CF4" w14:paraId="40411211" w14:textId="77777777">
        <w:trPr>
          <w:jc w:val="center"/>
        </w:trPr>
        <w:tc>
          <w:tcPr>
            <w:tcW w:w="3969" w:type="dxa"/>
            <w:tcBorders>
              <w:top w:val="nil"/>
              <w:left w:val="nil"/>
              <w:bottom w:val="nil"/>
              <w:right w:val="nil"/>
            </w:tcBorders>
            <w:vAlign w:val="center"/>
          </w:tcPr>
          <w:p w14:paraId="4041120D" w14:textId="77777777" w:rsidR="002F3255" w:rsidRPr="00231CF4" w:rsidRDefault="002F3255">
            <w:pPr>
              <w:widowControl w:val="0"/>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C. Programa de trabajo</w:t>
            </w:r>
          </w:p>
        </w:tc>
        <w:tc>
          <w:tcPr>
            <w:tcW w:w="1418" w:type="dxa"/>
            <w:tcBorders>
              <w:top w:val="nil"/>
              <w:left w:val="nil"/>
              <w:bottom w:val="nil"/>
              <w:right w:val="nil"/>
            </w:tcBorders>
            <w:vAlign w:val="center"/>
          </w:tcPr>
          <w:p w14:paraId="4041120E"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54,2</w:t>
            </w:r>
          </w:p>
        </w:tc>
        <w:tc>
          <w:tcPr>
            <w:tcW w:w="1424" w:type="dxa"/>
            <w:tcBorders>
              <w:top w:val="nil"/>
              <w:left w:val="nil"/>
              <w:bottom w:val="nil"/>
              <w:right w:val="nil"/>
            </w:tcBorders>
            <w:vAlign w:val="center"/>
          </w:tcPr>
          <w:p w14:paraId="4041120F"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52,7</w:t>
            </w:r>
          </w:p>
        </w:tc>
        <w:tc>
          <w:tcPr>
            <w:tcW w:w="1694" w:type="dxa"/>
            <w:tcBorders>
              <w:top w:val="nil"/>
              <w:left w:val="nil"/>
              <w:bottom w:val="nil"/>
              <w:right w:val="nil"/>
            </w:tcBorders>
            <w:vAlign w:val="center"/>
          </w:tcPr>
          <w:p w14:paraId="40411210"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52,2</w:t>
            </w:r>
          </w:p>
        </w:tc>
      </w:tr>
      <w:tr w:rsidR="002F3255" w:rsidRPr="00231CF4" w14:paraId="40411216" w14:textId="77777777">
        <w:trPr>
          <w:jc w:val="center"/>
        </w:trPr>
        <w:tc>
          <w:tcPr>
            <w:tcW w:w="3969" w:type="dxa"/>
            <w:tcBorders>
              <w:top w:val="nil"/>
              <w:left w:val="nil"/>
              <w:bottom w:val="single" w:sz="8" w:space="0" w:color="auto"/>
              <w:right w:val="nil"/>
            </w:tcBorders>
            <w:vAlign w:val="center"/>
          </w:tcPr>
          <w:p w14:paraId="40411212" w14:textId="77777777" w:rsidR="002F3255" w:rsidRPr="00231CF4" w:rsidRDefault="002F3255">
            <w:pPr>
              <w:widowControl w:val="0"/>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D. Apoyo administrativo</w:t>
            </w:r>
          </w:p>
        </w:tc>
        <w:tc>
          <w:tcPr>
            <w:tcW w:w="1418" w:type="dxa"/>
            <w:tcBorders>
              <w:top w:val="nil"/>
              <w:left w:val="nil"/>
              <w:bottom w:val="single" w:sz="8" w:space="0" w:color="auto"/>
              <w:right w:val="nil"/>
            </w:tcBorders>
            <w:vAlign w:val="center"/>
          </w:tcPr>
          <w:p w14:paraId="40411213"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17,5</w:t>
            </w:r>
          </w:p>
        </w:tc>
        <w:tc>
          <w:tcPr>
            <w:tcW w:w="1424" w:type="dxa"/>
            <w:tcBorders>
              <w:top w:val="nil"/>
              <w:left w:val="nil"/>
              <w:bottom w:val="single" w:sz="8" w:space="0" w:color="auto"/>
              <w:right w:val="nil"/>
            </w:tcBorders>
            <w:vAlign w:val="center"/>
          </w:tcPr>
          <w:p w14:paraId="40411214"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17,0</w:t>
            </w:r>
          </w:p>
        </w:tc>
        <w:tc>
          <w:tcPr>
            <w:tcW w:w="1694" w:type="dxa"/>
            <w:tcBorders>
              <w:top w:val="nil"/>
              <w:left w:val="nil"/>
              <w:bottom w:val="single" w:sz="8" w:space="0" w:color="auto"/>
              <w:right w:val="nil"/>
            </w:tcBorders>
            <w:vAlign w:val="center"/>
          </w:tcPr>
          <w:p w14:paraId="40411215"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17,2</w:t>
            </w:r>
          </w:p>
        </w:tc>
      </w:tr>
      <w:tr w:rsidR="002F3255" w:rsidRPr="00231CF4" w14:paraId="4041121B" w14:textId="77777777">
        <w:trPr>
          <w:jc w:val="center"/>
        </w:trPr>
        <w:tc>
          <w:tcPr>
            <w:tcW w:w="3969" w:type="dxa"/>
            <w:tcBorders>
              <w:top w:val="nil"/>
              <w:left w:val="nil"/>
              <w:bottom w:val="single" w:sz="8" w:space="0" w:color="auto"/>
              <w:right w:val="nil"/>
            </w:tcBorders>
            <w:vAlign w:val="center"/>
          </w:tcPr>
          <w:p w14:paraId="40411217" w14:textId="77777777" w:rsidR="002F3255" w:rsidRPr="00231CF4" w:rsidRDefault="002F3255">
            <w:pPr>
              <w:widowControl w:val="0"/>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Total</w:t>
            </w:r>
          </w:p>
        </w:tc>
        <w:tc>
          <w:tcPr>
            <w:tcW w:w="1418" w:type="dxa"/>
            <w:tcBorders>
              <w:top w:val="nil"/>
              <w:left w:val="nil"/>
              <w:bottom w:val="single" w:sz="8" w:space="0" w:color="auto"/>
              <w:right w:val="nil"/>
            </w:tcBorders>
            <w:vAlign w:val="center"/>
          </w:tcPr>
          <w:p w14:paraId="40411218"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100,0</w:t>
            </w:r>
          </w:p>
        </w:tc>
        <w:tc>
          <w:tcPr>
            <w:tcW w:w="1424" w:type="dxa"/>
            <w:tcBorders>
              <w:top w:val="nil"/>
              <w:left w:val="nil"/>
              <w:bottom w:val="single" w:sz="8" w:space="0" w:color="auto"/>
              <w:right w:val="nil"/>
            </w:tcBorders>
            <w:vAlign w:val="center"/>
          </w:tcPr>
          <w:p w14:paraId="40411219"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100,0</w:t>
            </w:r>
          </w:p>
        </w:tc>
        <w:tc>
          <w:tcPr>
            <w:tcW w:w="1694" w:type="dxa"/>
            <w:tcBorders>
              <w:top w:val="nil"/>
              <w:left w:val="nil"/>
              <w:bottom w:val="single" w:sz="8" w:space="0" w:color="auto"/>
              <w:right w:val="nil"/>
            </w:tcBorders>
            <w:vAlign w:val="center"/>
          </w:tcPr>
          <w:p w14:paraId="4041121A" w14:textId="77777777" w:rsidR="002F3255" w:rsidRPr="00231CF4" w:rsidRDefault="002F3255">
            <w:pPr>
              <w:widowControl w:val="0"/>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100,0</w:t>
            </w:r>
          </w:p>
        </w:tc>
      </w:tr>
    </w:tbl>
    <w:p w14:paraId="4041121C" w14:textId="77777777" w:rsidR="002F3255" w:rsidRPr="00231CF4" w:rsidRDefault="002F3255">
      <w:pPr>
        <w:widowControl w:val="0"/>
        <w:ind w:left="1276"/>
        <w:rPr>
          <w:rFonts w:asciiTheme="minorHAnsi" w:eastAsia="Times New Roman" w:hAnsiTheme="minorHAnsi" w:cstheme="minorHAnsi"/>
          <w:sz w:val="16"/>
          <w:szCs w:val="16"/>
          <w:lang w:val="es-ES"/>
        </w:rPr>
      </w:pPr>
      <w:r w:rsidRPr="00231CF4">
        <w:rPr>
          <w:rFonts w:asciiTheme="minorHAnsi" w:eastAsia="Times New Roman" w:hAnsiTheme="minorHAnsi" w:cstheme="minorHAnsi"/>
          <w:color w:val="000000"/>
          <w:sz w:val="16"/>
          <w:szCs w:val="16"/>
          <w:lang w:val="es-ES"/>
        </w:rPr>
        <w:t>a/ Incluido el crédito de 1</w:t>
      </w:r>
      <w:r w:rsidR="00231CF4">
        <w:rPr>
          <w:rFonts w:asciiTheme="minorHAnsi" w:eastAsia="Times New Roman" w:hAnsiTheme="minorHAnsi" w:cstheme="minorHAnsi"/>
          <w:color w:val="000000"/>
          <w:sz w:val="16"/>
          <w:szCs w:val="16"/>
          <w:lang w:val="es-ES"/>
        </w:rPr>
        <w:t> </w:t>
      </w:r>
      <w:r w:rsidRPr="00231CF4">
        <w:rPr>
          <w:rFonts w:asciiTheme="minorHAnsi" w:eastAsia="Times New Roman" w:hAnsiTheme="minorHAnsi" w:cstheme="minorHAnsi"/>
          <w:color w:val="000000"/>
          <w:sz w:val="16"/>
          <w:szCs w:val="16"/>
          <w:lang w:val="es-ES"/>
        </w:rPr>
        <w:t>310</w:t>
      </w:r>
      <w:r w:rsidR="00231CF4">
        <w:rPr>
          <w:rFonts w:asciiTheme="minorHAnsi" w:eastAsia="Times New Roman" w:hAnsiTheme="minorHAnsi" w:cstheme="minorHAnsi"/>
          <w:color w:val="000000"/>
          <w:sz w:val="16"/>
          <w:szCs w:val="16"/>
          <w:lang w:val="es-ES"/>
        </w:rPr>
        <w:t> </w:t>
      </w:r>
      <w:r w:rsidRPr="00231CF4">
        <w:rPr>
          <w:rFonts w:asciiTheme="minorHAnsi" w:eastAsia="Times New Roman" w:hAnsiTheme="minorHAnsi" w:cstheme="minorHAnsi"/>
          <w:color w:val="000000"/>
          <w:sz w:val="16"/>
          <w:szCs w:val="16"/>
          <w:lang w:val="es-ES"/>
        </w:rPr>
        <w:t>000 dólares para reuniones extraordinarias sobre el marco mundial de la diversidad biológica posterior</w:t>
      </w:r>
      <w:r w:rsidR="00E917A0">
        <w:rPr>
          <w:rFonts w:asciiTheme="minorHAnsi" w:eastAsia="Times New Roman" w:hAnsiTheme="minorHAnsi" w:cstheme="minorHAnsi"/>
          <w:color w:val="000000"/>
          <w:sz w:val="16"/>
          <w:szCs w:val="16"/>
          <w:lang w:val="es-ES"/>
        </w:rPr>
        <w:t> </w:t>
      </w:r>
      <w:r w:rsidRPr="00231CF4">
        <w:rPr>
          <w:rFonts w:asciiTheme="minorHAnsi" w:eastAsia="Times New Roman" w:hAnsiTheme="minorHAnsi" w:cstheme="minorHAnsi"/>
          <w:color w:val="000000"/>
          <w:sz w:val="16"/>
          <w:szCs w:val="16"/>
          <w:lang w:val="es-ES"/>
        </w:rPr>
        <w:t>a 2020.</w:t>
      </w:r>
    </w:p>
    <w:p w14:paraId="4041121D" w14:textId="77777777" w:rsidR="002F3255" w:rsidRPr="005978DF" w:rsidRDefault="002F3255">
      <w:pPr>
        <w:pStyle w:val="Heading2"/>
        <w:keepLines/>
        <w:rPr>
          <w:rFonts w:eastAsia="Times New Roman"/>
          <w:lang w:val="es-ES"/>
        </w:rPr>
      </w:pPr>
      <w:r w:rsidRPr="005978DF">
        <w:rPr>
          <w:rFonts w:eastAsia="Times New Roman"/>
          <w:lang w:val="es-ES"/>
        </w:rPr>
        <w:lastRenderedPageBreak/>
        <w:t>B. Recursos extrapresupuestarios</w:t>
      </w:r>
    </w:p>
    <w:p w14:paraId="4041121E" w14:textId="77777777" w:rsidR="002F3255" w:rsidRPr="005978DF" w:rsidRDefault="002F3255">
      <w:pPr>
        <w:keepNext/>
        <w:keepLines/>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La Secretaría sigue dependiendo de las contribuciones voluntarias, que son fundamentales para el cumplimiento de sus mandatos.</w:t>
      </w:r>
      <w:r w:rsidRPr="005978DF">
        <w:rPr>
          <w:rFonts w:eastAsia="Times New Roman"/>
          <w:color w:val="000000"/>
          <w:sz w:val="22"/>
          <w:szCs w:val="22"/>
          <w:lang w:val="es-ES"/>
        </w:rPr>
        <w:t xml:space="preserve"> En esta sección se expone la estimación preliminar de los recursos necesarios elaborada en el contexto del marco de gestión basado en los resultados (véase la sección III). La estimación se afinará luego de un análisis de los proyectos de decisión para los tres órganos y se brindará una estimación actualizada. La estimación comprende los recursos que solicita la Secretaría para emprender el programa de trabajo para el período 2023-2024 en el marco de los siguientes tres fondos fiduciarios especiales: a) el Fondo Fiduciario Voluntario Especial de Contribuciones Voluntarias Adicionales en </w:t>
      </w:r>
      <w:r w:rsidR="00F65F2B">
        <w:rPr>
          <w:rFonts w:eastAsia="Times New Roman"/>
          <w:color w:val="000000"/>
          <w:sz w:val="22"/>
          <w:szCs w:val="22"/>
          <w:lang w:val="es-ES"/>
        </w:rPr>
        <w:t>a</w:t>
      </w:r>
      <w:r w:rsidRPr="005978DF">
        <w:rPr>
          <w:rFonts w:eastAsia="Times New Roman"/>
          <w:color w:val="000000"/>
          <w:sz w:val="22"/>
          <w:szCs w:val="22"/>
          <w:lang w:val="es-ES"/>
        </w:rPr>
        <w:t>poyo a las Actividades Aprobadas (BE); b) el Fondo Fiduciario Especial de Contribuciones Voluntarias para Facilitar la Participación de las Partes (BZ); y c) el Fondo Fiduciario Especial de Contribuciones Voluntarias para Facilitar la Participación de las Comunidades Indígenas y Locales (VB).</w:t>
      </w:r>
    </w:p>
    <w:p w14:paraId="4041121F" w14:textId="77777777" w:rsidR="002F3255" w:rsidRPr="005978DF" w:rsidRDefault="002F3255" w:rsidP="00E917A0">
      <w:pPr>
        <w:widowControl w:val="0"/>
        <w:tabs>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i/>
          <w:iCs/>
          <w:sz w:val="22"/>
          <w:szCs w:val="22"/>
          <w:lang w:val="es-ES"/>
        </w:rPr>
      </w:pPr>
      <w:r w:rsidRPr="005978DF">
        <w:rPr>
          <w:rFonts w:eastAsia="Times New Roman"/>
          <w:i/>
          <w:iCs/>
          <w:sz w:val="22"/>
          <w:szCs w:val="22"/>
          <w:lang w:val="es-ES"/>
        </w:rPr>
        <w:t xml:space="preserve">Fondo Fiduciario Voluntario Especial de Contribuciones Voluntarias Adicionales en </w:t>
      </w:r>
      <w:r w:rsidR="00F65F2B">
        <w:rPr>
          <w:rFonts w:eastAsia="Times New Roman"/>
          <w:i/>
          <w:iCs/>
          <w:sz w:val="22"/>
          <w:szCs w:val="22"/>
          <w:lang w:val="es-ES"/>
        </w:rPr>
        <w:t>a</w:t>
      </w:r>
      <w:r w:rsidRPr="005978DF">
        <w:rPr>
          <w:rFonts w:eastAsia="Times New Roman"/>
          <w:i/>
          <w:iCs/>
          <w:sz w:val="22"/>
          <w:szCs w:val="22"/>
          <w:lang w:val="es-ES"/>
        </w:rPr>
        <w:t>poyo a las Actividades Aprobadas (BE)</w:t>
      </w:r>
    </w:p>
    <w:p w14:paraId="40411220" w14:textId="77777777" w:rsidR="002F3255" w:rsidRPr="005978DF" w:rsidRDefault="002F3255">
      <w:pPr>
        <w:widowControl w:val="0"/>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Los recursos totales que se solicitan del Fondo Fiduciario Voluntario Especial de Contribuciones Voluntarias Adicionales en </w:t>
      </w:r>
      <w:r w:rsidR="00F65F2B">
        <w:rPr>
          <w:rFonts w:eastAsia="Times New Roman"/>
          <w:sz w:val="22"/>
          <w:szCs w:val="22"/>
          <w:lang w:val="es-ES"/>
        </w:rPr>
        <w:t>a</w:t>
      </w:r>
      <w:r w:rsidRPr="005978DF">
        <w:rPr>
          <w:rFonts w:eastAsia="Times New Roman"/>
          <w:sz w:val="22"/>
          <w:szCs w:val="22"/>
          <w:lang w:val="es-ES"/>
        </w:rPr>
        <w:t>poyo a las Actividades Aprobadas (BE) para el bienio 2023-2024, para complementar la hipótesis presupuestaria de crecimiento real nulo, se estiman en 21</w:t>
      </w:r>
      <w:r w:rsidR="00E917A0">
        <w:rPr>
          <w:rFonts w:eastAsia="Times New Roman"/>
          <w:sz w:val="22"/>
          <w:szCs w:val="22"/>
          <w:lang w:val="es-ES"/>
        </w:rPr>
        <w:t> </w:t>
      </w:r>
      <w:r w:rsidRPr="005978DF">
        <w:rPr>
          <w:rFonts w:eastAsia="Times New Roman"/>
          <w:sz w:val="22"/>
          <w:szCs w:val="22"/>
          <w:lang w:val="es-ES"/>
        </w:rPr>
        <w:t>630</w:t>
      </w:r>
      <w:r w:rsidR="00E917A0">
        <w:rPr>
          <w:rFonts w:eastAsia="Times New Roman"/>
          <w:sz w:val="22"/>
          <w:szCs w:val="22"/>
          <w:lang w:val="es-ES"/>
        </w:rPr>
        <w:t> </w:t>
      </w:r>
      <w:r w:rsidRPr="005978DF">
        <w:rPr>
          <w:rFonts w:eastAsia="Times New Roman"/>
          <w:sz w:val="22"/>
          <w:szCs w:val="22"/>
          <w:lang w:val="es-ES"/>
        </w:rPr>
        <w:t>000</w:t>
      </w:r>
      <w:r w:rsidR="00E917A0">
        <w:rPr>
          <w:rFonts w:eastAsia="Times New Roman"/>
          <w:lang w:val="es-ES"/>
        </w:rPr>
        <w:t> </w:t>
      </w:r>
      <w:r w:rsidRPr="005978DF">
        <w:rPr>
          <w:rFonts w:eastAsia="Times New Roman"/>
          <w:sz w:val="22"/>
          <w:szCs w:val="22"/>
          <w:lang w:val="es-ES"/>
        </w:rPr>
        <w:t>dólares para los gastos</w:t>
      </w:r>
      <w:r w:rsidR="00E917A0">
        <w:rPr>
          <w:rFonts w:eastAsia="Times New Roman"/>
          <w:sz w:val="22"/>
          <w:szCs w:val="22"/>
          <w:lang w:val="es-ES"/>
        </w:rPr>
        <w:t> </w:t>
      </w:r>
      <w:r w:rsidRPr="005978DF">
        <w:rPr>
          <w:rFonts w:eastAsia="Times New Roman"/>
          <w:sz w:val="22"/>
          <w:szCs w:val="22"/>
          <w:lang w:val="es-ES"/>
        </w:rPr>
        <w:t xml:space="preserve">no relacionados con el personal para el Convenio y los dos Protocolos, como puede verse en el </w:t>
      </w:r>
      <w:r w:rsidR="00E917A0" w:rsidRPr="005978DF">
        <w:rPr>
          <w:rFonts w:eastAsia="Times New Roman"/>
          <w:sz w:val="22"/>
          <w:szCs w:val="22"/>
          <w:lang w:val="es-ES"/>
        </w:rPr>
        <w:t xml:space="preserve">siguiente </w:t>
      </w:r>
      <w:r w:rsidRPr="005978DF">
        <w:rPr>
          <w:rFonts w:eastAsia="Times New Roman"/>
          <w:sz w:val="22"/>
          <w:szCs w:val="22"/>
          <w:lang w:val="es-ES"/>
        </w:rPr>
        <w:t>cuadro. En el caso de la hipótesis presupuestaria de crecimiento nominal nulo, se necesitarían recursos adicionales del Fondo BE.</w:t>
      </w:r>
    </w:p>
    <w:p w14:paraId="40411221"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Además, se necesitarían recursos para sufragar los gastos de los puestos de personal que no están previstos en el presupuesto básico. Se prevé que con el análisis en curso basado en los proyectos de decisión y el marco basado en los resultados se determinará la necesidad de puestos de personal adicionales.</w:t>
      </w:r>
    </w:p>
    <w:p w14:paraId="40411222" w14:textId="77777777" w:rsidR="002F3255" w:rsidRPr="005978DF" w:rsidRDefault="002F3255" w:rsidP="00F5513B">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imes New Roman"/>
          <w:b/>
          <w:bCs/>
          <w:sz w:val="22"/>
          <w:szCs w:val="22"/>
          <w:lang w:val="es-ES"/>
        </w:rPr>
      </w:pPr>
      <w:r w:rsidRPr="005978DF">
        <w:rPr>
          <w:rFonts w:eastAsia="Times New Roman"/>
          <w:b/>
          <w:bCs/>
          <w:sz w:val="22"/>
          <w:szCs w:val="22"/>
          <w:lang w:val="es-ES"/>
        </w:rPr>
        <w:t xml:space="preserve">Cuadro 7. </w:t>
      </w:r>
      <w:r w:rsidR="00E917A0">
        <w:rPr>
          <w:rFonts w:eastAsia="Times New Roman"/>
          <w:b/>
          <w:bCs/>
          <w:sz w:val="22"/>
          <w:szCs w:val="22"/>
          <w:lang w:val="es-ES"/>
        </w:rPr>
        <w:t>R</w:t>
      </w:r>
      <w:r w:rsidRPr="005978DF">
        <w:rPr>
          <w:rFonts w:eastAsia="Times New Roman"/>
          <w:b/>
          <w:bCs/>
          <w:sz w:val="22"/>
          <w:szCs w:val="22"/>
          <w:lang w:val="es-ES"/>
        </w:rPr>
        <w:t>ecursos totales</w:t>
      </w:r>
      <w:r w:rsidR="00E917A0">
        <w:rPr>
          <w:rFonts w:eastAsia="Times New Roman"/>
          <w:b/>
          <w:bCs/>
          <w:sz w:val="22"/>
          <w:szCs w:val="22"/>
          <w:lang w:val="es-ES"/>
        </w:rPr>
        <w:t xml:space="preserve"> solicitados</w:t>
      </w:r>
      <w:r w:rsidRPr="005978DF">
        <w:rPr>
          <w:rFonts w:eastAsia="Times New Roman"/>
          <w:b/>
          <w:bCs/>
          <w:sz w:val="22"/>
          <w:szCs w:val="22"/>
          <w:lang w:val="es-ES"/>
        </w:rPr>
        <w:t xml:space="preserve"> del Fondo Fiduciario Voluntario Especial de Contribuciones Voluntarias Adicionales en </w:t>
      </w:r>
      <w:r w:rsidR="00F65F2B">
        <w:rPr>
          <w:rFonts w:eastAsia="Times New Roman"/>
          <w:b/>
          <w:bCs/>
          <w:sz w:val="22"/>
          <w:szCs w:val="22"/>
          <w:lang w:val="es-ES"/>
        </w:rPr>
        <w:t>a</w:t>
      </w:r>
      <w:r w:rsidRPr="005978DF">
        <w:rPr>
          <w:rFonts w:eastAsia="Times New Roman"/>
          <w:b/>
          <w:bCs/>
          <w:sz w:val="22"/>
          <w:szCs w:val="22"/>
          <w:lang w:val="es-ES"/>
        </w:rPr>
        <w:t>poyo a las Actividades Aprobadas (BE) para el bienio 2023</w:t>
      </w:r>
      <w:r w:rsidRPr="005978DF">
        <w:rPr>
          <w:rFonts w:eastAsia="Times New Roman"/>
          <w:b/>
          <w:bCs/>
          <w:sz w:val="22"/>
          <w:szCs w:val="22"/>
          <w:lang w:val="es-ES"/>
        </w:rPr>
        <w:noBreakHyphen/>
        <w:t>2024 según los</w:t>
      </w:r>
      <w:r w:rsidR="00E917A0">
        <w:rPr>
          <w:rFonts w:eastAsia="Times New Roman"/>
          <w:b/>
          <w:bCs/>
          <w:sz w:val="22"/>
          <w:szCs w:val="22"/>
          <w:lang w:val="es-ES"/>
        </w:rPr>
        <w:t> </w:t>
      </w:r>
      <w:r w:rsidRPr="005978DF">
        <w:rPr>
          <w:rFonts w:eastAsia="Times New Roman"/>
          <w:b/>
          <w:bCs/>
          <w:sz w:val="22"/>
          <w:szCs w:val="22"/>
          <w:lang w:val="es-ES"/>
        </w:rPr>
        <w:t>resultados en el marco basado en los resultados</w:t>
      </w:r>
    </w:p>
    <w:p w14:paraId="40411223" w14:textId="77777777" w:rsidR="002F3255" w:rsidRPr="005978DF" w:rsidRDefault="002F3255" w:rsidP="00F5513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right="1259"/>
        <w:outlineLvl w:val="9"/>
        <w:rPr>
          <w:rFonts w:ascii="Calibri" w:hAnsi="Calibri" w:cs="Calibri"/>
          <w:i/>
          <w:iCs/>
          <w:lang w:val="es-ES"/>
        </w:rPr>
      </w:pPr>
      <w:r w:rsidRPr="005978DF">
        <w:rPr>
          <w:rFonts w:ascii="Calibri" w:hAnsi="Calibri" w:cs="Calibri"/>
          <w:b w:val="0"/>
          <w:bCs w:val="0"/>
          <w:i/>
          <w:iCs/>
          <w:sz w:val="17"/>
          <w:szCs w:val="17"/>
          <w:lang w:val="es-ES"/>
        </w:rPr>
        <w:t>(En miles de dólares de los Estados Unidos)</w:t>
      </w:r>
    </w:p>
    <w:tbl>
      <w:tblPr>
        <w:tblW w:w="0" w:type="auto"/>
        <w:jc w:val="right"/>
        <w:tblBorders>
          <w:insideH w:val="single" w:sz="4" w:space="0" w:color="auto"/>
        </w:tblBorders>
        <w:tblLayout w:type="fixed"/>
        <w:tblLook w:val="00A0" w:firstRow="1" w:lastRow="0" w:firstColumn="1" w:lastColumn="0" w:noHBand="0" w:noVBand="0"/>
      </w:tblPr>
      <w:tblGrid>
        <w:gridCol w:w="692"/>
        <w:gridCol w:w="2705"/>
        <w:gridCol w:w="192"/>
        <w:gridCol w:w="870"/>
        <w:gridCol w:w="60"/>
        <w:gridCol w:w="703"/>
        <w:gridCol w:w="127"/>
        <w:gridCol w:w="964"/>
        <w:gridCol w:w="1150"/>
        <w:gridCol w:w="1114"/>
        <w:gridCol w:w="76"/>
        <w:gridCol w:w="778"/>
      </w:tblGrid>
      <w:tr w:rsidR="002F3255" w:rsidRPr="005978DF" w14:paraId="4041122C" w14:textId="77777777" w:rsidTr="00F2055F">
        <w:trPr>
          <w:jc w:val="right"/>
        </w:trPr>
        <w:tc>
          <w:tcPr>
            <w:tcW w:w="692" w:type="dxa"/>
            <w:tcBorders>
              <w:top w:val="single" w:sz="4" w:space="0" w:color="auto"/>
              <w:bottom w:val="single" w:sz="4" w:space="0" w:color="auto"/>
            </w:tcBorders>
            <w:tcMar>
              <w:left w:w="58" w:type="dxa"/>
              <w:right w:w="58" w:type="dxa"/>
            </w:tcMar>
            <w:vAlign w:val="center"/>
          </w:tcPr>
          <w:p w14:paraId="40411224" w14:textId="77777777" w:rsidR="002F3255" w:rsidRPr="00F65F2B" w:rsidRDefault="002F3255" w:rsidP="00F5513B">
            <w:pPr>
              <w:jc w:val="center"/>
              <w:rPr>
                <w:rFonts w:asciiTheme="minorHAnsi" w:eastAsia="Times New Roman" w:hAnsiTheme="minorHAnsi" w:cstheme="minorHAnsi"/>
                <w:lang w:val="es-ES"/>
              </w:rPr>
            </w:pPr>
            <w:r w:rsidRPr="00F65F2B">
              <w:rPr>
                <w:rFonts w:asciiTheme="minorHAnsi" w:eastAsia="Times New Roman" w:hAnsiTheme="minorHAnsi" w:cstheme="minorHAnsi"/>
                <w:b/>
                <w:bCs/>
                <w:i/>
                <w:iCs/>
                <w:sz w:val="16"/>
                <w:szCs w:val="16"/>
                <w:lang w:val="es-ES"/>
              </w:rPr>
              <w:t>Número</w:t>
            </w:r>
          </w:p>
        </w:tc>
        <w:tc>
          <w:tcPr>
            <w:tcW w:w="2705" w:type="dxa"/>
            <w:tcBorders>
              <w:top w:val="single" w:sz="4" w:space="0" w:color="auto"/>
              <w:bottom w:val="single" w:sz="4" w:space="0" w:color="auto"/>
            </w:tcBorders>
            <w:tcMar>
              <w:left w:w="58" w:type="dxa"/>
              <w:right w:w="58" w:type="dxa"/>
            </w:tcMar>
            <w:vAlign w:val="center"/>
          </w:tcPr>
          <w:p w14:paraId="40411225" w14:textId="77777777" w:rsidR="002F3255" w:rsidRPr="00F65F2B" w:rsidRDefault="002F3255" w:rsidP="00F5513B">
            <w:pPr>
              <w:jc w:val="center"/>
              <w:rPr>
                <w:rFonts w:asciiTheme="minorHAnsi" w:eastAsia="Times New Roman" w:hAnsiTheme="minorHAnsi" w:cstheme="minorHAnsi"/>
                <w:lang w:val="es-ES"/>
              </w:rPr>
            </w:pPr>
            <w:r w:rsidRPr="00F65F2B">
              <w:rPr>
                <w:rFonts w:asciiTheme="minorHAnsi" w:eastAsia="Times New Roman" w:hAnsiTheme="minorHAnsi" w:cstheme="minorHAnsi"/>
                <w:b/>
                <w:bCs/>
                <w:i/>
                <w:iCs/>
                <w:sz w:val="16"/>
                <w:szCs w:val="16"/>
                <w:lang w:val="es-ES"/>
              </w:rPr>
              <w:t>Resultado</w:t>
            </w:r>
          </w:p>
        </w:tc>
        <w:tc>
          <w:tcPr>
            <w:tcW w:w="1122" w:type="dxa"/>
            <w:gridSpan w:val="3"/>
            <w:tcBorders>
              <w:top w:val="single" w:sz="4" w:space="0" w:color="auto"/>
              <w:bottom w:val="single" w:sz="4" w:space="0" w:color="auto"/>
            </w:tcBorders>
            <w:tcMar>
              <w:left w:w="58" w:type="dxa"/>
              <w:right w:w="58" w:type="dxa"/>
            </w:tcMar>
            <w:vAlign w:val="center"/>
          </w:tcPr>
          <w:p w14:paraId="40411226" w14:textId="77777777" w:rsidR="002F3255" w:rsidRPr="00F65F2B" w:rsidRDefault="002F3255" w:rsidP="00F5513B">
            <w:pPr>
              <w:jc w:val="right"/>
              <w:rPr>
                <w:rFonts w:asciiTheme="minorHAnsi" w:eastAsia="Times New Roman" w:hAnsiTheme="minorHAnsi" w:cstheme="minorHAnsi"/>
                <w:spacing w:val="-2"/>
                <w:lang w:val="es-ES"/>
              </w:rPr>
            </w:pPr>
            <w:r w:rsidRPr="00F65F2B">
              <w:rPr>
                <w:rFonts w:asciiTheme="minorHAnsi" w:eastAsia="Times New Roman" w:hAnsiTheme="minorHAnsi" w:cstheme="minorHAnsi"/>
                <w:b/>
                <w:bCs/>
                <w:i/>
                <w:iCs/>
                <w:spacing w:val="-2"/>
                <w:sz w:val="16"/>
                <w:szCs w:val="16"/>
                <w:lang w:val="es-ES"/>
              </w:rPr>
              <w:t>Consultores</w:t>
            </w:r>
          </w:p>
        </w:tc>
        <w:tc>
          <w:tcPr>
            <w:tcW w:w="830" w:type="dxa"/>
            <w:gridSpan w:val="2"/>
            <w:tcBorders>
              <w:top w:val="single" w:sz="4" w:space="0" w:color="auto"/>
              <w:bottom w:val="single" w:sz="4" w:space="0" w:color="auto"/>
            </w:tcBorders>
            <w:tcMar>
              <w:left w:w="58" w:type="dxa"/>
              <w:right w:w="58" w:type="dxa"/>
            </w:tcMar>
            <w:vAlign w:val="center"/>
          </w:tcPr>
          <w:p w14:paraId="40411227" w14:textId="77777777" w:rsidR="002F3255" w:rsidRPr="00F65F2B" w:rsidRDefault="002F3255" w:rsidP="00F5513B">
            <w:pPr>
              <w:jc w:val="right"/>
              <w:rPr>
                <w:rFonts w:asciiTheme="minorHAnsi" w:eastAsia="Times New Roman" w:hAnsiTheme="minorHAnsi" w:cstheme="minorHAnsi"/>
                <w:lang w:val="es-ES"/>
              </w:rPr>
            </w:pPr>
            <w:r w:rsidRPr="00F65F2B">
              <w:rPr>
                <w:rFonts w:asciiTheme="minorHAnsi" w:eastAsia="Times New Roman" w:hAnsiTheme="minorHAnsi" w:cstheme="minorHAnsi"/>
                <w:b/>
                <w:bCs/>
                <w:i/>
                <w:iCs/>
                <w:sz w:val="16"/>
                <w:szCs w:val="16"/>
                <w:lang w:val="es-ES"/>
              </w:rPr>
              <w:t>Viajes inc.</w:t>
            </w:r>
            <w:r w:rsidR="00F65F2B">
              <w:rPr>
                <w:rFonts w:asciiTheme="minorHAnsi" w:eastAsia="Times New Roman" w:hAnsiTheme="minorHAnsi" w:cstheme="minorHAnsi"/>
                <w:b/>
                <w:bCs/>
                <w:i/>
                <w:iCs/>
                <w:sz w:val="16"/>
                <w:szCs w:val="16"/>
                <w:lang w:val="es-ES"/>
              </w:rPr>
              <w:t> </w:t>
            </w:r>
            <w:r w:rsidRPr="00F65F2B">
              <w:rPr>
                <w:rFonts w:asciiTheme="minorHAnsi" w:eastAsia="Times New Roman" w:hAnsiTheme="minorHAnsi" w:cstheme="minorHAnsi"/>
                <w:b/>
                <w:bCs/>
                <w:i/>
                <w:iCs/>
                <w:sz w:val="16"/>
                <w:szCs w:val="16"/>
                <w:lang w:val="es-ES"/>
              </w:rPr>
              <w:t>dietas</w:t>
            </w:r>
          </w:p>
        </w:tc>
        <w:tc>
          <w:tcPr>
            <w:tcW w:w="964" w:type="dxa"/>
            <w:tcBorders>
              <w:top w:val="single" w:sz="4" w:space="0" w:color="auto"/>
              <w:bottom w:val="single" w:sz="4" w:space="0" w:color="auto"/>
            </w:tcBorders>
            <w:tcMar>
              <w:left w:w="58" w:type="dxa"/>
              <w:right w:w="58" w:type="dxa"/>
            </w:tcMar>
            <w:vAlign w:val="center"/>
          </w:tcPr>
          <w:p w14:paraId="40411228" w14:textId="77777777" w:rsidR="002F3255" w:rsidRPr="00F65F2B" w:rsidRDefault="002F3255" w:rsidP="00F5513B">
            <w:pPr>
              <w:jc w:val="right"/>
              <w:rPr>
                <w:rFonts w:asciiTheme="minorHAnsi" w:eastAsia="Times New Roman" w:hAnsiTheme="minorHAnsi" w:cstheme="minorHAnsi"/>
                <w:lang w:val="es-ES"/>
              </w:rPr>
            </w:pPr>
            <w:r w:rsidRPr="00F65F2B">
              <w:rPr>
                <w:rFonts w:asciiTheme="minorHAnsi" w:eastAsia="Times New Roman" w:hAnsiTheme="minorHAnsi" w:cstheme="minorHAnsi"/>
                <w:b/>
                <w:bCs/>
                <w:i/>
                <w:iCs/>
                <w:sz w:val="16"/>
                <w:szCs w:val="16"/>
                <w:lang w:val="es-ES"/>
              </w:rPr>
              <w:t>Servicios por</w:t>
            </w:r>
            <w:r w:rsidR="00F65F2B">
              <w:rPr>
                <w:rFonts w:asciiTheme="minorHAnsi" w:eastAsia="Times New Roman" w:hAnsiTheme="minorHAnsi" w:cstheme="minorHAnsi"/>
                <w:b/>
                <w:bCs/>
                <w:i/>
                <w:iCs/>
                <w:sz w:val="16"/>
                <w:szCs w:val="16"/>
                <w:lang w:val="es-ES"/>
              </w:rPr>
              <w:t> </w:t>
            </w:r>
            <w:r w:rsidRPr="00F65F2B">
              <w:rPr>
                <w:rFonts w:asciiTheme="minorHAnsi" w:eastAsia="Times New Roman" w:hAnsiTheme="minorHAnsi" w:cstheme="minorHAnsi"/>
                <w:b/>
                <w:bCs/>
                <w:i/>
                <w:iCs/>
                <w:sz w:val="16"/>
                <w:szCs w:val="16"/>
                <w:lang w:val="es-ES"/>
              </w:rPr>
              <w:t>contrata</w:t>
            </w:r>
          </w:p>
        </w:tc>
        <w:tc>
          <w:tcPr>
            <w:tcW w:w="1150" w:type="dxa"/>
            <w:tcBorders>
              <w:top w:val="single" w:sz="4" w:space="0" w:color="auto"/>
              <w:bottom w:val="single" w:sz="4" w:space="0" w:color="auto"/>
            </w:tcBorders>
            <w:tcMar>
              <w:left w:w="58" w:type="dxa"/>
              <w:right w:w="58" w:type="dxa"/>
            </w:tcMar>
            <w:vAlign w:val="center"/>
          </w:tcPr>
          <w:p w14:paraId="40411229" w14:textId="77777777" w:rsidR="002F3255" w:rsidRPr="00F65F2B" w:rsidRDefault="002F3255" w:rsidP="00F5513B">
            <w:pPr>
              <w:jc w:val="right"/>
              <w:rPr>
                <w:rFonts w:asciiTheme="minorHAnsi" w:eastAsia="Times New Roman" w:hAnsiTheme="minorHAnsi" w:cstheme="minorHAnsi"/>
                <w:lang w:val="es-ES"/>
              </w:rPr>
            </w:pPr>
            <w:r w:rsidRPr="00F65F2B">
              <w:rPr>
                <w:rFonts w:asciiTheme="minorHAnsi" w:eastAsia="Times New Roman" w:hAnsiTheme="minorHAnsi" w:cstheme="minorHAnsi"/>
                <w:b/>
                <w:bCs/>
                <w:i/>
                <w:iCs/>
                <w:sz w:val="16"/>
                <w:szCs w:val="16"/>
                <w:lang w:val="es-ES"/>
              </w:rPr>
              <w:t>Transferencias a asociados</w:t>
            </w:r>
          </w:p>
        </w:tc>
        <w:tc>
          <w:tcPr>
            <w:tcW w:w="1190" w:type="dxa"/>
            <w:gridSpan w:val="2"/>
            <w:tcBorders>
              <w:top w:val="single" w:sz="4" w:space="0" w:color="auto"/>
              <w:bottom w:val="single" w:sz="4" w:space="0" w:color="auto"/>
            </w:tcBorders>
            <w:tcMar>
              <w:left w:w="58" w:type="dxa"/>
              <w:right w:w="58" w:type="dxa"/>
            </w:tcMar>
            <w:vAlign w:val="center"/>
          </w:tcPr>
          <w:p w14:paraId="4041122A" w14:textId="77777777" w:rsidR="002F3255" w:rsidRPr="00F65F2B" w:rsidRDefault="002F3255" w:rsidP="00F5513B">
            <w:pPr>
              <w:jc w:val="right"/>
              <w:rPr>
                <w:rFonts w:asciiTheme="minorHAnsi" w:eastAsia="Times New Roman" w:hAnsiTheme="minorHAnsi" w:cstheme="minorHAnsi"/>
                <w:lang w:val="es-ES"/>
              </w:rPr>
            </w:pPr>
            <w:r w:rsidRPr="00F65F2B">
              <w:rPr>
                <w:rFonts w:asciiTheme="minorHAnsi" w:eastAsia="Times New Roman" w:hAnsiTheme="minorHAnsi" w:cstheme="minorHAnsi"/>
                <w:b/>
                <w:bCs/>
                <w:i/>
                <w:iCs/>
                <w:sz w:val="16"/>
                <w:szCs w:val="16"/>
                <w:lang w:val="es-ES"/>
              </w:rPr>
              <w:t>Gastos de funcionamiento</w:t>
            </w:r>
          </w:p>
        </w:tc>
        <w:tc>
          <w:tcPr>
            <w:tcW w:w="778" w:type="dxa"/>
            <w:tcBorders>
              <w:top w:val="single" w:sz="4" w:space="0" w:color="auto"/>
              <w:bottom w:val="single" w:sz="4" w:space="0" w:color="auto"/>
            </w:tcBorders>
            <w:tcMar>
              <w:left w:w="58" w:type="dxa"/>
              <w:right w:w="58" w:type="dxa"/>
            </w:tcMar>
            <w:vAlign w:val="center"/>
          </w:tcPr>
          <w:p w14:paraId="4041122B" w14:textId="77777777" w:rsidR="002F3255" w:rsidRPr="00F65F2B" w:rsidRDefault="002F3255" w:rsidP="00F5513B">
            <w:pPr>
              <w:jc w:val="right"/>
              <w:rPr>
                <w:rFonts w:asciiTheme="minorHAnsi" w:eastAsia="Times New Roman" w:hAnsiTheme="minorHAnsi" w:cstheme="minorHAnsi"/>
                <w:lang w:val="es-ES"/>
              </w:rPr>
            </w:pPr>
            <w:r w:rsidRPr="00F65F2B">
              <w:rPr>
                <w:rFonts w:asciiTheme="minorHAnsi" w:eastAsia="Times New Roman" w:hAnsiTheme="minorHAnsi" w:cstheme="minorHAnsi"/>
                <w:b/>
                <w:bCs/>
                <w:i/>
                <w:iCs/>
                <w:sz w:val="16"/>
                <w:szCs w:val="16"/>
                <w:lang w:val="es-ES"/>
              </w:rPr>
              <w:t>TOTAL</w:t>
            </w:r>
          </w:p>
        </w:tc>
      </w:tr>
      <w:tr w:rsidR="002F3255" w:rsidRPr="005978DF" w14:paraId="40411235" w14:textId="77777777" w:rsidTr="00F2055F">
        <w:trPr>
          <w:jc w:val="right"/>
        </w:trPr>
        <w:tc>
          <w:tcPr>
            <w:tcW w:w="692" w:type="dxa"/>
            <w:tcBorders>
              <w:top w:val="single" w:sz="4" w:space="0" w:color="auto"/>
              <w:bottom w:val="single" w:sz="4" w:space="0" w:color="auto"/>
            </w:tcBorders>
            <w:vAlign w:val="center"/>
          </w:tcPr>
          <w:p w14:paraId="4041122D" w14:textId="77777777" w:rsidR="002F3255" w:rsidRPr="00F65F2B" w:rsidRDefault="002F3255" w:rsidP="00F5513B">
            <w:pPr>
              <w:jc w:val="center"/>
              <w:rPr>
                <w:rFonts w:asciiTheme="minorHAnsi" w:eastAsia="Times New Roman" w:hAnsiTheme="minorHAnsi" w:cstheme="minorHAnsi"/>
                <w:color w:val="000000"/>
                <w:sz w:val="16"/>
                <w:szCs w:val="16"/>
                <w:lang w:val="es-ES"/>
              </w:rPr>
            </w:pPr>
            <w:r w:rsidRPr="00F65F2B">
              <w:rPr>
                <w:rFonts w:asciiTheme="minorHAnsi" w:eastAsia="Times New Roman" w:hAnsiTheme="minorHAnsi" w:cstheme="minorHAnsi"/>
                <w:color w:val="000000"/>
                <w:sz w:val="16"/>
                <w:szCs w:val="16"/>
                <w:lang w:val="es-ES"/>
              </w:rPr>
              <w:t>1</w:t>
            </w:r>
          </w:p>
        </w:tc>
        <w:tc>
          <w:tcPr>
            <w:tcW w:w="2897" w:type="dxa"/>
            <w:gridSpan w:val="2"/>
            <w:tcBorders>
              <w:top w:val="single" w:sz="4" w:space="0" w:color="auto"/>
              <w:bottom w:val="single" w:sz="4" w:space="0" w:color="auto"/>
            </w:tcBorders>
            <w:tcMar>
              <w:left w:w="58" w:type="dxa"/>
              <w:right w:w="58" w:type="dxa"/>
            </w:tcMar>
            <w:vAlign w:val="center"/>
          </w:tcPr>
          <w:p w14:paraId="4041122E" w14:textId="77777777" w:rsidR="002F3255" w:rsidRPr="00F65F2B" w:rsidRDefault="002F3255" w:rsidP="00F5513B">
            <w:pPr>
              <w:rPr>
                <w:rFonts w:asciiTheme="minorHAnsi" w:eastAsia="Times New Roman" w:hAnsiTheme="minorHAnsi" w:cstheme="minorHAnsi"/>
                <w:lang w:val="es-ES"/>
              </w:rPr>
            </w:pPr>
            <w:r w:rsidRPr="00F65F2B">
              <w:rPr>
                <w:rFonts w:asciiTheme="minorHAnsi" w:eastAsia="Times New Roman" w:hAnsiTheme="minorHAnsi" w:cstheme="minorHAnsi"/>
                <w:sz w:val="16"/>
                <w:szCs w:val="16"/>
                <w:lang w:val="es-ES"/>
              </w:rPr>
              <w:t xml:space="preserve">A través del Convenio y sus Protocolos, la comunidad internacional </w:t>
            </w:r>
            <w:r w:rsidR="00F65F2B">
              <w:rPr>
                <w:rFonts w:asciiTheme="minorHAnsi" w:eastAsia="Times New Roman" w:hAnsiTheme="minorHAnsi" w:cstheme="minorHAnsi"/>
                <w:sz w:val="16"/>
                <w:szCs w:val="16"/>
                <w:lang w:val="es-ES"/>
              </w:rPr>
              <w:t>converge</w:t>
            </w:r>
            <w:r w:rsidRPr="00F65F2B">
              <w:rPr>
                <w:rFonts w:asciiTheme="minorHAnsi" w:eastAsia="Times New Roman" w:hAnsiTheme="minorHAnsi" w:cstheme="minorHAnsi"/>
                <w:sz w:val="16"/>
                <w:szCs w:val="16"/>
                <w:lang w:val="es-ES"/>
              </w:rPr>
              <w:t xml:space="preserve"> cada vez más en enfoques comunes, integrados y sensibles a la perspectiva de género para la conservación de la diversidad biológica, su utilización sostenible y la participación justa y equitativa en los beneficios que se deriven de la utilización de los recursos genéticos</w:t>
            </w:r>
          </w:p>
        </w:tc>
        <w:tc>
          <w:tcPr>
            <w:tcW w:w="870" w:type="dxa"/>
            <w:tcBorders>
              <w:top w:val="single" w:sz="4" w:space="0" w:color="auto"/>
              <w:bottom w:val="single" w:sz="4" w:space="0" w:color="auto"/>
            </w:tcBorders>
            <w:vAlign w:val="bottom"/>
          </w:tcPr>
          <w:p w14:paraId="4041122F"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3</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149,9</w:t>
            </w:r>
          </w:p>
        </w:tc>
        <w:tc>
          <w:tcPr>
            <w:tcW w:w="763" w:type="dxa"/>
            <w:gridSpan w:val="2"/>
            <w:tcBorders>
              <w:top w:val="single" w:sz="4" w:space="0" w:color="auto"/>
              <w:bottom w:val="single" w:sz="4" w:space="0" w:color="auto"/>
            </w:tcBorders>
            <w:vAlign w:val="bottom"/>
          </w:tcPr>
          <w:p w14:paraId="40411230"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226,0</w:t>
            </w:r>
          </w:p>
        </w:tc>
        <w:tc>
          <w:tcPr>
            <w:tcW w:w="1091" w:type="dxa"/>
            <w:gridSpan w:val="2"/>
            <w:tcBorders>
              <w:top w:val="single" w:sz="4" w:space="0" w:color="auto"/>
              <w:bottom w:val="single" w:sz="4" w:space="0" w:color="auto"/>
            </w:tcBorders>
            <w:vAlign w:val="bottom"/>
          </w:tcPr>
          <w:p w14:paraId="40411231" w14:textId="77777777" w:rsidR="002F3255" w:rsidRPr="00F65F2B" w:rsidRDefault="002F3255" w:rsidP="00F5513B">
            <w:pPr>
              <w:jc w:val="right"/>
              <w:rPr>
                <w:rFonts w:ascii="Calibri" w:eastAsia="Times New Roman" w:hAnsi="Calibri" w:cs="Calibri"/>
                <w:iCs/>
                <w:color w:val="000000"/>
                <w:sz w:val="16"/>
                <w:szCs w:val="16"/>
                <w:lang w:val="es-ES"/>
              </w:rPr>
            </w:pPr>
            <w:r w:rsidRPr="00F65F2B">
              <w:rPr>
                <w:rFonts w:ascii="Calibri" w:eastAsia="Times New Roman" w:hAnsi="Calibri" w:cs="Calibri"/>
                <w:iCs/>
                <w:color w:val="000000"/>
                <w:sz w:val="16"/>
                <w:szCs w:val="16"/>
                <w:lang w:val="es-ES"/>
              </w:rPr>
              <w:t>396,0</w:t>
            </w:r>
          </w:p>
        </w:tc>
        <w:tc>
          <w:tcPr>
            <w:tcW w:w="1150" w:type="dxa"/>
            <w:tcBorders>
              <w:top w:val="single" w:sz="4" w:space="0" w:color="auto"/>
              <w:bottom w:val="single" w:sz="4" w:space="0" w:color="auto"/>
            </w:tcBorders>
            <w:vAlign w:val="bottom"/>
          </w:tcPr>
          <w:p w14:paraId="40411232"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50,0</w:t>
            </w:r>
          </w:p>
        </w:tc>
        <w:tc>
          <w:tcPr>
            <w:tcW w:w="1114" w:type="dxa"/>
            <w:tcBorders>
              <w:top w:val="single" w:sz="4" w:space="0" w:color="auto"/>
              <w:bottom w:val="single" w:sz="4" w:space="0" w:color="auto"/>
            </w:tcBorders>
            <w:vAlign w:val="bottom"/>
          </w:tcPr>
          <w:p w14:paraId="40411233"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230,0</w:t>
            </w:r>
          </w:p>
        </w:tc>
        <w:tc>
          <w:tcPr>
            <w:tcW w:w="854" w:type="dxa"/>
            <w:gridSpan w:val="2"/>
            <w:tcBorders>
              <w:top w:val="single" w:sz="4" w:space="0" w:color="auto"/>
              <w:bottom w:val="single" w:sz="4" w:space="0" w:color="auto"/>
            </w:tcBorders>
            <w:vAlign w:val="bottom"/>
          </w:tcPr>
          <w:p w14:paraId="40411234"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6</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051,9</w:t>
            </w:r>
          </w:p>
        </w:tc>
      </w:tr>
      <w:tr w:rsidR="002F3255" w:rsidRPr="005978DF" w14:paraId="4041123E" w14:textId="77777777" w:rsidTr="00F2055F">
        <w:trPr>
          <w:jc w:val="right"/>
        </w:trPr>
        <w:tc>
          <w:tcPr>
            <w:tcW w:w="692" w:type="dxa"/>
            <w:tcBorders>
              <w:top w:val="single" w:sz="4" w:space="0" w:color="auto"/>
              <w:bottom w:val="single" w:sz="4" w:space="0" w:color="auto"/>
            </w:tcBorders>
            <w:vAlign w:val="center"/>
          </w:tcPr>
          <w:p w14:paraId="40411236" w14:textId="77777777" w:rsidR="002F3255" w:rsidRPr="00F65F2B" w:rsidRDefault="002F3255" w:rsidP="00F5513B">
            <w:pPr>
              <w:jc w:val="center"/>
              <w:rPr>
                <w:rFonts w:asciiTheme="minorHAnsi" w:eastAsia="Times New Roman" w:hAnsiTheme="minorHAnsi" w:cstheme="minorHAnsi"/>
                <w:color w:val="000000"/>
                <w:sz w:val="16"/>
                <w:szCs w:val="16"/>
                <w:lang w:val="es-ES"/>
              </w:rPr>
            </w:pPr>
            <w:r w:rsidRPr="00F65F2B">
              <w:rPr>
                <w:rFonts w:asciiTheme="minorHAnsi" w:eastAsia="Times New Roman" w:hAnsiTheme="minorHAnsi" w:cstheme="minorHAnsi"/>
                <w:color w:val="000000"/>
                <w:sz w:val="16"/>
                <w:szCs w:val="16"/>
                <w:lang w:val="es-ES"/>
              </w:rPr>
              <w:t>2</w:t>
            </w:r>
          </w:p>
        </w:tc>
        <w:tc>
          <w:tcPr>
            <w:tcW w:w="2897" w:type="dxa"/>
            <w:gridSpan w:val="2"/>
            <w:tcBorders>
              <w:top w:val="single" w:sz="4" w:space="0" w:color="auto"/>
              <w:bottom w:val="single" w:sz="4" w:space="0" w:color="auto"/>
            </w:tcBorders>
            <w:tcMar>
              <w:left w:w="58" w:type="dxa"/>
              <w:right w:w="58" w:type="dxa"/>
            </w:tcMar>
            <w:vAlign w:val="center"/>
          </w:tcPr>
          <w:p w14:paraId="40411237" w14:textId="77777777" w:rsidR="002F3255" w:rsidRPr="00F65F2B" w:rsidRDefault="002F3255" w:rsidP="00F5513B">
            <w:pPr>
              <w:rPr>
                <w:rFonts w:asciiTheme="minorHAnsi" w:eastAsia="Times New Roman" w:hAnsiTheme="minorHAnsi" w:cstheme="minorHAnsi"/>
                <w:lang w:val="es-ES"/>
              </w:rPr>
            </w:pPr>
            <w:r w:rsidRPr="00F65F2B">
              <w:rPr>
                <w:rFonts w:asciiTheme="minorHAnsi" w:eastAsia="Times New Roman" w:hAnsiTheme="minorHAnsi" w:cstheme="minorHAnsi"/>
                <w:color w:val="000000"/>
                <w:sz w:val="16"/>
                <w:szCs w:val="16"/>
                <w:lang w:val="es-ES"/>
              </w:rPr>
              <w:t>Mediante la implementación del marco mundial de la diversidad biológica se profundiza la aplicación nacional del Convenio y sus Protocolos para mejorar el estado de la diversidad biológica</w:t>
            </w:r>
          </w:p>
        </w:tc>
        <w:tc>
          <w:tcPr>
            <w:tcW w:w="870" w:type="dxa"/>
            <w:tcBorders>
              <w:top w:val="single" w:sz="4" w:space="0" w:color="auto"/>
              <w:bottom w:val="single" w:sz="4" w:space="0" w:color="auto"/>
            </w:tcBorders>
            <w:vAlign w:val="bottom"/>
          </w:tcPr>
          <w:p w14:paraId="40411238"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1</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980,6</w:t>
            </w:r>
          </w:p>
        </w:tc>
        <w:tc>
          <w:tcPr>
            <w:tcW w:w="763" w:type="dxa"/>
            <w:gridSpan w:val="2"/>
            <w:tcBorders>
              <w:top w:val="single" w:sz="4" w:space="0" w:color="auto"/>
              <w:bottom w:val="single" w:sz="4" w:space="0" w:color="auto"/>
            </w:tcBorders>
            <w:vAlign w:val="bottom"/>
          </w:tcPr>
          <w:p w14:paraId="40411239"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1</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986,0</w:t>
            </w:r>
          </w:p>
        </w:tc>
        <w:tc>
          <w:tcPr>
            <w:tcW w:w="1091" w:type="dxa"/>
            <w:gridSpan w:val="2"/>
            <w:tcBorders>
              <w:top w:val="single" w:sz="4" w:space="0" w:color="auto"/>
              <w:bottom w:val="single" w:sz="4" w:space="0" w:color="auto"/>
            </w:tcBorders>
            <w:vAlign w:val="bottom"/>
          </w:tcPr>
          <w:p w14:paraId="4041123A"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935,0</w:t>
            </w:r>
          </w:p>
        </w:tc>
        <w:tc>
          <w:tcPr>
            <w:tcW w:w="1150" w:type="dxa"/>
            <w:tcBorders>
              <w:top w:val="single" w:sz="4" w:space="0" w:color="auto"/>
              <w:bottom w:val="single" w:sz="4" w:space="0" w:color="auto"/>
            </w:tcBorders>
            <w:vAlign w:val="bottom"/>
          </w:tcPr>
          <w:p w14:paraId="4041123B"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515,0</w:t>
            </w:r>
          </w:p>
        </w:tc>
        <w:tc>
          <w:tcPr>
            <w:tcW w:w="1114" w:type="dxa"/>
            <w:tcBorders>
              <w:top w:val="single" w:sz="4" w:space="0" w:color="auto"/>
              <w:bottom w:val="single" w:sz="4" w:space="0" w:color="auto"/>
            </w:tcBorders>
            <w:vAlign w:val="bottom"/>
          </w:tcPr>
          <w:p w14:paraId="4041123C"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45,0</w:t>
            </w:r>
          </w:p>
        </w:tc>
        <w:tc>
          <w:tcPr>
            <w:tcW w:w="854" w:type="dxa"/>
            <w:gridSpan w:val="2"/>
            <w:tcBorders>
              <w:top w:val="single" w:sz="4" w:space="0" w:color="auto"/>
              <w:bottom w:val="single" w:sz="4" w:space="0" w:color="auto"/>
            </w:tcBorders>
            <w:vAlign w:val="bottom"/>
          </w:tcPr>
          <w:p w14:paraId="4041123D"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7</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461,6</w:t>
            </w:r>
          </w:p>
        </w:tc>
      </w:tr>
      <w:tr w:rsidR="002F3255" w:rsidRPr="005978DF" w14:paraId="40411247" w14:textId="77777777" w:rsidTr="00F2055F">
        <w:trPr>
          <w:jc w:val="right"/>
        </w:trPr>
        <w:tc>
          <w:tcPr>
            <w:tcW w:w="692" w:type="dxa"/>
            <w:tcBorders>
              <w:top w:val="single" w:sz="4" w:space="0" w:color="auto"/>
              <w:bottom w:val="single" w:sz="4" w:space="0" w:color="auto"/>
            </w:tcBorders>
            <w:vAlign w:val="center"/>
          </w:tcPr>
          <w:p w14:paraId="4041123F" w14:textId="77777777" w:rsidR="002F3255" w:rsidRPr="00F65F2B" w:rsidRDefault="002F3255" w:rsidP="00F5513B">
            <w:pPr>
              <w:jc w:val="center"/>
              <w:rPr>
                <w:rFonts w:asciiTheme="minorHAnsi" w:eastAsia="Times New Roman" w:hAnsiTheme="minorHAnsi" w:cstheme="minorHAnsi"/>
                <w:color w:val="000000"/>
                <w:sz w:val="16"/>
                <w:szCs w:val="16"/>
                <w:lang w:val="es-ES"/>
              </w:rPr>
            </w:pPr>
            <w:r w:rsidRPr="00F65F2B">
              <w:rPr>
                <w:rFonts w:asciiTheme="minorHAnsi" w:eastAsia="Times New Roman" w:hAnsiTheme="minorHAnsi" w:cstheme="minorHAnsi"/>
                <w:color w:val="000000"/>
                <w:sz w:val="16"/>
                <w:szCs w:val="16"/>
                <w:lang w:val="es-ES"/>
              </w:rPr>
              <w:t>3</w:t>
            </w:r>
          </w:p>
        </w:tc>
        <w:tc>
          <w:tcPr>
            <w:tcW w:w="2897" w:type="dxa"/>
            <w:gridSpan w:val="2"/>
            <w:tcBorders>
              <w:top w:val="single" w:sz="4" w:space="0" w:color="auto"/>
              <w:bottom w:val="single" w:sz="4" w:space="0" w:color="auto"/>
            </w:tcBorders>
            <w:tcMar>
              <w:left w:w="58" w:type="dxa"/>
              <w:right w:w="58" w:type="dxa"/>
            </w:tcMar>
            <w:vAlign w:val="center"/>
          </w:tcPr>
          <w:p w14:paraId="40411240" w14:textId="77777777" w:rsidR="002F3255" w:rsidRPr="00F2055F" w:rsidRDefault="002F3255" w:rsidP="00F5513B">
            <w:pPr>
              <w:rPr>
                <w:rFonts w:asciiTheme="minorHAnsi" w:eastAsia="Times New Roman" w:hAnsiTheme="minorHAnsi" w:cstheme="minorHAnsi"/>
                <w:spacing w:val="-4"/>
                <w:lang w:val="es-ES"/>
              </w:rPr>
            </w:pPr>
            <w:r w:rsidRPr="00F2055F">
              <w:rPr>
                <w:rFonts w:asciiTheme="minorHAnsi" w:eastAsia="Times New Roman" w:hAnsiTheme="minorHAnsi" w:cstheme="minorHAnsi"/>
                <w:color w:val="000000"/>
                <w:spacing w:val="-4"/>
                <w:sz w:val="16"/>
                <w:szCs w:val="16"/>
                <w:lang w:val="es-ES"/>
              </w:rPr>
              <w:t xml:space="preserve">La concienciación y las acciones para conservar la diversidad biológica, utilizarla de manera sostenible y participar en los beneficios </w:t>
            </w:r>
            <w:r w:rsidR="00F65F2B" w:rsidRPr="00F2055F">
              <w:rPr>
                <w:rFonts w:asciiTheme="minorHAnsi" w:eastAsia="Times New Roman" w:hAnsiTheme="minorHAnsi" w:cstheme="minorHAnsi"/>
                <w:color w:val="000000"/>
                <w:spacing w:val="-4"/>
                <w:sz w:val="16"/>
                <w:szCs w:val="16"/>
                <w:lang w:val="es-ES"/>
              </w:rPr>
              <w:t xml:space="preserve">que se </w:t>
            </w:r>
            <w:r w:rsidRPr="00F2055F">
              <w:rPr>
                <w:rFonts w:asciiTheme="minorHAnsi" w:eastAsia="Times New Roman" w:hAnsiTheme="minorHAnsi" w:cstheme="minorHAnsi"/>
                <w:color w:val="000000"/>
                <w:spacing w:val="-4"/>
                <w:sz w:val="16"/>
                <w:szCs w:val="16"/>
                <w:lang w:val="es-ES"/>
              </w:rPr>
              <w:t>deriv</w:t>
            </w:r>
            <w:r w:rsidR="00F65F2B" w:rsidRPr="00F2055F">
              <w:rPr>
                <w:rFonts w:asciiTheme="minorHAnsi" w:eastAsia="Times New Roman" w:hAnsiTheme="minorHAnsi" w:cstheme="minorHAnsi"/>
                <w:color w:val="000000"/>
                <w:spacing w:val="-4"/>
                <w:sz w:val="16"/>
                <w:szCs w:val="16"/>
                <w:lang w:val="es-ES"/>
              </w:rPr>
              <w:t>en</w:t>
            </w:r>
            <w:r w:rsidRPr="00F2055F">
              <w:rPr>
                <w:rFonts w:asciiTheme="minorHAnsi" w:eastAsia="Times New Roman" w:hAnsiTheme="minorHAnsi" w:cstheme="minorHAnsi"/>
                <w:color w:val="000000"/>
                <w:spacing w:val="-4"/>
                <w:sz w:val="16"/>
                <w:szCs w:val="16"/>
                <w:lang w:val="es-ES"/>
              </w:rPr>
              <w:t xml:space="preserve"> de ella aumentan en todos los niveles y sectores de la sociedad</w:t>
            </w:r>
          </w:p>
        </w:tc>
        <w:tc>
          <w:tcPr>
            <w:tcW w:w="870" w:type="dxa"/>
            <w:tcBorders>
              <w:top w:val="single" w:sz="4" w:space="0" w:color="auto"/>
              <w:bottom w:val="single" w:sz="4" w:space="0" w:color="auto"/>
            </w:tcBorders>
            <w:vAlign w:val="bottom"/>
          </w:tcPr>
          <w:p w14:paraId="40411241"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612,0</w:t>
            </w:r>
          </w:p>
        </w:tc>
        <w:tc>
          <w:tcPr>
            <w:tcW w:w="763" w:type="dxa"/>
            <w:gridSpan w:val="2"/>
            <w:tcBorders>
              <w:top w:val="single" w:sz="4" w:space="0" w:color="auto"/>
              <w:bottom w:val="single" w:sz="4" w:space="0" w:color="auto"/>
            </w:tcBorders>
            <w:vAlign w:val="bottom"/>
          </w:tcPr>
          <w:p w14:paraId="40411242"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345,0</w:t>
            </w:r>
          </w:p>
        </w:tc>
        <w:tc>
          <w:tcPr>
            <w:tcW w:w="1091" w:type="dxa"/>
            <w:gridSpan w:val="2"/>
            <w:tcBorders>
              <w:top w:val="single" w:sz="4" w:space="0" w:color="auto"/>
              <w:bottom w:val="single" w:sz="4" w:space="0" w:color="auto"/>
            </w:tcBorders>
            <w:vAlign w:val="bottom"/>
          </w:tcPr>
          <w:p w14:paraId="40411243"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245,0</w:t>
            </w:r>
          </w:p>
        </w:tc>
        <w:tc>
          <w:tcPr>
            <w:tcW w:w="1150" w:type="dxa"/>
            <w:tcBorders>
              <w:top w:val="single" w:sz="4" w:space="0" w:color="auto"/>
              <w:bottom w:val="single" w:sz="4" w:space="0" w:color="auto"/>
            </w:tcBorders>
            <w:vAlign w:val="bottom"/>
          </w:tcPr>
          <w:p w14:paraId="40411244"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1</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470,0</w:t>
            </w:r>
          </w:p>
        </w:tc>
        <w:tc>
          <w:tcPr>
            <w:tcW w:w="1114" w:type="dxa"/>
            <w:tcBorders>
              <w:top w:val="single" w:sz="4" w:space="0" w:color="auto"/>
              <w:bottom w:val="single" w:sz="4" w:space="0" w:color="auto"/>
            </w:tcBorders>
            <w:vAlign w:val="bottom"/>
          </w:tcPr>
          <w:p w14:paraId="40411245"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125,0</w:t>
            </w:r>
          </w:p>
        </w:tc>
        <w:tc>
          <w:tcPr>
            <w:tcW w:w="854" w:type="dxa"/>
            <w:gridSpan w:val="2"/>
            <w:tcBorders>
              <w:top w:val="single" w:sz="4" w:space="0" w:color="auto"/>
              <w:bottom w:val="single" w:sz="4" w:space="0" w:color="auto"/>
            </w:tcBorders>
            <w:vAlign w:val="bottom"/>
          </w:tcPr>
          <w:p w14:paraId="40411246"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797,0</w:t>
            </w:r>
          </w:p>
        </w:tc>
      </w:tr>
      <w:tr w:rsidR="002F3255" w:rsidRPr="005978DF" w14:paraId="40411250" w14:textId="77777777" w:rsidTr="00F2055F">
        <w:trPr>
          <w:jc w:val="right"/>
        </w:trPr>
        <w:tc>
          <w:tcPr>
            <w:tcW w:w="692" w:type="dxa"/>
            <w:tcBorders>
              <w:top w:val="single" w:sz="4" w:space="0" w:color="auto"/>
              <w:bottom w:val="single" w:sz="4" w:space="0" w:color="auto"/>
            </w:tcBorders>
            <w:vAlign w:val="center"/>
          </w:tcPr>
          <w:p w14:paraId="40411248" w14:textId="77777777" w:rsidR="002F3255" w:rsidRPr="00F65F2B" w:rsidRDefault="002F3255" w:rsidP="00F5513B">
            <w:pPr>
              <w:jc w:val="center"/>
              <w:rPr>
                <w:rFonts w:asciiTheme="minorHAnsi" w:eastAsia="Times New Roman" w:hAnsiTheme="minorHAnsi" w:cstheme="minorHAnsi"/>
                <w:color w:val="000000"/>
                <w:sz w:val="16"/>
                <w:szCs w:val="16"/>
                <w:lang w:val="es-ES"/>
              </w:rPr>
            </w:pPr>
            <w:r w:rsidRPr="00F65F2B">
              <w:rPr>
                <w:rFonts w:asciiTheme="minorHAnsi" w:eastAsia="Times New Roman" w:hAnsiTheme="minorHAnsi" w:cstheme="minorHAnsi"/>
                <w:color w:val="000000"/>
                <w:sz w:val="16"/>
                <w:szCs w:val="16"/>
                <w:lang w:val="es-ES"/>
              </w:rPr>
              <w:t>4</w:t>
            </w:r>
          </w:p>
        </w:tc>
        <w:tc>
          <w:tcPr>
            <w:tcW w:w="2897" w:type="dxa"/>
            <w:gridSpan w:val="2"/>
            <w:tcBorders>
              <w:top w:val="single" w:sz="4" w:space="0" w:color="auto"/>
              <w:bottom w:val="single" w:sz="4" w:space="0" w:color="auto"/>
            </w:tcBorders>
            <w:tcMar>
              <w:left w:w="58" w:type="dxa"/>
              <w:right w:w="58" w:type="dxa"/>
            </w:tcMar>
            <w:vAlign w:val="center"/>
          </w:tcPr>
          <w:p w14:paraId="40411249" w14:textId="77777777" w:rsidR="002F3255" w:rsidRPr="00F65F2B" w:rsidRDefault="002F3255" w:rsidP="00F5513B">
            <w:pPr>
              <w:rPr>
                <w:rFonts w:asciiTheme="minorHAnsi" w:eastAsia="Times New Roman" w:hAnsiTheme="minorHAnsi" w:cstheme="minorHAnsi"/>
                <w:lang w:val="es-ES"/>
              </w:rPr>
            </w:pPr>
            <w:r w:rsidRPr="00F65F2B">
              <w:rPr>
                <w:rFonts w:asciiTheme="minorHAnsi" w:eastAsia="Times New Roman" w:hAnsiTheme="minorHAnsi" w:cstheme="minorHAnsi"/>
                <w:color w:val="000000"/>
                <w:sz w:val="16"/>
                <w:szCs w:val="16"/>
                <w:lang w:val="es-ES"/>
              </w:rPr>
              <w:t>La realización de exámenes y evaluaciones periódicas contribuye a la</w:t>
            </w:r>
            <w:r w:rsidR="00F65F2B">
              <w:rPr>
                <w:rFonts w:asciiTheme="minorHAnsi" w:eastAsia="Times New Roman" w:hAnsiTheme="minorHAnsi" w:cstheme="minorHAnsi"/>
                <w:color w:val="000000"/>
                <w:sz w:val="16"/>
                <w:szCs w:val="16"/>
                <w:lang w:val="es-ES"/>
              </w:rPr>
              <w:t> </w:t>
            </w:r>
            <w:r w:rsidRPr="00F65F2B">
              <w:rPr>
                <w:rFonts w:asciiTheme="minorHAnsi" w:eastAsia="Times New Roman" w:hAnsiTheme="minorHAnsi" w:cstheme="minorHAnsi"/>
                <w:color w:val="000000"/>
                <w:sz w:val="16"/>
                <w:szCs w:val="16"/>
                <w:lang w:val="es-ES"/>
              </w:rPr>
              <w:t xml:space="preserve">gestión adaptativa y </w:t>
            </w:r>
            <w:r w:rsidR="00F65F2B">
              <w:rPr>
                <w:rFonts w:asciiTheme="minorHAnsi" w:eastAsia="Times New Roman" w:hAnsiTheme="minorHAnsi" w:cstheme="minorHAnsi"/>
                <w:color w:val="000000"/>
                <w:sz w:val="16"/>
                <w:szCs w:val="16"/>
                <w:lang w:val="es-ES"/>
              </w:rPr>
              <w:t xml:space="preserve">a </w:t>
            </w:r>
            <w:r w:rsidRPr="00F65F2B">
              <w:rPr>
                <w:rFonts w:asciiTheme="minorHAnsi" w:eastAsia="Times New Roman" w:hAnsiTheme="minorHAnsi" w:cstheme="minorHAnsi"/>
                <w:color w:val="000000"/>
                <w:sz w:val="16"/>
                <w:szCs w:val="16"/>
                <w:lang w:val="es-ES"/>
              </w:rPr>
              <w:t>la mejora progresiva de la aplicación del Convenio y sus Protocolos</w:t>
            </w:r>
          </w:p>
        </w:tc>
        <w:tc>
          <w:tcPr>
            <w:tcW w:w="870" w:type="dxa"/>
            <w:tcBorders>
              <w:top w:val="single" w:sz="4" w:space="0" w:color="auto"/>
              <w:bottom w:val="single" w:sz="4" w:space="0" w:color="auto"/>
            </w:tcBorders>
            <w:vAlign w:val="bottom"/>
          </w:tcPr>
          <w:p w14:paraId="4041124A"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1</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276,5</w:t>
            </w:r>
          </w:p>
        </w:tc>
        <w:tc>
          <w:tcPr>
            <w:tcW w:w="763" w:type="dxa"/>
            <w:gridSpan w:val="2"/>
            <w:tcBorders>
              <w:top w:val="single" w:sz="4" w:space="0" w:color="auto"/>
              <w:bottom w:val="single" w:sz="4" w:space="0" w:color="auto"/>
            </w:tcBorders>
            <w:vAlign w:val="bottom"/>
          </w:tcPr>
          <w:p w14:paraId="4041124B"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1</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940,0</w:t>
            </w:r>
          </w:p>
        </w:tc>
        <w:tc>
          <w:tcPr>
            <w:tcW w:w="1091" w:type="dxa"/>
            <w:gridSpan w:val="2"/>
            <w:tcBorders>
              <w:top w:val="single" w:sz="4" w:space="0" w:color="auto"/>
              <w:bottom w:val="single" w:sz="4" w:space="0" w:color="auto"/>
            </w:tcBorders>
            <w:vAlign w:val="bottom"/>
          </w:tcPr>
          <w:p w14:paraId="4041124C"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816,0</w:t>
            </w:r>
          </w:p>
        </w:tc>
        <w:tc>
          <w:tcPr>
            <w:tcW w:w="1150" w:type="dxa"/>
            <w:tcBorders>
              <w:top w:val="single" w:sz="4" w:space="0" w:color="auto"/>
              <w:bottom w:val="single" w:sz="4" w:space="0" w:color="auto"/>
            </w:tcBorders>
            <w:vAlign w:val="bottom"/>
          </w:tcPr>
          <w:p w14:paraId="4041124D"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740,0</w:t>
            </w:r>
          </w:p>
        </w:tc>
        <w:tc>
          <w:tcPr>
            <w:tcW w:w="1114" w:type="dxa"/>
            <w:tcBorders>
              <w:top w:val="single" w:sz="4" w:space="0" w:color="auto"/>
              <w:bottom w:val="single" w:sz="4" w:space="0" w:color="auto"/>
            </w:tcBorders>
            <w:vAlign w:val="bottom"/>
          </w:tcPr>
          <w:p w14:paraId="4041124E"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12,0</w:t>
            </w:r>
          </w:p>
        </w:tc>
        <w:tc>
          <w:tcPr>
            <w:tcW w:w="854" w:type="dxa"/>
            <w:gridSpan w:val="2"/>
            <w:tcBorders>
              <w:top w:val="single" w:sz="4" w:space="0" w:color="auto"/>
              <w:bottom w:val="single" w:sz="4" w:space="0" w:color="auto"/>
            </w:tcBorders>
            <w:vAlign w:val="bottom"/>
          </w:tcPr>
          <w:p w14:paraId="4041124F"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4</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784,5</w:t>
            </w:r>
          </w:p>
        </w:tc>
      </w:tr>
      <w:tr w:rsidR="002F3255" w:rsidRPr="005978DF" w14:paraId="40411259" w14:textId="77777777" w:rsidTr="00F2055F">
        <w:trPr>
          <w:jc w:val="right"/>
        </w:trPr>
        <w:tc>
          <w:tcPr>
            <w:tcW w:w="692" w:type="dxa"/>
            <w:tcBorders>
              <w:top w:val="single" w:sz="4" w:space="0" w:color="auto"/>
              <w:bottom w:val="single" w:sz="4" w:space="0" w:color="auto"/>
            </w:tcBorders>
            <w:vAlign w:val="center"/>
          </w:tcPr>
          <w:p w14:paraId="40411251" w14:textId="77777777" w:rsidR="002F3255" w:rsidRPr="00F65F2B" w:rsidRDefault="002F3255" w:rsidP="00F5513B">
            <w:pPr>
              <w:jc w:val="center"/>
              <w:rPr>
                <w:rFonts w:asciiTheme="minorHAnsi" w:eastAsia="Times New Roman" w:hAnsiTheme="minorHAnsi" w:cstheme="minorHAnsi"/>
                <w:color w:val="000000"/>
                <w:sz w:val="16"/>
                <w:szCs w:val="16"/>
                <w:lang w:val="es-ES"/>
              </w:rPr>
            </w:pPr>
            <w:r w:rsidRPr="00F65F2B">
              <w:rPr>
                <w:rFonts w:asciiTheme="minorHAnsi" w:eastAsia="Times New Roman" w:hAnsiTheme="minorHAnsi" w:cstheme="minorHAnsi"/>
                <w:color w:val="000000"/>
                <w:sz w:val="16"/>
                <w:szCs w:val="16"/>
                <w:lang w:val="es-ES"/>
              </w:rPr>
              <w:t>5</w:t>
            </w:r>
          </w:p>
        </w:tc>
        <w:tc>
          <w:tcPr>
            <w:tcW w:w="2897" w:type="dxa"/>
            <w:gridSpan w:val="2"/>
            <w:tcBorders>
              <w:top w:val="single" w:sz="4" w:space="0" w:color="auto"/>
              <w:bottom w:val="single" w:sz="4" w:space="0" w:color="auto"/>
            </w:tcBorders>
            <w:tcMar>
              <w:left w:w="58" w:type="dxa"/>
              <w:right w:w="58" w:type="dxa"/>
            </w:tcMar>
            <w:vAlign w:val="center"/>
          </w:tcPr>
          <w:p w14:paraId="40411252" w14:textId="77777777" w:rsidR="002F3255" w:rsidRPr="00F65F2B" w:rsidRDefault="002F3255" w:rsidP="00F5513B">
            <w:pPr>
              <w:rPr>
                <w:rFonts w:asciiTheme="minorHAnsi" w:eastAsia="Times New Roman" w:hAnsiTheme="minorHAnsi" w:cstheme="minorHAnsi"/>
                <w:lang w:val="es-ES"/>
              </w:rPr>
            </w:pPr>
            <w:r w:rsidRPr="00F65F2B">
              <w:rPr>
                <w:rFonts w:asciiTheme="minorHAnsi" w:eastAsia="Times New Roman" w:hAnsiTheme="minorHAnsi" w:cstheme="minorHAnsi"/>
                <w:color w:val="000000"/>
                <w:sz w:val="16"/>
                <w:szCs w:val="16"/>
                <w:lang w:val="es-ES"/>
              </w:rPr>
              <w:t>La Secretaría del CDB está bien gestionada</w:t>
            </w:r>
          </w:p>
        </w:tc>
        <w:tc>
          <w:tcPr>
            <w:tcW w:w="870" w:type="dxa"/>
            <w:tcBorders>
              <w:top w:val="single" w:sz="4" w:space="0" w:color="auto"/>
              <w:bottom w:val="single" w:sz="4" w:space="0" w:color="auto"/>
            </w:tcBorders>
            <w:vAlign w:val="bottom"/>
          </w:tcPr>
          <w:p w14:paraId="40411253"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245,0</w:t>
            </w:r>
          </w:p>
        </w:tc>
        <w:tc>
          <w:tcPr>
            <w:tcW w:w="763" w:type="dxa"/>
            <w:gridSpan w:val="2"/>
            <w:tcBorders>
              <w:top w:val="single" w:sz="4" w:space="0" w:color="auto"/>
              <w:bottom w:val="single" w:sz="4" w:space="0" w:color="auto"/>
            </w:tcBorders>
            <w:vAlign w:val="bottom"/>
          </w:tcPr>
          <w:p w14:paraId="40411254" w14:textId="77777777" w:rsidR="002F3255" w:rsidRPr="00F65F2B" w:rsidRDefault="002F3255" w:rsidP="00F5513B">
            <w:pPr>
              <w:jc w:val="right"/>
              <w:rPr>
                <w:rFonts w:ascii="Calibri" w:eastAsia="Times New Roman" w:hAnsi="Calibri" w:cs="Calibri"/>
                <w:color w:val="000000"/>
                <w:sz w:val="16"/>
                <w:szCs w:val="16"/>
                <w:lang w:val="es-ES"/>
              </w:rPr>
            </w:pPr>
          </w:p>
        </w:tc>
        <w:tc>
          <w:tcPr>
            <w:tcW w:w="1091" w:type="dxa"/>
            <w:gridSpan w:val="2"/>
            <w:tcBorders>
              <w:top w:val="single" w:sz="4" w:space="0" w:color="auto"/>
              <w:bottom w:val="single" w:sz="4" w:space="0" w:color="auto"/>
            </w:tcBorders>
            <w:vAlign w:val="bottom"/>
          </w:tcPr>
          <w:p w14:paraId="40411255" w14:textId="77777777" w:rsidR="002F3255" w:rsidRPr="00F65F2B" w:rsidRDefault="002F3255" w:rsidP="00F5513B">
            <w:pPr>
              <w:jc w:val="right"/>
              <w:rPr>
                <w:rFonts w:ascii="Calibri" w:eastAsia="Times New Roman" w:hAnsi="Calibri" w:cs="Calibri"/>
                <w:sz w:val="16"/>
                <w:szCs w:val="16"/>
                <w:lang w:val="es-ES"/>
              </w:rPr>
            </w:pPr>
          </w:p>
        </w:tc>
        <w:tc>
          <w:tcPr>
            <w:tcW w:w="1150" w:type="dxa"/>
            <w:tcBorders>
              <w:top w:val="single" w:sz="4" w:space="0" w:color="auto"/>
              <w:bottom w:val="single" w:sz="4" w:space="0" w:color="auto"/>
            </w:tcBorders>
            <w:vAlign w:val="bottom"/>
          </w:tcPr>
          <w:p w14:paraId="40411256"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235,0</w:t>
            </w:r>
          </w:p>
        </w:tc>
        <w:tc>
          <w:tcPr>
            <w:tcW w:w="1114" w:type="dxa"/>
            <w:tcBorders>
              <w:top w:val="single" w:sz="4" w:space="0" w:color="auto"/>
              <w:bottom w:val="single" w:sz="4" w:space="0" w:color="auto"/>
            </w:tcBorders>
            <w:vAlign w:val="bottom"/>
          </w:tcPr>
          <w:p w14:paraId="40411257"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30,0</w:t>
            </w:r>
          </w:p>
        </w:tc>
        <w:tc>
          <w:tcPr>
            <w:tcW w:w="854" w:type="dxa"/>
            <w:gridSpan w:val="2"/>
            <w:tcBorders>
              <w:top w:val="single" w:sz="4" w:space="0" w:color="auto"/>
              <w:bottom w:val="single" w:sz="4" w:space="0" w:color="auto"/>
            </w:tcBorders>
            <w:vAlign w:val="bottom"/>
          </w:tcPr>
          <w:p w14:paraId="40411258"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510,0</w:t>
            </w:r>
          </w:p>
        </w:tc>
      </w:tr>
      <w:tr w:rsidR="002F3255" w:rsidRPr="005978DF" w14:paraId="40411262" w14:textId="77777777" w:rsidTr="00F2055F">
        <w:trPr>
          <w:jc w:val="right"/>
        </w:trPr>
        <w:tc>
          <w:tcPr>
            <w:tcW w:w="692" w:type="dxa"/>
            <w:tcBorders>
              <w:top w:val="single" w:sz="4" w:space="0" w:color="auto"/>
              <w:bottom w:val="single" w:sz="4" w:space="0" w:color="auto"/>
            </w:tcBorders>
            <w:vAlign w:val="center"/>
          </w:tcPr>
          <w:p w14:paraId="4041125A" w14:textId="77777777" w:rsidR="002F3255" w:rsidRPr="00F65F2B" w:rsidRDefault="002F3255" w:rsidP="00F5513B">
            <w:pPr>
              <w:jc w:val="center"/>
              <w:rPr>
                <w:rFonts w:asciiTheme="minorHAnsi" w:eastAsia="Times New Roman" w:hAnsiTheme="minorHAnsi" w:cstheme="minorHAnsi"/>
                <w:color w:val="000000"/>
                <w:sz w:val="16"/>
                <w:szCs w:val="16"/>
                <w:lang w:val="es-ES"/>
              </w:rPr>
            </w:pPr>
            <w:r w:rsidRPr="00F65F2B">
              <w:rPr>
                <w:rFonts w:asciiTheme="minorHAnsi" w:eastAsia="Times New Roman" w:hAnsiTheme="minorHAnsi" w:cstheme="minorHAnsi"/>
                <w:color w:val="000000"/>
                <w:sz w:val="16"/>
                <w:szCs w:val="16"/>
                <w:lang w:val="es-ES"/>
              </w:rPr>
              <w:t>6</w:t>
            </w:r>
          </w:p>
        </w:tc>
        <w:tc>
          <w:tcPr>
            <w:tcW w:w="2897" w:type="dxa"/>
            <w:gridSpan w:val="2"/>
            <w:tcBorders>
              <w:top w:val="single" w:sz="4" w:space="0" w:color="auto"/>
              <w:bottom w:val="single" w:sz="4" w:space="0" w:color="auto"/>
            </w:tcBorders>
            <w:tcMar>
              <w:left w:w="58" w:type="dxa"/>
              <w:right w:w="58" w:type="dxa"/>
            </w:tcMar>
            <w:vAlign w:val="center"/>
          </w:tcPr>
          <w:p w14:paraId="4041125B" w14:textId="77777777" w:rsidR="002F3255" w:rsidRPr="00F65F2B" w:rsidRDefault="002F3255" w:rsidP="00F5513B">
            <w:pPr>
              <w:rPr>
                <w:rFonts w:asciiTheme="minorHAnsi" w:eastAsia="Times New Roman" w:hAnsiTheme="minorHAnsi" w:cstheme="minorHAnsi"/>
                <w:lang w:val="es-ES"/>
              </w:rPr>
            </w:pPr>
            <w:r w:rsidRPr="00F65F2B">
              <w:rPr>
                <w:rFonts w:asciiTheme="minorHAnsi" w:eastAsia="Times New Roman" w:hAnsiTheme="minorHAnsi" w:cstheme="minorHAnsi"/>
                <w:color w:val="000000"/>
                <w:sz w:val="16"/>
                <w:szCs w:val="16"/>
                <w:lang w:val="es-ES"/>
              </w:rPr>
              <w:t>Se mejora el apoyo a programas para la Secretaría</w:t>
            </w:r>
          </w:p>
        </w:tc>
        <w:tc>
          <w:tcPr>
            <w:tcW w:w="870" w:type="dxa"/>
            <w:tcBorders>
              <w:top w:val="single" w:sz="4" w:space="0" w:color="auto"/>
              <w:bottom w:val="single" w:sz="4" w:space="0" w:color="auto"/>
            </w:tcBorders>
            <w:vAlign w:val="bottom"/>
          </w:tcPr>
          <w:p w14:paraId="4041125C"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25,0</w:t>
            </w:r>
          </w:p>
        </w:tc>
        <w:tc>
          <w:tcPr>
            <w:tcW w:w="763" w:type="dxa"/>
            <w:gridSpan w:val="2"/>
            <w:tcBorders>
              <w:top w:val="single" w:sz="4" w:space="0" w:color="auto"/>
              <w:bottom w:val="single" w:sz="4" w:space="0" w:color="auto"/>
            </w:tcBorders>
            <w:vAlign w:val="bottom"/>
          </w:tcPr>
          <w:p w14:paraId="4041125D" w14:textId="77777777" w:rsidR="002F3255" w:rsidRPr="00F65F2B" w:rsidRDefault="002F3255" w:rsidP="00F5513B">
            <w:pPr>
              <w:jc w:val="right"/>
              <w:rPr>
                <w:rFonts w:ascii="Calibri" w:eastAsia="Times New Roman" w:hAnsi="Calibri" w:cs="Calibri"/>
                <w:color w:val="000000"/>
                <w:sz w:val="16"/>
                <w:szCs w:val="16"/>
                <w:lang w:val="es-ES"/>
              </w:rPr>
            </w:pPr>
          </w:p>
        </w:tc>
        <w:tc>
          <w:tcPr>
            <w:tcW w:w="1091" w:type="dxa"/>
            <w:gridSpan w:val="2"/>
            <w:tcBorders>
              <w:top w:val="single" w:sz="4" w:space="0" w:color="auto"/>
              <w:bottom w:val="single" w:sz="4" w:space="0" w:color="auto"/>
            </w:tcBorders>
            <w:noWrap/>
            <w:vAlign w:val="bottom"/>
          </w:tcPr>
          <w:p w14:paraId="4041125E" w14:textId="77777777" w:rsidR="002F3255" w:rsidRPr="00F65F2B" w:rsidRDefault="002F3255" w:rsidP="00F5513B">
            <w:pPr>
              <w:jc w:val="right"/>
              <w:rPr>
                <w:rFonts w:ascii="Calibri" w:eastAsia="Times New Roman" w:hAnsi="Calibri" w:cs="Calibri"/>
                <w:color w:val="000000"/>
                <w:sz w:val="16"/>
                <w:szCs w:val="16"/>
                <w:lang w:val="es-ES"/>
              </w:rPr>
            </w:pPr>
          </w:p>
        </w:tc>
        <w:tc>
          <w:tcPr>
            <w:tcW w:w="1150" w:type="dxa"/>
            <w:tcBorders>
              <w:top w:val="single" w:sz="4" w:space="0" w:color="auto"/>
              <w:bottom w:val="single" w:sz="4" w:space="0" w:color="auto"/>
            </w:tcBorders>
            <w:noWrap/>
            <w:vAlign w:val="bottom"/>
          </w:tcPr>
          <w:p w14:paraId="4041125F" w14:textId="77777777" w:rsidR="002F3255" w:rsidRPr="00F65F2B" w:rsidRDefault="002F3255" w:rsidP="00F5513B">
            <w:pPr>
              <w:jc w:val="right"/>
              <w:rPr>
                <w:rFonts w:ascii="Calibri" w:eastAsia="Times New Roman" w:hAnsi="Calibri" w:cs="Calibri"/>
                <w:sz w:val="16"/>
                <w:szCs w:val="16"/>
                <w:lang w:val="es-ES"/>
              </w:rPr>
            </w:pPr>
          </w:p>
        </w:tc>
        <w:tc>
          <w:tcPr>
            <w:tcW w:w="1114" w:type="dxa"/>
            <w:tcBorders>
              <w:top w:val="single" w:sz="4" w:space="0" w:color="auto"/>
              <w:bottom w:val="single" w:sz="4" w:space="0" w:color="auto"/>
            </w:tcBorders>
            <w:noWrap/>
            <w:vAlign w:val="bottom"/>
          </w:tcPr>
          <w:p w14:paraId="40411260" w14:textId="77777777" w:rsidR="002F3255" w:rsidRPr="00F65F2B" w:rsidRDefault="002F3255" w:rsidP="00F5513B">
            <w:pPr>
              <w:jc w:val="right"/>
              <w:rPr>
                <w:rFonts w:ascii="Calibri" w:eastAsia="Times New Roman" w:hAnsi="Calibri" w:cs="Calibri"/>
                <w:sz w:val="16"/>
                <w:szCs w:val="16"/>
                <w:lang w:val="es-ES"/>
              </w:rPr>
            </w:pPr>
          </w:p>
        </w:tc>
        <w:tc>
          <w:tcPr>
            <w:tcW w:w="854" w:type="dxa"/>
            <w:gridSpan w:val="2"/>
            <w:tcBorders>
              <w:top w:val="single" w:sz="4" w:space="0" w:color="auto"/>
              <w:bottom w:val="single" w:sz="4" w:space="0" w:color="auto"/>
            </w:tcBorders>
            <w:vAlign w:val="bottom"/>
          </w:tcPr>
          <w:p w14:paraId="40411261"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25,0</w:t>
            </w:r>
          </w:p>
        </w:tc>
      </w:tr>
      <w:tr w:rsidR="002F3255" w:rsidRPr="005978DF" w14:paraId="4041126B" w14:textId="77777777" w:rsidTr="00F2055F">
        <w:trPr>
          <w:jc w:val="right"/>
        </w:trPr>
        <w:tc>
          <w:tcPr>
            <w:tcW w:w="692" w:type="dxa"/>
            <w:tcBorders>
              <w:top w:val="single" w:sz="4" w:space="0" w:color="auto"/>
              <w:bottom w:val="single" w:sz="4" w:space="0" w:color="auto"/>
            </w:tcBorders>
          </w:tcPr>
          <w:p w14:paraId="40411263" w14:textId="77777777" w:rsidR="002F3255" w:rsidRPr="00F65F2B" w:rsidRDefault="002F3255" w:rsidP="00F5513B">
            <w:pPr>
              <w:jc w:val="center"/>
              <w:rPr>
                <w:rFonts w:asciiTheme="minorHAnsi" w:eastAsia="Times New Roman" w:hAnsiTheme="minorHAnsi" w:cstheme="minorHAnsi"/>
                <w:lang w:val="es-ES"/>
              </w:rPr>
            </w:pPr>
            <w:r w:rsidRPr="00F65F2B">
              <w:rPr>
                <w:rFonts w:asciiTheme="minorHAnsi" w:eastAsia="Times New Roman" w:hAnsiTheme="minorHAnsi" w:cstheme="minorHAnsi"/>
                <w:b/>
                <w:bCs/>
                <w:sz w:val="16"/>
                <w:szCs w:val="16"/>
                <w:lang w:val="es-ES"/>
              </w:rPr>
              <w:t>Total</w:t>
            </w:r>
          </w:p>
        </w:tc>
        <w:tc>
          <w:tcPr>
            <w:tcW w:w="2897" w:type="dxa"/>
            <w:gridSpan w:val="2"/>
            <w:tcBorders>
              <w:top w:val="single" w:sz="4" w:space="0" w:color="auto"/>
              <w:bottom w:val="single" w:sz="4" w:space="0" w:color="auto"/>
            </w:tcBorders>
            <w:vAlign w:val="bottom"/>
          </w:tcPr>
          <w:p w14:paraId="40411264" w14:textId="77777777" w:rsidR="002F3255" w:rsidRPr="00F65F2B" w:rsidRDefault="002F3255" w:rsidP="00F5513B">
            <w:pPr>
              <w:rPr>
                <w:rFonts w:asciiTheme="minorHAnsi" w:eastAsia="Times New Roman" w:hAnsiTheme="minorHAnsi" w:cstheme="minorHAnsi"/>
                <w:lang w:val="es-ES"/>
              </w:rPr>
            </w:pPr>
            <w:r w:rsidRPr="00F65F2B">
              <w:rPr>
                <w:rFonts w:asciiTheme="minorHAnsi" w:eastAsia="Times New Roman" w:hAnsiTheme="minorHAnsi" w:cstheme="minorHAnsi"/>
                <w:color w:val="000000"/>
                <w:sz w:val="16"/>
                <w:szCs w:val="16"/>
                <w:lang w:val="es-ES"/>
              </w:rPr>
              <w:t> </w:t>
            </w:r>
          </w:p>
        </w:tc>
        <w:tc>
          <w:tcPr>
            <w:tcW w:w="870" w:type="dxa"/>
            <w:tcBorders>
              <w:top w:val="single" w:sz="4" w:space="0" w:color="auto"/>
              <w:bottom w:val="single" w:sz="4" w:space="0" w:color="auto"/>
            </w:tcBorders>
            <w:vAlign w:val="bottom"/>
          </w:tcPr>
          <w:p w14:paraId="40411265"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7</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289,0</w:t>
            </w:r>
          </w:p>
        </w:tc>
        <w:tc>
          <w:tcPr>
            <w:tcW w:w="763" w:type="dxa"/>
            <w:gridSpan w:val="2"/>
            <w:tcBorders>
              <w:top w:val="single" w:sz="4" w:space="0" w:color="auto"/>
              <w:bottom w:val="single" w:sz="4" w:space="0" w:color="auto"/>
            </w:tcBorders>
            <w:vAlign w:val="bottom"/>
          </w:tcPr>
          <w:p w14:paraId="40411266"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6</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497,0</w:t>
            </w:r>
          </w:p>
        </w:tc>
        <w:tc>
          <w:tcPr>
            <w:tcW w:w="1091" w:type="dxa"/>
            <w:gridSpan w:val="2"/>
            <w:tcBorders>
              <w:top w:val="single" w:sz="4" w:space="0" w:color="auto"/>
              <w:bottom w:val="single" w:sz="4" w:space="0" w:color="auto"/>
            </w:tcBorders>
            <w:vAlign w:val="bottom"/>
          </w:tcPr>
          <w:p w14:paraId="40411267"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392,0</w:t>
            </w:r>
          </w:p>
        </w:tc>
        <w:tc>
          <w:tcPr>
            <w:tcW w:w="1150" w:type="dxa"/>
            <w:tcBorders>
              <w:top w:val="single" w:sz="4" w:space="0" w:color="auto"/>
              <w:bottom w:val="single" w:sz="4" w:space="0" w:color="auto"/>
            </w:tcBorders>
            <w:vAlign w:val="bottom"/>
          </w:tcPr>
          <w:p w14:paraId="40411268"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5</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010,0</w:t>
            </w:r>
          </w:p>
        </w:tc>
        <w:tc>
          <w:tcPr>
            <w:tcW w:w="1114" w:type="dxa"/>
            <w:tcBorders>
              <w:top w:val="single" w:sz="4" w:space="0" w:color="auto"/>
              <w:bottom w:val="single" w:sz="4" w:space="0" w:color="auto"/>
            </w:tcBorders>
            <w:vAlign w:val="bottom"/>
          </w:tcPr>
          <w:p w14:paraId="40411269"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442,0</w:t>
            </w:r>
          </w:p>
        </w:tc>
        <w:tc>
          <w:tcPr>
            <w:tcW w:w="854" w:type="dxa"/>
            <w:gridSpan w:val="2"/>
            <w:tcBorders>
              <w:top w:val="single" w:sz="4" w:space="0" w:color="auto"/>
              <w:bottom w:val="single" w:sz="4" w:space="0" w:color="auto"/>
            </w:tcBorders>
            <w:vAlign w:val="bottom"/>
          </w:tcPr>
          <w:p w14:paraId="4041126A" w14:textId="77777777" w:rsidR="002F3255" w:rsidRPr="00F65F2B" w:rsidRDefault="002F3255" w:rsidP="00F5513B">
            <w:pPr>
              <w:jc w:val="right"/>
              <w:rPr>
                <w:rFonts w:ascii="Calibri" w:eastAsia="Times New Roman" w:hAnsi="Calibri" w:cs="Calibri"/>
                <w:color w:val="000000"/>
                <w:sz w:val="16"/>
                <w:szCs w:val="16"/>
                <w:lang w:val="es-ES"/>
              </w:rPr>
            </w:pPr>
            <w:r w:rsidRPr="00F65F2B">
              <w:rPr>
                <w:rFonts w:ascii="Calibri" w:eastAsia="Times New Roman" w:hAnsi="Calibri" w:cs="Calibri"/>
                <w:color w:val="000000"/>
                <w:sz w:val="16"/>
                <w:szCs w:val="16"/>
                <w:lang w:val="es-ES"/>
              </w:rPr>
              <w:t>21</w:t>
            </w:r>
            <w:r w:rsidR="00231CF4" w:rsidRPr="00F65F2B">
              <w:rPr>
                <w:rFonts w:ascii="Calibri" w:eastAsia="Times New Roman" w:hAnsi="Calibri" w:cs="Calibri"/>
                <w:color w:val="000000"/>
                <w:sz w:val="16"/>
                <w:szCs w:val="16"/>
                <w:lang w:val="es-ES"/>
              </w:rPr>
              <w:t xml:space="preserve"> </w:t>
            </w:r>
            <w:r w:rsidRPr="00F65F2B">
              <w:rPr>
                <w:rFonts w:ascii="Calibri" w:eastAsia="Times New Roman" w:hAnsi="Calibri" w:cs="Calibri"/>
                <w:color w:val="000000"/>
                <w:sz w:val="16"/>
                <w:szCs w:val="16"/>
                <w:lang w:val="es-ES"/>
              </w:rPr>
              <w:t>630,0</w:t>
            </w:r>
          </w:p>
        </w:tc>
      </w:tr>
    </w:tbl>
    <w:p w14:paraId="4041126C"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lastRenderedPageBreak/>
        <w:t>El Fondo del Japón para la Diversidad Biológica, establecido por el Gobierno de Japón como legado de su Presidencia de la décima reunión de la Conferencia de las Partes, sigue financiando y facilitando actividades de creación de capacidad organizadas o dirigidas por la Secretaría y financiará un total de 5 puestos (1 D-1, 2 P-4 y 2 SG) a través del Fondo Fiduciario Voluntario Especial de Contribuciones Voluntarias Adicionales en apoyo a Actividades Aprobadas (BE).</w:t>
      </w:r>
    </w:p>
    <w:p w14:paraId="4041126D" w14:textId="77777777" w:rsidR="002F3255" w:rsidRPr="00231CF4" w:rsidRDefault="002F3255">
      <w:pPr>
        <w:tabs>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i/>
          <w:iCs/>
          <w:spacing w:val="-4"/>
          <w:sz w:val="22"/>
          <w:szCs w:val="22"/>
          <w:lang w:val="es-ES"/>
        </w:rPr>
      </w:pPr>
      <w:r w:rsidRPr="00231CF4">
        <w:rPr>
          <w:rFonts w:eastAsia="Times New Roman"/>
          <w:i/>
          <w:iCs/>
          <w:spacing w:val="-4"/>
          <w:sz w:val="22"/>
          <w:szCs w:val="22"/>
          <w:lang w:val="es-ES"/>
        </w:rPr>
        <w:t>Fondo Fiduciario Especial de Contribuciones Voluntarias para Facilitar la Participación de las Partes (BZ)</w:t>
      </w:r>
    </w:p>
    <w:p w14:paraId="4041126E"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El Fondo Fiduciario BZ para facilitar la participación de las Partes es empleado por la Secretaría para proporcionar billetes de avión y dietas a los representantes de Partes que reúnen las condiciones, </w:t>
      </w:r>
      <w:r w:rsidR="00F65F2B">
        <w:rPr>
          <w:rFonts w:eastAsia="Times New Roman"/>
          <w:sz w:val="22"/>
          <w:szCs w:val="22"/>
          <w:lang w:val="es-ES"/>
        </w:rPr>
        <w:t>a fin de</w:t>
      </w:r>
      <w:r w:rsidRPr="005978DF">
        <w:rPr>
          <w:rFonts w:eastAsia="Times New Roman"/>
          <w:sz w:val="22"/>
          <w:szCs w:val="22"/>
          <w:lang w:val="es-ES"/>
        </w:rPr>
        <w:t xml:space="preserve"> permitirles participar en las reuniones de la Conferencia de las Partes en el Convenio, la Conferencia de las Partes que actúa como reunión de las Partes en el Protocolo de Cartagena y la Conferencia de las Partes que actúa como reunión de las Partes en el Protocolo de Nagoya.</w:t>
      </w:r>
      <w:r w:rsidRPr="005978DF">
        <w:rPr>
          <w:rFonts w:eastAsia="Times New Roman"/>
          <w:kern w:val="22"/>
          <w:sz w:val="22"/>
          <w:szCs w:val="22"/>
          <w:lang w:val="es-ES"/>
        </w:rPr>
        <w:t xml:space="preserve"> </w:t>
      </w:r>
      <w:r w:rsidRPr="005978DF">
        <w:rPr>
          <w:rFonts w:eastAsia="Times New Roman"/>
          <w:sz w:val="22"/>
          <w:szCs w:val="22"/>
          <w:lang w:val="es-ES"/>
        </w:rPr>
        <w:t>El Fondo también se utiliza para apoyar la participación de representantes de Partes que reúnen las condiciones en las reuniones de los órganos subsidiarios y asociados del Convenio y los Protocolos.</w:t>
      </w:r>
    </w:p>
    <w:p w14:paraId="4041126F"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La Conferencia de las Partes ha insistido en la necesidad de que todas las Partes participen plenamente, incluidas las Partes que son países en desarrollo, y ha llamado a que se brinde apoyo para que asistan por lo menos dos delegados a sus reuniones. Sin embargo, en el pasado, los recursos disponibles han permitido a la Secretaría cubrir los costos de solo un representante por Parte que reúne las condiciones</w:t>
      </w:r>
      <w:r w:rsidRPr="005978DF">
        <w:rPr>
          <w:rFonts w:eastAsia="Times New Roman"/>
          <w:kern w:val="22"/>
          <w:sz w:val="22"/>
          <w:szCs w:val="22"/>
          <w:lang w:val="es-ES"/>
        </w:rPr>
        <w:t xml:space="preserve">. Pero con la reanudación de las reuniones presenciales, tras las restricciones impuestas por la pandemia de COVID-19, y la convocatoria de las reuniones concurrentes de tres órganos (la tercera reunión del Grupo de Trabajo de Composición Abierta sobre el Marco Mundial de la Diversidad Biológica posterior a </w:t>
      </w:r>
      <w:r w:rsidRPr="005978DF">
        <w:rPr>
          <w:rFonts w:eastAsia="Times New Roman"/>
          <w:sz w:val="22"/>
          <w:szCs w:val="22"/>
          <w:lang w:val="es-ES"/>
        </w:rPr>
        <w:t>2020 (WG2020-3)</w:t>
      </w:r>
      <w:r w:rsidR="00F65F2B">
        <w:rPr>
          <w:rFonts w:eastAsia="Times New Roman"/>
          <w:sz w:val="22"/>
          <w:szCs w:val="22"/>
          <w:lang w:val="es-ES"/>
        </w:rPr>
        <w:t>,</w:t>
      </w:r>
      <w:r w:rsidRPr="005978DF">
        <w:rPr>
          <w:rFonts w:eastAsia="Times New Roman"/>
          <w:sz w:val="22"/>
          <w:szCs w:val="22"/>
          <w:lang w:val="es-ES"/>
        </w:rPr>
        <w:t xml:space="preserve"> el Órgano Subsidiario sobre la Aplicación (OSA-3) y el Órgano Subsidiario de Asesoramiento Científico, Técnico y Tecnológico </w:t>
      </w:r>
      <w:r w:rsidRPr="005978DF">
        <w:rPr>
          <w:rFonts w:eastAsia="Times New Roman"/>
          <w:kern w:val="22"/>
          <w:sz w:val="22"/>
          <w:szCs w:val="22"/>
          <w:lang w:val="es-ES"/>
        </w:rPr>
        <w:t>(OSACTT-24)) en Ginebra (Suiza) en marzo de 2022, la Mesa, en consulta con los respectivos Presidentes y la Secretaría, determinó que era esencial financiar la participación de por lo menos dos participantes de cada Parte que reúne las condiciones, dado que había una importante cantidad de temas que debían resolverse. El mismo enfoque se aplicó para la cuarta reunión del Grupo de Trabajo (WG2020-4) que se celebró en Nairobi</w:t>
      </w:r>
      <w:r w:rsidRPr="005978DF">
        <w:rPr>
          <w:rFonts w:eastAsia="Times New Roman"/>
          <w:sz w:val="22"/>
          <w:szCs w:val="22"/>
          <w:lang w:val="es-ES"/>
        </w:rPr>
        <w:t xml:space="preserve">. </w:t>
      </w:r>
      <w:r w:rsidR="00F65F2B">
        <w:rPr>
          <w:rFonts w:eastAsia="Times New Roman"/>
          <w:sz w:val="22"/>
          <w:szCs w:val="22"/>
          <w:lang w:val="es-ES"/>
        </w:rPr>
        <w:t>Del mismo modo</w:t>
      </w:r>
      <w:r w:rsidRPr="005978DF">
        <w:rPr>
          <w:rFonts w:eastAsia="Times New Roman"/>
          <w:sz w:val="22"/>
          <w:szCs w:val="22"/>
          <w:lang w:val="es-ES"/>
        </w:rPr>
        <w:t xml:space="preserve">, </w:t>
      </w:r>
      <w:r w:rsidR="00F65F2B" w:rsidRPr="005978DF">
        <w:rPr>
          <w:rFonts w:eastAsia="Times New Roman"/>
          <w:sz w:val="22"/>
          <w:szCs w:val="22"/>
          <w:lang w:val="es-ES"/>
        </w:rPr>
        <w:t xml:space="preserve">para las reuniones de la COP-15 y de las Partes en los Protocolos </w:t>
      </w:r>
      <w:r w:rsidRPr="005978DF">
        <w:rPr>
          <w:rFonts w:eastAsia="Times New Roman"/>
          <w:sz w:val="22"/>
          <w:szCs w:val="22"/>
          <w:lang w:val="es-ES"/>
        </w:rPr>
        <w:t xml:space="preserve">se solicitan contribuciones para cubrir el costo de tres </w:t>
      </w:r>
      <w:r w:rsidR="00F65F2B">
        <w:rPr>
          <w:rFonts w:eastAsia="Times New Roman"/>
          <w:sz w:val="22"/>
          <w:szCs w:val="22"/>
          <w:lang w:val="es-ES"/>
        </w:rPr>
        <w:t>asistentes</w:t>
      </w:r>
      <w:r w:rsidRPr="005978DF">
        <w:rPr>
          <w:rFonts w:eastAsia="Times New Roman"/>
          <w:sz w:val="22"/>
          <w:szCs w:val="22"/>
          <w:lang w:val="es-ES"/>
        </w:rPr>
        <w:t xml:space="preserve"> por Parte que reúne las condiciones</w:t>
      </w:r>
      <w:r w:rsidR="00F65F2B">
        <w:rPr>
          <w:rFonts w:eastAsia="Times New Roman"/>
          <w:sz w:val="22"/>
          <w:szCs w:val="22"/>
          <w:lang w:val="es-ES"/>
        </w:rPr>
        <w:t>, de manera</w:t>
      </w:r>
      <w:r w:rsidRPr="005978DF">
        <w:rPr>
          <w:rFonts w:eastAsia="Times New Roman"/>
          <w:sz w:val="22"/>
          <w:szCs w:val="22"/>
          <w:lang w:val="es-ES"/>
        </w:rPr>
        <w:t xml:space="preserve"> que estén cubiertos los tres instrumentos. </w:t>
      </w:r>
      <w:r w:rsidR="00FE65FB">
        <w:rPr>
          <w:rFonts w:eastAsia="Times New Roman"/>
          <w:sz w:val="22"/>
          <w:szCs w:val="22"/>
          <w:lang w:val="es-ES"/>
        </w:rPr>
        <w:t>Teniendo esto en cuenta</w:t>
      </w:r>
      <w:r w:rsidRPr="005978DF">
        <w:rPr>
          <w:rFonts w:eastAsia="Times New Roman"/>
          <w:sz w:val="22"/>
          <w:szCs w:val="22"/>
          <w:lang w:val="es-ES"/>
        </w:rPr>
        <w:t>, la Secretaría preparó las siguientes dos opciones para cada uno de los tres conjuntos de reuniones, para que sean consideradas por la Conferencia de las Partes y por las reuniones de las Partes en los Protocolos:</w:t>
      </w:r>
    </w:p>
    <w:p w14:paraId="40411270" w14:textId="77777777" w:rsidR="002F3255" w:rsidRPr="005978DF" w:rsidRDefault="00231CF4">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imes New Roman"/>
          <w:b/>
          <w:bCs/>
          <w:sz w:val="22"/>
          <w:szCs w:val="22"/>
          <w:lang w:val="es-ES"/>
        </w:rPr>
      </w:pPr>
      <w:r>
        <w:rPr>
          <w:rFonts w:eastAsia="Times New Roman"/>
          <w:b/>
          <w:bCs/>
          <w:sz w:val="22"/>
          <w:szCs w:val="22"/>
          <w:lang w:val="es-ES"/>
        </w:rPr>
        <w:t>Cuadro</w:t>
      </w:r>
      <w:r w:rsidR="002F3255" w:rsidRPr="005978DF">
        <w:rPr>
          <w:rFonts w:eastAsia="Times New Roman"/>
          <w:b/>
          <w:bCs/>
          <w:sz w:val="22"/>
          <w:szCs w:val="22"/>
          <w:lang w:val="es-ES"/>
        </w:rPr>
        <w:t xml:space="preserve"> 8. Opciones para financiar la asistencia de participantes a las reuniones</w:t>
      </w:r>
    </w:p>
    <w:p w14:paraId="40411271" w14:textId="77777777" w:rsidR="002F3255" w:rsidRPr="005978DF" w:rsidRDefault="002F3255">
      <w:pPr>
        <w:tabs>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sz w:val="22"/>
          <w:szCs w:val="22"/>
          <w:lang w:val="es-ES"/>
        </w:rPr>
      </w:pPr>
      <w:r w:rsidRPr="005978DF">
        <w:rPr>
          <w:rFonts w:eastAsia="Times New Roman"/>
          <w:sz w:val="22"/>
          <w:szCs w:val="22"/>
          <w:lang w:val="es-ES"/>
        </w:rPr>
        <w:t>Cuadro 8 a)</w:t>
      </w:r>
    </w:p>
    <w:tbl>
      <w:tblPr>
        <w:tblW w:w="8860" w:type="dxa"/>
        <w:jc w:val="center"/>
        <w:tblLayout w:type="fixed"/>
        <w:tblLook w:val="00A0" w:firstRow="1" w:lastRow="0" w:firstColumn="1" w:lastColumn="0" w:noHBand="0" w:noVBand="0"/>
      </w:tblPr>
      <w:tblGrid>
        <w:gridCol w:w="7130"/>
        <w:gridCol w:w="1730"/>
      </w:tblGrid>
      <w:tr w:rsidR="002F3255" w:rsidRPr="00231CF4" w14:paraId="40411274" w14:textId="77777777" w:rsidTr="00231CF4">
        <w:trPr>
          <w:trHeight w:val="290"/>
          <w:jc w:val="center"/>
        </w:trPr>
        <w:tc>
          <w:tcPr>
            <w:tcW w:w="7130" w:type="dxa"/>
            <w:tcBorders>
              <w:top w:val="single" w:sz="4" w:space="0" w:color="auto"/>
              <w:left w:val="single" w:sz="4" w:space="0" w:color="auto"/>
              <w:bottom w:val="single" w:sz="4" w:space="0" w:color="auto"/>
              <w:right w:val="single" w:sz="4" w:space="0" w:color="auto"/>
            </w:tcBorders>
            <w:vAlign w:val="center"/>
          </w:tcPr>
          <w:p w14:paraId="40411272"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A. Opciones para reuniones consecutivas del OSACTT+WG8J (8 días en Montreal) en 2023:</w:t>
            </w:r>
          </w:p>
        </w:tc>
        <w:tc>
          <w:tcPr>
            <w:tcW w:w="1730" w:type="dxa"/>
            <w:tcBorders>
              <w:top w:val="single" w:sz="4" w:space="0" w:color="auto"/>
              <w:left w:val="nil"/>
              <w:bottom w:val="single" w:sz="4" w:space="0" w:color="auto"/>
              <w:right w:val="single" w:sz="4" w:space="0" w:color="auto"/>
            </w:tcBorders>
            <w:noWrap/>
            <w:vAlign w:val="bottom"/>
          </w:tcPr>
          <w:p w14:paraId="40411273" w14:textId="77777777" w:rsidR="002F3255" w:rsidRPr="00231CF4" w:rsidRDefault="002F3255">
            <w:pPr>
              <w:jc w:val="right"/>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 xml:space="preserve">Dólares </w:t>
            </w:r>
            <w:proofErr w:type="gramStart"/>
            <w:r w:rsidRPr="00231CF4">
              <w:rPr>
                <w:rFonts w:asciiTheme="minorHAnsi" w:eastAsia="Times New Roman" w:hAnsiTheme="minorHAnsi" w:cstheme="minorHAnsi"/>
                <w:b/>
                <w:bCs/>
                <w:color w:val="000000"/>
                <w:sz w:val="18"/>
                <w:szCs w:val="18"/>
                <w:lang w:val="es-ES"/>
              </w:rPr>
              <w:t>EE.UU.</w:t>
            </w:r>
            <w:proofErr w:type="gramEnd"/>
          </w:p>
        </w:tc>
      </w:tr>
      <w:tr w:rsidR="002F3255" w:rsidRPr="00231CF4" w14:paraId="40411277" w14:textId="77777777" w:rsidTr="00231CF4">
        <w:trPr>
          <w:trHeight w:val="460"/>
          <w:jc w:val="center"/>
        </w:trPr>
        <w:tc>
          <w:tcPr>
            <w:tcW w:w="7130" w:type="dxa"/>
            <w:tcBorders>
              <w:top w:val="nil"/>
              <w:left w:val="single" w:sz="4" w:space="0" w:color="auto"/>
              <w:bottom w:val="single" w:sz="4" w:space="0" w:color="auto"/>
              <w:right w:val="single" w:sz="4" w:space="0" w:color="auto"/>
            </w:tcBorders>
            <w:vAlign w:val="center"/>
          </w:tcPr>
          <w:p w14:paraId="40411275"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sz w:val="18"/>
                <w:szCs w:val="18"/>
                <w:lang w:val="es-ES"/>
              </w:rPr>
              <w:t xml:space="preserve">Apoyo para que </w:t>
            </w:r>
            <w:r w:rsidRPr="00231CF4">
              <w:rPr>
                <w:rFonts w:asciiTheme="minorHAnsi" w:eastAsia="Times New Roman" w:hAnsiTheme="minorHAnsi" w:cstheme="minorHAnsi"/>
                <w:b/>
                <w:bCs/>
                <w:sz w:val="18"/>
                <w:szCs w:val="18"/>
                <w:lang w:val="es-ES"/>
              </w:rPr>
              <w:t>un delegado</w:t>
            </w:r>
            <w:r w:rsidRPr="00231CF4">
              <w:rPr>
                <w:rFonts w:asciiTheme="minorHAnsi" w:eastAsia="Times New Roman" w:hAnsiTheme="minorHAnsi" w:cstheme="minorHAnsi"/>
                <w:sz w:val="18"/>
                <w:szCs w:val="18"/>
                <w:lang w:val="es-ES"/>
              </w:rPr>
              <w:t xml:space="preserve"> de cada Parte que reúne las condiciones participe en reuniones (consecutivas) por un total de 8 días, celebradas en Montreal </w:t>
            </w:r>
          </w:p>
        </w:tc>
        <w:tc>
          <w:tcPr>
            <w:tcW w:w="1730" w:type="dxa"/>
            <w:tcBorders>
              <w:top w:val="nil"/>
              <w:left w:val="nil"/>
              <w:bottom w:val="single" w:sz="4" w:space="0" w:color="auto"/>
              <w:right w:val="single" w:sz="4" w:space="0" w:color="auto"/>
            </w:tcBorders>
            <w:noWrap/>
            <w:vAlign w:val="bottom"/>
          </w:tcPr>
          <w:p w14:paraId="40411276"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859</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700</w:t>
            </w:r>
          </w:p>
        </w:tc>
      </w:tr>
      <w:tr w:rsidR="002F3255" w:rsidRPr="00231CF4" w14:paraId="4041127A" w14:textId="77777777" w:rsidTr="00231CF4">
        <w:trPr>
          <w:trHeight w:val="460"/>
          <w:jc w:val="center"/>
        </w:trPr>
        <w:tc>
          <w:tcPr>
            <w:tcW w:w="7130" w:type="dxa"/>
            <w:tcBorders>
              <w:top w:val="nil"/>
              <w:left w:val="single" w:sz="4" w:space="0" w:color="auto"/>
              <w:bottom w:val="single" w:sz="4" w:space="0" w:color="auto"/>
              <w:right w:val="single" w:sz="4" w:space="0" w:color="auto"/>
            </w:tcBorders>
            <w:vAlign w:val="center"/>
          </w:tcPr>
          <w:p w14:paraId="40411278"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sz w:val="18"/>
                <w:szCs w:val="18"/>
                <w:lang w:val="es-ES"/>
              </w:rPr>
              <w:t xml:space="preserve">Apoyo para que </w:t>
            </w:r>
            <w:r w:rsidRPr="00231CF4">
              <w:rPr>
                <w:rFonts w:asciiTheme="minorHAnsi" w:eastAsia="Times New Roman" w:hAnsiTheme="minorHAnsi" w:cstheme="minorHAnsi"/>
                <w:b/>
                <w:bCs/>
                <w:sz w:val="18"/>
                <w:szCs w:val="18"/>
                <w:lang w:val="es-ES"/>
              </w:rPr>
              <w:t>dos delegados</w:t>
            </w:r>
            <w:r w:rsidRPr="00231CF4">
              <w:rPr>
                <w:rFonts w:asciiTheme="minorHAnsi" w:eastAsia="Times New Roman" w:hAnsiTheme="minorHAnsi" w:cstheme="minorHAnsi"/>
                <w:sz w:val="18"/>
                <w:szCs w:val="18"/>
                <w:lang w:val="es-ES"/>
              </w:rPr>
              <w:t xml:space="preserve"> de cada Parte que reúne las condiciones participe en reuniones (consecutivas) por un total de 8 días, celebradas en Montreal </w:t>
            </w:r>
          </w:p>
        </w:tc>
        <w:tc>
          <w:tcPr>
            <w:tcW w:w="1730" w:type="dxa"/>
            <w:tcBorders>
              <w:top w:val="nil"/>
              <w:left w:val="nil"/>
              <w:bottom w:val="single" w:sz="4" w:space="0" w:color="auto"/>
              <w:right w:val="single" w:sz="4" w:space="0" w:color="auto"/>
            </w:tcBorders>
            <w:noWrap/>
            <w:vAlign w:val="bottom"/>
          </w:tcPr>
          <w:p w14:paraId="40411279"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719</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400</w:t>
            </w:r>
          </w:p>
        </w:tc>
      </w:tr>
    </w:tbl>
    <w:p w14:paraId="4041127B" w14:textId="77777777" w:rsidR="002F3255" w:rsidRPr="005978DF" w:rsidRDefault="002F3255">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sz w:val="22"/>
          <w:szCs w:val="22"/>
          <w:lang w:val="es-ES"/>
        </w:rPr>
      </w:pPr>
      <w:r w:rsidRPr="005978DF">
        <w:rPr>
          <w:rFonts w:eastAsia="Times New Roman"/>
          <w:sz w:val="22"/>
          <w:szCs w:val="22"/>
          <w:lang w:val="es-ES"/>
        </w:rPr>
        <w:t>Cuadro 8 b)</w:t>
      </w:r>
    </w:p>
    <w:tbl>
      <w:tblPr>
        <w:tblW w:w="8860" w:type="dxa"/>
        <w:jc w:val="center"/>
        <w:tblLayout w:type="fixed"/>
        <w:tblLook w:val="00A0" w:firstRow="1" w:lastRow="0" w:firstColumn="1" w:lastColumn="0" w:noHBand="0" w:noVBand="0"/>
      </w:tblPr>
      <w:tblGrid>
        <w:gridCol w:w="7130"/>
        <w:gridCol w:w="1730"/>
      </w:tblGrid>
      <w:tr w:rsidR="002F3255" w:rsidRPr="00231CF4" w14:paraId="4041127E" w14:textId="77777777" w:rsidTr="00231CF4">
        <w:trPr>
          <w:trHeight w:val="290"/>
          <w:jc w:val="center"/>
        </w:trPr>
        <w:tc>
          <w:tcPr>
            <w:tcW w:w="7130" w:type="dxa"/>
            <w:tcBorders>
              <w:top w:val="single" w:sz="4" w:space="0" w:color="auto"/>
              <w:left w:val="single" w:sz="4" w:space="0" w:color="auto"/>
              <w:bottom w:val="single" w:sz="4" w:space="0" w:color="auto"/>
              <w:right w:val="single" w:sz="4" w:space="0" w:color="auto"/>
            </w:tcBorders>
            <w:vAlign w:val="center"/>
          </w:tcPr>
          <w:p w14:paraId="4041127C"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B. Opciones para reuniones consecutivas del OSACTT+OSA (11 días en Montreal) en 2024:</w:t>
            </w:r>
          </w:p>
        </w:tc>
        <w:tc>
          <w:tcPr>
            <w:tcW w:w="1730" w:type="dxa"/>
            <w:tcBorders>
              <w:top w:val="single" w:sz="4" w:space="0" w:color="auto"/>
              <w:left w:val="nil"/>
              <w:bottom w:val="single" w:sz="4" w:space="0" w:color="auto"/>
              <w:right w:val="single" w:sz="4" w:space="0" w:color="auto"/>
            </w:tcBorders>
            <w:noWrap/>
            <w:vAlign w:val="bottom"/>
          </w:tcPr>
          <w:p w14:paraId="4041127D" w14:textId="77777777" w:rsidR="002F3255" w:rsidRPr="00231CF4" w:rsidRDefault="002F3255">
            <w:pPr>
              <w:jc w:val="right"/>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 xml:space="preserve">Dólares </w:t>
            </w:r>
            <w:proofErr w:type="gramStart"/>
            <w:r w:rsidRPr="00231CF4">
              <w:rPr>
                <w:rFonts w:asciiTheme="minorHAnsi" w:eastAsia="Times New Roman" w:hAnsiTheme="minorHAnsi" w:cstheme="minorHAnsi"/>
                <w:b/>
                <w:bCs/>
                <w:color w:val="000000"/>
                <w:sz w:val="18"/>
                <w:szCs w:val="18"/>
                <w:lang w:val="es-ES"/>
              </w:rPr>
              <w:t>EE.UU.</w:t>
            </w:r>
            <w:proofErr w:type="gramEnd"/>
          </w:p>
        </w:tc>
      </w:tr>
      <w:tr w:rsidR="002F3255" w:rsidRPr="00231CF4" w14:paraId="40411281" w14:textId="77777777" w:rsidTr="00231CF4">
        <w:trPr>
          <w:trHeight w:val="460"/>
          <w:jc w:val="center"/>
        </w:trPr>
        <w:tc>
          <w:tcPr>
            <w:tcW w:w="7130" w:type="dxa"/>
            <w:tcBorders>
              <w:top w:val="nil"/>
              <w:left w:val="single" w:sz="4" w:space="0" w:color="auto"/>
              <w:bottom w:val="single" w:sz="4" w:space="0" w:color="auto"/>
              <w:right w:val="single" w:sz="4" w:space="0" w:color="auto"/>
            </w:tcBorders>
            <w:vAlign w:val="center"/>
          </w:tcPr>
          <w:p w14:paraId="4041127F"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 xml:space="preserve">Apoyo para que </w:t>
            </w:r>
            <w:r w:rsidRPr="00231CF4">
              <w:rPr>
                <w:rFonts w:asciiTheme="minorHAnsi" w:eastAsia="Times New Roman" w:hAnsiTheme="minorHAnsi" w:cstheme="minorHAnsi"/>
                <w:b/>
                <w:bCs/>
                <w:color w:val="000000"/>
                <w:sz w:val="18"/>
                <w:szCs w:val="18"/>
                <w:lang w:val="es-ES"/>
              </w:rPr>
              <w:t>un delegado</w:t>
            </w:r>
            <w:r w:rsidRPr="00231CF4">
              <w:rPr>
                <w:rFonts w:asciiTheme="minorHAnsi" w:eastAsia="Times New Roman" w:hAnsiTheme="minorHAnsi" w:cstheme="minorHAnsi"/>
                <w:color w:val="000000"/>
                <w:sz w:val="18"/>
                <w:szCs w:val="18"/>
                <w:lang w:val="es-ES"/>
              </w:rPr>
              <w:t xml:space="preserve"> de cada Parte que reúne las condiciones participe en reuniones (consecutivas) por un total de 11 días (6 días del OSACTT y 5 días del OSA), celebradas en Montreal </w:t>
            </w:r>
          </w:p>
        </w:tc>
        <w:tc>
          <w:tcPr>
            <w:tcW w:w="1730" w:type="dxa"/>
            <w:tcBorders>
              <w:top w:val="nil"/>
              <w:left w:val="nil"/>
              <w:bottom w:val="single" w:sz="4" w:space="0" w:color="auto"/>
              <w:right w:val="single" w:sz="4" w:space="0" w:color="auto"/>
            </w:tcBorders>
            <w:noWrap/>
            <w:vAlign w:val="bottom"/>
          </w:tcPr>
          <w:p w14:paraId="40411280"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003</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400</w:t>
            </w:r>
          </w:p>
        </w:tc>
      </w:tr>
      <w:tr w:rsidR="002F3255" w:rsidRPr="00231CF4" w14:paraId="40411284" w14:textId="77777777" w:rsidTr="00231CF4">
        <w:trPr>
          <w:trHeight w:val="460"/>
          <w:jc w:val="center"/>
        </w:trPr>
        <w:tc>
          <w:tcPr>
            <w:tcW w:w="7130" w:type="dxa"/>
            <w:tcBorders>
              <w:top w:val="nil"/>
              <w:left w:val="single" w:sz="4" w:space="0" w:color="auto"/>
              <w:bottom w:val="single" w:sz="4" w:space="0" w:color="auto"/>
              <w:right w:val="single" w:sz="4" w:space="0" w:color="auto"/>
            </w:tcBorders>
            <w:vAlign w:val="center"/>
          </w:tcPr>
          <w:p w14:paraId="40411282"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 xml:space="preserve">Apoyo para que </w:t>
            </w:r>
            <w:r w:rsidRPr="00231CF4">
              <w:rPr>
                <w:rFonts w:asciiTheme="minorHAnsi" w:eastAsia="Times New Roman" w:hAnsiTheme="minorHAnsi" w:cstheme="minorHAnsi"/>
                <w:b/>
                <w:bCs/>
                <w:color w:val="000000"/>
                <w:sz w:val="18"/>
                <w:szCs w:val="18"/>
                <w:lang w:val="es-ES"/>
              </w:rPr>
              <w:t>dos delegados</w:t>
            </w:r>
            <w:r w:rsidRPr="00231CF4">
              <w:rPr>
                <w:rFonts w:asciiTheme="minorHAnsi" w:eastAsia="Times New Roman" w:hAnsiTheme="minorHAnsi" w:cstheme="minorHAnsi"/>
                <w:color w:val="000000"/>
                <w:sz w:val="18"/>
                <w:szCs w:val="18"/>
                <w:lang w:val="es-ES"/>
              </w:rPr>
              <w:t xml:space="preserve"> de cada Parte que reúne las condiciones participe en reuniones (consecutivas) por un total de 11 días (6 días del OSACTT y 5 días del OSA), celebradas en Montreal </w:t>
            </w:r>
          </w:p>
        </w:tc>
        <w:tc>
          <w:tcPr>
            <w:tcW w:w="1730" w:type="dxa"/>
            <w:tcBorders>
              <w:top w:val="nil"/>
              <w:left w:val="nil"/>
              <w:bottom w:val="single" w:sz="4" w:space="0" w:color="auto"/>
              <w:right w:val="single" w:sz="4" w:space="0" w:color="auto"/>
            </w:tcBorders>
            <w:noWrap/>
            <w:vAlign w:val="bottom"/>
          </w:tcPr>
          <w:p w14:paraId="40411283"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2</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006</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800</w:t>
            </w:r>
          </w:p>
        </w:tc>
      </w:tr>
    </w:tbl>
    <w:p w14:paraId="40411285" w14:textId="77777777" w:rsidR="002F3255" w:rsidRPr="005978DF" w:rsidRDefault="002F3255">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sz w:val="22"/>
          <w:szCs w:val="22"/>
          <w:lang w:val="es-ES"/>
        </w:rPr>
      </w:pPr>
      <w:r w:rsidRPr="005978DF">
        <w:rPr>
          <w:rFonts w:eastAsia="Times New Roman"/>
          <w:sz w:val="22"/>
          <w:szCs w:val="22"/>
          <w:lang w:val="es-ES"/>
        </w:rPr>
        <w:lastRenderedPageBreak/>
        <w:t>Cuadro 8 c)</w:t>
      </w:r>
    </w:p>
    <w:tbl>
      <w:tblPr>
        <w:tblW w:w="8860" w:type="dxa"/>
        <w:jc w:val="center"/>
        <w:tblLayout w:type="fixed"/>
        <w:tblLook w:val="00A0" w:firstRow="1" w:lastRow="0" w:firstColumn="1" w:lastColumn="0" w:noHBand="0" w:noVBand="0"/>
      </w:tblPr>
      <w:tblGrid>
        <w:gridCol w:w="7130"/>
        <w:gridCol w:w="1730"/>
      </w:tblGrid>
      <w:tr w:rsidR="002F3255" w:rsidRPr="005978DF" w14:paraId="40411288" w14:textId="77777777" w:rsidTr="00231CF4">
        <w:trPr>
          <w:trHeight w:val="290"/>
          <w:jc w:val="center"/>
        </w:trPr>
        <w:tc>
          <w:tcPr>
            <w:tcW w:w="7130" w:type="dxa"/>
            <w:tcBorders>
              <w:top w:val="single" w:sz="4" w:space="0" w:color="auto"/>
              <w:left w:val="single" w:sz="4" w:space="0" w:color="auto"/>
              <w:bottom w:val="single" w:sz="4" w:space="0" w:color="auto"/>
              <w:right w:val="single" w:sz="4" w:space="0" w:color="auto"/>
            </w:tcBorders>
            <w:vAlign w:val="center"/>
          </w:tcPr>
          <w:p w14:paraId="40411286" w14:textId="77777777" w:rsidR="002F3255" w:rsidRPr="00231CF4" w:rsidRDefault="002F3255">
            <w:pPr>
              <w:keepNext/>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C. Opciones de la COP-16 (14 días si es en Estambul):</w:t>
            </w:r>
          </w:p>
        </w:tc>
        <w:tc>
          <w:tcPr>
            <w:tcW w:w="1730" w:type="dxa"/>
            <w:tcBorders>
              <w:top w:val="single" w:sz="4" w:space="0" w:color="auto"/>
              <w:left w:val="nil"/>
              <w:bottom w:val="single" w:sz="4" w:space="0" w:color="auto"/>
              <w:right w:val="single" w:sz="4" w:space="0" w:color="auto"/>
            </w:tcBorders>
            <w:noWrap/>
            <w:vAlign w:val="bottom"/>
          </w:tcPr>
          <w:p w14:paraId="40411287" w14:textId="77777777" w:rsidR="002F3255" w:rsidRPr="00231CF4" w:rsidRDefault="002F3255">
            <w:pPr>
              <w:keepNext/>
              <w:jc w:val="right"/>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 xml:space="preserve">Dólares </w:t>
            </w:r>
            <w:proofErr w:type="gramStart"/>
            <w:r w:rsidRPr="00231CF4">
              <w:rPr>
                <w:rFonts w:asciiTheme="minorHAnsi" w:eastAsia="Times New Roman" w:hAnsiTheme="minorHAnsi" w:cstheme="minorHAnsi"/>
                <w:b/>
                <w:bCs/>
                <w:color w:val="000000"/>
                <w:sz w:val="18"/>
                <w:szCs w:val="18"/>
                <w:lang w:val="es-ES"/>
              </w:rPr>
              <w:t>EE.UU.</w:t>
            </w:r>
            <w:proofErr w:type="gramEnd"/>
          </w:p>
        </w:tc>
      </w:tr>
      <w:tr w:rsidR="002F3255" w:rsidRPr="005978DF" w14:paraId="4041128B" w14:textId="77777777" w:rsidTr="00231CF4">
        <w:trPr>
          <w:trHeight w:val="480"/>
          <w:jc w:val="center"/>
        </w:trPr>
        <w:tc>
          <w:tcPr>
            <w:tcW w:w="7130" w:type="dxa"/>
            <w:tcBorders>
              <w:top w:val="nil"/>
              <w:left w:val="single" w:sz="4" w:space="0" w:color="auto"/>
              <w:bottom w:val="single" w:sz="4" w:space="0" w:color="auto"/>
              <w:right w:val="single" w:sz="4" w:space="0" w:color="auto"/>
            </w:tcBorders>
            <w:vAlign w:val="center"/>
          </w:tcPr>
          <w:p w14:paraId="40411289" w14:textId="77777777" w:rsidR="002F3255" w:rsidRPr="00231CF4" w:rsidRDefault="002F3255">
            <w:pPr>
              <w:keepNext/>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 xml:space="preserve">Apoyo para que </w:t>
            </w:r>
            <w:r w:rsidRPr="00231CF4">
              <w:rPr>
                <w:rFonts w:asciiTheme="minorHAnsi" w:eastAsia="Times New Roman" w:hAnsiTheme="minorHAnsi" w:cstheme="minorHAnsi"/>
                <w:b/>
                <w:bCs/>
                <w:color w:val="000000"/>
                <w:sz w:val="18"/>
                <w:szCs w:val="18"/>
                <w:lang w:val="es-ES"/>
              </w:rPr>
              <w:t>dos delegados</w:t>
            </w:r>
            <w:r w:rsidRPr="00231CF4">
              <w:rPr>
                <w:rFonts w:asciiTheme="minorHAnsi" w:eastAsia="Times New Roman" w:hAnsiTheme="minorHAnsi" w:cstheme="minorHAnsi"/>
                <w:color w:val="000000"/>
                <w:sz w:val="18"/>
                <w:szCs w:val="18"/>
                <w:lang w:val="es-ES"/>
              </w:rPr>
              <w:t xml:space="preserve"> de cada Parte que reúne las condiciones participe en una reunión de dos semanas celebrada en Estambul</w:t>
            </w:r>
          </w:p>
        </w:tc>
        <w:tc>
          <w:tcPr>
            <w:tcW w:w="1730" w:type="dxa"/>
            <w:tcBorders>
              <w:top w:val="nil"/>
              <w:left w:val="nil"/>
              <w:bottom w:val="single" w:sz="4" w:space="0" w:color="auto"/>
              <w:right w:val="single" w:sz="4" w:space="0" w:color="auto"/>
            </w:tcBorders>
            <w:noWrap/>
            <w:vAlign w:val="bottom"/>
          </w:tcPr>
          <w:p w14:paraId="4041128A" w14:textId="77777777" w:rsidR="002F3255" w:rsidRPr="00231CF4" w:rsidRDefault="002F3255">
            <w:pPr>
              <w:keepNext/>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747</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700</w:t>
            </w:r>
          </w:p>
        </w:tc>
      </w:tr>
      <w:tr w:rsidR="002F3255" w:rsidRPr="005978DF" w14:paraId="4041128E" w14:textId="77777777" w:rsidTr="00231CF4">
        <w:trPr>
          <w:trHeight w:val="540"/>
          <w:jc w:val="center"/>
        </w:trPr>
        <w:tc>
          <w:tcPr>
            <w:tcW w:w="7130" w:type="dxa"/>
            <w:tcBorders>
              <w:top w:val="nil"/>
              <w:left w:val="single" w:sz="4" w:space="0" w:color="auto"/>
              <w:bottom w:val="single" w:sz="4" w:space="0" w:color="auto"/>
              <w:right w:val="single" w:sz="4" w:space="0" w:color="auto"/>
            </w:tcBorders>
            <w:vAlign w:val="center"/>
          </w:tcPr>
          <w:p w14:paraId="4041128C"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 xml:space="preserve">Apoyo para que </w:t>
            </w:r>
            <w:r w:rsidRPr="00231CF4">
              <w:rPr>
                <w:rFonts w:asciiTheme="minorHAnsi" w:eastAsia="Times New Roman" w:hAnsiTheme="minorHAnsi" w:cstheme="minorHAnsi"/>
                <w:b/>
                <w:bCs/>
                <w:color w:val="000000"/>
                <w:sz w:val="18"/>
                <w:szCs w:val="18"/>
                <w:lang w:val="es-ES"/>
              </w:rPr>
              <w:t>tres delegados</w:t>
            </w:r>
            <w:r w:rsidRPr="00231CF4">
              <w:rPr>
                <w:rFonts w:asciiTheme="minorHAnsi" w:eastAsia="Times New Roman" w:hAnsiTheme="minorHAnsi" w:cstheme="minorHAnsi"/>
                <w:color w:val="000000"/>
                <w:sz w:val="18"/>
                <w:szCs w:val="18"/>
                <w:lang w:val="es-ES"/>
              </w:rPr>
              <w:t xml:space="preserve"> de cada Parte que reúne las condiciones participe en una reunión de dos semanas celebrada en Estambul</w:t>
            </w:r>
          </w:p>
        </w:tc>
        <w:tc>
          <w:tcPr>
            <w:tcW w:w="1730" w:type="dxa"/>
            <w:tcBorders>
              <w:top w:val="nil"/>
              <w:left w:val="nil"/>
              <w:bottom w:val="single" w:sz="4" w:space="0" w:color="auto"/>
              <w:right w:val="single" w:sz="4" w:space="0" w:color="auto"/>
            </w:tcBorders>
            <w:noWrap/>
            <w:vAlign w:val="bottom"/>
          </w:tcPr>
          <w:p w14:paraId="4041128D"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2</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621</w:t>
            </w:r>
            <w:r w:rsid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500</w:t>
            </w:r>
          </w:p>
        </w:tc>
      </w:tr>
    </w:tbl>
    <w:p w14:paraId="4041128F"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Cabe señalar que estas estimaciones de gastos incluyen los gastos de apoyo a proyecto</w:t>
      </w:r>
      <w:r w:rsidR="00FE65FB">
        <w:rPr>
          <w:rFonts w:eastAsia="Times New Roman"/>
          <w:sz w:val="22"/>
          <w:szCs w:val="22"/>
          <w:lang w:val="es-ES"/>
        </w:rPr>
        <w:t>s</w:t>
      </w:r>
      <w:r w:rsidRPr="005978DF">
        <w:rPr>
          <w:rFonts w:eastAsia="Times New Roman"/>
          <w:sz w:val="22"/>
          <w:szCs w:val="22"/>
          <w:lang w:val="es-ES"/>
        </w:rPr>
        <w:t xml:space="preserve">, según lo estipulado en las normas de las Naciones Unidas. No </w:t>
      </w:r>
      <w:proofErr w:type="gramStart"/>
      <w:r w:rsidRPr="005978DF">
        <w:rPr>
          <w:rFonts w:eastAsia="Times New Roman"/>
          <w:sz w:val="22"/>
          <w:szCs w:val="22"/>
          <w:lang w:val="es-ES"/>
        </w:rPr>
        <w:t>obstante</w:t>
      </w:r>
      <w:proofErr w:type="gramEnd"/>
      <w:r w:rsidRPr="005978DF">
        <w:rPr>
          <w:rFonts w:eastAsia="Times New Roman"/>
          <w:sz w:val="22"/>
          <w:szCs w:val="22"/>
          <w:lang w:val="es-ES"/>
        </w:rPr>
        <w:t xml:space="preserve"> la resolución 2/18</w:t>
      </w:r>
      <w:r w:rsidRPr="005978DF">
        <w:rPr>
          <w:rStyle w:val="FootnoteReference"/>
          <w:rFonts w:eastAsia="Times New Roman"/>
          <w:lang w:val="es-ES"/>
        </w:rPr>
        <w:footnoteReference w:id="3"/>
      </w:r>
      <w:r w:rsidRPr="005978DF">
        <w:rPr>
          <w:rFonts w:eastAsia="Times New Roman"/>
          <w:sz w:val="22"/>
          <w:szCs w:val="22"/>
          <w:lang w:val="es-ES"/>
        </w:rPr>
        <w:t xml:space="preserve"> de la Asamblea de las Naciones Unidas sobre el Medio Ambiente del PNUMA, la Contraloría de las Naciones Unidas informó al PNUMA que no se aprobarían las solicitudes de exención de gastos de apoyo a los programas para las contribuciones de donantes que apoyen los viajes de participantes de países en desarrollo a las reuniones.</w:t>
      </w:r>
    </w:p>
    <w:p w14:paraId="40411290"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Conferencia de las Partes también pidió a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en el párrafo</w:t>
      </w:r>
      <w:r w:rsidR="00FE65FB">
        <w:rPr>
          <w:rFonts w:eastAsia="Times New Roman"/>
          <w:sz w:val="22"/>
          <w:szCs w:val="22"/>
          <w:lang w:val="es-ES"/>
        </w:rPr>
        <w:t> </w:t>
      </w:r>
      <w:r w:rsidRPr="005978DF">
        <w:rPr>
          <w:rFonts w:eastAsia="Times New Roman"/>
          <w:sz w:val="22"/>
          <w:szCs w:val="22"/>
          <w:lang w:val="es-ES"/>
        </w:rPr>
        <w:t>37 de la decisión</w:t>
      </w:r>
      <w:r w:rsidR="00FE65FB">
        <w:rPr>
          <w:rFonts w:eastAsia="Times New Roman"/>
          <w:sz w:val="22"/>
          <w:szCs w:val="22"/>
          <w:lang w:val="es-ES"/>
        </w:rPr>
        <w:t> </w:t>
      </w:r>
      <w:r w:rsidRPr="005978DF">
        <w:rPr>
          <w:rFonts w:eastAsia="Times New Roman"/>
          <w:sz w:val="22"/>
          <w:szCs w:val="22"/>
          <w:lang w:val="es-ES"/>
        </w:rPr>
        <w:t>14/37, que presentara a la COP-15</w:t>
      </w:r>
      <w:r w:rsidR="00FE65FB">
        <w:rPr>
          <w:rFonts w:eastAsia="Times New Roman"/>
          <w:sz w:val="22"/>
          <w:szCs w:val="22"/>
          <w:lang w:val="es-ES"/>
        </w:rPr>
        <w:t>,</w:t>
      </w:r>
      <w:r w:rsidRPr="005978DF">
        <w:rPr>
          <w:rFonts w:eastAsia="Times New Roman"/>
          <w:sz w:val="22"/>
          <w:szCs w:val="22"/>
          <w:lang w:val="es-ES"/>
        </w:rPr>
        <w:t xml:space="preserve"> para su adopción</w:t>
      </w:r>
      <w:r w:rsidR="00FE65FB">
        <w:rPr>
          <w:rFonts w:eastAsia="Times New Roman"/>
          <w:sz w:val="22"/>
          <w:szCs w:val="22"/>
          <w:lang w:val="es-ES"/>
        </w:rPr>
        <w:t>,</w:t>
      </w:r>
      <w:r w:rsidRPr="005978DF">
        <w:rPr>
          <w:rFonts w:eastAsia="Times New Roman"/>
          <w:sz w:val="22"/>
          <w:szCs w:val="22"/>
          <w:lang w:val="es-ES"/>
        </w:rPr>
        <w:t xml:space="preserve"> una propuesta de revisión de la estructura y reglas relacionadas con el Fondo Fiduciario BZ que se adoptaron en la novena reunión de la Conferencia de las Partes para hacer frente al problema constante de la falta de financiación predecible y sostenible. E</w:t>
      </w:r>
      <w:r w:rsidR="00FE65FB" w:rsidRPr="005978DF">
        <w:rPr>
          <w:rFonts w:eastAsia="Times New Roman"/>
          <w:sz w:val="22"/>
          <w:szCs w:val="22"/>
          <w:lang w:val="es-ES"/>
        </w:rPr>
        <w:t>n el documento CBD/SBI/15/7/Add.1</w:t>
      </w:r>
      <w:r w:rsidR="00FE65FB">
        <w:rPr>
          <w:rFonts w:eastAsia="Times New Roman"/>
          <w:sz w:val="22"/>
          <w:szCs w:val="22"/>
          <w:lang w:val="es-ES"/>
        </w:rPr>
        <w:t xml:space="preserve"> </w:t>
      </w:r>
      <w:r w:rsidRPr="005978DF">
        <w:rPr>
          <w:rFonts w:eastAsia="Times New Roman"/>
          <w:sz w:val="22"/>
          <w:szCs w:val="22"/>
          <w:lang w:val="es-ES"/>
        </w:rPr>
        <w:t>se brinda</w:t>
      </w:r>
      <w:r w:rsidR="00FE65FB" w:rsidRPr="00FE65FB">
        <w:rPr>
          <w:rFonts w:eastAsia="Times New Roman"/>
          <w:sz w:val="22"/>
          <w:szCs w:val="22"/>
          <w:lang w:val="es-ES"/>
        </w:rPr>
        <w:t xml:space="preserve"> </w:t>
      </w:r>
      <w:r w:rsidR="00FE65FB" w:rsidRPr="005978DF">
        <w:rPr>
          <w:rFonts w:eastAsia="Times New Roman"/>
          <w:sz w:val="22"/>
          <w:szCs w:val="22"/>
          <w:lang w:val="es-ES"/>
        </w:rPr>
        <w:t>informe al respecto</w:t>
      </w:r>
      <w:r w:rsidRPr="005978DF">
        <w:rPr>
          <w:rFonts w:eastAsia="Times New Roman"/>
          <w:sz w:val="22"/>
          <w:szCs w:val="22"/>
          <w:lang w:val="es-ES"/>
        </w:rPr>
        <w:t>.</w:t>
      </w:r>
    </w:p>
    <w:p w14:paraId="40411291"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Con respecto al Fondo Fiduciario Voluntario Especial para Facilitar la Participación de las Comunidades Indígenas y Locales (VB), la Secretaría estimó que se necesitará un monto de 455</w:t>
      </w:r>
      <w:r w:rsidR="00FE65FB">
        <w:rPr>
          <w:rFonts w:eastAsia="Times New Roman"/>
          <w:sz w:val="22"/>
          <w:szCs w:val="22"/>
          <w:lang w:val="es-ES"/>
        </w:rPr>
        <w:t> </w:t>
      </w:r>
      <w:r w:rsidRPr="005978DF">
        <w:rPr>
          <w:rFonts w:eastAsia="Times New Roman"/>
          <w:sz w:val="22"/>
          <w:szCs w:val="22"/>
          <w:lang w:val="es-ES"/>
        </w:rPr>
        <w:t>200</w:t>
      </w:r>
      <w:r w:rsidR="00FE65FB">
        <w:rPr>
          <w:rFonts w:eastAsia="Times New Roman"/>
          <w:sz w:val="22"/>
          <w:szCs w:val="22"/>
          <w:lang w:val="es-ES"/>
        </w:rPr>
        <w:t> </w:t>
      </w:r>
      <w:r w:rsidRPr="005978DF">
        <w:rPr>
          <w:rFonts w:eastAsia="Times New Roman"/>
          <w:sz w:val="22"/>
          <w:szCs w:val="22"/>
          <w:lang w:val="es-ES"/>
        </w:rPr>
        <w:t xml:space="preserve">dólares para garantizar la participación de </w:t>
      </w:r>
      <w:r w:rsidR="00FE65FB">
        <w:rPr>
          <w:rFonts w:eastAsia="Times New Roman"/>
          <w:sz w:val="22"/>
          <w:szCs w:val="22"/>
          <w:lang w:val="es-ES"/>
        </w:rPr>
        <w:t xml:space="preserve">los </w:t>
      </w:r>
      <w:r w:rsidRPr="005978DF">
        <w:rPr>
          <w:rFonts w:eastAsia="Times New Roman"/>
          <w:sz w:val="22"/>
          <w:szCs w:val="22"/>
          <w:lang w:val="es-ES"/>
        </w:rPr>
        <w:t>pueblos indígenas y</w:t>
      </w:r>
      <w:r w:rsidR="00FE65FB">
        <w:rPr>
          <w:rFonts w:eastAsia="Times New Roman"/>
          <w:sz w:val="22"/>
          <w:szCs w:val="22"/>
          <w:lang w:val="es-ES"/>
        </w:rPr>
        <w:t xml:space="preserve"> las</w:t>
      </w:r>
      <w:r w:rsidRPr="005978DF">
        <w:rPr>
          <w:rFonts w:eastAsia="Times New Roman"/>
          <w:sz w:val="22"/>
          <w:szCs w:val="22"/>
          <w:lang w:val="es-ES"/>
        </w:rPr>
        <w:t xml:space="preserve"> comunidades locales, en representación de las regiones indígenas de África, Asia, el Ártico, Europa Central y del Este (ECE), América del Norte, América Latina y el Caribe y el Pacífico, en reuniones de vital importancia para ellos, en particular las del Grupo Especial de Trabajo de Composición Abierta sobre el Artículo 8 j) y Disposiciones Conexas, así como en las deliberaciones referidas al Protocolo de Nagoya sobre Acceso y Participación en los Beneficios, el OSA, el OSACTT y la COP-16, como puede observarse en los siguientes cuadros.</w:t>
      </w:r>
    </w:p>
    <w:p w14:paraId="40411292" w14:textId="77777777" w:rsidR="002F3255" w:rsidRPr="005978DF" w:rsidRDefault="002F3255">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imes New Roman"/>
          <w:b/>
          <w:bCs/>
          <w:sz w:val="22"/>
          <w:szCs w:val="22"/>
          <w:lang w:val="es-ES"/>
        </w:rPr>
      </w:pPr>
      <w:r w:rsidRPr="005978DF">
        <w:rPr>
          <w:rFonts w:eastAsia="Times New Roman"/>
          <w:b/>
          <w:bCs/>
          <w:sz w:val="22"/>
          <w:szCs w:val="22"/>
          <w:lang w:val="es-ES"/>
        </w:rPr>
        <w:t xml:space="preserve">Cuadro 9. Monto estimado para la participación de </w:t>
      </w:r>
      <w:r w:rsidR="00FE65FB">
        <w:rPr>
          <w:rFonts w:eastAsia="Times New Roman"/>
          <w:b/>
          <w:bCs/>
          <w:sz w:val="22"/>
          <w:szCs w:val="22"/>
          <w:lang w:val="es-ES"/>
        </w:rPr>
        <w:t xml:space="preserve">los </w:t>
      </w:r>
      <w:r w:rsidRPr="005978DF">
        <w:rPr>
          <w:rFonts w:eastAsia="Times New Roman"/>
          <w:b/>
          <w:bCs/>
          <w:sz w:val="22"/>
          <w:szCs w:val="22"/>
          <w:lang w:val="es-ES"/>
        </w:rPr>
        <w:t>pueblos indígenas y</w:t>
      </w:r>
      <w:r w:rsidR="00FE65FB">
        <w:rPr>
          <w:rFonts w:eastAsia="Times New Roman"/>
          <w:b/>
          <w:bCs/>
          <w:sz w:val="22"/>
          <w:szCs w:val="22"/>
          <w:lang w:val="es-ES"/>
        </w:rPr>
        <w:t xml:space="preserve"> las</w:t>
      </w:r>
      <w:r w:rsidRPr="005978DF">
        <w:rPr>
          <w:rFonts w:eastAsia="Times New Roman"/>
          <w:b/>
          <w:bCs/>
          <w:sz w:val="22"/>
          <w:szCs w:val="22"/>
          <w:lang w:val="es-ES"/>
        </w:rPr>
        <w:t xml:space="preserve"> comunidades locales en las reuniones</w:t>
      </w:r>
    </w:p>
    <w:tbl>
      <w:tblPr>
        <w:tblW w:w="8860" w:type="dxa"/>
        <w:jc w:val="center"/>
        <w:tblLayout w:type="fixed"/>
        <w:tblLook w:val="00A0" w:firstRow="1" w:lastRow="0" w:firstColumn="1" w:lastColumn="0" w:noHBand="0" w:noVBand="0"/>
      </w:tblPr>
      <w:tblGrid>
        <w:gridCol w:w="6799"/>
        <w:gridCol w:w="2061"/>
      </w:tblGrid>
      <w:tr w:rsidR="002F3255" w:rsidRPr="00231CF4" w14:paraId="40411295" w14:textId="77777777">
        <w:trPr>
          <w:trHeight w:val="290"/>
          <w:jc w:val="center"/>
        </w:trPr>
        <w:tc>
          <w:tcPr>
            <w:tcW w:w="6799" w:type="dxa"/>
            <w:tcBorders>
              <w:top w:val="single" w:sz="4" w:space="0" w:color="auto"/>
              <w:left w:val="single" w:sz="4" w:space="0" w:color="auto"/>
              <w:bottom w:val="single" w:sz="4" w:space="0" w:color="auto"/>
              <w:right w:val="single" w:sz="4" w:space="0" w:color="auto"/>
            </w:tcBorders>
            <w:vAlign w:val="center"/>
          </w:tcPr>
          <w:p w14:paraId="40411293" w14:textId="77777777" w:rsidR="002F3255" w:rsidRPr="00231CF4" w:rsidRDefault="002F3255">
            <w:pPr>
              <w:rPr>
                <w:rFonts w:asciiTheme="minorHAnsi" w:eastAsia="Times New Roman" w:hAnsiTheme="minorHAnsi" w:cstheme="minorHAnsi"/>
                <w:b/>
                <w:bCs/>
                <w:color w:val="000000"/>
                <w:sz w:val="18"/>
                <w:szCs w:val="18"/>
                <w:lang w:val="es-ES"/>
              </w:rPr>
            </w:pPr>
          </w:p>
        </w:tc>
        <w:tc>
          <w:tcPr>
            <w:tcW w:w="2061" w:type="dxa"/>
            <w:tcBorders>
              <w:top w:val="single" w:sz="4" w:space="0" w:color="auto"/>
              <w:left w:val="nil"/>
              <w:bottom w:val="single" w:sz="4" w:space="0" w:color="auto"/>
              <w:right w:val="single" w:sz="4" w:space="0" w:color="auto"/>
            </w:tcBorders>
            <w:noWrap/>
            <w:vAlign w:val="bottom"/>
          </w:tcPr>
          <w:p w14:paraId="40411294" w14:textId="77777777" w:rsidR="002F3255" w:rsidRPr="00231CF4" w:rsidRDefault="002F3255">
            <w:pPr>
              <w:jc w:val="right"/>
              <w:rPr>
                <w:rFonts w:asciiTheme="minorHAnsi" w:eastAsia="Times New Roman" w:hAnsiTheme="minorHAnsi" w:cstheme="minorHAnsi"/>
                <w:lang w:val="es-ES"/>
              </w:rPr>
            </w:pPr>
            <w:r w:rsidRPr="00231CF4">
              <w:rPr>
                <w:rFonts w:asciiTheme="minorHAnsi" w:eastAsia="Times New Roman" w:hAnsiTheme="minorHAnsi" w:cstheme="minorHAnsi"/>
                <w:b/>
                <w:bCs/>
                <w:color w:val="000000"/>
                <w:sz w:val="18"/>
                <w:szCs w:val="18"/>
                <w:lang w:val="es-ES"/>
              </w:rPr>
              <w:t xml:space="preserve">Dólares </w:t>
            </w:r>
            <w:proofErr w:type="gramStart"/>
            <w:r w:rsidRPr="00231CF4">
              <w:rPr>
                <w:rFonts w:asciiTheme="minorHAnsi" w:eastAsia="Times New Roman" w:hAnsiTheme="minorHAnsi" w:cstheme="minorHAnsi"/>
                <w:b/>
                <w:bCs/>
                <w:color w:val="000000"/>
                <w:sz w:val="18"/>
                <w:szCs w:val="18"/>
                <w:lang w:val="es-ES"/>
              </w:rPr>
              <w:t>EE.UU.</w:t>
            </w:r>
            <w:proofErr w:type="gramEnd"/>
          </w:p>
        </w:tc>
      </w:tr>
      <w:tr w:rsidR="002F3255" w:rsidRPr="00231CF4" w14:paraId="40411298" w14:textId="77777777">
        <w:trPr>
          <w:trHeight w:val="690"/>
          <w:jc w:val="center"/>
        </w:trPr>
        <w:tc>
          <w:tcPr>
            <w:tcW w:w="6799" w:type="dxa"/>
            <w:tcBorders>
              <w:top w:val="nil"/>
              <w:left w:val="single" w:sz="4" w:space="0" w:color="auto"/>
              <w:bottom w:val="single" w:sz="4" w:space="0" w:color="auto"/>
              <w:right w:val="single" w:sz="4" w:space="0" w:color="auto"/>
            </w:tcBorders>
            <w:vAlign w:val="center"/>
          </w:tcPr>
          <w:p w14:paraId="40411296"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sz w:val="18"/>
                <w:szCs w:val="18"/>
                <w:lang w:val="es-ES"/>
              </w:rPr>
              <w:t>Apoyo para que tres delegados de cada región que reúne las condiciones* participe en reuniones del OSACTT y el WG8J, por un total 8 días, celebradas en forma consecutiva en Montreal (promedio por región)</w:t>
            </w:r>
          </w:p>
        </w:tc>
        <w:tc>
          <w:tcPr>
            <w:tcW w:w="2061" w:type="dxa"/>
            <w:tcBorders>
              <w:top w:val="nil"/>
              <w:left w:val="nil"/>
              <w:bottom w:val="single" w:sz="4" w:space="0" w:color="auto"/>
              <w:right w:val="single" w:sz="4" w:space="0" w:color="auto"/>
            </w:tcBorders>
            <w:noWrap/>
            <w:vAlign w:val="bottom"/>
          </w:tcPr>
          <w:p w14:paraId="40411297"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115</w:t>
            </w:r>
            <w:r w:rsidR="00231CF4" w:rsidRP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300</w:t>
            </w:r>
          </w:p>
        </w:tc>
      </w:tr>
      <w:tr w:rsidR="002F3255" w:rsidRPr="00231CF4" w14:paraId="4041129B" w14:textId="77777777">
        <w:trPr>
          <w:trHeight w:val="690"/>
          <w:jc w:val="center"/>
        </w:trPr>
        <w:tc>
          <w:tcPr>
            <w:tcW w:w="6799" w:type="dxa"/>
            <w:tcBorders>
              <w:top w:val="nil"/>
              <w:left w:val="single" w:sz="4" w:space="0" w:color="auto"/>
              <w:bottom w:val="single" w:sz="4" w:space="0" w:color="auto"/>
              <w:right w:val="single" w:sz="4" w:space="0" w:color="auto"/>
            </w:tcBorders>
            <w:vAlign w:val="center"/>
          </w:tcPr>
          <w:p w14:paraId="40411299"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sz w:val="18"/>
                <w:szCs w:val="18"/>
                <w:lang w:val="es-ES"/>
              </w:rPr>
              <w:t>Apoyo para que dos delegados de cada región que reúne las condiciones* participe en reuniones del OSACTT y el OSA, por un total 11 días, celebradas en forma consecutiva en Montreal (promedio por región)</w:t>
            </w:r>
          </w:p>
        </w:tc>
        <w:tc>
          <w:tcPr>
            <w:tcW w:w="2061" w:type="dxa"/>
            <w:tcBorders>
              <w:top w:val="nil"/>
              <w:left w:val="nil"/>
              <w:bottom w:val="single" w:sz="4" w:space="0" w:color="auto"/>
              <w:right w:val="single" w:sz="4" w:space="0" w:color="auto"/>
            </w:tcBorders>
            <w:noWrap/>
            <w:vAlign w:val="bottom"/>
          </w:tcPr>
          <w:p w14:paraId="4041129A"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94</w:t>
            </w:r>
            <w:r w:rsidR="00231CF4" w:rsidRP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600</w:t>
            </w:r>
          </w:p>
        </w:tc>
      </w:tr>
      <w:tr w:rsidR="002F3255" w:rsidRPr="00231CF4" w14:paraId="4041129E" w14:textId="77777777">
        <w:trPr>
          <w:trHeight w:val="460"/>
          <w:jc w:val="center"/>
        </w:trPr>
        <w:tc>
          <w:tcPr>
            <w:tcW w:w="6799" w:type="dxa"/>
            <w:tcBorders>
              <w:top w:val="nil"/>
              <w:left w:val="single" w:sz="4" w:space="0" w:color="auto"/>
              <w:bottom w:val="single" w:sz="4" w:space="0" w:color="auto"/>
              <w:right w:val="single" w:sz="4" w:space="0" w:color="auto"/>
            </w:tcBorders>
            <w:vAlign w:val="center"/>
          </w:tcPr>
          <w:p w14:paraId="4041129C" w14:textId="77777777" w:rsidR="002F3255" w:rsidRPr="00231CF4" w:rsidRDefault="002F3255">
            <w:pPr>
              <w:rPr>
                <w:rFonts w:asciiTheme="minorHAnsi" w:eastAsia="Times New Roman" w:hAnsiTheme="minorHAnsi" w:cstheme="minorHAnsi"/>
                <w:lang w:val="es-ES"/>
              </w:rPr>
            </w:pPr>
            <w:r w:rsidRPr="00231CF4">
              <w:rPr>
                <w:rFonts w:asciiTheme="minorHAnsi" w:eastAsia="Times New Roman" w:hAnsiTheme="minorHAnsi" w:cstheme="minorHAnsi"/>
                <w:color w:val="000000"/>
                <w:sz w:val="18"/>
                <w:szCs w:val="18"/>
                <w:lang w:val="es-ES"/>
              </w:rPr>
              <w:t>Apoyo para que cinco delegados de cada región que reúne las condiciones* participe en una reunión de 14 días de la COP-16 en Estambul (promedio por región)</w:t>
            </w:r>
          </w:p>
        </w:tc>
        <w:tc>
          <w:tcPr>
            <w:tcW w:w="2061" w:type="dxa"/>
            <w:tcBorders>
              <w:top w:val="nil"/>
              <w:left w:val="nil"/>
              <w:bottom w:val="single" w:sz="4" w:space="0" w:color="auto"/>
              <w:right w:val="single" w:sz="4" w:space="0" w:color="auto"/>
            </w:tcBorders>
            <w:noWrap/>
            <w:vAlign w:val="bottom"/>
          </w:tcPr>
          <w:p w14:paraId="4041129D" w14:textId="77777777" w:rsidR="002F3255" w:rsidRPr="00231CF4" w:rsidRDefault="002F3255">
            <w:pPr>
              <w:jc w:val="right"/>
              <w:rPr>
                <w:rFonts w:asciiTheme="minorHAnsi" w:eastAsia="Times New Roman" w:hAnsiTheme="minorHAnsi" w:cstheme="minorHAnsi"/>
                <w:color w:val="000000"/>
                <w:sz w:val="18"/>
                <w:szCs w:val="18"/>
                <w:lang w:val="es-ES"/>
              </w:rPr>
            </w:pPr>
            <w:r w:rsidRPr="00231CF4">
              <w:rPr>
                <w:rFonts w:asciiTheme="minorHAnsi" w:eastAsia="Times New Roman" w:hAnsiTheme="minorHAnsi" w:cstheme="minorHAnsi"/>
                <w:color w:val="000000"/>
                <w:sz w:val="18"/>
                <w:szCs w:val="18"/>
                <w:lang w:val="es-ES"/>
              </w:rPr>
              <w:t>245</w:t>
            </w:r>
            <w:r w:rsidR="00231CF4" w:rsidRPr="00231CF4">
              <w:rPr>
                <w:rFonts w:asciiTheme="minorHAnsi" w:eastAsia="Times New Roman" w:hAnsiTheme="minorHAnsi" w:cstheme="minorHAnsi"/>
                <w:color w:val="000000"/>
                <w:sz w:val="18"/>
                <w:szCs w:val="18"/>
                <w:lang w:val="es-ES"/>
              </w:rPr>
              <w:t xml:space="preserve"> </w:t>
            </w:r>
            <w:r w:rsidRPr="00231CF4">
              <w:rPr>
                <w:rFonts w:asciiTheme="minorHAnsi" w:eastAsia="Times New Roman" w:hAnsiTheme="minorHAnsi" w:cstheme="minorHAnsi"/>
                <w:color w:val="000000"/>
                <w:sz w:val="18"/>
                <w:szCs w:val="18"/>
                <w:lang w:val="es-ES"/>
              </w:rPr>
              <w:t>300</w:t>
            </w:r>
          </w:p>
        </w:tc>
      </w:tr>
    </w:tbl>
    <w:p w14:paraId="4041129F" w14:textId="77777777" w:rsidR="002F3255" w:rsidRPr="00231CF4" w:rsidRDefault="002F3255">
      <w:pPr>
        <w:tabs>
          <w:tab w:val="left" w:pos="360"/>
          <w:tab w:val="left" w:pos="2693"/>
          <w:tab w:val="left" w:pos="3182"/>
          <w:tab w:val="left" w:pos="3658"/>
          <w:tab w:val="left" w:pos="4133"/>
          <w:tab w:val="left" w:pos="4622"/>
          <w:tab w:val="left" w:pos="5098"/>
          <w:tab w:val="left" w:pos="5573"/>
          <w:tab w:val="left" w:pos="6048"/>
        </w:tabs>
        <w:spacing w:before="120" w:after="240"/>
        <w:rPr>
          <w:rFonts w:asciiTheme="minorHAnsi" w:eastAsia="Times New Roman" w:hAnsiTheme="minorHAnsi" w:cstheme="minorHAnsi"/>
          <w:sz w:val="16"/>
          <w:szCs w:val="16"/>
          <w:lang w:val="es-ES"/>
        </w:rPr>
      </w:pPr>
      <w:r w:rsidRPr="00231CF4">
        <w:rPr>
          <w:rFonts w:asciiTheme="minorHAnsi" w:eastAsia="Times New Roman" w:hAnsiTheme="minorHAnsi" w:cstheme="minorHAnsi"/>
          <w:sz w:val="17"/>
          <w:szCs w:val="17"/>
          <w:lang w:val="es-ES"/>
        </w:rPr>
        <w:tab/>
      </w:r>
      <w:r w:rsidRPr="00231CF4">
        <w:rPr>
          <w:rFonts w:asciiTheme="minorHAnsi" w:eastAsia="Times New Roman" w:hAnsiTheme="minorHAnsi" w:cstheme="minorHAnsi"/>
          <w:sz w:val="16"/>
          <w:szCs w:val="16"/>
          <w:lang w:val="es-ES"/>
        </w:rPr>
        <w:t>* África, Asia, Ártico, ECE, América del Norte, América Latina y el Caribe, Pacífico</w:t>
      </w:r>
    </w:p>
    <w:p w14:paraId="404112A0"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Por otra parte, el Gobierno del Canadá, junto con la Provincia de Qu</w:t>
      </w:r>
      <w:r w:rsidR="0027390C">
        <w:rPr>
          <w:rFonts w:eastAsia="Times New Roman"/>
          <w:sz w:val="22"/>
          <w:szCs w:val="22"/>
          <w:lang w:val="es-ES"/>
        </w:rPr>
        <w:t>e</w:t>
      </w:r>
      <w:r w:rsidRPr="005978DF">
        <w:rPr>
          <w:rFonts w:eastAsia="Times New Roman"/>
          <w:sz w:val="22"/>
          <w:szCs w:val="22"/>
          <w:lang w:val="es-ES"/>
        </w:rPr>
        <w:t>bec, renovó su acuerdo de subvención de país anfitrión, que cubre el alquiler de las instalaciones y otros gastos asociados, incluidos los servicios públicos de las oficinas actuales de la Secretaría en Montreal (Canadá), con un valor estimado de 3</w:t>
      </w:r>
      <w:r w:rsidR="00FE65FB">
        <w:rPr>
          <w:rFonts w:eastAsia="Times New Roman"/>
          <w:sz w:val="22"/>
          <w:szCs w:val="22"/>
          <w:lang w:val="es-ES"/>
        </w:rPr>
        <w:t> </w:t>
      </w:r>
      <w:r w:rsidRPr="005978DF">
        <w:rPr>
          <w:rFonts w:eastAsia="Times New Roman"/>
          <w:sz w:val="22"/>
          <w:szCs w:val="22"/>
          <w:lang w:val="es-ES"/>
        </w:rPr>
        <w:t>755</w:t>
      </w:r>
      <w:r w:rsidR="00FE65FB">
        <w:rPr>
          <w:rFonts w:eastAsia="Times New Roman"/>
          <w:sz w:val="22"/>
          <w:szCs w:val="22"/>
          <w:lang w:val="es-ES"/>
        </w:rPr>
        <w:t> </w:t>
      </w:r>
      <w:r w:rsidRPr="005978DF">
        <w:rPr>
          <w:rFonts w:eastAsia="Times New Roman"/>
          <w:sz w:val="22"/>
          <w:szCs w:val="22"/>
          <w:lang w:val="es-ES"/>
        </w:rPr>
        <w:t>000</w:t>
      </w:r>
      <w:r w:rsidR="00FE65FB">
        <w:rPr>
          <w:rFonts w:eastAsia="Times New Roman"/>
          <w:sz w:val="22"/>
          <w:szCs w:val="22"/>
          <w:lang w:val="es-ES"/>
        </w:rPr>
        <w:t> </w:t>
      </w:r>
      <w:r w:rsidRPr="005978DF">
        <w:rPr>
          <w:rFonts w:eastAsia="Times New Roman"/>
          <w:sz w:val="22"/>
          <w:szCs w:val="22"/>
          <w:lang w:val="es-ES"/>
        </w:rPr>
        <w:t>dólares canadienses (aproximadamente 2</w:t>
      </w:r>
      <w:r w:rsidR="00FE65FB">
        <w:rPr>
          <w:rFonts w:eastAsia="Times New Roman"/>
          <w:sz w:val="22"/>
          <w:szCs w:val="22"/>
          <w:lang w:val="es-ES"/>
        </w:rPr>
        <w:t> </w:t>
      </w:r>
      <w:r w:rsidRPr="005978DF">
        <w:rPr>
          <w:rFonts w:eastAsia="Times New Roman"/>
          <w:sz w:val="22"/>
          <w:szCs w:val="22"/>
          <w:lang w:val="es-ES"/>
        </w:rPr>
        <w:t>918</w:t>
      </w:r>
      <w:r w:rsidR="00FE65FB">
        <w:rPr>
          <w:rFonts w:eastAsia="Times New Roman"/>
          <w:sz w:val="22"/>
          <w:szCs w:val="22"/>
          <w:lang w:val="es-ES"/>
        </w:rPr>
        <w:t> </w:t>
      </w:r>
      <w:r w:rsidRPr="005978DF">
        <w:rPr>
          <w:rFonts w:eastAsia="Times New Roman"/>
          <w:sz w:val="22"/>
          <w:szCs w:val="22"/>
          <w:lang w:val="es-ES"/>
        </w:rPr>
        <w:t>700</w:t>
      </w:r>
      <w:r w:rsidR="00FE65FB">
        <w:rPr>
          <w:rFonts w:eastAsia="Times New Roman"/>
          <w:sz w:val="22"/>
          <w:szCs w:val="22"/>
          <w:lang w:val="es-ES"/>
        </w:rPr>
        <w:t> </w:t>
      </w:r>
      <w:r w:rsidRPr="005978DF">
        <w:rPr>
          <w:rFonts w:eastAsia="Times New Roman"/>
          <w:sz w:val="22"/>
          <w:szCs w:val="22"/>
          <w:lang w:val="es-ES"/>
        </w:rPr>
        <w:t>dólares de los Estados Unidos) para el bienio 2023-2024, basado en el contrato de arrendamiento actual.</w:t>
      </w:r>
    </w:p>
    <w:p w14:paraId="404112A1" w14:textId="77777777" w:rsidR="002F3255" w:rsidRPr="005978DF" w:rsidRDefault="002F3255">
      <w:pPr>
        <w:pStyle w:val="Heading1"/>
        <w:rPr>
          <w:rFonts w:eastAsia="Times New Roman"/>
          <w:lang w:val="es-ES"/>
        </w:rPr>
      </w:pPr>
      <w:r w:rsidRPr="005978DF">
        <w:rPr>
          <w:rFonts w:eastAsia="Times New Roman"/>
          <w:lang w:val="es-ES"/>
        </w:rPr>
        <w:lastRenderedPageBreak/>
        <w:t>III.</w:t>
      </w:r>
      <w:r w:rsidRPr="005978DF">
        <w:rPr>
          <w:rFonts w:eastAsia="Times New Roman"/>
          <w:lang w:val="es-ES"/>
        </w:rPr>
        <w:tab/>
        <w:t>Marco basado en LOS resultados</w:t>
      </w:r>
    </w:p>
    <w:p w14:paraId="404112A2"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 xml:space="preserve">Los ecosistemas y la diversidad biológica del mundo son esenciales para el bienestar humano y para un planeta sano. A pesar de </w:t>
      </w:r>
      <w:r w:rsidR="00FE65FB">
        <w:rPr>
          <w:rFonts w:eastAsia="Times New Roman"/>
          <w:sz w:val="22"/>
          <w:szCs w:val="22"/>
          <w:lang w:val="es-ES"/>
        </w:rPr>
        <w:t xml:space="preserve">los </w:t>
      </w:r>
      <w:r w:rsidRPr="005978DF">
        <w:rPr>
          <w:rFonts w:eastAsia="Times New Roman"/>
          <w:sz w:val="22"/>
          <w:szCs w:val="22"/>
          <w:lang w:val="es-ES"/>
        </w:rPr>
        <w:t xml:space="preserve">esfuerzos </w:t>
      </w:r>
      <w:r w:rsidR="00FE65FB">
        <w:rPr>
          <w:rFonts w:eastAsia="Times New Roman"/>
          <w:sz w:val="22"/>
          <w:szCs w:val="22"/>
          <w:lang w:val="es-ES"/>
        </w:rPr>
        <w:t xml:space="preserve">en </w:t>
      </w:r>
      <w:r w:rsidRPr="005978DF">
        <w:rPr>
          <w:rFonts w:eastAsia="Times New Roman"/>
          <w:sz w:val="22"/>
          <w:szCs w:val="22"/>
          <w:lang w:val="es-ES"/>
        </w:rPr>
        <w:t>c</w:t>
      </w:r>
      <w:r w:rsidR="00FE65FB">
        <w:rPr>
          <w:rFonts w:eastAsia="Times New Roman"/>
          <w:sz w:val="22"/>
          <w:szCs w:val="22"/>
          <w:lang w:val="es-ES"/>
        </w:rPr>
        <w:t>urs</w:t>
      </w:r>
      <w:r w:rsidRPr="005978DF">
        <w:rPr>
          <w:rFonts w:eastAsia="Times New Roman"/>
          <w:sz w:val="22"/>
          <w:szCs w:val="22"/>
          <w:lang w:val="es-ES"/>
        </w:rPr>
        <w:t>o</w:t>
      </w:r>
      <w:r w:rsidR="00FE65FB">
        <w:rPr>
          <w:rFonts w:eastAsia="Times New Roman"/>
          <w:sz w:val="22"/>
          <w:szCs w:val="22"/>
          <w:lang w:val="es-ES"/>
        </w:rPr>
        <w:t xml:space="preserve"> </w:t>
      </w:r>
      <w:r w:rsidRPr="005978DF">
        <w:rPr>
          <w:rFonts w:eastAsia="Times New Roman"/>
          <w:sz w:val="22"/>
          <w:szCs w:val="22"/>
          <w:lang w:val="es-ES"/>
        </w:rPr>
        <w:t xml:space="preserve">para evitarlo, </w:t>
      </w:r>
      <w:r w:rsidR="00FE65FB" w:rsidRPr="005978DF">
        <w:rPr>
          <w:rFonts w:eastAsia="Times New Roman"/>
          <w:sz w:val="22"/>
          <w:szCs w:val="22"/>
          <w:lang w:val="es-ES"/>
        </w:rPr>
        <w:t xml:space="preserve">la diversidad biológica </w:t>
      </w:r>
      <w:r w:rsidRPr="005978DF">
        <w:rPr>
          <w:rFonts w:eastAsia="Times New Roman"/>
          <w:sz w:val="22"/>
          <w:szCs w:val="22"/>
          <w:lang w:val="es-ES"/>
        </w:rPr>
        <w:t xml:space="preserve">se está deteriorando a un ritmo alarmante </w:t>
      </w:r>
      <w:r w:rsidR="00FE65FB" w:rsidRPr="005978DF">
        <w:rPr>
          <w:rFonts w:eastAsia="Times New Roman"/>
          <w:sz w:val="22"/>
          <w:szCs w:val="22"/>
          <w:lang w:val="es-ES"/>
        </w:rPr>
        <w:t xml:space="preserve">en todo el mundo </w:t>
      </w:r>
      <w:r w:rsidRPr="005978DF">
        <w:rPr>
          <w:rFonts w:eastAsia="Times New Roman"/>
          <w:sz w:val="22"/>
          <w:szCs w:val="22"/>
          <w:lang w:val="es-ES"/>
        </w:rPr>
        <w:t>y se proyecta que en escenarios en los que todo siga igual ese deterioro continuará e incluso empeorará. En los últimos 50</w:t>
      </w:r>
      <w:r w:rsidR="00FE65FB">
        <w:rPr>
          <w:rFonts w:eastAsia="Times New Roman"/>
          <w:sz w:val="22"/>
          <w:szCs w:val="22"/>
          <w:lang w:val="es-ES"/>
        </w:rPr>
        <w:t> </w:t>
      </w:r>
      <w:r w:rsidRPr="005978DF">
        <w:rPr>
          <w:rFonts w:eastAsia="Times New Roman"/>
          <w:sz w:val="22"/>
          <w:szCs w:val="22"/>
          <w:lang w:val="es-ES"/>
        </w:rPr>
        <w:t>años, los cambios en el uso de la tierra y el agua, la sobreexplotación de los recursos naturales, el cambio climático, la contaminación y las especies exóticas invasoras han provocado</w:t>
      </w:r>
      <w:r w:rsidR="00FE65FB">
        <w:rPr>
          <w:rFonts w:eastAsia="Times New Roman"/>
          <w:sz w:val="22"/>
          <w:szCs w:val="22"/>
          <w:lang w:val="es-ES"/>
        </w:rPr>
        <w:t xml:space="preserve"> una</w:t>
      </w:r>
      <w:r w:rsidRPr="005978DF">
        <w:rPr>
          <w:rFonts w:eastAsia="Times New Roman"/>
          <w:sz w:val="22"/>
          <w:szCs w:val="22"/>
          <w:lang w:val="es-ES"/>
        </w:rPr>
        <w:t xml:space="preserve"> considerable pérdida de diversidad biológica y degradación de los ecosistemas. Se ha </w:t>
      </w:r>
      <w:r w:rsidR="000B6528">
        <w:rPr>
          <w:rFonts w:eastAsia="Times New Roman"/>
          <w:sz w:val="22"/>
          <w:szCs w:val="22"/>
          <w:lang w:val="es-ES"/>
        </w:rPr>
        <w:t>determinado</w:t>
      </w:r>
      <w:r w:rsidRPr="005978DF">
        <w:rPr>
          <w:rFonts w:eastAsia="Times New Roman"/>
          <w:sz w:val="22"/>
          <w:szCs w:val="22"/>
          <w:lang w:val="es-ES"/>
        </w:rPr>
        <w:t xml:space="preserve"> que ciertos cambios causados por actividades humanas, como modalidades no sostenibles de consumo y producción y dinámicas </w:t>
      </w:r>
      <w:r w:rsidR="000B6528">
        <w:rPr>
          <w:rFonts w:eastAsia="Times New Roman"/>
          <w:sz w:val="22"/>
          <w:szCs w:val="22"/>
          <w:lang w:val="es-ES"/>
        </w:rPr>
        <w:t>demográficas</w:t>
      </w:r>
      <w:r w:rsidRPr="005978DF">
        <w:rPr>
          <w:rFonts w:eastAsia="Times New Roman"/>
          <w:sz w:val="22"/>
          <w:szCs w:val="22"/>
          <w:lang w:val="es-ES"/>
        </w:rPr>
        <w:t>, combinados con una gobernanza débil, son causas subyacentes importantes</w:t>
      </w:r>
      <w:r w:rsidRPr="00904737">
        <w:rPr>
          <w:rFonts w:eastAsia="Times New Roman"/>
          <w:sz w:val="22"/>
          <w:szCs w:val="22"/>
          <w:vertAlign w:val="superscript"/>
          <w:lang w:val="es-ES"/>
        </w:rPr>
        <w:footnoteReference w:id="4"/>
      </w:r>
      <w:r w:rsidRPr="005978DF">
        <w:rPr>
          <w:rFonts w:eastAsia="Times New Roman"/>
          <w:sz w:val="22"/>
          <w:szCs w:val="22"/>
          <w:lang w:val="es-ES"/>
        </w:rPr>
        <w:t>.</w:t>
      </w:r>
    </w:p>
    <w:p w14:paraId="404112A3"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2010, la Conferencia de las Partes adoptó el Plan Estratégico para la Diversidad Biológica 2011-2020 que consistía en 5</w:t>
      </w:r>
      <w:r w:rsidR="00904737">
        <w:rPr>
          <w:rFonts w:eastAsia="Times New Roman"/>
          <w:sz w:val="22"/>
          <w:szCs w:val="22"/>
          <w:lang w:val="es-ES"/>
        </w:rPr>
        <w:t> </w:t>
      </w:r>
      <w:r w:rsidRPr="005978DF">
        <w:rPr>
          <w:rFonts w:eastAsia="Times New Roman"/>
          <w:sz w:val="22"/>
          <w:szCs w:val="22"/>
          <w:lang w:val="es-ES"/>
        </w:rPr>
        <w:t>objetivos y 20</w:t>
      </w:r>
      <w:r w:rsidR="00904737">
        <w:rPr>
          <w:rFonts w:eastAsia="Times New Roman"/>
          <w:sz w:val="22"/>
          <w:szCs w:val="22"/>
          <w:lang w:val="es-ES"/>
        </w:rPr>
        <w:t> </w:t>
      </w:r>
      <w:r w:rsidRPr="005978DF">
        <w:rPr>
          <w:rFonts w:eastAsia="Times New Roman"/>
          <w:sz w:val="22"/>
          <w:szCs w:val="22"/>
          <w:lang w:val="es-ES"/>
        </w:rPr>
        <w:t xml:space="preserve">metas. En 2020, la quinta edición de la </w:t>
      </w:r>
      <w:r w:rsidRPr="005978DF">
        <w:rPr>
          <w:rFonts w:eastAsia="Times New Roman"/>
          <w:i/>
          <w:iCs/>
          <w:sz w:val="22"/>
          <w:szCs w:val="22"/>
          <w:lang w:val="es-ES"/>
        </w:rPr>
        <w:t>Perspectiva Mundial sobre la Diversidad Biológica</w:t>
      </w:r>
      <w:r w:rsidRPr="005978DF">
        <w:rPr>
          <w:rFonts w:eastAsia="Times New Roman"/>
          <w:sz w:val="22"/>
          <w:szCs w:val="22"/>
          <w:lang w:val="es-ES"/>
        </w:rPr>
        <w:t xml:space="preserve"> (PMDB) informó que a nivel mundial ninguna de las 20 metas se había alcanzado plenamente, aunque </w:t>
      </w:r>
      <w:r w:rsidR="000B6528" w:rsidRPr="005978DF">
        <w:rPr>
          <w:rFonts w:eastAsia="Times New Roman"/>
          <w:sz w:val="22"/>
          <w:szCs w:val="22"/>
          <w:lang w:val="es-ES"/>
        </w:rPr>
        <w:t xml:space="preserve">6 de ellas </w:t>
      </w:r>
      <w:r w:rsidRPr="005978DF">
        <w:rPr>
          <w:rFonts w:eastAsia="Times New Roman"/>
          <w:sz w:val="22"/>
          <w:szCs w:val="22"/>
          <w:lang w:val="es-ES"/>
        </w:rPr>
        <w:t xml:space="preserve">se habían alcanzado parcialmente. A pesar de estos escasos avances en el logro de las metas, el informe concluyó que no era “demasiado tarde para desacelerar, detener y eventualmente </w:t>
      </w:r>
      <w:r w:rsidR="000B6528">
        <w:rPr>
          <w:rFonts w:eastAsia="Times New Roman"/>
          <w:sz w:val="22"/>
          <w:szCs w:val="22"/>
          <w:lang w:val="es-ES"/>
        </w:rPr>
        <w:t>in</w:t>
      </w:r>
      <w:r w:rsidRPr="005978DF">
        <w:rPr>
          <w:rFonts w:eastAsia="Times New Roman"/>
          <w:sz w:val="22"/>
          <w:szCs w:val="22"/>
          <w:lang w:val="es-ES"/>
        </w:rPr>
        <w:t xml:space="preserve">vertir las tendencias de la disminución de la diversidad biológica”. Tanto la PMDB como el </w:t>
      </w:r>
      <w:r w:rsidRPr="005978DF">
        <w:rPr>
          <w:rFonts w:eastAsia="Times New Roman"/>
          <w:i/>
          <w:iCs/>
          <w:sz w:val="22"/>
          <w:szCs w:val="22"/>
          <w:lang w:val="es-ES"/>
        </w:rPr>
        <w:t>Informe de la Evaluación Mundial de la Diversidad Biológica y los Servicios de lo</w:t>
      </w:r>
      <w:r w:rsidR="000B6528">
        <w:rPr>
          <w:rFonts w:eastAsia="Times New Roman"/>
          <w:i/>
          <w:iCs/>
          <w:sz w:val="22"/>
          <w:szCs w:val="22"/>
          <w:lang w:val="es-ES"/>
        </w:rPr>
        <w:t>s</w:t>
      </w:r>
      <w:r w:rsidRPr="005978DF">
        <w:rPr>
          <w:rFonts w:eastAsia="Times New Roman"/>
          <w:i/>
          <w:iCs/>
          <w:sz w:val="22"/>
          <w:szCs w:val="22"/>
          <w:lang w:val="es-ES"/>
        </w:rPr>
        <w:t xml:space="preserve"> Ecosistemas</w:t>
      </w:r>
      <w:r w:rsidRPr="005978DF">
        <w:rPr>
          <w:rFonts w:eastAsia="Times New Roman"/>
          <w:sz w:val="22"/>
          <w:szCs w:val="22"/>
          <w:lang w:val="es-ES"/>
        </w:rPr>
        <w:t xml:space="preserve"> publicado por la Plataforma Intergubernamental Científico-Normativa sobre Diversidad Biológica y Servicios de los Ecosistemas llaman a tomar varias medidas transformadoras que serían necesarias para restaurar los ecosistemas y la diversidad biológica a fin de encauzar a la humanidad hacia el logro del objetivo de “vivir en armonía con la naturaleza para 2050”.</w:t>
      </w:r>
    </w:p>
    <w:p w14:paraId="404112A4"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respuesta al estado cada vez más crítico de la diversidad biológica y los ecosistemas, las Partes en el Convenio y sus Protocolos han estado elaborando un nuevo plan estratégico para el próximo decenio, que se adoptará en la segunda parte de la COP-15. El marco mundial de la diversidad biológica posterior a 2020 proporcionará una hoja de ruta con objetivos y metas ambiciosos que ayudarán a los países a proteger y restaurar los ecosistemas y la diversidad biológica para colocar a la humanidad en una senda que permita alcanzar el objetivo de vivir en armonía con la naturaleza para 2050.</w:t>
      </w:r>
    </w:p>
    <w:p w14:paraId="404112A5"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b/>
          <w:bCs/>
          <w:lang w:val="es-ES"/>
        </w:rPr>
      </w:pPr>
      <w:r w:rsidRPr="005978DF">
        <w:rPr>
          <w:rFonts w:eastAsia="Times New Roman"/>
          <w:sz w:val="22"/>
          <w:szCs w:val="22"/>
          <w:lang w:val="es-ES"/>
        </w:rPr>
        <w:t>El programa de trabajo de la Secretaría busca contribuir a crear las condiciones propicias para que las Partes tomen medidas urgentes y lleven a cabo las transformaciones propuestas en el marco mundial de la diversidad biológica, facilitando a la vez la formulación y el examen continuo de políticas y enfoques internacionales en materia de diversidad biológica en el marco del Convenio y sus Protocolos. Los resultados de la Secretaría se esbozan en la teoría del cambio y consisten en cuatro resultados de alto nivel que deberán lograrse en los próximos 10</w:t>
      </w:r>
      <w:r w:rsidR="00904737">
        <w:rPr>
          <w:rFonts w:eastAsia="Times New Roman"/>
          <w:sz w:val="22"/>
          <w:szCs w:val="22"/>
          <w:lang w:val="es-ES"/>
        </w:rPr>
        <w:t> </w:t>
      </w:r>
      <w:r w:rsidRPr="005978DF">
        <w:rPr>
          <w:rFonts w:eastAsia="Times New Roman"/>
          <w:sz w:val="22"/>
          <w:szCs w:val="22"/>
          <w:lang w:val="es-ES"/>
        </w:rPr>
        <w:t>años con productos clave en un punto medio a los 4</w:t>
      </w:r>
      <w:r w:rsidR="00904737">
        <w:rPr>
          <w:rFonts w:eastAsia="Times New Roman"/>
          <w:sz w:val="22"/>
          <w:szCs w:val="22"/>
          <w:lang w:val="es-ES"/>
        </w:rPr>
        <w:t> </w:t>
      </w:r>
      <w:r w:rsidRPr="005978DF">
        <w:rPr>
          <w:rFonts w:eastAsia="Times New Roman"/>
          <w:sz w:val="22"/>
          <w:szCs w:val="22"/>
          <w:lang w:val="es-ES"/>
        </w:rPr>
        <w:t>años y subproductos previstos para el bienio 2023-2024.</w:t>
      </w:r>
    </w:p>
    <w:p w14:paraId="404112A6" w14:textId="77777777" w:rsidR="002F3255" w:rsidRPr="005978DF" w:rsidRDefault="002F3255">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imes New Roman"/>
          <w:sz w:val="22"/>
          <w:szCs w:val="22"/>
          <w:lang w:val="es-ES"/>
        </w:rPr>
      </w:pPr>
      <w:r w:rsidRPr="005978DF">
        <w:rPr>
          <w:rFonts w:eastAsia="Times New Roman"/>
          <w:b/>
          <w:bCs/>
          <w:sz w:val="22"/>
          <w:szCs w:val="22"/>
          <w:lang w:val="es-ES"/>
        </w:rPr>
        <w:lastRenderedPageBreak/>
        <w:t>Cuadro 10. Teoría del cambio</w:t>
      </w:r>
    </w:p>
    <w:p w14:paraId="404112A7" w14:textId="77777777" w:rsidR="002F3255" w:rsidRPr="005978DF" w:rsidRDefault="003905A6">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rFonts w:eastAsia="Times New Roman"/>
          <w:lang w:val="es-ES"/>
        </w:rPr>
      </w:pPr>
      <w:r w:rsidRPr="005978DF">
        <w:rPr>
          <w:rFonts w:eastAsia="Times New Roman"/>
          <w:noProof/>
          <w:snapToGrid/>
          <w:lang w:val="es-ES" w:eastAsia="en-US"/>
        </w:rPr>
        <w:drawing>
          <wp:inline distT="0" distB="0" distL="0" distR="0" wp14:anchorId="40412B61" wp14:editId="40412B62">
            <wp:extent cx="5064760" cy="3200400"/>
            <wp:effectExtent l="19050" t="0" r="254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064760" cy="3200400"/>
                    </a:xfrm>
                    <a:prstGeom prst="rect">
                      <a:avLst/>
                    </a:prstGeom>
                    <a:noFill/>
                    <a:ln w="9525">
                      <a:noFill/>
                      <a:miter lim="800000"/>
                      <a:headEnd/>
                      <a:tailEnd/>
                    </a:ln>
                  </pic:spPr>
                </pic:pic>
              </a:graphicData>
            </a:graphic>
          </wp:inline>
        </w:drawing>
      </w:r>
    </w:p>
    <w:p w14:paraId="404112A8" w14:textId="77777777" w:rsidR="002F3255" w:rsidRPr="005978DF" w:rsidRDefault="002F3255">
      <w:pPr>
        <w:tabs>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lang w:val="es-ES"/>
        </w:rPr>
      </w:pPr>
    </w:p>
    <w:p w14:paraId="404112A9"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Según la teoría del cambio de la Secretaría, </w:t>
      </w:r>
      <w:r w:rsidRPr="005978DF">
        <w:rPr>
          <w:rFonts w:eastAsia="Times New Roman"/>
          <w:i/>
          <w:iCs/>
          <w:sz w:val="22"/>
          <w:szCs w:val="22"/>
          <w:lang w:val="es-ES"/>
        </w:rPr>
        <w:t>si</w:t>
      </w:r>
      <w:r w:rsidRPr="005978DF">
        <w:rPr>
          <w:rFonts w:eastAsia="Times New Roman"/>
          <w:sz w:val="22"/>
          <w:szCs w:val="22"/>
          <w:lang w:val="es-ES"/>
        </w:rPr>
        <w:t xml:space="preserve"> las Partes invierten suficientes recursos humanos, financieros y tecnológicos, la Secretaría p</w:t>
      </w:r>
      <w:r w:rsidR="00AD63D5">
        <w:rPr>
          <w:rFonts w:eastAsia="Times New Roman"/>
          <w:sz w:val="22"/>
          <w:szCs w:val="22"/>
          <w:lang w:val="es-ES"/>
        </w:rPr>
        <w:t>o</w:t>
      </w:r>
      <w:r w:rsidRPr="005978DF">
        <w:rPr>
          <w:rFonts w:eastAsia="Times New Roman"/>
          <w:sz w:val="22"/>
          <w:szCs w:val="22"/>
          <w:lang w:val="es-ES"/>
        </w:rPr>
        <w:t>d</w:t>
      </w:r>
      <w:r w:rsidR="00AD63D5">
        <w:rPr>
          <w:rFonts w:eastAsia="Times New Roman"/>
          <w:sz w:val="22"/>
          <w:szCs w:val="22"/>
          <w:lang w:val="es-ES"/>
        </w:rPr>
        <w:t>rá</w:t>
      </w:r>
      <w:r w:rsidRPr="005978DF">
        <w:rPr>
          <w:rFonts w:eastAsia="Times New Roman"/>
          <w:sz w:val="22"/>
          <w:szCs w:val="22"/>
          <w:lang w:val="es-ES"/>
        </w:rPr>
        <w:t xml:space="preserve"> </w:t>
      </w:r>
      <w:r w:rsidRPr="005978DF">
        <w:rPr>
          <w:rFonts w:eastAsia="Times New Roman"/>
          <w:i/>
          <w:iCs/>
          <w:sz w:val="22"/>
          <w:szCs w:val="22"/>
          <w:lang w:val="es-ES"/>
        </w:rPr>
        <w:t>entonces</w:t>
      </w:r>
      <w:r w:rsidRPr="005978DF">
        <w:rPr>
          <w:rFonts w:eastAsia="Times New Roman"/>
          <w:sz w:val="22"/>
          <w:szCs w:val="22"/>
          <w:lang w:val="es-ES"/>
        </w:rPr>
        <w:t xml:space="preserve"> llevar a cabo actividades que generen productos de conocimientos e información sólidos y facilitar reuniones y procesos para las Partes a las que sirve. </w:t>
      </w:r>
      <w:r w:rsidRPr="005978DF">
        <w:rPr>
          <w:rFonts w:eastAsia="Times New Roman"/>
          <w:i/>
          <w:iCs/>
          <w:sz w:val="22"/>
          <w:szCs w:val="22"/>
          <w:lang w:val="es-ES"/>
        </w:rPr>
        <w:t>Si</w:t>
      </w:r>
      <w:r w:rsidRPr="005978DF">
        <w:rPr>
          <w:rFonts w:eastAsia="Times New Roman"/>
          <w:sz w:val="22"/>
          <w:szCs w:val="22"/>
          <w:lang w:val="es-ES"/>
        </w:rPr>
        <w:t xml:space="preserve"> la Secretaría puede llegar a sus Partes y a otros interesados pertinentes a través de sus enfoques, productos y servicios, </w:t>
      </w:r>
      <w:r w:rsidR="00AD63D5" w:rsidRPr="005978DF">
        <w:rPr>
          <w:rFonts w:eastAsia="Times New Roman"/>
          <w:i/>
          <w:iCs/>
          <w:sz w:val="22"/>
          <w:szCs w:val="22"/>
          <w:lang w:val="es-ES"/>
        </w:rPr>
        <w:t>entonces</w:t>
      </w:r>
      <w:r w:rsidR="00AD63D5" w:rsidRPr="005978DF">
        <w:rPr>
          <w:rFonts w:eastAsia="Times New Roman"/>
          <w:sz w:val="22"/>
          <w:szCs w:val="22"/>
          <w:lang w:val="es-ES"/>
        </w:rPr>
        <w:t xml:space="preserve"> </w:t>
      </w:r>
      <w:r w:rsidRPr="005978DF">
        <w:rPr>
          <w:rFonts w:eastAsia="Times New Roman"/>
          <w:sz w:val="22"/>
          <w:szCs w:val="22"/>
          <w:lang w:val="es-ES"/>
        </w:rPr>
        <w:t xml:space="preserve">contribuirá a generar conciencia, fortalecer capacidades, movilizar recursos y sectores adicionales y catalizar acciones para cambiar comportamientos y prácticas perjudiciales a fin de conservar y restaurar la diversidad biológica y fomentar su utilización sostenible y la participación justa y equitativa en los beneficios que se deriven de la utilización de los recursos genéticos. </w:t>
      </w:r>
      <w:r w:rsidRPr="005978DF">
        <w:rPr>
          <w:rFonts w:eastAsia="Times New Roman"/>
          <w:i/>
          <w:iCs/>
          <w:sz w:val="22"/>
          <w:szCs w:val="22"/>
          <w:lang w:val="es-ES"/>
        </w:rPr>
        <w:t>Si</w:t>
      </w:r>
      <w:r w:rsidRPr="005978DF">
        <w:rPr>
          <w:rFonts w:eastAsia="Times New Roman"/>
          <w:sz w:val="22"/>
          <w:szCs w:val="22"/>
          <w:lang w:val="es-ES"/>
        </w:rPr>
        <w:t xml:space="preserve"> se cambian estos comportamientos y prácticas, </w:t>
      </w:r>
      <w:r w:rsidRPr="005978DF">
        <w:rPr>
          <w:rFonts w:eastAsia="Times New Roman"/>
          <w:i/>
          <w:iCs/>
          <w:sz w:val="22"/>
          <w:szCs w:val="22"/>
          <w:lang w:val="es-ES"/>
        </w:rPr>
        <w:t>entonces</w:t>
      </w:r>
      <w:r w:rsidRPr="005978DF">
        <w:rPr>
          <w:rFonts w:eastAsia="Times New Roman"/>
          <w:sz w:val="22"/>
          <w:szCs w:val="22"/>
          <w:lang w:val="es-ES"/>
        </w:rPr>
        <w:t xml:space="preserve"> la sociedad </w:t>
      </w:r>
      <w:r w:rsidR="00AD63D5">
        <w:rPr>
          <w:rFonts w:eastAsia="Times New Roman"/>
          <w:sz w:val="22"/>
          <w:szCs w:val="22"/>
          <w:lang w:val="es-ES"/>
        </w:rPr>
        <w:t xml:space="preserve">en general </w:t>
      </w:r>
      <w:r w:rsidRPr="005978DF">
        <w:rPr>
          <w:rFonts w:eastAsia="Times New Roman"/>
          <w:sz w:val="22"/>
          <w:szCs w:val="22"/>
          <w:lang w:val="es-ES"/>
        </w:rPr>
        <w:t xml:space="preserve">y </w:t>
      </w:r>
      <w:r w:rsidR="00AD63D5">
        <w:rPr>
          <w:rFonts w:eastAsia="Times New Roman"/>
          <w:sz w:val="22"/>
          <w:szCs w:val="22"/>
          <w:lang w:val="es-ES"/>
        </w:rPr>
        <w:t>todos los niveles d</w:t>
      </w:r>
      <w:r w:rsidRPr="005978DF">
        <w:rPr>
          <w:rFonts w:eastAsia="Times New Roman"/>
          <w:sz w:val="22"/>
          <w:szCs w:val="22"/>
          <w:lang w:val="es-ES"/>
        </w:rPr>
        <w:t>e gobierno trabajarán para reducir las amenazas a la diversidad biológica, al tiempo que se en</w:t>
      </w:r>
      <w:r w:rsidR="00AD63D5">
        <w:rPr>
          <w:rFonts w:eastAsia="Times New Roman"/>
          <w:sz w:val="22"/>
          <w:szCs w:val="22"/>
          <w:lang w:val="es-ES"/>
        </w:rPr>
        <w:t>ten</w:t>
      </w:r>
      <w:r w:rsidRPr="005978DF">
        <w:rPr>
          <w:rFonts w:eastAsia="Times New Roman"/>
          <w:sz w:val="22"/>
          <w:szCs w:val="22"/>
          <w:lang w:val="es-ES"/>
        </w:rPr>
        <w:t>derá y demostrará cómo el</w:t>
      </w:r>
      <w:r w:rsidR="00AD63D5">
        <w:rPr>
          <w:rFonts w:eastAsia="Times New Roman"/>
          <w:sz w:val="22"/>
          <w:szCs w:val="22"/>
          <w:lang w:val="es-ES"/>
        </w:rPr>
        <w:t xml:space="preserve"> hecho de</w:t>
      </w:r>
      <w:r w:rsidRPr="005978DF">
        <w:rPr>
          <w:rFonts w:eastAsia="Times New Roman"/>
          <w:sz w:val="22"/>
          <w:szCs w:val="22"/>
          <w:lang w:val="es-ES"/>
        </w:rPr>
        <w:t xml:space="preserve"> proteger y restaurar los ecosistemas y utilizar de manera sostenible la diversidad biológica beneficia a las personas, a la prosperidad y al planeta, y en definitiva se alcanzará la visión del Convenio de que las personas en todos lados “vivan en armonía con la naturaleza para 2050”.</w:t>
      </w:r>
    </w:p>
    <w:p w14:paraId="404112AA" w14:textId="77777777" w:rsidR="002F3255" w:rsidRPr="005978DF" w:rsidRDefault="002F3255">
      <w:pPr>
        <w:tabs>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i/>
          <w:iCs/>
          <w:sz w:val="22"/>
          <w:szCs w:val="22"/>
          <w:lang w:val="es-ES"/>
        </w:rPr>
      </w:pPr>
      <w:r w:rsidRPr="005978DF">
        <w:rPr>
          <w:rFonts w:eastAsia="Times New Roman"/>
          <w:i/>
          <w:iCs/>
          <w:sz w:val="22"/>
          <w:szCs w:val="22"/>
          <w:lang w:val="es-ES"/>
        </w:rPr>
        <w:t xml:space="preserve">Supuestos que sustentan la </w:t>
      </w:r>
      <w:r w:rsidR="00267C29">
        <w:rPr>
          <w:rFonts w:eastAsia="Times New Roman"/>
          <w:i/>
          <w:iCs/>
          <w:sz w:val="22"/>
          <w:szCs w:val="22"/>
          <w:lang w:val="es-ES"/>
        </w:rPr>
        <w:t>t</w:t>
      </w:r>
      <w:r w:rsidRPr="005978DF">
        <w:rPr>
          <w:rFonts w:eastAsia="Times New Roman"/>
          <w:i/>
          <w:iCs/>
          <w:sz w:val="22"/>
          <w:szCs w:val="22"/>
          <w:lang w:val="es-ES"/>
        </w:rPr>
        <w:t>eoría del cambio</w:t>
      </w:r>
    </w:p>
    <w:p w14:paraId="404112AB"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Lograr cambios sociales y de política no es un proceso lineal y hay múltiples factores que pueden facilitar o dificultar las contribuciones de la Secretaría. Se prevé que la Secretaría logre sus resultados siempre y cuando se den las siguientes condiciones:</w:t>
      </w:r>
    </w:p>
    <w:p w14:paraId="404112AC" w14:textId="77777777" w:rsidR="002F3255" w:rsidRPr="005978DF" w:rsidRDefault="002F3255">
      <w:pPr>
        <w:pStyle w:val="ListParagraph"/>
        <w:numPr>
          <w:ilvl w:val="0"/>
          <w:numId w:val="22"/>
        </w:numPr>
        <w:tabs>
          <w:tab w:val="clear" w:pos="360"/>
        </w:tabs>
        <w:spacing w:before="120" w:after="120"/>
        <w:ind w:left="0" w:firstLine="720"/>
        <w:rPr>
          <w:rFonts w:eastAsia="Times New Roman"/>
          <w:color w:val="000000"/>
          <w:lang w:val="es-ES"/>
        </w:rPr>
      </w:pPr>
      <w:r w:rsidRPr="005978DF">
        <w:rPr>
          <w:rFonts w:eastAsia="Times New Roman"/>
          <w:color w:val="000000"/>
          <w:lang w:val="es-ES"/>
        </w:rPr>
        <w:t>Los productos y servicios generados por la Secretaría sean oportunos, pertinentes y eficaces;</w:t>
      </w:r>
    </w:p>
    <w:p w14:paraId="404112AD" w14:textId="77777777" w:rsidR="002F3255" w:rsidRPr="005978DF" w:rsidRDefault="002F3255">
      <w:pPr>
        <w:pStyle w:val="ListParagraph"/>
        <w:numPr>
          <w:ilvl w:val="0"/>
          <w:numId w:val="22"/>
        </w:numPr>
        <w:tabs>
          <w:tab w:val="clear" w:pos="360"/>
        </w:tabs>
        <w:spacing w:before="120" w:after="120"/>
        <w:ind w:left="0" w:firstLine="720"/>
        <w:rPr>
          <w:rFonts w:eastAsia="Times New Roman"/>
          <w:color w:val="000000"/>
          <w:lang w:val="es-ES"/>
        </w:rPr>
      </w:pPr>
      <w:r w:rsidRPr="005978DF">
        <w:rPr>
          <w:rFonts w:eastAsia="Times New Roman"/>
          <w:color w:val="000000"/>
          <w:lang w:val="es-ES"/>
        </w:rPr>
        <w:t>La Secretaría cuente con recursos internos suficientes y esté bien estructurada y gestionada;</w:t>
      </w:r>
    </w:p>
    <w:p w14:paraId="404112AE" w14:textId="77777777" w:rsidR="002F3255" w:rsidRPr="005978DF" w:rsidRDefault="002F3255">
      <w:pPr>
        <w:pStyle w:val="ListParagraph"/>
        <w:numPr>
          <w:ilvl w:val="0"/>
          <w:numId w:val="22"/>
        </w:numPr>
        <w:tabs>
          <w:tab w:val="clear" w:pos="360"/>
        </w:tabs>
        <w:spacing w:before="120" w:after="120"/>
        <w:ind w:left="0" w:firstLine="720"/>
        <w:rPr>
          <w:rFonts w:eastAsia="Times New Roman"/>
          <w:color w:val="000000"/>
          <w:lang w:val="es-ES"/>
        </w:rPr>
      </w:pPr>
      <w:r w:rsidRPr="005978DF">
        <w:rPr>
          <w:rFonts w:eastAsia="Times New Roman"/>
          <w:color w:val="000000"/>
          <w:lang w:val="es-ES"/>
        </w:rPr>
        <w:t>Se entienda la importancia de tomar medidas urgentes y las Partes actúen en consecuencia en todos los niveles;</w:t>
      </w:r>
    </w:p>
    <w:p w14:paraId="404112AF" w14:textId="77777777" w:rsidR="002F3255" w:rsidRPr="005978DF" w:rsidRDefault="002F3255">
      <w:pPr>
        <w:pStyle w:val="ListParagraph"/>
        <w:numPr>
          <w:ilvl w:val="0"/>
          <w:numId w:val="22"/>
        </w:numPr>
        <w:tabs>
          <w:tab w:val="clear" w:pos="360"/>
        </w:tabs>
        <w:spacing w:before="120" w:after="120"/>
        <w:ind w:left="0" w:firstLine="720"/>
        <w:rPr>
          <w:rFonts w:eastAsia="Times New Roman"/>
          <w:color w:val="000000"/>
          <w:lang w:val="es-ES"/>
        </w:rPr>
      </w:pPr>
      <w:r w:rsidRPr="005978DF">
        <w:rPr>
          <w:rFonts w:eastAsia="Times New Roman"/>
          <w:color w:val="000000"/>
          <w:lang w:val="es-ES"/>
        </w:rPr>
        <w:t>Las Partes y otros interesados apoyen la generación de fuertes sinergias con otros acuerdos multilaterales alineando sus acciones con la Agenda 2030 para el Desarrollo Sostenible y los Objetivos de Desarrollo Sostenible (ODS) para garantizar coherencia y consistencia en las políticas;</w:t>
      </w:r>
    </w:p>
    <w:p w14:paraId="404112B0" w14:textId="77777777" w:rsidR="002F3255" w:rsidRPr="005978DF" w:rsidRDefault="002F3255">
      <w:pPr>
        <w:pStyle w:val="ListParagraph"/>
        <w:numPr>
          <w:ilvl w:val="0"/>
          <w:numId w:val="22"/>
        </w:numPr>
        <w:tabs>
          <w:tab w:val="clear" w:pos="360"/>
        </w:tabs>
        <w:spacing w:before="120" w:after="120"/>
        <w:ind w:left="0" w:firstLine="720"/>
        <w:rPr>
          <w:rFonts w:eastAsia="Times New Roman"/>
          <w:color w:val="000000"/>
          <w:lang w:val="es-ES"/>
        </w:rPr>
      </w:pPr>
      <w:r w:rsidRPr="005978DF">
        <w:rPr>
          <w:rFonts w:eastAsia="Times New Roman"/>
          <w:color w:val="000000"/>
          <w:lang w:val="es-ES"/>
        </w:rPr>
        <w:t>Se movilice un nivel adecuado de recursos para la aplicación mundial y nacional;</w:t>
      </w:r>
    </w:p>
    <w:p w14:paraId="404112B1" w14:textId="77777777" w:rsidR="002F3255" w:rsidRPr="005978DF" w:rsidRDefault="002F3255">
      <w:pPr>
        <w:pStyle w:val="ListParagraph"/>
        <w:numPr>
          <w:ilvl w:val="0"/>
          <w:numId w:val="22"/>
        </w:numPr>
        <w:tabs>
          <w:tab w:val="clear" w:pos="360"/>
        </w:tabs>
        <w:spacing w:before="120" w:after="120"/>
        <w:ind w:left="0" w:firstLine="720"/>
        <w:rPr>
          <w:rFonts w:eastAsia="Times New Roman"/>
          <w:color w:val="000000"/>
          <w:lang w:val="es-ES"/>
        </w:rPr>
      </w:pPr>
      <w:r w:rsidRPr="005978DF">
        <w:rPr>
          <w:rFonts w:eastAsia="Times New Roman"/>
          <w:color w:val="000000"/>
          <w:lang w:val="es-ES"/>
        </w:rPr>
        <w:lastRenderedPageBreak/>
        <w:t>Haya voluntad política fuerte a nivel mundial para lograr cambios transformadores y urgentes que permitan invertir la tendencia de la pérdida de diversidad biológica.</w:t>
      </w:r>
    </w:p>
    <w:p w14:paraId="404112B2"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 xml:space="preserve">Algunos de los factores externos que </w:t>
      </w:r>
      <w:r w:rsidR="00EE62DF">
        <w:rPr>
          <w:rFonts w:eastAsia="Times New Roman"/>
          <w:sz w:val="22"/>
          <w:szCs w:val="22"/>
          <w:lang w:val="es-ES"/>
        </w:rPr>
        <w:t>resp</w:t>
      </w:r>
      <w:r w:rsidRPr="005978DF">
        <w:rPr>
          <w:rFonts w:eastAsia="Times New Roman"/>
          <w:sz w:val="22"/>
          <w:szCs w:val="22"/>
          <w:lang w:val="es-ES"/>
        </w:rPr>
        <w:t>a</w:t>
      </w:r>
      <w:r w:rsidR="00EE62DF">
        <w:rPr>
          <w:rFonts w:eastAsia="Times New Roman"/>
          <w:sz w:val="22"/>
          <w:szCs w:val="22"/>
          <w:lang w:val="es-ES"/>
        </w:rPr>
        <w:t>ld</w:t>
      </w:r>
      <w:r w:rsidRPr="005978DF">
        <w:rPr>
          <w:rFonts w:eastAsia="Times New Roman"/>
          <w:sz w:val="22"/>
          <w:szCs w:val="22"/>
          <w:lang w:val="es-ES"/>
        </w:rPr>
        <w:t>arán el logro de los resultados previstos son:</w:t>
      </w:r>
    </w:p>
    <w:p w14:paraId="404112B3" w14:textId="77777777" w:rsidR="002F3255" w:rsidRPr="005978DF" w:rsidRDefault="002F3255">
      <w:pPr>
        <w:pStyle w:val="ListParagraph"/>
        <w:numPr>
          <w:ilvl w:val="0"/>
          <w:numId w:val="37"/>
        </w:numPr>
        <w:tabs>
          <w:tab w:val="clear" w:pos="360"/>
        </w:tabs>
        <w:spacing w:before="120" w:after="120"/>
        <w:ind w:left="0" w:firstLine="720"/>
        <w:rPr>
          <w:rFonts w:eastAsia="Times New Roman"/>
          <w:color w:val="000000"/>
          <w:lang w:val="es-ES"/>
        </w:rPr>
      </w:pPr>
      <w:r w:rsidRPr="005978DF">
        <w:rPr>
          <w:rFonts w:eastAsia="Times New Roman"/>
          <w:color w:val="000000"/>
          <w:lang w:val="es-ES"/>
        </w:rPr>
        <w:t>Apoyo creciente dentro del sistema de las Naciones Unidas para integrar la diversidad biológica en toda la agenda del desarrollo sostenible;</w:t>
      </w:r>
    </w:p>
    <w:p w14:paraId="404112B4" w14:textId="77777777" w:rsidR="002F3255" w:rsidRPr="005978DF" w:rsidRDefault="002F3255">
      <w:pPr>
        <w:pStyle w:val="ListParagraph"/>
        <w:numPr>
          <w:ilvl w:val="0"/>
          <w:numId w:val="37"/>
        </w:numPr>
        <w:tabs>
          <w:tab w:val="clear" w:pos="360"/>
        </w:tabs>
        <w:spacing w:before="120" w:after="120"/>
        <w:ind w:left="0" w:firstLine="720"/>
        <w:rPr>
          <w:rFonts w:eastAsia="Times New Roman"/>
          <w:color w:val="000000"/>
          <w:lang w:val="es-ES"/>
        </w:rPr>
      </w:pPr>
      <w:r w:rsidRPr="005978DF">
        <w:rPr>
          <w:rFonts w:eastAsia="Times New Roman"/>
          <w:lang w:val="es-ES"/>
        </w:rPr>
        <w:t>Reconocimiento de que las metas e indicadores del marco mundial de la diversidad biológica posterior a 2020 son esenciales para la consecución de la Agenda 2030 para el Desarrollo Sostenible y el logro de los Objetivos de Desarrollo Sostenible, incluidos los ODS 15 y 14, entre otros;</w:t>
      </w:r>
    </w:p>
    <w:p w14:paraId="404112B5" w14:textId="77777777" w:rsidR="002F3255" w:rsidRPr="005978DF" w:rsidRDefault="00267C29">
      <w:pPr>
        <w:pStyle w:val="ListParagraph"/>
        <w:numPr>
          <w:ilvl w:val="0"/>
          <w:numId w:val="37"/>
        </w:numPr>
        <w:tabs>
          <w:tab w:val="clear" w:pos="360"/>
        </w:tabs>
        <w:spacing w:before="120" w:after="120"/>
        <w:ind w:left="0" w:firstLine="720"/>
        <w:rPr>
          <w:rFonts w:eastAsia="Times New Roman"/>
          <w:color w:val="000000"/>
          <w:lang w:val="es-ES"/>
        </w:rPr>
      </w:pPr>
      <w:r>
        <w:rPr>
          <w:rFonts w:eastAsia="Times New Roman"/>
          <w:color w:val="000000"/>
          <w:lang w:val="es-ES"/>
        </w:rPr>
        <w:t>Una d</w:t>
      </w:r>
      <w:r w:rsidR="002F3255" w:rsidRPr="005978DF">
        <w:rPr>
          <w:rFonts w:eastAsia="Times New Roman"/>
          <w:color w:val="000000"/>
          <w:lang w:val="es-ES"/>
        </w:rPr>
        <w:t xml:space="preserve">emanda creciente de enfoques basados en los ecosistemas y de soluciones aportadas por la diversidad biológica para el cambio climático, la seguridad alimentaria </w:t>
      </w:r>
      <w:r w:rsidR="002F3255" w:rsidRPr="005978DF">
        <w:rPr>
          <w:rFonts w:eastAsia="Times New Roman"/>
          <w:lang w:val="es-ES"/>
        </w:rPr>
        <w:t>e hídrica, la reducción del riesgo de desastres y otros objetivos de desarrollo sostenible, así como la incorporación de los valores de la naturaleza en las cuentas y la presentación de informes nacionales</w:t>
      </w:r>
      <w:r w:rsidR="002F3255" w:rsidRPr="005978DF">
        <w:rPr>
          <w:rFonts w:eastAsia="Times New Roman"/>
          <w:color w:val="000000"/>
          <w:lang w:val="es-ES"/>
        </w:rPr>
        <w:t>;</w:t>
      </w:r>
    </w:p>
    <w:p w14:paraId="404112B6" w14:textId="77777777" w:rsidR="002F3255" w:rsidRPr="005978DF" w:rsidRDefault="002F3255">
      <w:pPr>
        <w:pStyle w:val="ListParagraph"/>
        <w:numPr>
          <w:ilvl w:val="0"/>
          <w:numId w:val="37"/>
        </w:numPr>
        <w:tabs>
          <w:tab w:val="clear" w:pos="360"/>
        </w:tabs>
        <w:spacing w:before="120" w:after="120"/>
        <w:ind w:left="0" w:firstLine="720"/>
        <w:rPr>
          <w:rFonts w:eastAsia="Times New Roman"/>
          <w:color w:val="000000"/>
          <w:lang w:val="es-ES"/>
        </w:rPr>
      </w:pPr>
      <w:r w:rsidRPr="005978DF">
        <w:rPr>
          <w:rFonts w:eastAsia="Times New Roman"/>
          <w:color w:val="000000"/>
          <w:lang w:val="es-ES"/>
        </w:rPr>
        <w:t xml:space="preserve">Mayor divulgación </w:t>
      </w:r>
      <w:r w:rsidR="00267C29" w:rsidRPr="005978DF">
        <w:rPr>
          <w:rFonts w:eastAsia="Times New Roman"/>
          <w:color w:val="000000"/>
          <w:lang w:val="es-ES"/>
        </w:rPr>
        <w:t xml:space="preserve">por parte de </w:t>
      </w:r>
      <w:r w:rsidR="00267C29">
        <w:rPr>
          <w:rFonts w:eastAsia="Times New Roman"/>
          <w:color w:val="000000"/>
          <w:lang w:val="es-ES"/>
        </w:rPr>
        <w:t xml:space="preserve">los </w:t>
      </w:r>
      <w:r w:rsidR="00267C29" w:rsidRPr="005978DF">
        <w:rPr>
          <w:rFonts w:eastAsia="Times New Roman"/>
          <w:color w:val="000000"/>
          <w:lang w:val="es-ES"/>
        </w:rPr>
        <w:t xml:space="preserve">sectores productivos </w:t>
      </w:r>
      <w:r w:rsidRPr="005978DF">
        <w:rPr>
          <w:rFonts w:eastAsia="Times New Roman"/>
          <w:color w:val="000000"/>
          <w:lang w:val="es-ES"/>
        </w:rPr>
        <w:t xml:space="preserve">de </w:t>
      </w:r>
      <w:r w:rsidR="00267C29">
        <w:rPr>
          <w:rFonts w:eastAsia="Times New Roman"/>
          <w:color w:val="000000"/>
          <w:lang w:val="es-ES"/>
        </w:rPr>
        <w:t>su</w:t>
      </w:r>
      <w:r w:rsidRPr="005978DF">
        <w:rPr>
          <w:rFonts w:eastAsia="Times New Roman"/>
          <w:color w:val="000000"/>
          <w:lang w:val="es-ES"/>
        </w:rPr>
        <w:t xml:space="preserve">s impactos en la diversidad biológica y </w:t>
      </w:r>
      <w:r w:rsidR="00267C29">
        <w:rPr>
          <w:rFonts w:eastAsia="Times New Roman"/>
          <w:color w:val="000000"/>
          <w:lang w:val="es-ES"/>
        </w:rPr>
        <w:t>su</w:t>
      </w:r>
      <w:r w:rsidRPr="005978DF">
        <w:rPr>
          <w:rFonts w:eastAsia="Times New Roman"/>
          <w:color w:val="000000"/>
          <w:lang w:val="es-ES"/>
        </w:rPr>
        <w:t>s dependencias de la diversidad biológica</w:t>
      </w:r>
      <w:r w:rsidR="00267C29">
        <w:rPr>
          <w:rFonts w:eastAsia="Times New Roman"/>
          <w:color w:val="000000"/>
          <w:lang w:val="es-ES"/>
        </w:rPr>
        <w:t>,</w:t>
      </w:r>
      <w:r w:rsidRPr="005978DF">
        <w:rPr>
          <w:rFonts w:eastAsia="Times New Roman"/>
          <w:color w:val="000000"/>
          <w:lang w:val="es-ES"/>
        </w:rPr>
        <w:t xml:space="preserve"> para alimentar, guiar y mejorar los modelos sostenibles de consumo y producción.</w:t>
      </w:r>
    </w:p>
    <w:p w14:paraId="404112B7"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color w:val="000000"/>
          <w:sz w:val="22"/>
          <w:szCs w:val="22"/>
          <w:lang w:val="es-ES"/>
        </w:rPr>
        <w:t>Al mismo tiempo, existen riesgos que pueden obstaculizar los logros previstos, entre ellos:</w:t>
      </w:r>
    </w:p>
    <w:p w14:paraId="404112B8" w14:textId="77777777" w:rsidR="002F3255" w:rsidRPr="005978DF" w:rsidRDefault="002F3255">
      <w:pPr>
        <w:pStyle w:val="ListParagraph"/>
        <w:numPr>
          <w:ilvl w:val="0"/>
          <w:numId w:val="39"/>
        </w:numPr>
        <w:tabs>
          <w:tab w:val="clear" w:pos="360"/>
        </w:tabs>
        <w:spacing w:before="120" w:after="120"/>
        <w:ind w:left="0" w:firstLine="720"/>
        <w:rPr>
          <w:rFonts w:eastAsia="Times New Roman"/>
          <w:color w:val="000000"/>
          <w:lang w:val="es-ES"/>
        </w:rPr>
      </w:pPr>
      <w:r w:rsidRPr="005978DF">
        <w:rPr>
          <w:rFonts w:eastAsia="Times New Roman"/>
          <w:color w:val="000000"/>
          <w:lang w:val="es-ES"/>
        </w:rPr>
        <w:t>Compromiso político insuficiente a nivel nacional, regional y mundial;</w:t>
      </w:r>
    </w:p>
    <w:p w14:paraId="404112B9" w14:textId="77777777" w:rsidR="002F3255" w:rsidRPr="005978DF" w:rsidRDefault="002F3255">
      <w:pPr>
        <w:pStyle w:val="ListParagraph"/>
        <w:numPr>
          <w:ilvl w:val="0"/>
          <w:numId w:val="39"/>
        </w:numPr>
        <w:tabs>
          <w:tab w:val="clear" w:pos="360"/>
        </w:tabs>
        <w:spacing w:before="120" w:after="120"/>
        <w:ind w:left="0" w:firstLine="720"/>
        <w:rPr>
          <w:rFonts w:eastAsia="Times New Roman"/>
          <w:color w:val="000000"/>
          <w:lang w:val="es-ES"/>
        </w:rPr>
      </w:pPr>
      <w:r w:rsidRPr="005978DF">
        <w:rPr>
          <w:rFonts w:eastAsia="Times New Roman"/>
          <w:color w:val="000000"/>
          <w:lang w:val="es-ES"/>
        </w:rPr>
        <w:t>Falta de coherencia en las políticas a nivel nacional, regional y mundial.</w:t>
      </w:r>
    </w:p>
    <w:p w14:paraId="404112BA" w14:textId="77777777" w:rsidR="002F3255" w:rsidRPr="005978DF" w:rsidRDefault="002F3255">
      <w:pPr>
        <w:pStyle w:val="ListParagraph"/>
        <w:numPr>
          <w:ilvl w:val="0"/>
          <w:numId w:val="39"/>
        </w:numPr>
        <w:tabs>
          <w:tab w:val="clear" w:pos="360"/>
        </w:tabs>
        <w:spacing w:before="120" w:after="120"/>
        <w:ind w:left="0" w:firstLine="720"/>
        <w:rPr>
          <w:rFonts w:eastAsia="Times New Roman"/>
          <w:color w:val="000000"/>
          <w:lang w:val="es-ES"/>
        </w:rPr>
      </w:pPr>
      <w:r w:rsidRPr="005978DF">
        <w:rPr>
          <w:rFonts w:eastAsia="Times New Roman"/>
          <w:color w:val="000000"/>
          <w:lang w:val="es-ES"/>
        </w:rPr>
        <w:t>Prioridades que compiten entre sí, incluidas las demandas de uso de la tierra;</w:t>
      </w:r>
    </w:p>
    <w:p w14:paraId="404112BB" w14:textId="77777777" w:rsidR="002F3255" w:rsidRPr="005978DF" w:rsidRDefault="002F3255">
      <w:pPr>
        <w:pStyle w:val="ListParagraph"/>
        <w:numPr>
          <w:ilvl w:val="0"/>
          <w:numId w:val="39"/>
        </w:numPr>
        <w:tabs>
          <w:tab w:val="clear" w:pos="360"/>
        </w:tabs>
        <w:spacing w:before="120" w:after="120"/>
        <w:ind w:left="0" w:firstLine="720"/>
        <w:rPr>
          <w:rFonts w:eastAsia="Times New Roman"/>
          <w:color w:val="000000"/>
          <w:lang w:val="es-ES"/>
        </w:rPr>
      </w:pPr>
      <w:r w:rsidRPr="005978DF">
        <w:rPr>
          <w:rFonts w:eastAsia="Times New Roman"/>
          <w:color w:val="000000"/>
          <w:lang w:val="es-ES"/>
        </w:rPr>
        <w:t>Falta o insuficiencia de recursos para la diversidad biológica ante las prioridades de recuperación de la pandemia de COVID-19 y las crecientes crisis de endeudamiento;</w:t>
      </w:r>
    </w:p>
    <w:p w14:paraId="404112BC" w14:textId="77777777" w:rsidR="002F3255" w:rsidRPr="005978DF" w:rsidRDefault="002F3255">
      <w:pPr>
        <w:pStyle w:val="ListParagraph"/>
        <w:numPr>
          <w:ilvl w:val="0"/>
          <w:numId w:val="39"/>
        </w:numPr>
        <w:tabs>
          <w:tab w:val="clear" w:pos="360"/>
        </w:tabs>
        <w:spacing w:before="120" w:after="120"/>
        <w:ind w:left="0" w:firstLine="720"/>
        <w:rPr>
          <w:rFonts w:eastAsia="Times New Roman"/>
          <w:color w:val="000000"/>
          <w:lang w:val="es-ES"/>
        </w:rPr>
      </w:pPr>
      <w:r w:rsidRPr="005978DF">
        <w:rPr>
          <w:rFonts w:eastAsia="Times New Roman"/>
          <w:color w:val="000000"/>
          <w:lang w:val="es-ES"/>
        </w:rPr>
        <w:t>Capacidades limitadas (</w:t>
      </w:r>
      <w:r w:rsidR="00267C29">
        <w:rPr>
          <w:rFonts w:eastAsia="Times New Roman"/>
          <w:color w:val="000000"/>
          <w:lang w:val="es-ES"/>
        </w:rPr>
        <w:t xml:space="preserve">en términos de </w:t>
      </w:r>
      <w:r w:rsidRPr="005978DF">
        <w:rPr>
          <w:rFonts w:eastAsia="Times New Roman"/>
          <w:color w:val="000000"/>
          <w:lang w:val="es-ES"/>
        </w:rPr>
        <w:t>entorno propicio, tanto institucional como individual) para apoyar la aplicación a nivel nacional.</w:t>
      </w:r>
    </w:p>
    <w:p w14:paraId="404112BD"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El objetivo de la Secretaría en el contexto de la teoría del cambio es facilitar y apoyar la labor de las Partes en el Convenio y sus Protocolos para fortalecer la gobernanza ambiental mediante la elaboración, aplicación y </w:t>
      </w:r>
      <w:r w:rsidR="00654971">
        <w:rPr>
          <w:rFonts w:eastAsia="Times New Roman"/>
          <w:sz w:val="22"/>
          <w:szCs w:val="22"/>
          <w:lang w:val="es-ES"/>
        </w:rPr>
        <w:t>revisión</w:t>
      </w:r>
      <w:r w:rsidRPr="005978DF">
        <w:rPr>
          <w:rFonts w:eastAsia="Times New Roman"/>
          <w:sz w:val="22"/>
          <w:szCs w:val="22"/>
          <w:lang w:val="es-ES"/>
        </w:rPr>
        <w:t xml:space="preserve"> periódic</w:t>
      </w:r>
      <w:r w:rsidR="00654971">
        <w:rPr>
          <w:rFonts w:eastAsia="Times New Roman"/>
          <w:sz w:val="22"/>
          <w:szCs w:val="22"/>
          <w:lang w:val="es-ES"/>
        </w:rPr>
        <w:t>as</w:t>
      </w:r>
      <w:r w:rsidRPr="005978DF">
        <w:rPr>
          <w:rFonts w:eastAsia="Times New Roman"/>
          <w:sz w:val="22"/>
          <w:szCs w:val="22"/>
          <w:lang w:val="es-ES"/>
        </w:rPr>
        <w:t xml:space="preserve"> de acuerdos y enfoques internacionales para la diversidad biológica. Además de facilitar y apoyar los procesos del Convenio y los Protocolos, la estrategia de la Secretaría </w:t>
      </w:r>
      <w:r w:rsidR="00267C29">
        <w:rPr>
          <w:rFonts w:eastAsia="Times New Roman"/>
          <w:sz w:val="22"/>
          <w:szCs w:val="22"/>
          <w:lang w:val="es-ES"/>
        </w:rPr>
        <w:t>supone</w:t>
      </w:r>
      <w:r w:rsidRPr="005978DF">
        <w:rPr>
          <w:rFonts w:eastAsia="Times New Roman"/>
          <w:sz w:val="22"/>
          <w:szCs w:val="22"/>
          <w:lang w:val="es-ES"/>
        </w:rPr>
        <w:t xml:space="preserve"> apoyar la implementación del marco mundial de la diversidad biológica posterior a 2020, que establece programas a mediano plazo con objetivos y metas de diversidad biológica para las Partes. El marco mundial de la diversidad biológica posterior a 2020 será el instrumento sucesor del Plan Estratégico para la Diversidad Biológica 2011-2020 y sus Metas de Aichi para la Diversidad Biológica que se adoptó en 2010.</w:t>
      </w:r>
    </w:p>
    <w:p w14:paraId="404112BE"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Los procesos emprendidos en el contexto del Convenio y sus Protocolos buscan contribuir a garantizar que los Gobiernos y otros interesados pertinentes tomen medidas urgentes para encauzar a la diversidad biológica y a los ecosistemas por la senda de la recuperación para beneficio del planeta, las personas y la prosperidad y para alcanzar la Visión para 2050 de vivir en armonía con la naturaleza.</w:t>
      </w:r>
    </w:p>
    <w:p w14:paraId="404112BF"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Secretaría apoyará la implementación de este marco a lo largo de los próximos </w:t>
      </w:r>
      <w:r w:rsidR="00267C29">
        <w:rPr>
          <w:rFonts w:eastAsia="Times New Roman"/>
          <w:sz w:val="22"/>
          <w:szCs w:val="22"/>
          <w:lang w:val="es-ES"/>
        </w:rPr>
        <w:t>diez </w:t>
      </w:r>
      <w:r w:rsidRPr="005978DF">
        <w:rPr>
          <w:rFonts w:eastAsia="Times New Roman"/>
          <w:sz w:val="22"/>
          <w:szCs w:val="22"/>
          <w:lang w:val="es-ES"/>
        </w:rPr>
        <w:t xml:space="preserve">años centrándose en contribuir a los cuatro resultados sustantivos esbozados en su teoría del cambio, como se explicó anteriormente. Como parte de la estrategia, la Secretaría invertirá en el desarrollo de capacidades internas para apoyar una implementación y enfoques que tengan en cuenta las cuestiones de género. Se elaborará un plan interno de integración de la perspectiva de género para fortalecer las capacidades de la Secretaría de aplicar enfoques </w:t>
      </w:r>
      <w:r w:rsidR="00267C29">
        <w:rPr>
          <w:rFonts w:eastAsia="Times New Roman"/>
          <w:sz w:val="22"/>
          <w:szCs w:val="22"/>
          <w:lang w:val="es-ES"/>
        </w:rPr>
        <w:t>sensibles a</w:t>
      </w:r>
      <w:r w:rsidRPr="005978DF">
        <w:rPr>
          <w:rFonts w:eastAsia="Times New Roman"/>
          <w:sz w:val="22"/>
          <w:szCs w:val="22"/>
          <w:lang w:val="es-ES"/>
        </w:rPr>
        <w:t xml:space="preserve"> las cuestiones de género en la prestación de sus productos y servicios. Otro enfoque estratégico implicará centrarse en establecer y reforzar la cooperación y las asociaciones estratégicas existentes para apoyar la implementación del marco mundial y las estrategias de apoyo, incluido el enfoque a largo plazo para la integración de la diversidad biológica en todos los sectores productivos y para apoyar el desarrollo y </w:t>
      </w:r>
      <w:r w:rsidRPr="005978DF">
        <w:rPr>
          <w:rFonts w:eastAsia="Times New Roman"/>
          <w:sz w:val="22"/>
          <w:szCs w:val="22"/>
          <w:lang w:val="es-ES"/>
        </w:rPr>
        <w:lastRenderedPageBreak/>
        <w:t xml:space="preserve">fortalecimiento de capacidades nacionales para integrar, planificar y cumplir compromisos y medidas </w:t>
      </w:r>
      <w:r w:rsidR="00267C29">
        <w:rPr>
          <w:rFonts w:eastAsia="Times New Roman"/>
          <w:sz w:val="22"/>
          <w:szCs w:val="22"/>
          <w:lang w:val="es-ES"/>
        </w:rPr>
        <w:t xml:space="preserve">en materia de </w:t>
      </w:r>
      <w:r w:rsidRPr="005978DF">
        <w:rPr>
          <w:rFonts w:eastAsia="Times New Roman"/>
          <w:sz w:val="22"/>
          <w:szCs w:val="22"/>
          <w:lang w:val="es-ES"/>
        </w:rPr>
        <w:t>diversidad biológica.</w:t>
      </w:r>
    </w:p>
    <w:p w14:paraId="404112C0"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A fin de contribuir a la consecución del primer resultado durante 2023-2024, la Secretaría facilitará análisis con base empírica y trabajos técnicos para apoyar los procesos de toma de decisiones del Convenio y sus Protocolos y organizar reuniones del Convenio y sus Protocolos que pe</w:t>
      </w:r>
      <w:r w:rsidR="00267C29">
        <w:rPr>
          <w:rFonts w:eastAsia="Times New Roman"/>
          <w:sz w:val="22"/>
          <w:szCs w:val="22"/>
          <w:lang w:val="es-ES"/>
        </w:rPr>
        <w:t>rmitirán a las Partes seguir co</w:t>
      </w:r>
      <w:r w:rsidRPr="005978DF">
        <w:rPr>
          <w:rFonts w:eastAsia="Times New Roman"/>
          <w:sz w:val="22"/>
          <w:szCs w:val="22"/>
          <w:lang w:val="es-ES"/>
        </w:rPr>
        <w:t>n</w:t>
      </w:r>
      <w:r w:rsidR="00267C29">
        <w:rPr>
          <w:rFonts w:eastAsia="Times New Roman"/>
          <w:sz w:val="22"/>
          <w:szCs w:val="22"/>
          <w:lang w:val="es-ES"/>
        </w:rPr>
        <w:t>v</w:t>
      </w:r>
      <w:r w:rsidRPr="005978DF">
        <w:rPr>
          <w:rFonts w:eastAsia="Times New Roman"/>
          <w:sz w:val="22"/>
          <w:szCs w:val="22"/>
          <w:lang w:val="es-ES"/>
        </w:rPr>
        <w:t>e</w:t>
      </w:r>
      <w:r w:rsidR="00267C29">
        <w:rPr>
          <w:rFonts w:eastAsia="Times New Roman"/>
          <w:sz w:val="22"/>
          <w:szCs w:val="22"/>
          <w:lang w:val="es-ES"/>
        </w:rPr>
        <w:t>rgie</w:t>
      </w:r>
      <w:r w:rsidRPr="005978DF">
        <w:rPr>
          <w:rFonts w:eastAsia="Times New Roman"/>
          <w:sz w:val="22"/>
          <w:szCs w:val="22"/>
          <w:lang w:val="es-ES"/>
        </w:rPr>
        <w:t>ndo en enfoques comunes e integrados para la conservación de la diversidad biológica, su utilización sostenible y la participación justa y equitativa en los beneficios que se deriven de la utilización de los recursos genéticos. La Secretaría también fomentará sinergias con otros acuerdos ambientales multilaterales, procesos y organizaciones internacionales para lograr mayor coherencia y coordinación en las políticas. Además, se llevarán a cabo actividades específicas para fomentar una mayor integración de la diversidad biológica en el sistema de las Naciones Unidas, en particular a través del Enfoque Común de las Naciones Unidas para la Diversidad Biológica</w:t>
      </w:r>
      <w:r w:rsidRPr="005978DF">
        <w:rPr>
          <w:rFonts w:eastAsia="Times New Roman"/>
          <w:sz w:val="22"/>
          <w:szCs w:val="22"/>
          <w:vertAlign w:val="superscript"/>
          <w:lang w:val="es-ES"/>
        </w:rPr>
        <w:footnoteReference w:id="5"/>
      </w:r>
      <w:r w:rsidRPr="005978DF">
        <w:rPr>
          <w:rFonts w:eastAsia="Times New Roman"/>
          <w:sz w:val="22"/>
          <w:szCs w:val="22"/>
          <w:lang w:val="es-ES"/>
        </w:rPr>
        <w:t>, el Grupo de Gestión Ambiental (GGA) y la integración de las nuevas metas de diversidad biológica en los Marcos de Cooperación de las Naciones Unidas para el Desarrollo Sostenible a nivel nacional.</w:t>
      </w:r>
    </w:p>
    <w:p w14:paraId="404112C1"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relación con el segundo resultado, a lo largo del siguiente bienio la Secretaría promoverá la aplicación nacional del Convenio y sus Protocolos a través de la implementación del marco mundial de la diversidad biológica posterior a 2020. Esto se logrará brindando orientación y promoviendo asociaciones para la movilización de recursos por las Partes e interesados pertinentes para apoyar la aplicación nacional. Además, la Secretaría no solo continuará promoviendo el desarrollo de capacidades técnicas, sino que se concentrará más en el desarrollo de capacidades institucionales para la aplicación efectiva del Convenio y sus Protocolos. Esto implicará fomentar la participación de todos los interesados, incluido con una perspectiva de género y dando participación a las comunidades locales, la juventud, etc., y programas mundiales y regionales receptivos ejecutados por asociados o a través de ellos, que apoyen el desarrollo de capacidades pertinentes para la diversidad biológica a nivel nacional. La Secretaría también fomentará asociaciones con otros fondos y programas de las Naciones Unidas para promover la integración de metas y compromisos de diversidad biológica en los Marcos de Cooperación de las Naciones Unidas para el Desarrollo Sostenible de los países. Se realizarán mayores inversiones para mejorar la gestión de conocimientos a través de los mecanismos de facilitación y la provisión de información y datos oportunos y de buena calidad, en particular para apoyar el marco mundial de seguimiento.</w:t>
      </w:r>
    </w:p>
    <w:p w14:paraId="404112C2"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Con respecto al tercer resultado esperado, la Secretaría intensificará sus actividades tendientes a generar conciencia y catalizar acciones de conservación, utilización sostenible y participación en los beneficios de la diversidad biológica en todos los niveles y en todos los sectores de la sociedad. Esto se logrará a través de una </w:t>
      </w:r>
      <w:r w:rsidR="009E4F82" w:rsidRPr="005978DF">
        <w:rPr>
          <w:rFonts w:eastAsia="Times New Roman"/>
          <w:sz w:val="22"/>
          <w:szCs w:val="22"/>
          <w:lang w:val="es-ES"/>
        </w:rPr>
        <w:t xml:space="preserve">renovada </w:t>
      </w:r>
      <w:r w:rsidRPr="005978DF">
        <w:rPr>
          <w:rFonts w:eastAsia="Times New Roman"/>
          <w:sz w:val="22"/>
          <w:szCs w:val="22"/>
          <w:lang w:val="es-ES"/>
        </w:rPr>
        <w:t xml:space="preserve">participación de los interesados, incluidas las comunidades locales y la juventud, y una estrategia de comunicación sensible a las cuestiones de género que contenga marcos de mensajes convincentes para diferentes públicos. La Secretaría se asegurará además </w:t>
      </w:r>
      <w:r w:rsidR="009E4F82">
        <w:rPr>
          <w:rFonts w:eastAsia="Times New Roman"/>
          <w:sz w:val="22"/>
          <w:szCs w:val="22"/>
          <w:lang w:val="es-ES"/>
        </w:rPr>
        <w:t>de tener</w:t>
      </w:r>
      <w:r w:rsidRPr="005978DF">
        <w:rPr>
          <w:rFonts w:eastAsia="Times New Roman"/>
          <w:sz w:val="22"/>
          <w:szCs w:val="22"/>
          <w:lang w:val="es-ES"/>
        </w:rPr>
        <w:t xml:space="preserve"> una fuerte presencia en eventos políticos de alto nivel y trabajará con asociados no estatales y promotores nacionales para llevar a cabo campañas e involucrar y movilizar a interesados de todo tipo para promover la diversidad biológica, incluido a través de la Agenda de Acción para la Naturaleza y la</w:t>
      </w:r>
      <w:r w:rsidR="007B29DD">
        <w:rPr>
          <w:rFonts w:eastAsia="Times New Roman"/>
          <w:sz w:val="22"/>
          <w:szCs w:val="22"/>
          <w:lang w:val="es-ES"/>
        </w:rPr>
        <w:t>s</w:t>
      </w:r>
      <w:r w:rsidRPr="005978DF">
        <w:rPr>
          <w:rFonts w:eastAsia="Times New Roman"/>
          <w:sz w:val="22"/>
          <w:szCs w:val="22"/>
          <w:lang w:val="es-ES"/>
        </w:rPr>
        <w:t xml:space="preserve"> </w:t>
      </w:r>
      <w:r w:rsidR="007B29DD">
        <w:rPr>
          <w:rFonts w:eastAsia="Times New Roman"/>
          <w:sz w:val="22"/>
          <w:szCs w:val="22"/>
          <w:lang w:val="es-ES"/>
        </w:rPr>
        <w:t>P</w:t>
      </w:r>
      <w:r w:rsidRPr="005978DF">
        <w:rPr>
          <w:rFonts w:eastAsia="Times New Roman"/>
          <w:sz w:val="22"/>
          <w:szCs w:val="22"/>
          <w:lang w:val="es-ES"/>
        </w:rPr>
        <w:t>e</w:t>
      </w:r>
      <w:r w:rsidR="007B29DD">
        <w:rPr>
          <w:rFonts w:eastAsia="Times New Roman"/>
          <w:sz w:val="22"/>
          <w:szCs w:val="22"/>
          <w:lang w:val="es-ES"/>
        </w:rPr>
        <w:t>rso</w:t>
      </w:r>
      <w:r w:rsidRPr="005978DF">
        <w:rPr>
          <w:rFonts w:eastAsia="Times New Roman"/>
          <w:sz w:val="22"/>
          <w:szCs w:val="22"/>
          <w:lang w:val="es-ES"/>
        </w:rPr>
        <w:t>n</w:t>
      </w:r>
      <w:r w:rsidR="007B29DD">
        <w:rPr>
          <w:rFonts w:eastAsia="Times New Roman"/>
          <w:sz w:val="22"/>
          <w:szCs w:val="22"/>
          <w:lang w:val="es-ES"/>
        </w:rPr>
        <w:t>as</w:t>
      </w:r>
      <w:r w:rsidRPr="005978DF">
        <w:rPr>
          <w:rFonts w:eastAsia="Times New Roman"/>
          <w:sz w:val="22"/>
          <w:szCs w:val="22"/>
          <w:lang w:val="es-ES"/>
        </w:rPr>
        <w:t>, de Sharm el-</w:t>
      </w:r>
      <w:proofErr w:type="spellStart"/>
      <w:r w:rsidRPr="005978DF">
        <w:rPr>
          <w:rFonts w:eastAsia="Times New Roman"/>
          <w:sz w:val="22"/>
          <w:szCs w:val="22"/>
          <w:lang w:val="es-ES"/>
        </w:rPr>
        <w:t>Sheik</w:t>
      </w:r>
      <w:r w:rsidR="00405F2D">
        <w:rPr>
          <w:rFonts w:eastAsia="Times New Roman"/>
          <w:sz w:val="22"/>
          <w:szCs w:val="22"/>
          <w:lang w:val="es-ES"/>
        </w:rPr>
        <w:t>h</w:t>
      </w:r>
      <w:proofErr w:type="spellEnd"/>
      <w:r w:rsidRPr="005978DF">
        <w:rPr>
          <w:rFonts w:eastAsia="Times New Roman"/>
          <w:sz w:val="22"/>
          <w:szCs w:val="22"/>
          <w:lang w:val="es-ES"/>
        </w:rPr>
        <w:t xml:space="preserve"> a Kunming. La Secretaría continuará asimismo sus actividades de divulgación y concienciación para impulsar la ratificación y la aplicación de sus Protocolos e invertirá en participar o transmitir los mensajes centrales relacionados con la diversidad biológica en reuniones de alto nivel del foro político de alto nivel sobre el desarrollo sostenible (PNAM) y la Asamblea General de las Naciones Unidas (AG), así como en otros foros, como el Grupo de los 7 (G7) y el Grupo de los 20 (G20), para reforzar los compromisos políticos y los niveles de ambición para la implementación del marco mundial de la diversidad biológica posterior a 2020.</w:t>
      </w:r>
    </w:p>
    <w:p w14:paraId="404112C3"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relación con el cuarto resultado, en su 14ª reunión, por decisión 14/34, la Conferencia de las Partes se comprometió a</w:t>
      </w:r>
      <w:r w:rsidR="009E4F82">
        <w:rPr>
          <w:rFonts w:eastAsia="Times New Roman"/>
          <w:sz w:val="22"/>
          <w:szCs w:val="22"/>
          <w:lang w:val="es-ES"/>
        </w:rPr>
        <w:t xml:space="preserve"> contar con</w:t>
      </w:r>
      <w:r w:rsidRPr="005978DF">
        <w:rPr>
          <w:rFonts w:eastAsia="Times New Roman"/>
          <w:sz w:val="22"/>
          <w:szCs w:val="22"/>
          <w:lang w:val="es-ES"/>
        </w:rPr>
        <w:t xml:space="preserve"> un mecanismo de </w:t>
      </w:r>
      <w:r w:rsidR="00654971">
        <w:rPr>
          <w:rFonts w:eastAsia="Times New Roman"/>
          <w:sz w:val="22"/>
          <w:szCs w:val="22"/>
          <w:lang w:val="es-ES"/>
        </w:rPr>
        <w:t>revisión</w:t>
      </w:r>
      <w:r w:rsidRPr="005978DF">
        <w:rPr>
          <w:rFonts w:eastAsia="Times New Roman"/>
          <w:sz w:val="22"/>
          <w:szCs w:val="22"/>
          <w:lang w:val="es-ES"/>
        </w:rPr>
        <w:t xml:space="preserve"> mejorado con miras a fortalecer la aplicación del Convenio y sus Protocolos y lograr los objetivos y las metas del marco mundial de la diversidad biológica posterior a 2020. </w:t>
      </w:r>
      <w:r w:rsidRPr="005978DF">
        <w:rPr>
          <w:rFonts w:eastAsia="Times New Roman"/>
          <w:sz w:val="22"/>
          <w:szCs w:val="22"/>
          <w:lang w:val="es-ES"/>
        </w:rPr>
        <w:lastRenderedPageBreak/>
        <w:t xml:space="preserve">Para apoyar a las Partes, la Secretaría brindará orientación pertinente y sensible a las cuestiones de género con </w:t>
      </w:r>
      <w:r w:rsidR="009E4F82">
        <w:rPr>
          <w:rFonts w:eastAsia="Times New Roman"/>
          <w:sz w:val="22"/>
          <w:szCs w:val="22"/>
          <w:lang w:val="es-ES"/>
        </w:rPr>
        <w:t>el fin</w:t>
      </w:r>
      <w:r w:rsidRPr="005978DF">
        <w:rPr>
          <w:rFonts w:eastAsia="Times New Roman"/>
          <w:sz w:val="22"/>
          <w:szCs w:val="22"/>
          <w:lang w:val="es-ES"/>
        </w:rPr>
        <w:t xml:space="preserve"> </w:t>
      </w:r>
      <w:r w:rsidR="009E4F82">
        <w:rPr>
          <w:rFonts w:eastAsia="Times New Roman"/>
          <w:sz w:val="22"/>
          <w:szCs w:val="22"/>
          <w:lang w:val="es-ES"/>
        </w:rPr>
        <w:t>de</w:t>
      </w:r>
      <w:r w:rsidRPr="005978DF">
        <w:rPr>
          <w:rFonts w:eastAsia="Times New Roman"/>
          <w:sz w:val="22"/>
          <w:szCs w:val="22"/>
          <w:lang w:val="es-ES"/>
        </w:rPr>
        <w:t xml:space="preserve"> mejorar la planificación, el seguimiento y la presentación de informes nacionales. Para fomentar sinergias con otros acuerdos ambientales multilaterales y los ODS y para aliviar la carga de presentación de informes de las Partes, la Secretaría promoverá herramientas de presentación de informes armonizadas e integradas. Adem</w:t>
      </w:r>
      <w:r w:rsidR="00654971">
        <w:rPr>
          <w:rFonts w:eastAsia="Times New Roman"/>
          <w:sz w:val="22"/>
          <w:szCs w:val="22"/>
          <w:lang w:val="es-ES"/>
        </w:rPr>
        <w:t xml:space="preserve">ás, la Secretaría facilitará una revisión Parte </w:t>
      </w:r>
      <w:r w:rsidRPr="005978DF">
        <w:rPr>
          <w:rFonts w:eastAsia="Times New Roman"/>
          <w:sz w:val="22"/>
          <w:szCs w:val="22"/>
          <w:lang w:val="es-ES"/>
        </w:rPr>
        <w:t xml:space="preserve">por Parte de la aplicación del Convenio organizando un foro de participación abierta del OSA y promoviendo que las Partes participen en procesos voluntarios de revisión por pares. Adicionalmente, la Secretaría intensificará aún más sus actividades de seguimiento y evaluación del estado de la diversidad biológica y el cumplimiento de las obligaciones asumidas en virtud del Convenio y sus Protocolos. Esto se logrará a través de herramientas mejoradas, entre ellas la herramienta de seguimiento de decisiones y </w:t>
      </w:r>
      <w:r w:rsidR="009E4F82">
        <w:rPr>
          <w:rFonts w:eastAsia="Times New Roman"/>
          <w:sz w:val="22"/>
          <w:szCs w:val="22"/>
          <w:lang w:val="es-ES"/>
        </w:rPr>
        <w:t>de</w:t>
      </w:r>
      <w:r w:rsidRPr="005978DF">
        <w:rPr>
          <w:rFonts w:eastAsia="Times New Roman"/>
          <w:sz w:val="22"/>
          <w:szCs w:val="22"/>
          <w:lang w:val="es-ES"/>
        </w:rPr>
        <w:t xml:space="preserve"> capacidad para el seguimiento de alta calidad de las metas del marco mundial de la diversidad biológica, evaluaciones y balances pertinentes y análisis con base empírica para contribuir a</w:t>
      </w:r>
      <w:r w:rsidR="00654971">
        <w:rPr>
          <w:rFonts w:eastAsia="Times New Roman"/>
          <w:sz w:val="22"/>
          <w:szCs w:val="22"/>
          <w:lang w:val="es-ES"/>
        </w:rPr>
        <w:t xml:space="preserve"> </w:t>
      </w:r>
      <w:r w:rsidRPr="005978DF">
        <w:rPr>
          <w:rFonts w:eastAsia="Times New Roman"/>
          <w:sz w:val="22"/>
          <w:szCs w:val="22"/>
          <w:lang w:val="es-ES"/>
        </w:rPr>
        <w:t>l</w:t>
      </w:r>
      <w:r w:rsidR="00654971">
        <w:rPr>
          <w:rFonts w:eastAsia="Times New Roman"/>
          <w:sz w:val="22"/>
          <w:szCs w:val="22"/>
          <w:lang w:val="es-ES"/>
        </w:rPr>
        <w:t>a</w:t>
      </w:r>
      <w:r w:rsidRPr="005978DF">
        <w:rPr>
          <w:rFonts w:eastAsia="Times New Roman"/>
          <w:sz w:val="22"/>
          <w:szCs w:val="22"/>
          <w:lang w:val="es-ES"/>
        </w:rPr>
        <w:t xml:space="preserve"> </w:t>
      </w:r>
      <w:r w:rsidR="00654971">
        <w:rPr>
          <w:rFonts w:eastAsia="Times New Roman"/>
          <w:sz w:val="22"/>
          <w:szCs w:val="22"/>
          <w:lang w:val="es-ES"/>
        </w:rPr>
        <w:t>r</w:t>
      </w:r>
      <w:r w:rsidRPr="005978DF">
        <w:rPr>
          <w:rFonts w:eastAsia="Times New Roman"/>
          <w:sz w:val="22"/>
          <w:szCs w:val="22"/>
          <w:lang w:val="es-ES"/>
        </w:rPr>
        <w:t>e</w:t>
      </w:r>
      <w:r w:rsidR="00654971">
        <w:rPr>
          <w:rFonts w:eastAsia="Times New Roman"/>
          <w:sz w:val="22"/>
          <w:szCs w:val="22"/>
          <w:lang w:val="es-ES"/>
        </w:rPr>
        <w:t>visió</w:t>
      </w:r>
      <w:r w:rsidRPr="005978DF">
        <w:rPr>
          <w:rFonts w:eastAsia="Times New Roman"/>
          <w:sz w:val="22"/>
          <w:szCs w:val="22"/>
          <w:lang w:val="es-ES"/>
        </w:rPr>
        <w:t>n y la toma de decisiones a nivel mundial.</w:t>
      </w:r>
    </w:p>
    <w:p w14:paraId="404112C4"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el siguiente cuadro se presentan los cuatro resultados sustantivos junto con indicadores de logro. Los valores de referencia y las metas no se han definido aún.</w:t>
      </w:r>
    </w:p>
    <w:p w14:paraId="404112C5" w14:textId="77777777" w:rsidR="002F3255" w:rsidRPr="00F2055F" w:rsidRDefault="002F3255">
      <w:pPr>
        <w:rPr>
          <w:rFonts w:eastAsia="Times New Roman"/>
          <w:b/>
          <w:bCs/>
          <w:sz w:val="22"/>
          <w:szCs w:val="22"/>
          <w:lang w:val="es-ES"/>
        </w:rPr>
      </w:pPr>
    </w:p>
    <w:p w14:paraId="404112C6" w14:textId="77777777" w:rsidR="002F3255" w:rsidRPr="005978DF" w:rsidRDefault="002F3255">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imes New Roman"/>
          <w:b/>
          <w:bCs/>
          <w:sz w:val="22"/>
          <w:szCs w:val="22"/>
          <w:lang w:val="es-ES"/>
        </w:rPr>
      </w:pPr>
      <w:r w:rsidRPr="005978DF">
        <w:rPr>
          <w:rFonts w:eastAsia="Times New Roman"/>
          <w:b/>
          <w:bCs/>
          <w:sz w:val="22"/>
          <w:szCs w:val="22"/>
          <w:lang w:val="es-ES"/>
        </w:rPr>
        <w:t>Cuadro 11. Resultados, indicadores de logro y medidas de cumplimiento</w:t>
      </w:r>
    </w:p>
    <w:tbl>
      <w:tblPr>
        <w:tblW w:w="0" w:type="auto"/>
        <w:jc w:val="center"/>
        <w:tblBorders>
          <w:top w:val="single" w:sz="4" w:space="0" w:color="auto"/>
          <w:bottom w:val="single" w:sz="4" w:space="0" w:color="auto"/>
          <w:insideV w:val="single" w:sz="4" w:space="0" w:color="auto"/>
        </w:tblBorders>
        <w:tblLayout w:type="fixed"/>
        <w:tblLook w:val="00A0" w:firstRow="1" w:lastRow="0" w:firstColumn="1" w:lastColumn="0" w:noHBand="0" w:noVBand="0"/>
      </w:tblPr>
      <w:tblGrid>
        <w:gridCol w:w="2831"/>
        <w:gridCol w:w="18"/>
        <w:gridCol w:w="3451"/>
        <w:gridCol w:w="2063"/>
      </w:tblGrid>
      <w:tr w:rsidR="002F3255" w:rsidRPr="006A6E89" w14:paraId="404112C8" w14:textId="77777777">
        <w:trPr>
          <w:trHeight w:val="624"/>
          <w:jc w:val="center"/>
        </w:trPr>
        <w:tc>
          <w:tcPr>
            <w:tcW w:w="8363" w:type="dxa"/>
            <w:gridSpan w:val="4"/>
            <w:tcBorders>
              <w:top w:val="single" w:sz="4" w:space="0" w:color="auto"/>
              <w:bottom w:val="single" w:sz="4" w:space="0" w:color="auto"/>
            </w:tcBorders>
          </w:tcPr>
          <w:p w14:paraId="404112C7" w14:textId="77777777" w:rsidR="002F3255" w:rsidRPr="005978DF" w:rsidRDefault="002F3255" w:rsidP="00654971">
            <w:pPr>
              <w:spacing w:before="40" w:after="40"/>
              <w:rPr>
                <w:rFonts w:eastAsia="Times New Roman"/>
                <w:lang w:val="es-ES"/>
              </w:rPr>
            </w:pPr>
            <w:r w:rsidRPr="005978DF">
              <w:rPr>
                <w:rFonts w:eastAsia="Times New Roman"/>
                <w:b/>
                <w:bCs/>
                <w:sz w:val="17"/>
                <w:szCs w:val="17"/>
                <w:lang w:val="es-ES"/>
              </w:rPr>
              <w:t xml:space="preserve">Objetivo de la Secretaría: </w:t>
            </w:r>
            <w:r w:rsidRPr="005978DF">
              <w:rPr>
                <w:rFonts w:eastAsia="Times New Roman"/>
                <w:sz w:val="17"/>
                <w:szCs w:val="17"/>
                <w:lang w:val="es-ES"/>
              </w:rPr>
              <w:t>Facilitar y apoyar a las Partes en el Convenio y sus Protocolos para fortalecer la gobernanza ambiental a través de</w:t>
            </w:r>
            <w:r w:rsidR="00654971">
              <w:rPr>
                <w:rFonts w:eastAsia="Times New Roman"/>
                <w:sz w:val="17"/>
                <w:szCs w:val="17"/>
                <w:lang w:val="es-ES"/>
              </w:rPr>
              <w:t xml:space="preserve"> </w:t>
            </w:r>
            <w:r w:rsidRPr="005978DF">
              <w:rPr>
                <w:rFonts w:eastAsia="Times New Roman"/>
                <w:sz w:val="17"/>
                <w:szCs w:val="17"/>
                <w:lang w:val="es-ES"/>
              </w:rPr>
              <w:t>l</w:t>
            </w:r>
            <w:r w:rsidR="00654971">
              <w:rPr>
                <w:rFonts w:eastAsia="Times New Roman"/>
                <w:sz w:val="17"/>
                <w:szCs w:val="17"/>
                <w:lang w:val="es-ES"/>
              </w:rPr>
              <w:t>a</w:t>
            </w:r>
            <w:r w:rsidRPr="005978DF">
              <w:rPr>
                <w:rFonts w:eastAsia="Times New Roman"/>
                <w:sz w:val="17"/>
                <w:szCs w:val="17"/>
                <w:lang w:val="es-ES"/>
              </w:rPr>
              <w:t xml:space="preserve"> </w:t>
            </w:r>
            <w:r w:rsidR="00654971">
              <w:rPr>
                <w:rFonts w:eastAsia="Times New Roman"/>
                <w:sz w:val="17"/>
                <w:szCs w:val="17"/>
                <w:lang w:val="es-ES"/>
              </w:rPr>
              <w:t>elaboración</w:t>
            </w:r>
            <w:r w:rsidRPr="005978DF">
              <w:rPr>
                <w:rFonts w:eastAsia="Times New Roman"/>
                <w:sz w:val="17"/>
                <w:szCs w:val="17"/>
                <w:lang w:val="es-ES"/>
              </w:rPr>
              <w:t xml:space="preserve">, </w:t>
            </w:r>
            <w:r w:rsidR="00654971">
              <w:rPr>
                <w:rFonts w:eastAsia="Times New Roman"/>
                <w:sz w:val="17"/>
                <w:szCs w:val="17"/>
                <w:lang w:val="es-ES"/>
              </w:rPr>
              <w:t>aplicación</w:t>
            </w:r>
            <w:r w:rsidRPr="005978DF">
              <w:rPr>
                <w:rFonts w:eastAsia="Times New Roman"/>
                <w:sz w:val="17"/>
                <w:szCs w:val="17"/>
                <w:lang w:val="es-ES"/>
              </w:rPr>
              <w:t xml:space="preserve"> y</w:t>
            </w:r>
            <w:r w:rsidR="00654971">
              <w:rPr>
                <w:rFonts w:eastAsia="Times New Roman"/>
                <w:sz w:val="17"/>
                <w:szCs w:val="17"/>
                <w:lang w:val="es-ES"/>
              </w:rPr>
              <w:t xml:space="preserve"> revisión</w:t>
            </w:r>
            <w:r w:rsidRPr="005978DF">
              <w:rPr>
                <w:rFonts w:eastAsia="Times New Roman"/>
                <w:sz w:val="17"/>
                <w:szCs w:val="17"/>
                <w:lang w:val="es-ES"/>
              </w:rPr>
              <w:t xml:space="preserve"> periódic</w:t>
            </w:r>
            <w:r w:rsidR="00654971">
              <w:rPr>
                <w:rFonts w:eastAsia="Times New Roman"/>
                <w:sz w:val="17"/>
                <w:szCs w:val="17"/>
                <w:lang w:val="es-ES"/>
              </w:rPr>
              <w:t>as</w:t>
            </w:r>
            <w:r w:rsidRPr="005978DF">
              <w:rPr>
                <w:rFonts w:eastAsia="Times New Roman"/>
                <w:sz w:val="17"/>
                <w:szCs w:val="17"/>
                <w:lang w:val="es-ES"/>
              </w:rPr>
              <w:t xml:space="preserve"> de acuerdos internacionales dirigidos a alcanzar la visión para 2050 de vivir en armonía con la naturaleza.</w:t>
            </w:r>
          </w:p>
        </w:tc>
      </w:tr>
      <w:tr w:rsidR="002F3255" w:rsidRPr="006A6E89" w14:paraId="404112CC" w14:textId="77777777">
        <w:trPr>
          <w:trHeight w:val="560"/>
          <w:jc w:val="center"/>
        </w:trPr>
        <w:tc>
          <w:tcPr>
            <w:tcW w:w="2831" w:type="dxa"/>
            <w:tcBorders>
              <w:top w:val="single" w:sz="4" w:space="0" w:color="auto"/>
              <w:bottom w:val="single" w:sz="12" w:space="0" w:color="auto"/>
              <w:right w:val="nil"/>
            </w:tcBorders>
            <w:vAlign w:val="center"/>
          </w:tcPr>
          <w:p w14:paraId="404112C9" w14:textId="77777777" w:rsidR="002F3255" w:rsidRPr="005978DF" w:rsidRDefault="002F3255">
            <w:pPr>
              <w:spacing w:before="40" w:after="40"/>
              <w:rPr>
                <w:rFonts w:eastAsia="Times New Roman"/>
                <w:lang w:val="es-ES"/>
              </w:rPr>
            </w:pPr>
            <w:r w:rsidRPr="005978DF">
              <w:rPr>
                <w:rFonts w:eastAsia="Times New Roman"/>
                <w:i/>
                <w:iCs/>
                <w:sz w:val="17"/>
                <w:szCs w:val="17"/>
                <w:lang w:val="es-ES"/>
              </w:rPr>
              <w:t>Resultados de la Secretaría</w:t>
            </w:r>
          </w:p>
        </w:tc>
        <w:tc>
          <w:tcPr>
            <w:tcW w:w="3469" w:type="dxa"/>
            <w:gridSpan w:val="2"/>
            <w:tcBorders>
              <w:top w:val="single" w:sz="4" w:space="0" w:color="auto"/>
              <w:left w:val="nil"/>
              <w:bottom w:val="single" w:sz="12" w:space="0" w:color="auto"/>
              <w:right w:val="nil"/>
            </w:tcBorders>
            <w:vAlign w:val="center"/>
          </w:tcPr>
          <w:p w14:paraId="404112CA" w14:textId="77777777" w:rsidR="002F3255" w:rsidRPr="005978DF" w:rsidRDefault="002F3255">
            <w:pPr>
              <w:spacing w:before="40" w:after="40"/>
              <w:rPr>
                <w:rFonts w:eastAsia="Times New Roman"/>
                <w:lang w:val="es-ES"/>
              </w:rPr>
            </w:pPr>
            <w:r w:rsidRPr="005978DF">
              <w:rPr>
                <w:rFonts w:eastAsia="Times New Roman"/>
                <w:i/>
                <w:iCs/>
                <w:sz w:val="17"/>
                <w:szCs w:val="17"/>
                <w:lang w:val="es-ES"/>
              </w:rPr>
              <w:t>Indicadores de logro</w:t>
            </w:r>
          </w:p>
        </w:tc>
        <w:tc>
          <w:tcPr>
            <w:tcW w:w="2063" w:type="dxa"/>
            <w:tcBorders>
              <w:top w:val="single" w:sz="4" w:space="0" w:color="auto"/>
              <w:left w:val="nil"/>
              <w:bottom w:val="single" w:sz="12" w:space="0" w:color="auto"/>
            </w:tcBorders>
            <w:vAlign w:val="center"/>
          </w:tcPr>
          <w:p w14:paraId="404112CB" w14:textId="77777777" w:rsidR="002F3255" w:rsidRPr="005978DF" w:rsidRDefault="009E4F82" w:rsidP="009E4F82">
            <w:pPr>
              <w:keepNext/>
              <w:spacing w:before="40" w:after="40"/>
              <w:rPr>
                <w:rFonts w:eastAsia="Times New Roman"/>
                <w:lang w:val="es-ES"/>
              </w:rPr>
            </w:pPr>
            <w:r>
              <w:rPr>
                <w:rFonts w:eastAsia="Times New Roman"/>
                <w:i/>
                <w:iCs/>
                <w:sz w:val="17"/>
                <w:szCs w:val="17"/>
                <w:lang w:val="es-ES"/>
              </w:rPr>
              <w:t>Valores de referencia</w:t>
            </w:r>
            <w:r w:rsidR="002F3255" w:rsidRPr="005978DF">
              <w:rPr>
                <w:rFonts w:eastAsia="Times New Roman"/>
                <w:i/>
                <w:iCs/>
                <w:sz w:val="17"/>
                <w:szCs w:val="17"/>
                <w:lang w:val="es-ES"/>
              </w:rPr>
              <w:t xml:space="preserve"> y</w:t>
            </w:r>
            <w:r>
              <w:rPr>
                <w:rFonts w:eastAsia="Times New Roman"/>
                <w:i/>
                <w:iCs/>
                <w:sz w:val="17"/>
                <w:szCs w:val="17"/>
                <w:lang w:val="es-ES"/>
              </w:rPr>
              <w:t> </w:t>
            </w:r>
            <w:r w:rsidR="002F3255" w:rsidRPr="005978DF">
              <w:rPr>
                <w:rFonts w:eastAsia="Times New Roman"/>
                <w:i/>
                <w:iCs/>
                <w:sz w:val="17"/>
                <w:szCs w:val="17"/>
                <w:lang w:val="es-ES"/>
              </w:rPr>
              <w:t>metas</w:t>
            </w:r>
          </w:p>
        </w:tc>
      </w:tr>
      <w:tr w:rsidR="002F3255" w:rsidRPr="006A6E89" w14:paraId="404112D1" w14:textId="77777777">
        <w:trPr>
          <w:trHeight w:val="1590"/>
          <w:jc w:val="center"/>
        </w:trPr>
        <w:tc>
          <w:tcPr>
            <w:tcW w:w="2831" w:type="dxa"/>
            <w:vMerge w:val="restart"/>
            <w:tcBorders>
              <w:top w:val="single" w:sz="12" w:space="0" w:color="auto"/>
              <w:left w:val="nil"/>
              <w:right w:val="single" w:sz="4" w:space="0" w:color="auto"/>
            </w:tcBorders>
          </w:tcPr>
          <w:p w14:paraId="404112CD" w14:textId="77777777" w:rsidR="002F3255" w:rsidRPr="005978DF" w:rsidRDefault="002F3255">
            <w:pPr>
              <w:spacing w:before="40" w:after="40"/>
              <w:rPr>
                <w:rFonts w:eastAsia="Times New Roman"/>
                <w:lang w:val="es-ES"/>
              </w:rPr>
            </w:pPr>
            <w:r w:rsidRPr="005978DF">
              <w:rPr>
                <w:rFonts w:eastAsia="Times New Roman"/>
                <w:sz w:val="17"/>
                <w:szCs w:val="17"/>
                <w:lang w:val="es-ES"/>
              </w:rPr>
              <w:t>a) A través del Convenio y sus Protocolos, la comunidad internacional converge cada vez más en enfoques comunes con perspectiva de género para la conservación y la utilización sostenible de la diversidad biológica y la participación justa y equitativa en los beneficios que se deriven de la utilización de los recursos genéticos</w:t>
            </w:r>
          </w:p>
        </w:tc>
        <w:tc>
          <w:tcPr>
            <w:tcW w:w="3469" w:type="dxa"/>
            <w:gridSpan w:val="2"/>
            <w:tcBorders>
              <w:top w:val="single" w:sz="12" w:space="0" w:color="auto"/>
              <w:left w:val="single" w:sz="4" w:space="0" w:color="auto"/>
              <w:bottom w:val="nil"/>
              <w:right w:val="single" w:sz="4" w:space="0" w:color="auto"/>
            </w:tcBorders>
          </w:tcPr>
          <w:p w14:paraId="404112CE"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1.1 Proporción de Partes que abordan cuestiones de diversidad biológica en consonancia con las orientaciones que surgen de los procesos del CDB y los Protocolos</w:t>
            </w:r>
          </w:p>
        </w:tc>
        <w:tc>
          <w:tcPr>
            <w:tcW w:w="2063" w:type="dxa"/>
            <w:tcBorders>
              <w:top w:val="single" w:sz="12" w:space="0" w:color="auto"/>
              <w:left w:val="single" w:sz="4" w:space="0" w:color="auto"/>
              <w:right w:val="nil"/>
            </w:tcBorders>
          </w:tcPr>
          <w:p w14:paraId="404112CF" w14:textId="77777777" w:rsidR="002F3255" w:rsidRPr="005978DF" w:rsidRDefault="002F3255">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p w14:paraId="404112D0" w14:textId="77777777" w:rsidR="002F3255" w:rsidRPr="005978DF" w:rsidRDefault="002F3255">
            <w:pPr>
              <w:spacing w:before="40" w:after="40"/>
              <w:rPr>
                <w:rFonts w:eastAsia="Times New Roman"/>
                <w:b/>
                <w:bCs/>
                <w:sz w:val="17"/>
                <w:szCs w:val="17"/>
                <w:lang w:val="es-ES"/>
              </w:rPr>
            </w:pPr>
          </w:p>
        </w:tc>
      </w:tr>
      <w:tr w:rsidR="002F3255" w:rsidRPr="006A6E89" w14:paraId="404112D5" w14:textId="77777777">
        <w:trPr>
          <w:trHeight w:val="745"/>
          <w:jc w:val="center"/>
        </w:trPr>
        <w:tc>
          <w:tcPr>
            <w:tcW w:w="2831" w:type="dxa"/>
            <w:vMerge/>
            <w:tcBorders>
              <w:right w:val="single" w:sz="4" w:space="0" w:color="auto"/>
            </w:tcBorders>
          </w:tcPr>
          <w:p w14:paraId="404112D2" w14:textId="77777777" w:rsidR="002F3255" w:rsidRPr="005978DF" w:rsidRDefault="002F3255">
            <w:pPr>
              <w:rPr>
                <w:rFonts w:eastAsia="Times New Roman"/>
                <w:sz w:val="17"/>
                <w:szCs w:val="17"/>
                <w:lang w:val="es-ES"/>
              </w:rPr>
            </w:pPr>
          </w:p>
        </w:tc>
        <w:tc>
          <w:tcPr>
            <w:tcW w:w="3469" w:type="dxa"/>
            <w:gridSpan w:val="2"/>
            <w:tcBorders>
              <w:top w:val="nil"/>
              <w:left w:val="nil"/>
              <w:bottom w:val="nil"/>
              <w:right w:val="single" w:sz="4" w:space="0" w:color="auto"/>
            </w:tcBorders>
          </w:tcPr>
          <w:p w14:paraId="404112D3"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 xml:space="preserve">1.2 Proporción de Partes que integran orientaciones y metas acordadas a nivel mundial en </w:t>
            </w:r>
            <w:r w:rsidR="009E4F82">
              <w:rPr>
                <w:rFonts w:eastAsia="Times New Roman"/>
                <w:sz w:val="17"/>
                <w:szCs w:val="17"/>
                <w:lang w:val="es-ES"/>
              </w:rPr>
              <w:t xml:space="preserve">sus </w:t>
            </w:r>
            <w:r w:rsidRPr="005978DF">
              <w:rPr>
                <w:rFonts w:eastAsia="Times New Roman"/>
                <w:sz w:val="17"/>
                <w:szCs w:val="17"/>
                <w:lang w:val="es-ES"/>
              </w:rPr>
              <w:t>estrategias, planes, políticas, sistemas de presentación de informes y presupuestos nacionales más amplios</w:t>
            </w:r>
          </w:p>
        </w:tc>
        <w:tc>
          <w:tcPr>
            <w:tcW w:w="2063" w:type="dxa"/>
            <w:tcBorders>
              <w:left w:val="single" w:sz="4" w:space="0" w:color="auto"/>
              <w:right w:val="nil"/>
            </w:tcBorders>
          </w:tcPr>
          <w:p w14:paraId="404112D4"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D9" w14:textId="77777777">
        <w:trPr>
          <w:trHeight w:val="745"/>
          <w:jc w:val="center"/>
        </w:trPr>
        <w:tc>
          <w:tcPr>
            <w:tcW w:w="2831" w:type="dxa"/>
            <w:vMerge/>
            <w:tcBorders>
              <w:right w:val="single" w:sz="4" w:space="0" w:color="auto"/>
            </w:tcBorders>
          </w:tcPr>
          <w:p w14:paraId="404112D6" w14:textId="77777777" w:rsidR="002F3255" w:rsidRPr="005978DF" w:rsidRDefault="002F3255">
            <w:pPr>
              <w:rPr>
                <w:rFonts w:eastAsia="Times New Roman"/>
                <w:sz w:val="17"/>
                <w:szCs w:val="17"/>
                <w:lang w:val="es-ES"/>
              </w:rPr>
            </w:pPr>
          </w:p>
        </w:tc>
        <w:tc>
          <w:tcPr>
            <w:tcW w:w="3469" w:type="dxa"/>
            <w:gridSpan w:val="2"/>
            <w:tcBorders>
              <w:top w:val="nil"/>
              <w:left w:val="nil"/>
              <w:bottom w:val="nil"/>
              <w:right w:val="single" w:sz="4" w:space="0" w:color="auto"/>
            </w:tcBorders>
          </w:tcPr>
          <w:p w14:paraId="404112D7"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1.3 Proporción de miembros del Grupo de Gestión Ambiental de las Naciones Unidas y de organizaciones no gubernamentales internacionales que abordan cuestiones de diversidad biológica en consonancia con las orientaciones que surgen de los procesos del CDB y los Protocolos a nivel mundial y regional</w:t>
            </w:r>
          </w:p>
        </w:tc>
        <w:tc>
          <w:tcPr>
            <w:tcW w:w="2063" w:type="dxa"/>
            <w:tcBorders>
              <w:left w:val="single" w:sz="4" w:space="0" w:color="auto"/>
              <w:right w:val="nil"/>
            </w:tcBorders>
          </w:tcPr>
          <w:p w14:paraId="404112D8"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DD" w14:textId="77777777">
        <w:trPr>
          <w:trHeight w:val="745"/>
          <w:jc w:val="center"/>
        </w:trPr>
        <w:tc>
          <w:tcPr>
            <w:tcW w:w="2831" w:type="dxa"/>
            <w:tcBorders>
              <w:left w:val="nil"/>
              <w:bottom w:val="single" w:sz="4" w:space="0" w:color="auto"/>
              <w:right w:val="single" w:sz="4" w:space="0" w:color="auto"/>
            </w:tcBorders>
          </w:tcPr>
          <w:p w14:paraId="404112DA" w14:textId="77777777" w:rsidR="002F3255" w:rsidRPr="005978DF" w:rsidRDefault="002F3255">
            <w:pPr>
              <w:spacing w:before="40" w:after="40"/>
              <w:rPr>
                <w:rFonts w:eastAsia="Times New Roman"/>
                <w:sz w:val="17"/>
                <w:szCs w:val="17"/>
                <w:lang w:val="es-ES"/>
              </w:rPr>
            </w:pPr>
          </w:p>
        </w:tc>
        <w:tc>
          <w:tcPr>
            <w:tcW w:w="3469" w:type="dxa"/>
            <w:gridSpan w:val="2"/>
            <w:tcBorders>
              <w:top w:val="nil"/>
              <w:left w:val="single" w:sz="4" w:space="0" w:color="auto"/>
              <w:bottom w:val="single" w:sz="4" w:space="0" w:color="auto"/>
              <w:right w:val="single" w:sz="4" w:space="0" w:color="auto"/>
            </w:tcBorders>
          </w:tcPr>
          <w:p w14:paraId="404112DB"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1.4 Aumento en el número de Partes en el Convenio y sus Protocolos</w:t>
            </w:r>
          </w:p>
        </w:tc>
        <w:tc>
          <w:tcPr>
            <w:tcW w:w="2063" w:type="dxa"/>
            <w:tcBorders>
              <w:left w:val="single" w:sz="4" w:space="0" w:color="auto"/>
              <w:bottom w:val="single" w:sz="4" w:space="0" w:color="auto"/>
              <w:right w:val="nil"/>
            </w:tcBorders>
          </w:tcPr>
          <w:p w14:paraId="404112DC"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VR: Convenio: 193; Protocolo de Nagoya: 138; Protocolo de Cartagena: 173; M: 100 %; Protocolo Suplementario de Nagoya-Kuala Lumpur 51; M:</w:t>
            </w:r>
            <w:r w:rsidR="00904737">
              <w:rPr>
                <w:rFonts w:eastAsia="Times New Roman"/>
                <w:sz w:val="17"/>
                <w:szCs w:val="17"/>
                <w:lang w:val="es-ES"/>
              </w:rPr>
              <w:t> a</w:t>
            </w:r>
            <w:r w:rsidRPr="005978DF">
              <w:rPr>
                <w:rFonts w:eastAsia="Times New Roman"/>
                <w:sz w:val="17"/>
                <w:szCs w:val="17"/>
                <w:lang w:val="es-ES"/>
              </w:rPr>
              <w:t>umento del 10 %.</w:t>
            </w:r>
          </w:p>
        </w:tc>
      </w:tr>
      <w:tr w:rsidR="002F3255" w:rsidRPr="006A6E89" w14:paraId="404112E1" w14:textId="77777777">
        <w:trPr>
          <w:trHeight w:val="529"/>
          <w:jc w:val="center"/>
        </w:trPr>
        <w:tc>
          <w:tcPr>
            <w:tcW w:w="2831" w:type="dxa"/>
            <w:vMerge w:val="restart"/>
            <w:tcBorders>
              <w:top w:val="single" w:sz="4" w:space="0" w:color="auto"/>
              <w:left w:val="nil"/>
              <w:bottom w:val="nil"/>
              <w:right w:val="single" w:sz="4" w:space="0" w:color="auto"/>
            </w:tcBorders>
          </w:tcPr>
          <w:p w14:paraId="404112DE" w14:textId="77777777" w:rsidR="002F3255" w:rsidRPr="005978DF" w:rsidRDefault="002F3255">
            <w:pPr>
              <w:spacing w:before="40" w:after="40"/>
              <w:rPr>
                <w:rFonts w:eastAsia="Times New Roman"/>
                <w:lang w:val="es-ES"/>
              </w:rPr>
            </w:pPr>
            <w:r w:rsidRPr="005978DF">
              <w:rPr>
                <w:rFonts w:eastAsia="Times New Roman"/>
                <w:sz w:val="17"/>
                <w:szCs w:val="17"/>
                <w:lang w:val="es-ES"/>
              </w:rPr>
              <w:t>b) Mediante la implementación del marco mundial de la diversidad biológica (MMDB) se profundiza la aplicación nacional del Convenio y sus Protocolos para mejorar el estado de la diversidad biológica</w:t>
            </w:r>
          </w:p>
        </w:tc>
        <w:tc>
          <w:tcPr>
            <w:tcW w:w="3469" w:type="dxa"/>
            <w:gridSpan w:val="2"/>
            <w:tcBorders>
              <w:top w:val="single" w:sz="4" w:space="0" w:color="auto"/>
              <w:left w:val="single" w:sz="4" w:space="0" w:color="auto"/>
              <w:bottom w:val="nil"/>
              <w:right w:val="single" w:sz="4" w:space="0" w:color="auto"/>
            </w:tcBorders>
          </w:tcPr>
          <w:p w14:paraId="404112DF"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2.1 Aumento de la financiación para la implementación del MMDB</w:t>
            </w:r>
          </w:p>
        </w:tc>
        <w:tc>
          <w:tcPr>
            <w:tcW w:w="2063" w:type="dxa"/>
            <w:tcBorders>
              <w:top w:val="single" w:sz="4" w:space="0" w:color="auto"/>
              <w:left w:val="single" w:sz="4" w:space="0" w:color="auto"/>
              <w:bottom w:val="nil"/>
              <w:right w:val="nil"/>
            </w:tcBorders>
          </w:tcPr>
          <w:p w14:paraId="404112E0"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E5" w14:textId="77777777">
        <w:trPr>
          <w:trHeight w:val="529"/>
          <w:jc w:val="center"/>
        </w:trPr>
        <w:tc>
          <w:tcPr>
            <w:tcW w:w="2831" w:type="dxa"/>
            <w:vMerge/>
            <w:tcBorders>
              <w:right w:val="single" w:sz="4" w:space="0" w:color="auto"/>
            </w:tcBorders>
          </w:tcPr>
          <w:p w14:paraId="404112E2" w14:textId="77777777" w:rsidR="002F3255" w:rsidRPr="005978DF" w:rsidRDefault="002F3255">
            <w:pPr>
              <w:rPr>
                <w:rFonts w:eastAsia="Times New Roman"/>
                <w:sz w:val="17"/>
                <w:szCs w:val="17"/>
                <w:lang w:val="es-ES"/>
              </w:rPr>
            </w:pPr>
          </w:p>
        </w:tc>
        <w:tc>
          <w:tcPr>
            <w:tcW w:w="3469" w:type="dxa"/>
            <w:gridSpan w:val="2"/>
            <w:tcBorders>
              <w:top w:val="nil"/>
              <w:left w:val="nil"/>
              <w:bottom w:val="nil"/>
              <w:right w:val="single" w:sz="4" w:space="0" w:color="auto"/>
            </w:tcBorders>
          </w:tcPr>
          <w:p w14:paraId="404112E3"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 xml:space="preserve">2.2 </w:t>
            </w:r>
            <w:r w:rsidR="00550CFF">
              <w:rPr>
                <w:rFonts w:eastAsia="Times New Roman"/>
                <w:sz w:val="17"/>
                <w:szCs w:val="17"/>
                <w:lang w:val="es-ES"/>
              </w:rPr>
              <w:t xml:space="preserve">Las </w:t>
            </w:r>
            <w:r w:rsidRPr="005978DF">
              <w:rPr>
                <w:rFonts w:eastAsia="Times New Roman"/>
                <w:sz w:val="17"/>
                <w:szCs w:val="17"/>
                <w:lang w:val="es-ES"/>
              </w:rPr>
              <w:t>Partes informar que han logrado avances en la consecución de las metas del MMDB de manera sensible a las cuestiones de género</w:t>
            </w:r>
          </w:p>
        </w:tc>
        <w:tc>
          <w:tcPr>
            <w:tcW w:w="2063" w:type="dxa"/>
            <w:tcBorders>
              <w:top w:val="nil"/>
              <w:left w:val="single" w:sz="4" w:space="0" w:color="auto"/>
              <w:right w:val="nil"/>
            </w:tcBorders>
          </w:tcPr>
          <w:p w14:paraId="404112E4"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E9" w14:textId="77777777">
        <w:trPr>
          <w:trHeight w:val="782"/>
          <w:jc w:val="center"/>
        </w:trPr>
        <w:tc>
          <w:tcPr>
            <w:tcW w:w="2831" w:type="dxa"/>
            <w:vMerge/>
            <w:tcBorders>
              <w:right w:val="single" w:sz="4" w:space="0" w:color="auto"/>
            </w:tcBorders>
          </w:tcPr>
          <w:p w14:paraId="404112E6" w14:textId="77777777" w:rsidR="002F3255" w:rsidRPr="005978DF" w:rsidRDefault="002F3255">
            <w:pPr>
              <w:rPr>
                <w:rFonts w:eastAsia="Times New Roman"/>
                <w:sz w:val="17"/>
                <w:szCs w:val="17"/>
                <w:lang w:val="es-ES"/>
              </w:rPr>
            </w:pPr>
          </w:p>
        </w:tc>
        <w:tc>
          <w:tcPr>
            <w:tcW w:w="3469" w:type="dxa"/>
            <w:gridSpan w:val="2"/>
            <w:tcBorders>
              <w:top w:val="nil"/>
              <w:left w:val="nil"/>
              <w:bottom w:val="nil"/>
              <w:right w:val="single" w:sz="4" w:space="0" w:color="auto"/>
            </w:tcBorders>
          </w:tcPr>
          <w:p w14:paraId="404112E7"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2.3 Las Partes muestran avances en el desarrollo de capacidades en distintos niveles (entorno propicio, institucional e individual)</w:t>
            </w:r>
          </w:p>
        </w:tc>
        <w:tc>
          <w:tcPr>
            <w:tcW w:w="2063" w:type="dxa"/>
            <w:tcBorders>
              <w:left w:val="single" w:sz="4" w:space="0" w:color="auto"/>
              <w:right w:val="nil"/>
            </w:tcBorders>
          </w:tcPr>
          <w:p w14:paraId="404112E8"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ED" w14:textId="77777777">
        <w:trPr>
          <w:trHeight w:val="529"/>
          <w:jc w:val="center"/>
        </w:trPr>
        <w:tc>
          <w:tcPr>
            <w:tcW w:w="2831" w:type="dxa"/>
            <w:vMerge/>
            <w:tcBorders>
              <w:right w:val="single" w:sz="4" w:space="0" w:color="auto"/>
            </w:tcBorders>
          </w:tcPr>
          <w:p w14:paraId="404112EA" w14:textId="77777777" w:rsidR="002F3255" w:rsidRPr="005978DF" w:rsidRDefault="002F3255">
            <w:pPr>
              <w:rPr>
                <w:rFonts w:eastAsia="Times New Roman"/>
                <w:sz w:val="17"/>
                <w:szCs w:val="17"/>
                <w:lang w:val="es-ES"/>
              </w:rPr>
            </w:pPr>
          </w:p>
        </w:tc>
        <w:tc>
          <w:tcPr>
            <w:tcW w:w="3469" w:type="dxa"/>
            <w:gridSpan w:val="2"/>
            <w:tcBorders>
              <w:top w:val="nil"/>
              <w:left w:val="nil"/>
              <w:bottom w:val="single" w:sz="4" w:space="0" w:color="auto"/>
              <w:right w:val="single" w:sz="4" w:space="0" w:color="auto"/>
            </w:tcBorders>
          </w:tcPr>
          <w:p w14:paraId="404112EB"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2.4 Número de asociaciones mundiales y regionales que apoyan la implementación del MMDB (y la aplicación del CDB y los Protocolos) a nivel nacional</w:t>
            </w:r>
          </w:p>
        </w:tc>
        <w:tc>
          <w:tcPr>
            <w:tcW w:w="2063" w:type="dxa"/>
            <w:tcBorders>
              <w:left w:val="single" w:sz="4" w:space="0" w:color="auto"/>
              <w:bottom w:val="single" w:sz="4" w:space="0" w:color="auto"/>
              <w:right w:val="nil"/>
            </w:tcBorders>
          </w:tcPr>
          <w:p w14:paraId="404112EC"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F1" w14:textId="77777777">
        <w:trPr>
          <w:trHeight w:val="655"/>
          <w:jc w:val="center"/>
        </w:trPr>
        <w:tc>
          <w:tcPr>
            <w:tcW w:w="2849" w:type="dxa"/>
            <w:gridSpan w:val="2"/>
            <w:vMerge w:val="restart"/>
            <w:tcBorders>
              <w:top w:val="single" w:sz="4" w:space="0" w:color="auto"/>
              <w:left w:val="nil"/>
              <w:bottom w:val="nil"/>
              <w:right w:val="single" w:sz="4" w:space="0" w:color="auto"/>
            </w:tcBorders>
          </w:tcPr>
          <w:p w14:paraId="404112EE" w14:textId="77777777" w:rsidR="002F3255" w:rsidRPr="005978DF" w:rsidRDefault="002F3255">
            <w:pPr>
              <w:spacing w:before="40" w:after="40"/>
              <w:rPr>
                <w:rFonts w:eastAsia="Times New Roman"/>
                <w:lang w:val="es-ES"/>
              </w:rPr>
            </w:pPr>
            <w:r w:rsidRPr="005978DF">
              <w:rPr>
                <w:rFonts w:eastAsia="Times New Roman"/>
                <w:sz w:val="17"/>
                <w:szCs w:val="17"/>
                <w:lang w:val="es-ES"/>
              </w:rPr>
              <w:t>c) La concienciación y las acciones para conservar la diversidad biológica y utilizarla de manera sostenible y participar en los beneficios derivados de su utilización aumentan en todos los niveles y todos los sectores de la sociedad</w:t>
            </w:r>
          </w:p>
        </w:tc>
        <w:tc>
          <w:tcPr>
            <w:tcW w:w="3451" w:type="dxa"/>
            <w:tcBorders>
              <w:top w:val="single" w:sz="4" w:space="0" w:color="auto"/>
              <w:left w:val="single" w:sz="4" w:space="0" w:color="auto"/>
              <w:bottom w:val="nil"/>
              <w:right w:val="single" w:sz="4" w:space="0" w:color="auto"/>
            </w:tcBorders>
          </w:tcPr>
          <w:p w14:paraId="404112EF"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3.1 Número de foros políticos mundiales y regionales de alto nivel que abordan la diversidad biológica</w:t>
            </w:r>
          </w:p>
        </w:tc>
        <w:tc>
          <w:tcPr>
            <w:tcW w:w="2063" w:type="dxa"/>
            <w:tcBorders>
              <w:top w:val="single" w:sz="4" w:space="0" w:color="auto"/>
              <w:left w:val="single" w:sz="4" w:space="0" w:color="auto"/>
              <w:bottom w:val="nil"/>
              <w:right w:val="nil"/>
            </w:tcBorders>
          </w:tcPr>
          <w:p w14:paraId="404112F0"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F5" w14:textId="77777777">
        <w:trPr>
          <w:trHeight w:val="654"/>
          <w:jc w:val="center"/>
        </w:trPr>
        <w:tc>
          <w:tcPr>
            <w:tcW w:w="2849" w:type="dxa"/>
            <w:gridSpan w:val="2"/>
            <w:vMerge/>
            <w:tcBorders>
              <w:right w:val="single" w:sz="4" w:space="0" w:color="auto"/>
            </w:tcBorders>
          </w:tcPr>
          <w:p w14:paraId="404112F2" w14:textId="77777777" w:rsidR="002F3255" w:rsidRPr="005978DF" w:rsidRDefault="002F3255">
            <w:pPr>
              <w:rPr>
                <w:rFonts w:eastAsia="Times New Roman"/>
                <w:sz w:val="17"/>
                <w:szCs w:val="17"/>
                <w:lang w:val="es-ES"/>
              </w:rPr>
            </w:pPr>
          </w:p>
        </w:tc>
        <w:tc>
          <w:tcPr>
            <w:tcW w:w="3451" w:type="dxa"/>
            <w:tcBorders>
              <w:top w:val="nil"/>
              <w:left w:val="single" w:sz="4" w:space="0" w:color="auto"/>
              <w:bottom w:val="nil"/>
              <w:right w:val="single" w:sz="4" w:space="0" w:color="auto"/>
            </w:tcBorders>
          </w:tcPr>
          <w:p w14:paraId="404112F3"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3.2 Número de veces que se menciona la diversidad biológica en resoluciones surgidas de debates políticos internacionales</w:t>
            </w:r>
          </w:p>
        </w:tc>
        <w:tc>
          <w:tcPr>
            <w:tcW w:w="2063" w:type="dxa"/>
            <w:tcBorders>
              <w:top w:val="nil"/>
              <w:left w:val="single" w:sz="4" w:space="0" w:color="auto"/>
              <w:right w:val="nil"/>
            </w:tcBorders>
          </w:tcPr>
          <w:p w14:paraId="404112F4"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2F9" w14:textId="77777777">
        <w:trPr>
          <w:trHeight w:val="654"/>
          <w:jc w:val="center"/>
        </w:trPr>
        <w:tc>
          <w:tcPr>
            <w:tcW w:w="2849" w:type="dxa"/>
            <w:gridSpan w:val="2"/>
            <w:vMerge/>
            <w:tcBorders>
              <w:right w:val="single" w:sz="4" w:space="0" w:color="auto"/>
            </w:tcBorders>
          </w:tcPr>
          <w:p w14:paraId="404112F6" w14:textId="77777777" w:rsidR="002F3255" w:rsidRPr="005978DF" w:rsidRDefault="002F3255">
            <w:pPr>
              <w:rPr>
                <w:rFonts w:eastAsia="Times New Roman"/>
                <w:sz w:val="17"/>
                <w:szCs w:val="17"/>
                <w:lang w:val="es-ES"/>
              </w:rPr>
            </w:pPr>
          </w:p>
        </w:tc>
        <w:tc>
          <w:tcPr>
            <w:tcW w:w="3451" w:type="dxa"/>
            <w:tcBorders>
              <w:top w:val="nil"/>
              <w:left w:val="single" w:sz="4" w:space="0" w:color="auto"/>
              <w:bottom w:val="nil"/>
              <w:right w:val="single" w:sz="4" w:space="0" w:color="auto"/>
            </w:tcBorders>
          </w:tcPr>
          <w:p w14:paraId="404112F7"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3.3 Nivel de cobertura de la diversidad biológica en medios tradicionales y redes sociales. Número de notas impresas, en línea y en televisión y radio y alcance potencial; alcance de redes sociales, tasa de captación y número de seguidores</w:t>
            </w:r>
          </w:p>
        </w:tc>
        <w:tc>
          <w:tcPr>
            <w:tcW w:w="2063" w:type="dxa"/>
            <w:tcBorders>
              <w:left w:val="single" w:sz="4" w:space="0" w:color="auto"/>
              <w:right w:val="nil"/>
            </w:tcBorders>
          </w:tcPr>
          <w:p w14:paraId="404112F8"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w:t>
            </w:r>
            <w:r w:rsidRPr="005978DF">
              <w:rPr>
                <w:rFonts w:eastAsia="Times New Roman"/>
                <w:sz w:val="17"/>
                <w:szCs w:val="17"/>
                <w:lang w:val="es-ES"/>
              </w:rPr>
              <w:t>aumento del 15 % de notas impresas, en línea y en radio y televisión; aumento del 25 % en captación y seguidores</w:t>
            </w:r>
          </w:p>
        </w:tc>
      </w:tr>
      <w:tr w:rsidR="002F3255" w:rsidRPr="006A6E89" w14:paraId="404112FD" w14:textId="77777777">
        <w:trPr>
          <w:trHeight w:val="654"/>
          <w:jc w:val="center"/>
        </w:trPr>
        <w:tc>
          <w:tcPr>
            <w:tcW w:w="2849" w:type="dxa"/>
            <w:gridSpan w:val="2"/>
            <w:vMerge/>
            <w:tcBorders>
              <w:right w:val="single" w:sz="4" w:space="0" w:color="auto"/>
            </w:tcBorders>
          </w:tcPr>
          <w:p w14:paraId="404112FA" w14:textId="77777777" w:rsidR="002F3255" w:rsidRPr="005978DF" w:rsidRDefault="002F3255">
            <w:pPr>
              <w:rPr>
                <w:rFonts w:eastAsia="Times New Roman"/>
                <w:sz w:val="17"/>
                <w:szCs w:val="17"/>
                <w:lang w:val="es-ES"/>
              </w:rPr>
            </w:pPr>
          </w:p>
        </w:tc>
        <w:tc>
          <w:tcPr>
            <w:tcW w:w="3451" w:type="dxa"/>
            <w:tcBorders>
              <w:top w:val="nil"/>
              <w:left w:val="single" w:sz="4" w:space="0" w:color="auto"/>
              <w:bottom w:val="single" w:sz="4" w:space="0" w:color="auto"/>
              <w:right w:val="single" w:sz="4" w:space="0" w:color="auto"/>
            </w:tcBorders>
          </w:tcPr>
          <w:p w14:paraId="404112FB"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3.4 Número de decisiones y resoluciones multilaterales sobre el cambio climático y los ODS que incorporan la diversidad biológica</w:t>
            </w:r>
          </w:p>
        </w:tc>
        <w:tc>
          <w:tcPr>
            <w:tcW w:w="2063" w:type="dxa"/>
            <w:tcBorders>
              <w:left w:val="single" w:sz="4" w:space="0" w:color="auto"/>
              <w:bottom w:val="single" w:sz="4" w:space="0" w:color="auto"/>
              <w:right w:val="nil"/>
            </w:tcBorders>
          </w:tcPr>
          <w:p w14:paraId="404112FC"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30E" w14:textId="77777777">
        <w:trPr>
          <w:trHeight w:val="2087"/>
          <w:jc w:val="center"/>
        </w:trPr>
        <w:tc>
          <w:tcPr>
            <w:tcW w:w="2849" w:type="dxa"/>
            <w:gridSpan w:val="2"/>
            <w:tcBorders>
              <w:top w:val="single" w:sz="4" w:space="0" w:color="auto"/>
              <w:left w:val="nil"/>
              <w:bottom w:val="single" w:sz="4" w:space="0" w:color="auto"/>
              <w:right w:val="single" w:sz="4" w:space="0" w:color="auto"/>
            </w:tcBorders>
          </w:tcPr>
          <w:p w14:paraId="404112FE" w14:textId="77777777" w:rsidR="002F3255" w:rsidRPr="005978DF" w:rsidRDefault="002F3255">
            <w:pPr>
              <w:spacing w:before="40" w:after="40"/>
              <w:rPr>
                <w:rFonts w:eastAsia="Times New Roman"/>
                <w:sz w:val="17"/>
                <w:szCs w:val="17"/>
                <w:lang w:val="es-ES"/>
              </w:rPr>
            </w:pPr>
            <w:r w:rsidRPr="005978DF">
              <w:rPr>
                <w:rFonts w:eastAsia="Times New Roman"/>
                <w:sz w:val="17"/>
                <w:szCs w:val="17"/>
                <w:lang w:val="es-ES"/>
              </w:rPr>
              <w:t xml:space="preserve">d) El seguimiento, </w:t>
            </w:r>
            <w:r w:rsidR="00654971">
              <w:rPr>
                <w:rFonts w:eastAsia="Times New Roman"/>
                <w:sz w:val="17"/>
                <w:szCs w:val="17"/>
                <w:lang w:val="es-ES"/>
              </w:rPr>
              <w:t>la revisión</w:t>
            </w:r>
            <w:r w:rsidRPr="005978DF">
              <w:rPr>
                <w:rFonts w:eastAsia="Times New Roman"/>
                <w:sz w:val="17"/>
                <w:szCs w:val="17"/>
                <w:lang w:val="es-ES"/>
              </w:rPr>
              <w:t xml:space="preserve"> y la evaluación periódicos contribuyen a la planificación y la toma de decisiones </w:t>
            </w:r>
            <w:r w:rsidR="00405F2D">
              <w:rPr>
                <w:rFonts w:eastAsia="Times New Roman"/>
                <w:sz w:val="17"/>
                <w:szCs w:val="17"/>
                <w:lang w:val="es-ES"/>
              </w:rPr>
              <w:t>informada</w:t>
            </w:r>
            <w:r w:rsidR="00550CFF">
              <w:rPr>
                <w:rFonts w:eastAsia="Times New Roman"/>
                <w:sz w:val="17"/>
                <w:szCs w:val="17"/>
                <w:lang w:val="es-ES"/>
              </w:rPr>
              <w:t>s</w:t>
            </w:r>
            <w:r w:rsidRPr="005978DF">
              <w:rPr>
                <w:rFonts w:eastAsia="Times New Roman"/>
                <w:sz w:val="17"/>
                <w:szCs w:val="17"/>
                <w:lang w:val="es-ES"/>
              </w:rPr>
              <w:t xml:space="preserve"> en todos los niveles, lo que se traduce en una mejora progresiva de la implementación del MMDB y la aplicación del Convenio y sus Protocolos</w:t>
            </w:r>
          </w:p>
          <w:p w14:paraId="404112FF" w14:textId="77777777" w:rsidR="002F3255" w:rsidRPr="005978DF" w:rsidRDefault="002F3255">
            <w:pPr>
              <w:spacing w:before="40" w:after="40"/>
              <w:rPr>
                <w:rFonts w:eastAsia="Times New Roman"/>
                <w:sz w:val="17"/>
                <w:szCs w:val="17"/>
                <w:lang w:val="es-ES"/>
              </w:rPr>
            </w:pPr>
          </w:p>
        </w:tc>
        <w:tc>
          <w:tcPr>
            <w:tcW w:w="3451" w:type="dxa"/>
            <w:tcBorders>
              <w:top w:val="single" w:sz="4" w:space="0" w:color="auto"/>
              <w:left w:val="single" w:sz="4" w:space="0" w:color="auto"/>
              <w:bottom w:val="single" w:sz="4" w:space="0" w:color="auto"/>
              <w:right w:val="single" w:sz="4" w:space="0" w:color="auto"/>
            </w:tcBorders>
          </w:tcPr>
          <w:p w14:paraId="40411300" w14:textId="77777777" w:rsidR="002F3255" w:rsidRPr="005978DF" w:rsidRDefault="002F3255">
            <w:pPr>
              <w:keepNext/>
              <w:tabs>
                <w:tab w:val="left" w:pos="529"/>
              </w:tabs>
              <w:spacing w:before="40" w:after="40"/>
              <w:rPr>
                <w:rFonts w:eastAsia="Times New Roman"/>
                <w:sz w:val="17"/>
                <w:szCs w:val="17"/>
                <w:lang w:val="es-ES"/>
              </w:rPr>
            </w:pPr>
            <w:r w:rsidRPr="005978DF">
              <w:rPr>
                <w:rFonts w:eastAsia="Times New Roman"/>
                <w:sz w:val="17"/>
                <w:szCs w:val="17"/>
                <w:lang w:val="es-ES"/>
              </w:rPr>
              <w:t xml:space="preserve">4.1 Número de Partes que informan sobre sus compromisos y logros conforme a los mecanismos de </w:t>
            </w:r>
            <w:r w:rsidR="00654971">
              <w:rPr>
                <w:rFonts w:eastAsia="Times New Roman"/>
                <w:sz w:val="17"/>
                <w:szCs w:val="17"/>
                <w:lang w:val="es-ES"/>
              </w:rPr>
              <w:t>revisión</w:t>
            </w:r>
            <w:r w:rsidRPr="005978DF">
              <w:rPr>
                <w:rFonts w:eastAsia="Times New Roman"/>
                <w:sz w:val="17"/>
                <w:szCs w:val="17"/>
                <w:lang w:val="es-ES"/>
              </w:rPr>
              <w:t xml:space="preserve"> establecidos</w:t>
            </w:r>
          </w:p>
          <w:p w14:paraId="40411301" w14:textId="77777777" w:rsidR="002F3255" w:rsidRPr="005978DF" w:rsidRDefault="002F3255">
            <w:pPr>
              <w:keepNext/>
              <w:tabs>
                <w:tab w:val="left" w:pos="529"/>
              </w:tabs>
              <w:spacing w:before="40" w:after="40"/>
              <w:rPr>
                <w:rFonts w:eastAsia="Times New Roman"/>
                <w:sz w:val="17"/>
                <w:szCs w:val="17"/>
                <w:lang w:val="es-ES"/>
              </w:rPr>
            </w:pPr>
            <w:r w:rsidRPr="005978DF">
              <w:rPr>
                <w:rFonts w:eastAsia="Times New Roman"/>
                <w:sz w:val="17"/>
                <w:szCs w:val="17"/>
                <w:lang w:val="es-ES"/>
              </w:rPr>
              <w:t>4.2 El estado y las tendencias de la diversidad biológica se evalúan a nivel nacional y mundial y brindan fundamentos para la toma de decisiones</w:t>
            </w:r>
          </w:p>
          <w:p w14:paraId="40411302" w14:textId="77777777" w:rsidR="002F3255" w:rsidRPr="005978DF" w:rsidRDefault="002F3255">
            <w:pPr>
              <w:keepNext/>
              <w:tabs>
                <w:tab w:val="left" w:pos="529"/>
              </w:tabs>
              <w:spacing w:before="40" w:after="40"/>
              <w:rPr>
                <w:rFonts w:eastAsia="Times New Roman"/>
                <w:sz w:val="17"/>
                <w:szCs w:val="17"/>
                <w:lang w:val="es-ES"/>
              </w:rPr>
            </w:pPr>
            <w:r w:rsidRPr="005978DF">
              <w:rPr>
                <w:rFonts w:eastAsia="Times New Roman"/>
                <w:sz w:val="17"/>
                <w:szCs w:val="17"/>
                <w:lang w:val="es-ES"/>
              </w:rPr>
              <w:t xml:space="preserve">4.3 Los compromisos y acciones de las Partes y otros actores se revisan a la luz de los mecanismos de </w:t>
            </w:r>
            <w:r w:rsidR="00654971">
              <w:rPr>
                <w:rFonts w:eastAsia="Times New Roman"/>
                <w:sz w:val="17"/>
                <w:szCs w:val="17"/>
                <w:lang w:val="es-ES"/>
              </w:rPr>
              <w:t>revisión</w:t>
            </w:r>
            <w:r w:rsidRPr="005978DF">
              <w:rPr>
                <w:rFonts w:eastAsia="Times New Roman"/>
                <w:sz w:val="17"/>
                <w:szCs w:val="17"/>
                <w:lang w:val="es-ES"/>
              </w:rPr>
              <w:t xml:space="preserve"> de manera que son acordes </w:t>
            </w:r>
            <w:r w:rsidR="00550CFF">
              <w:rPr>
                <w:rFonts w:eastAsia="Times New Roman"/>
                <w:sz w:val="17"/>
                <w:szCs w:val="17"/>
                <w:lang w:val="es-ES"/>
              </w:rPr>
              <w:t>a</w:t>
            </w:r>
            <w:r w:rsidRPr="005978DF">
              <w:rPr>
                <w:rFonts w:eastAsia="Times New Roman"/>
                <w:sz w:val="17"/>
                <w:szCs w:val="17"/>
                <w:lang w:val="es-ES"/>
              </w:rPr>
              <w:t xml:space="preserve"> las metas del MMDB y las obligaciones asumidas en virtud de los Protocolos</w:t>
            </w:r>
          </w:p>
          <w:p w14:paraId="40411303" w14:textId="77777777" w:rsidR="002F3255" w:rsidRPr="005978DF" w:rsidRDefault="002F3255">
            <w:pPr>
              <w:keepNext/>
              <w:tabs>
                <w:tab w:val="left" w:pos="529"/>
              </w:tabs>
              <w:spacing w:before="40" w:after="40"/>
              <w:rPr>
                <w:rFonts w:eastAsia="Times New Roman"/>
                <w:lang w:val="es-ES"/>
              </w:rPr>
            </w:pPr>
            <w:r w:rsidRPr="005978DF">
              <w:rPr>
                <w:rFonts w:eastAsia="Times New Roman"/>
                <w:sz w:val="17"/>
                <w:szCs w:val="17"/>
                <w:lang w:val="es-ES"/>
              </w:rPr>
              <w:t xml:space="preserve">4.4 Número de Partes que miden los progresos utilizando los mecanismos de </w:t>
            </w:r>
            <w:r w:rsidR="00654971">
              <w:rPr>
                <w:rFonts w:eastAsia="Times New Roman"/>
                <w:sz w:val="17"/>
                <w:szCs w:val="17"/>
                <w:lang w:val="es-ES"/>
              </w:rPr>
              <w:t>revisión</w:t>
            </w:r>
            <w:r w:rsidRPr="005978DF">
              <w:rPr>
                <w:rFonts w:eastAsia="Times New Roman"/>
                <w:sz w:val="17"/>
                <w:szCs w:val="17"/>
                <w:lang w:val="es-ES"/>
              </w:rPr>
              <w:t xml:space="preserve"> del OSA</w:t>
            </w:r>
          </w:p>
        </w:tc>
        <w:tc>
          <w:tcPr>
            <w:tcW w:w="2063" w:type="dxa"/>
            <w:tcBorders>
              <w:top w:val="single" w:sz="4" w:space="0" w:color="auto"/>
              <w:left w:val="single" w:sz="4" w:space="0" w:color="auto"/>
              <w:bottom w:val="single" w:sz="4" w:space="0" w:color="auto"/>
              <w:right w:val="nil"/>
            </w:tcBorders>
          </w:tcPr>
          <w:p w14:paraId="40411304" w14:textId="77777777" w:rsidR="002F3255" w:rsidRPr="005978DF" w:rsidRDefault="002F3255">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p w14:paraId="40411305" w14:textId="77777777" w:rsidR="002F3255" w:rsidRPr="005978DF" w:rsidRDefault="002F3255">
            <w:pPr>
              <w:spacing w:before="40" w:after="40"/>
              <w:rPr>
                <w:rFonts w:eastAsia="Times New Roman"/>
                <w:sz w:val="17"/>
                <w:szCs w:val="17"/>
                <w:lang w:val="es-ES"/>
              </w:rPr>
            </w:pPr>
          </w:p>
          <w:p w14:paraId="40411306" w14:textId="77777777" w:rsidR="002F3255" w:rsidRPr="005978DF" w:rsidRDefault="002F3255">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p w14:paraId="40411307" w14:textId="77777777" w:rsidR="002F3255" w:rsidRPr="005978DF" w:rsidRDefault="002F3255">
            <w:pPr>
              <w:spacing w:before="40" w:after="40"/>
              <w:rPr>
                <w:rFonts w:eastAsia="Times New Roman"/>
                <w:sz w:val="17"/>
                <w:szCs w:val="17"/>
                <w:lang w:val="es-ES"/>
              </w:rPr>
            </w:pPr>
          </w:p>
          <w:p w14:paraId="40411308" w14:textId="77777777" w:rsidR="002F3255" w:rsidRPr="005978DF" w:rsidRDefault="002F3255">
            <w:pPr>
              <w:spacing w:before="40" w:after="40"/>
              <w:rPr>
                <w:rFonts w:eastAsia="Times New Roman"/>
                <w:sz w:val="17"/>
                <w:szCs w:val="17"/>
                <w:lang w:val="es-ES"/>
              </w:rPr>
            </w:pPr>
          </w:p>
          <w:p w14:paraId="40411309" w14:textId="77777777" w:rsidR="002F3255" w:rsidRPr="005978DF" w:rsidRDefault="002F3255">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p w14:paraId="4041130A" w14:textId="77777777" w:rsidR="002F3255" w:rsidRPr="005978DF" w:rsidRDefault="002F3255">
            <w:pPr>
              <w:spacing w:before="40" w:after="40"/>
              <w:rPr>
                <w:rFonts w:eastAsia="Times New Roman"/>
                <w:sz w:val="17"/>
                <w:szCs w:val="17"/>
                <w:lang w:val="es-ES"/>
              </w:rPr>
            </w:pPr>
          </w:p>
          <w:p w14:paraId="4041130B" w14:textId="77777777" w:rsidR="002F3255" w:rsidRDefault="002F3255">
            <w:pPr>
              <w:spacing w:before="40" w:after="40"/>
              <w:rPr>
                <w:rFonts w:eastAsia="Times New Roman"/>
                <w:sz w:val="17"/>
                <w:szCs w:val="17"/>
                <w:lang w:val="es-ES"/>
              </w:rPr>
            </w:pPr>
          </w:p>
          <w:p w14:paraId="4041130C" w14:textId="77777777" w:rsidR="00550CFF" w:rsidRPr="005978DF" w:rsidRDefault="00550CFF">
            <w:pPr>
              <w:spacing w:before="40" w:after="40"/>
              <w:rPr>
                <w:rFonts w:eastAsia="Times New Roman"/>
                <w:sz w:val="17"/>
                <w:szCs w:val="17"/>
                <w:lang w:val="es-ES"/>
              </w:rPr>
            </w:pPr>
          </w:p>
          <w:p w14:paraId="4041130D" w14:textId="77777777" w:rsidR="002F3255" w:rsidRPr="005978DF" w:rsidRDefault="002F3255" w:rsidP="00904737">
            <w:pPr>
              <w:spacing w:before="40" w:after="40"/>
              <w:rPr>
                <w:rFonts w:eastAsia="Times New Roman"/>
                <w:lang w:val="es-ES"/>
              </w:rPr>
            </w:pPr>
            <w:r w:rsidRPr="005978DF">
              <w:rPr>
                <w:rFonts w:eastAsia="Times New Roman"/>
                <w:sz w:val="17"/>
                <w:szCs w:val="17"/>
                <w:lang w:val="es-ES"/>
              </w:rPr>
              <w:t xml:space="preserve">VR: </w:t>
            </w:r>
            <w:r w:rsidR="00904737">
              <w:rPr>
                <w:rFonts w:eastAsia="Times New Roman"/>
                <w:sz w:val="17"/>
                <w:szCs w:val="17"/>
                <w:lang w:val="es-ES"/>
              </w:rPr>
              <w:t>p</w:t>
            </w:r>
            <w:r w:rsidRPr="005978DF">
              <w:rPr>
                <w:rFonts w:eastAsia="Times New Roman"/>
                <w:sz w:val="17"/>
                <w:szCs w:val="17"/>
                <w:lang w:val="es-ES"/>
              </w:rPr>
              <w:t>or determinar; M:</w:t>
            </w:r>
            <w:r w:rsidR="00904737">
              <w:rPr>
                <w:rFonts w:eastAsia="Times New Roman"/>
                <w:sz w:val="17"/>
                <w:szCs w:val="17"/>
                <w:lang w:val="es-ES"/>
              </w:rPr>
              <w:t> p</w:t>
            </w:r>
            <w:r w:rsidRPr="005978DF">
              <w:rPr>
                <w:rFonts w:eastAsia="Times New Roman"/>
                <w:sz w:val="17"/>
                <w:szCs w:val="17"/>
                <w:lang w:val="es-ES"/>
              </w:rPr>
              <w:t>or determinar</w:t>
            </w:r>
          </w:p>
        </w:tc>
      </w:tr>
      <w:tr w:rsidR="002F3255" w:rsidRPr="006A6E89" w14:paraId="4041131F" w14:textId="77777777">
        <w:trPr>
          <w:trHeight w:val="1428"/>
          <w:jc w:val="center"/>
        </w:trPr>
        <w:tc>
          <w:tcPr>
            <w:tcW w:w="2849" w:type="dxa"/>
            <w:gridSpan w:val="2"/>
            <w:tcBorders>
              <w:left w:val="nil"/>
              <w:bottom w:val="single" w:sz="4" w:space="0" w:color="auto"/>
              <w:right w:val="single" w:sz="4" w:space="0" w:color="auto"/>
            </w:tcBorders>
          </w:tcPr>
          <w:p w14:paraId="4041130F" w14:textId="77777777" w:rsidR="002F3255" w:rsidRPr="005978DF" w:rsidRDefault="002F3255">
            <w:pPr>
              <w:spacing w:before="40" w:after="40"/>
              <w:rPr>
                <w:rFonts w:eastAsia="Times New Roman"/>
                <w:lang w:val="es-ES"/>
              </w:rPr>
            </w:pPr>
            <w:r w:rsidRPr="005978DF">
              <w:rPr>
                <w:rFonts w:eastAsia="Times New Roman"/>
                <w:sz w:val="17"/>
                <w:szCs w:val="17"/>
                <w:lang w:val="es-ES"/>
              </w:rPr>
              <w:t>e) La Secretaría está bien dirigida y gestionada.</w:t>
            </w:r>
          </w:p>
          <w:p w14:paraId="40411310" w14:textId="77777777" w:rsidR="002F3255" w:rsidRPr="005978DF" w:rsidRDefault="002F3255">
            <w:pPr>
              <w:spacing w:before="40" w:after="40"/>
              <w:rPr>
                <w:rFonts w:eastAsia="Times New Roman"/>
                <w:sz w:val="17"/>
                <w:szCs w:val="17"/>
                <w:lang w:val="es-ES"/>
              </w:rPr>
            </w:pPr>
          </w:p>
          <w:p w14:paraId="40411311" w14:textId="77777777" w:rsidR="002F3255" w:rsidRPr="005978DF" w:rsidRDefault="002F3255">
            <w:pPr>
              <w:spacing w:before="40" w:after="40"/>
              <w:rPr>
                <w:rFonts w:eastAsia="Times New Roman"/>
                <w:sz w:val="17"/>
                <w:szCs w:val="17"/>
                <w:lang w:val="es-ES"/>
              </w:rPr>
            </w:pPr>
          </w:p>
          <w:p w14:paraId="40411312" w14:textId="77777777" w:rsidR="002F3255" w:rsidRPr="005978DF" w:rsidRDefault="002F3255">
            <w:pPr>
              <w:spacing w:before="40" w:after="40"/>
              <w:rPr>
                <w:rFonts w:eastAsia="Times New Roman"/>
                <w:sz w:val="17"/>
                <w:szCs w:val="17"/>
                <w:lang w:val="es-ES"/>
              </w:rPr>
            </w:pPr>
          </w:p>
          <w:p w14:paraId="40411313" w14:textId="77777777" w:rsidR="002F3255" w:rsidRPr="005978DF" w:rsidRDefault="002F3255">
            <w:pPr>
              <w:spacing w:before="40" w:after="40"/>
              <w:rPr>
                <w:rFonts w:eastAsia="Times New Roman"/>
                <w:sz w:val="17"/>
                <w:szCs w:val="17"/>
                <w:lang w:val="es-ES"/>
              </w:rPr>
            </w:pPr>
          </w:p>
          <w:p w14:paraId="40411314" w14:textId="77777777" w:rsidR="002F3255" w:rsidRPr="005978DF" w:rsidRDefault="002F3255">
            <w:pPr>
              <w:spacing w:before="40" w:after="40"/>
              <w:rPr>
                <w:rFonts w:eastAsia="Times New Roman"/>
                <w:sz w:val="17"/>
                <w:szCs w:val="17"/>
                <w:lang w:val="es-ES"/>
              </w:rPr>
            </w:pPr>
          </w:p>
          <w:p w14:paraId="40411315" w14:textId="77777777" w:rsidR="002F3255" w:rsidRPr="005978DF" w:rsidRDefault="002F3255">
            <w:pPr>
              <w:spacing w:before="40" w:after="40"/>
              <w:rPr>
                <w:rFonts w:eastAsia="Times New Roman"/>
                <w:sz w:val="17"/>
                <w:szCs w:val="17"/>
                <w:lang w:val="es-ES"/>
              </w:rPr>
            </w:pPr>
          </w:p>
        </w:tc>
        <w:tc>
          <w:tcPr>
            <w:tcW w:w="3451" w:type="dxa"/>
            <w:tcBorders>
              <w:left w:val="single" w:sz="4" w:space="0" w:color="auto"/>
              <w:bottom w:val="single" w:sz="4" w:space="0" w:color="auto"/>
              <w:right w:val="single" w:sz="4" w:space="0" w:color="auto"/>
            </w:tcBorders>
          </w:tcPr>
          <w:p w14:paraId="40411316" w14:textId="77777777" w:rsidR="002F3255" w:rsidRPr="005978DF" w:rsidRDefault="002F3255">
            <w:pPr>
              <w:spacing w:before="40" w:after="40"/>
              <w:rPr>
                <w:rFonts w:eastAsia="Times New Roman"/>
                <w:sz w:val="17"/>
                <w:szCs w:val="17"/>
                <w:lang w:val="es-ES"/>
              </w:rPr>
            </w:pPr>
            <w:r w:rsidRPr="005978DF">
              <w:rPr>
                <w:rFonts w:eastAsia="Times New Roman"/>
                <w:sz w:val="17"/>
                <w:szCs w:val="17"/>
                <w:lang w:val="es-ES"/>
              </w:rPr>
              <w:t>1. Proporción del personal que expresa satisfacción con la dirección y la gestión</w:t>
            </w:r>
          </w:p>
          <w:p w14:paraId="40411317" w14:textId="77777777" w:rsidR="002F3255" w:rsidRPr="005978DF" w:rsidRDefault="002F3255">
            <w:pPr>
              <w:spacing w:before="40" w:after="40"/>
              <w:rPr>
                <w:rFonts w:eastAsia="Times New Roman"/>
                <w:sz w:val="17"/>
                <w:szCs w:val="17"/>
                <w:lang w:val="es-ES"/>
              </w:rPr>
            </w:pPr>
            <w:r w:rsidRPr="005978DF">
              <w:rPr>
                <w:rFonts w:eastAsia="Times New Roman"/>
                <w:sz w:val="17"/>
                <w:szCs w:val="17"/>
                <w:lang w:val="es-ES"/>
              </w:rPr>
              <w:t>2. Proporción de recomendaciones de auditoría aceptadas que se cumplen plenamente</w:t>
            </w:r>
          </w:p>
          <w:p w14:paraId="40411318" w14:textId="77777777" w:rsidR="002F3255" w:rsidRPr="005978DF" w:rsidRDefault="002F3255">
            <w:pPr>
              <w:spacing w:before="40" w:after="40"/>
              <w:rPr>
                <w:rFonts w:eastAsia="Times New Roman"/>
                <w:lang w:val="es-ES"/>
              </w:rPr>
            </w:pPr>
            <w:r w:rsidRPr="005978DF">
              <w:rPr>
                <w:rFonts w:eastAsia="Times New Roman"/>
                <w:sz w:val="17"/>
                <w:szCs w:val="17"/>
                <w:lang w:val="es-ES"/>
              </w:rPr>
              <w:t>3. Proporción de resultados de auditoría con calificación satisfactoria o superior</w:t>
            </w:r>
          </w:p>
        </w:tc>
        <w:tc>
          <w:tcPr>
            <w:tcW w:w="2063" w:type="dxa"/>
            <w:tcBorders>
              <w:left w:val="single" w:sz="4" w:space="0" w:color="auto"/>
              <w:bottom w:val="single" w:sz="4" w:space="0" w:color="auto"/>
              <w:right w:val="nil"/>
            </w:tcBorders>
          </w:tcPr>
          <w:p w14:paraId="40411319" w14:textId="77777777" w:rsidR="002F3255" w:rsidRPr="005978DF" w:rsidRDefault="002F3255">
            <w:pPr>
              <w:spacing w:before="40" w:after="40"/>
              <w:rPr>
                <w:rFonts w:eastAsia="Times New Roman"/>
                <w:sz w:val="17"/>
                <w:szCs w:val="17"/>
                <w:lang w:val="es-ES"/>
              </w:rPr>
            </w:pPr>
            <w:r w:rsidRPr="005978DF">
              <w:rPr>
                <w:rFonts w:eastAsia="Times New Roman"/>
                <w:sz w:val="17"/>
                <w:szCs w:val="17"/>
                <w:lang w:val="es-ES"/>
              </w:rPr>
              <w:t>Metodología de encuesta y valores de referencia por desarrollarse</w:t>
            </w:r>
          </w:p>
          <w:p w14:paraId="4041131A" w14:textId="77777777" w:rsidR="002F3255" w:rsidRPr="005978DF" w:rsidRDefault="002F3255">
            <w:pPr>
              <w:spacing w:before="40" w:after="40"/>
              <w:rPr>
                <w:rFonts w:eastAsia="Times New Roman"/>
                <w:sz w:val="17"/>
                <w:szCs w:val="17"/>
                <w:lang w:val="es-ES"/>
              </w:rPr>
            </w:pPr>
          </w:p>
          <w:p w14:paraId="4041131B" w14:textId="77777777" w:rsidR="002F3255" w:rsidRPr="005978DF" w:rsidRDefault="002F3255">
            <w:pPr>
              <w:spacing w:before="40" w:after="40"/>
              <w:rPr>
                <w:rFonts w:eastAsia="Times New Roman"/>
                <w:lang w:val="es-ES"/>
              </w:rPr>
            </w:pPr>
            <w:r w:rsidRPr="005978DF">
              <w:rPr>
                <w:rFonts w:eastAsia="Times New Roman"/>
                <w:sz w:val="17"/>
                <w:szCs w:val="17"/>
                <w:lang w:val="es-ES"/>
              </w:rPr>
              <w:t xml:space="preserve">Valores de referencia: </w:t>
            </w:r>
            <w:r w:rsidR="00904737">
              <w:rPr>
                <w:rFonts w:eastAsia="Times New Roman"/>
                <w:sz w:val="17"/>
                <w:szCs w:val="17"/>
                <w:lang w:val="es-ES"/>
              </w:rPr>
              <w:t>p</w:t>
            </w:r>
            <w:r w:rsidRPr="005978DF">
              <w:rPr>
                <w:rFonts w:eastAsia="Times New Roman"/>
                <w:sz w:val="17"/>
                <w:szCs w:val="17"/>
                <w:lang w:val="es-ES"/>
              </w:rPr>
              <w:t>or determinar; M: 100%</w:t>
            </w:r>
          </w:p>
          <w:p w14:paraId="4041131C" w14:textId="77777777" w:rsidR="002F3255" w:rsidRPr="005978DF" w:rsidRDefault="002F3255">
            <w:pPr>
              <w:spacing w:before="40" w:after="40"/>
              <w:rPr>
                <w:rFonts w:eastAsia="Times New Roman"/>
                <w:sz w:val="17"/>
                <w:szCs w:val="17"/>
                <w:lang w:val="es-ES"/>
              </w:rPr>
            </w:pPr>
          </w:p>
          <w:p w14:paraId="4041131D" w14:textId="77777777" w:rsidR="002F3255" w:rsidRPr="005978DF" w:rsidRDefault="002F3255">
            <w:pPr>
              <w:spacing w:before="40" w:after="40"/>
              <w:rPr>
                <w:rFonts w:eastAsia="Times New Roman"/>
                <w:sz w:val="17"/>
                <w:szCs w:val="17"/>
                <w:lang w:val="es-ES"/>
              </w:rPr>
            </w:pPr>
          </w:p>
          <w:p w14:paraId="4041131E" w14:textId="77777777" w:rsidR="002F3255" w:rsidRPr="005978DF" w:rsidRDefault="002F3255" w:rsidP="00C44BAB">
            <w:pPr>
              <w:spacing w:before="40" w:after="40"/>
              <w:rPr>
                <w:rFonts w:eastAsia="Times New Roman"/>
                <w:lang w:val="es-ES"/>
              </w:rPr>
            </w:pPr>
            <w:r w:rsidRPr="005978DF">
              <w:rPr>
                <w:rFonts w:eastAsia="Times New Roman"/>
                <w:sz w:val="17"/>
                <w:szCs w:val="17"/>
                <w:lang w:val="es-ES"/>
              </w:rPr>
              <w:t xml:space="preserve">Valores de referencia: </w:t>
            </w:r>
            <w:r w:rsidR="00C44BAB">
              <w:rPr>
                <w:rFonts w:eastAsia="Times New Roman"/>
                <w:sz w:val="17"/>
                <w:szCs w:val="17"/>
                <w:lang w:val="es-ES"/>
              </w:rPr>
              <w:t>p</w:t>
            </w:r>
            <w:r w:rsidRPr="005978DF">
              <w:rPr>
                <w:rFonts w:eastAsia="Times New Roman"/>
                <w:sz w:val="17"/>
                <w:szCs w:val="17"/>
                <w:lang w:val="es-ES"/>
              </w:rPr>
              <w:t>or determinar; M: 100 %</w:t>
            </w:r>
          </w:p>
        </w:tc>
      </w:tr>
    </w:tbl>
    <w:p w14:paraId="40411320" w14:textId="77777777" w:rsidR="002F3255" w:rsidRPr="005978DF" w:rsidRDefault="002F3255">
      <w:pPr>
        <w:rPr>
          <w:rFonts w:eastAsia="Times New Roman"/>
          <w:lang w:val="es-ES"/>
        </w:rPr>
      </w:pPr>
    </w:p>
    <w:p w14:paraId="40411321" w14:textId="77777777" w:rsidR="002F3255" w:rsidRPr="005978DF" w:rsidRDefault="002F3255">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jc w:val="center"/>
        <w:outlineLvl w:val="1"/>
        <w:rPr>
          <w:rFonts w:eastAsia="Times New Roman"/>
          <w:b/>
          <w:bCs/>
          <w:sz w:val="22"/>
          <w:szCs w:val="22"/>
          <w:lang w:val="es-ES"/>
        </w:rPr>
      </w:pPr>
      <w:r w:rsidRPr="005978DF">
        <w:rPr>
          <w:rFonts w:eastAsia="Times New Roman"/>
          <w:b/>
          <w:bCs/>
          <w:sz w:val="22"/>
          <w:szCs w:val="22"/>
          <w:lang w:val="es-ES"/>
        </w:rPr>
        <w:t>Seguimiento de los progresos en la presupuestación basada en los resultados</w:t>
      </w:r>
    </w:p>
    <w:p w14:paraId="40411322"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bookmarkStart w:id="5" w:name="_Hlk104390081"/>
      <w:r w:rsidRPr="005978DF">
        <w:rPr>
          <w:rFonts w:eastAsia="Times New Roman"/>
          <w:sz w:val="22"/>
          <w:szCs w:val="22"/>
          <w:lang w:val="es-ES"/>
        </w:rPr>
        <w:t>También se requiere a la Secretaría que prepare una política y plan de seguimiento y evaluación para el bienio 2023-2024, diseñados para examinar los progresos y logros contrastándolos con el marco presupuestario basado en los resultados que se expone a continuación, a fin de garantizar la rendición de cuentas sobre la obtención de los resultados asignados a las diversas divisiones de la Secretaría.</w:t>
      </w:r>
    </w:p>
    <w:bookmarkEnd w:id="5"/>
    <w:p w14:paraId="40411323"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Se necesitarán recursos del proyecto de presupuesto para seguir desarrollando e institucionalizando el marco presupuestario basado en los resultados, así como para elaborar indicadores de logros y afinar los valores de referencia para los procesos de seguimiento y evaluación. La política y plan de evaluación garantizarán que se </w:t>
      </w:r>
      <w:r w:rsidRPr="005978DF">
        <w:rPr>
          <w:rFonts w:eastAsia="Times New Roman"/>
          <w:sz w:val="22"/>
          <w:szCs w:val="22"/>
          <w:lang w:val="es-ES"/>
        </w:rPr>
        <w:lastRenderedPageBreak/>
        <w:t xml:space="preserve">establezcan mecanismos para evaluar el logro de los resultados y la sostenibilidad, eficiencia y eficacia de la ejecución de los programas y utilizarán las evaluaciones para ayudar a medir el cumplimiento general de los programas en términos de resultados. </w:t>
      </w:r>
      <w:r w:rsidRPr="005978DF">
        <w:rPr>
          <w:rFonts w:eastAsia="Times New Roman"/>
          <w:color w:val="000000"/>
          <w:sz w:val="22"/>
          <w:szCs w:val="22"/>
          <w:lang w:val="es-ES"/>
        </w:rPr>
        <w:t xml:space="preserve">El plan de evaluación incluirá el seguimiento y </w:t>
      </w:r>
      <w:r w:rsidR="00654971">
        <w:rPr>
          <w:rFonts w:eastAsia="Times New Roman"/>
          <w:color w:val="000000"/>
          <w:sz w:val="22"/>
          <w:szCs w:val="22"/>
          <w:lang w:val="es-ES"/>
        </w:rPr>
        <w:t>la revisión</w:t>
      </w:r>
      <w:r w:rsidRPr="005978DF">
        <w:rPr>
          <w:rFonts w:eastAsia="Times New Roman"/>
          <w:color w:val="000000"/>
          <w:sz w:val="22"/>
          <w:szCs w:val="22"/>
          <w:lang w:val="es-ES"/>
        </w:rPr>
        <w:t xml:space="preserve"> periódic</w:t>
      </w:r>
      <w:r w:rsidR="00654971">
        <w:rPr>
          <w:rFonts w:eastAsia="Times New Roman"/>
          <w:color w:val="000000"/>
          <w:sz w:val="22"/>
          <w:szCs w:val="22"/>
          <w:lang w:val="es-ES"/>
        </w:rPr>
        <w:t>a</w:t>
      </w:r>
      <w:r w:rsidRPr="005978DF">
        <w:rPr>
          <w:rFonts w:eastAsia="Times New Roman"/>
          <w:color w:val="000000"/>
          <w:sz w:val="22"/>
          <w:szCs w:val="22"/>
          <w:lang w:val="es-ES"/>
        </w:rPr>
        <w:t xml:space="preserve"> del plan de trabajo de la Secretaría </w:t>
      </w:r>
      <w:r w:rsidR="00550CFF">
        <w:rPr>
          <w:rFonts w:eastAsia="Times New Roman"/>
          <w:color w:val="000000"/>
          <w:sz w:val="22"/>
          <w:szCs w:val="22"/>
          <w:lang w:val="es-ES"/>
        </w:rPr>
        <w:t>para</w:t>
      </w:r>
      <w:r w:rsidRPr="005978DF">
        <w:rPr>
          <w:rFonts w:eastAsia="Times New Roman"/>
          <w:color w:val="000000"/>
          <w:sz w:val="22"/>
          <w:szCs w:val="22"/>
          <w:lang w:val="es-ES"/>
        </w:rPr>
        <w:t xml:space="preserve"> todo el sistema</w:t>
      </w:r>
      <w:r w:rsidRPr="005978DF">
        <w:rPr>
          <w:rFonts w:eastAsia="Times New Roman"/>
          <w:sz w:val="22"/>
          <w:szCs w:val="22"/>
          <w:lang w:val="es-ES"/>
        </w:rPr>
        <w:t>, que se basa en el formato de presupuesto basado en los resultados, tomando en cuenta entregables e indicadores de logros de las Divisiones y Dependencias, y comprende</w:t>
      </w:r>
      <w:r w:rsidRPr="005978DF">
        <w:rPr>
          <w:rFonts w:eastAsia="Times New Roman"/>
          <w:color w:val="000000"/>
          <w:sz w:val="22"/>
          <w:szCs w:val="22"/>
          <w:lang w:val="es-ES"/>
        </w:rPr>
        <w:t xml:space="preserve"> reuniones del Convenio y sus Protocolos, procesos, iniciativas y proyectos. El marco de evaluación y seguimiento s</w:t>
      </w:r>
      <w:r w:rsidRPr="005978DF">
        <w:rPr>
          <w:rFonts w:eastAsia="Times New Roman"/>
          <w:sz w:val="22"/>
          <w:szCs w:val="22"/>
          <w:lang w:val="es-ES"/>
        </w:rPr>
        <w:t xml:space="preserve">e complementará con observaciones sobre el plan de trabajo de la Secretaría para todo el sistema, así como la coordinación y ejecución del programa, que se </w:t>
      </w:r>
      <w:r w:rsidR="00550CFF">
        <w:rPr>
          <w:rFonts w:eastAsia="Times New Roman"/>
          <w:sz w:val="22"/>
          <w:szCs w:val="22"/>
          <w:lang w:val="es-ES"/>
        </w:rPr>
        <w:t>brindarán</w:t>
      </w:r>
      <w:r w:rsidRPr="005978DF">
        <w:rPr>
          <w:rFonts w:eastAsia="Times New Roman"/>
          <w:sz w:val="22"/>
          <w:szCs w:val="22"/>
          <w:lang w:val="es-ES"/>
        </w:rPr>
        <w:t xml:space="preserve"> a través de una combinación de medidas, incluido un seguimiento exhaustivo coordinado por la oficina de la </w:t>
      </w:r>
      <w:proofErr w:type="gramStart"/>
      <w:r w:rsidRPr="005978DF">
        <w:rPr>
          <w:rFonts w:eastAsia="Times New Roman"/>
          <w:sz w:val="22"/>
          <w:szCs w:val="22"/>
          <w:lang w:val="es-ES"/>
        </w:rPr>
        <w:t>Secretaria Ejecutiva</w:t>
      </w:r>
      <w:proofErr w:type="gramEnd"/>
      <w:r w:rsidRPr="005978DF">
        <w:rPr>
          <w:rFonts w:eastAsia="Times New Roman"/>
          <w:color w:val="000000"/>
          <w:sz w:val="22"/>
          <w:szCs w:val="22"/>
          <w:lang w:val="es-ES"/>
        </w:rPr>
        <w:t xml:space="preserve">. Se prevé que en </w:t>
      </w:r>
      <w:r w:rsidR="00550CFF">
        <w:rPr>
          <w:rFonts w:eastAsia="Times New Roman"/>
          <w:color w:val="000000"/>
          <w:sz w:val="22"/>
          <w:szCs w:val="22"/>
          <w:lang w:val="es-ES"/>
        </w:rPr>
        <w:t xml:space="preserve">el </w:t>
      </w:r>
      <w:r w:rsidRPr="005978DF">
        <w:rPr>
          <w:rFonts w:eastAsia="Times New Roman"/>
          <w:color w:val="000000"/>
          <w:sz w:val="22"/>
          <w:szCs w:val="22"/>
          <w:lang w:val="es-ES"/>
        </w:rPr>
        <w:t>caso de proyectos que superen los 500</w:t>
      </w:r>
      <w:r w:rsidR="00550CFF">
        <w:rPr>
          <w:rFonts w:eastAsia="Times New Roman"/>
          <w:color w:val="000000"/>
          <w:sz w:val="22"/>
          <w:szCs w:val="22"/>
          <w:lang w:val="es-ES"/>
        </w:rPr>
        <w:t> </w:t>
      </w:r>
      <w:r w:rsidRPr="005978DF">
        <w:rPr>
          <w:rFonts w:eastAsia="Times New Roman"/>
          <w:color w:val="000000"/>
          <w:sz w:val="22"/>
          <w:szCs w:val="22"/>
          <w:lang w:val="es-ES"/>
        </w:rPr>
        <w:t>000</w:t>
      </w:r>
      <w:r w:rsidR="00550CFF">
        <w:rPr>
          <w:rFonts w:eastAsia="Times New Roman"/>
          <w:color w:val="000000"/>
          <w:sz w:val="22"/>
          <w:szCs w:val="22"/>
          <w:lang w:val="es-ES"/>
        </w:rPr>
        <w:t> </w:t>
      </w:r>
      <w:r w:rsidRPr="005978DF">
        <w:rPr>
          <w:rFonts w:eastAsia="Times New Roman"/>
          <w:color w:val="000000"/>
          <w:sz w:val="22"/>
          <w:szCs w:val="22"/>
          <w:lang w:val="es-ES"/>
        </w:rPr>
        <w:t>dólares se realizarán evaluaciones de proyecto a cargo de entidades externas, para documentar resultados, evaluar la ejecución y reco</w:t>
      </w:r>
      <w:r w:rsidR="00550CFF">
        <w:rPr>
          <w:rFonts w:eastAsia="Times New Roman"/>
          <w:color w:val="000000"/>
          <w:sz w:val="22"/>
          <w:szCs w:val="22"/>
          <w:lang w:val="es-ES"/>
        </w:rPr>
        <w:t>ger</w:t>
      </w:r>
      <w:r w:rsidRPr="005978DF">
        <w:rPr>
          <w:rFonts w:eastAsia="Times New Roman"/>
          <w:color w:val="000000"/>
          <w:sz w:val="22"/>
          <w:szCs w:val="22"/>
          <w:lang w:val="es-ES"/>
        </w:rPr>
        <w:t xml:space="preserve"> buenas prácticas y lecciones apr</w:t>
      </w:r>
      <w:r w:rsidR="00550CFF">
        <w:rPr>
          <w:rFonts w:eastAsia="Times New Roman"/>
          <w:color w:val="000000"/>
          <w:sz w:val="22"/>
          <w:szCs w:val="22"/>
          <w:lang w:val="es-ES"/>
        </w:rPr>
        <w:t>endidas. Para la planificación,</w:t>
      </w:r>
      <w:r w:rsidRPr="005978DF">
        <w:rPr>
          <w:rFonts w:eastAsia="Times New Roman"/>
          <w:color w:val="000000"/>
          <w:sz w:val="22"/>
          <w:szCs w:val="22"/>
          <w:lang w:val="es-ES"/>
        </w:rPr>
        <w:t xml:space="preserve"> diseño, gestión y presentación de informes de los proyectos se </w:t>
      </w:r>
      <w:r w:rsidR="00550CFF">
        <w:rPr>
          <w:rFonts w:eastAsia="Times New Roman"/>
          <w:color w:val="000000"/>
          <w:sz w:val="22"/>
          <w:szCs w:val="22"/>
          <w:lang w:val="es-ES"/>
        </w:rPr>
        <w:t>us</w:t>
      </w:r>
      <w:r w:rsidRPr="005978DF">
        <w:rPr>
          <w:rFonts w:eastAsia="Times New Roman"/>
          <w:color w:val="000000"/>
          <w:sz w:val="22"/>
          <w:szCs w:val="22"/>
          <w:lang w:val="es-ES"/>
        </w:rPr>
        <w:t>ará la nueva herramienta de Gestión de Proyectos y Presentación de Informes Integrada (GPPII), que forma parte de Umoja, mientras se esté adaptando la Aplicación de Gestión Estratégica (AGE) de las Naciones Unidas para que sea utilizada por los acuerdos ambientales multilaterales para la planificación y el seguimiento de sus programas de trabajo.</w:t>
      </w:r>
    </w:p>
    <w:p w14:paraId="40411324"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color w:val="000000"/>
          <w:sz w:val="22"/>
          <w:szCs w:val="22"/>
          <w:lang w:val="es-ES"/>
        </w:rPr>
        <w:t xml:space="preserve">Se propone que las funciones de evaluación y seguimiento, conforme al mandato de la Asamblea General de las Naciones Unidas, se realicen a través de la creación de un cargo de Oficial de Programas en la categoría P-4 para la Oficina de la </w:t>
      </w:r>
      <w:proofErr w:type="gramStart"/>
      <w:r w:rsidRPr="005978DF">
        <w:rPr>
          <w:rFonts w:eastAsia="Times New Roman"/>
          <w:color w:val="000000"/>
          <w:sz w:val="22"/>
          <w:szCs w:val="22"/>
          <w:lang w:val="es-ES"/>
        </w:rPr>
        <w:t>Secretaria Ejecutiva</w:t>
      </w:r>
      <w:proofErr w:type="gramEnd"/>
      <w:r w:rsidRPr="005978DF">
        <w:rPr>
          <w:rFonts w:eastAsia="Times New Roman"/>
          <w:color w:val="000000"/>
          <w:sz w:val="22"/>
          <w:szCs w:val="22"/>
          <w:lang w:val="es-ES"/>
        </w:rPr>
        <w:t xml:space="preserve"> (véase la sección C más adelante). Este funcionario supervisaría la puesta en marcha de la solución de GPPII de Umoja en la Secretaría, un elemento clave para las iniciativas de reforma de gestión y estrategia de datos del </w:t>
      </w:r>
      <w:proofErr w:type="gramStart"/>
      <w:r w:rsidRPr="005978DF">
        <w:rPr>
          <w:rFonts w:eastAsia="Times New Roman"/>
          <w:color w:val="000000"/>
          <w:sz w:val="22"/>
          <w:szCs w:val="22"/>
          <w:lang w:val="es-ES"/>
        </w:rPr>
        <w:t>Secretario General</w:t>
      </w:r>
      <w:proofErr w:type="gramEnd"/>
      <w:r w:rsidRPr="005978DF">
        <w:rPr>
          <w:rFonts w:eastAsia="Times New Roman"/>
          <w:color w:val="000000"/>
          <w:sz w:val="22"/>
          <w:szCs w:val="22"/>
          <w:lang w:val="es-ES"/>
        </w:rPr>
        <w:t xml:space="preserve"> de las Naciones Unidas, </w:t>
      </w:r>
      <w:r w:rsidR="007C0A3C">
        <w:rPr>
          <w:rFonts w:eastAsia="Times New Roman"/>
          <w:color w:val="000000"/>
          <w:sz w:val="22"/>
          <w:szCs w:val="22"/>
          <w:lang w:val="es-ES"/>
        </w:rPr>
        <w:t>y</w:t>
      </w:r>
      <w:r w:rsidRPr="005978DF">
        <w:rPr>
          <w:rFonts w:eastAsia="Times New Roman"/>
          <w:color w:val="000000"/>
          <w:sz w:val="22"/>
          <w:szCs w:val="22"/>
          <w:lang w:val="es-ES"/>
        </w:rPr>
        <w:t>a</w:t>
      </w:r>
      <w:r w:rsidR="007C0A3C">
        <w:rPr>
          <w:rFonts w:eastAsia="Times New Roman"/>
          <w:color w:val="000000"/>
          <w:sz w:val="22"/>
          <w:szCs w:val="22"/>
          <w:lang w:val="es-ES"/>
        </w:rPr>
        <w:t xml:space="preserve"> que</w:t>
      </w:r>
      <w:r w:rsidRPr="005978DF">
        <w:rPr>
          <w:rFonts w:eastAsia="Times New Roman"/>
          <w:color w:val="000000"/>
          <w:sz w:val="22"/>
          <w:szCs w:val="22"/>
          <w:lang w:val="es-ES"/>
        </w:rPr>
        <w:t xml:space="preserve"> </w:t>
      </w:r>
      <w:r w:rsidR="007C0A3C">
        <w:rPr>
          <w:rFonts w:eastAsia="Times New Roman"/>
          <w:color w:val="000000"/>
          <w:sz w:val="22"/>
          <w:szCs w:val="22"/>
          <w:lang w:val="es-ES"/>
        </w:rPr>
        <w:t>aporta</w:t>
      </w:r>
      <w:r w:rsidRPr="005978DF">
        <w:rPr>
          <w:rFonts w:eastAsia="Times New Roman"/>
          <w:color w:val="000000"/>
          <w:sz w:val="22"/>
          <w:szCs w:val="22"/>
          <w:lang w:val="es-ES"/>
        </w:rPr>
        <w:t xml:space="preserve"> información cualitativa y cuantitativa sobre la ejecución de los programas</w:t>
      </w:r>
      <w:r w:rsidR="007C0A3C">
        <w:rPr>
          <w:rFonts w:eastAsia="Times New Roman"/>
          <w:color w:val="000000"/>
          <w:sz w:val="22"/>
          <w:szCs w:val="22"/>
          <w:lang w:val="es-ES"/>
        </w:rPr>
        <w:t xml:space="preserve"> y</w:t>
      </w:r>
      <w:r w:rsidRPr="005978DF">
        <w:rPr>
          <w:rFonts w:eastAsia="Times New Roman"/>
          <w:color w:val="000000"/>
          <w:sz w:val="22"/>
          <w:szCs w:val="22"/>
          <w:lang w:val="es-ES"/>
        </w:rPr>
        <w:t xml:space="preserve"> </w:t>
      </w:r>
      <w:r w:rsidR="007C0A3C">
        <w:rPr>
          <w:rFonts w:eastAsia="Times New Roman"/>
          <w:color w:val="000000"/>
          <w:sz w:val="22"/>
          <w:szCs w:val="22"/>
          <w:lang w:val="es-ES"/>
        </w:rPr>
        <w:t>emplea</w:t>
      </w:r>
      <w:r w:rsidRPr="005978DF">
        <w:rPr>
          <w:rFonts w:eastAsia="Times New Roman"/>
          <w:color w:val="000000"/>
          <w:sz w:val="22"/>
          <w:szCs w:val="22"/>
          <w:lang w:val="es-ES"/>
        </w:rPr>
        <w:t xml:space="preserve"> la metodología de gestión basada en los resultados para garantizar una gestión eficaz de los programas y los proyectos. La nueva función se describe más detalladamente en el párrafo </w:t>
      </w:r>
      <w:r w:rsidR="00904737">
        <w:rPr>
          <w:rFonts w:eastAsia="Times New Roman"/>
          <w:color w:val="000000"/>
          <w:sz w:val="22"/>
          <w:szCs w:val="22"/>
          <w:lang w:val="es-ES"/>
        </w:rPr>
        <w:fldChar w:fldCharType="begin"/>
      </w:r>
      <w:r w:rsidR="00904737">
        <w:rPr>
          <w:rFonts w:eastAsia="Times New Roman"/>
          <w:color w:val="000000"/>
          <w:sz w:val="22"/>
          <w:szCs w:val="22"/>
          <w:lang w:val="es-ES"/>
        </w:rPr>
        <w:instrText xml:space="preserve"> REF _Ref115092123 \r \h </w:instrText>
      </w:r>
      <w:r w:rsidR="00904737">
        <w:rPr>
          <w:rFonts w:eastAsia="Times New Roman"/>
          <w:color w:val="000000"/>
          <w:sz w:val="22"/>
          <w:szCs w:val="22"/>
          <w:lang w:val="es-ES"/>
        </w:rPr>
      </w:r>
      <w:r w:rsidR="00904737">
        <w:rPr>
          <w:rFonts w:eastAsia="Times New Roman"/>
          <w:color w:val="000000"/>
          <w:sz w:val="22"/>
          <w:szCs w:val="22"/>
          <w:lang w:val="es-ES"/>
        </w:rPr>
        <w:fldChar w:fldCharType="separate"/>
      </w:r>
      <w:r w:rsidR="00904737">
        <w:rPr>
          <w:rFonts w:eastAsia="Times New Roman"/>
          <w:color w:val="000000"/>
          <w:sz w:val="22"/>
          <w:szCs w:val="22"/>
          <w:lang w:val="es-ES"/>
        </w:rPr>
        <w:t>77</w:t>
      </w:r>
      <w:r w:rsidR="00904737">
        <w:rPr>
          <w:rFonts w:eastAsia="Times New Roman"/>
          <w:color w:val="000000"/>
          <w:sz w:val="22"/>
          <w:szCs w:val="22"/>
          <w:lang w:val="es-ES"/>
        </w:rPr>
        <w:fldChar w:fldCharType="end"/>
      </w:r>
      <w:r w:rsidRPr="005978DF">
        <w:rPr>
          <w:rFonts w:eastAsia="Times New Roman"/>
          <w:color w:val="000000"/>
          <w:sz w:val="22"/>
          <w:szCs w:val="22"/>
          <w:lang w:val="es-ES"/>
        </w:rPr>
        <w:t xml:space="preserve"> más adelante. Con respecto a cada proyecto financiado por fondos fiduciarios y contribuciones para fines específicos, los </w:t>
      </w:r>
      <w:r w:rsidR="007C0A3C">
        <w:rPr>
          <w:rFonts w:eastAsia="Times New Roman"/>
          <w:color w:val="000000"/>
          <w:sz w:val="22"/>
          <w:szCs w:val="22"/>
          <w:lang w:val="es-ES"/>
        </w:rPr>
        <w:t>ga</w:t>
      </w:r>
      <w:r w:rsidRPr="005978DF">
        <w:rPr>
          <w:rFonts w:eastAsia="Times New Roman"/>
          <w:color w:val="000000"/>
          <w:sz w:val="22"/>
          <w:szCs w:val="22"/>
          <w:lang w:val="es-ES"/>
        </w:rPr>
        <w:t>stos de evaluación forman parte del presupuesto del proyecto, en función del alcance, la duración y la complejidad del proyecto.</w:t>
      </w:r>
    </w:p>
    <w:p w14:paraId="40411325" w14:textId="77777777" w:rsidR="002F3255" w:rsidRPr="005978DF" w:rsidRDefault="002F3255">
      <w:pPr>
        <w:pStyle w:val="Heading1"/>
        <w:rPr>
          <w:rFonts w:eastAsia="Times New Roman"/>
          <w:lang w:val="es-ES"/>
        </w:rPr>
      </w:pPr>
      <w:r w:rsidRPr="005978DF">
        <w:rPr>
          <w:rFonts w:eastAsia="Times New Roman"/>
          <w:lang w:val="es-ES"/>
        </w:rPr>
        <w:t>IV.</w:t>
      </w:r>
      <w:r w:rsidRPr="005978DF">
        <w:rPr>
          <w:rFonts w:eastAsia="Times New Roman"/>
          <w:lang w:val="es-ES"/>
        </w:rPr>
        <w:tab/>
        <w:t>PROYECTO DE PRESUPUESTO POR COMPONENTES</w:t>
      </w:r>
    </w:p>
    <w:p w14:paraId="40411326"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b/>
          <w:bCs/>
          <w:lang w:val="es-ES"/>
        </w:rPr>
      </w:pPr>
      <w:r w:rsidRPr="005978DF">
        <w:rPr>
          <w:rFonts w:eastAsia="Times New Roman"/>
          <w:sz w:val="22"/>
          <w:szCs w:val="22"/>
          <w:lang w:val="es-ES"/>
        </w:rPr>
        <w:t>En esta sección se brindan detalles sobre la presupuestación de recursos en las tres hipótesis o escenarios que se indican en la decisión 14/37 y en cuatro componentes distintos: a) órganos rectores y subsidiarios; b) dirección y gestión ejecutivas; c) ejecución del programa de trabajo, que abarca la labor sustantiva de la Secretaría; y d) apoyo administrativo. Se busca además alinear el documento de presupuesto con el formato de programa de trabajo y presupuesto bienal del PNUMA para apoyar mejor la toma de decisiones y aumentar la transparencia de la información</w:t>
      </w:r>
      <w:r w:rsidR="007C0A3C">
        <w:rPr>
          <w:rFonts w:eastAsia="Times New Roman"/>
          <w:sz w:val="22"/>
          <w:szCs w:val="22"/>
          <w:lang w:val="es-ES"/>
        </w:rPr>
        <w:t>, así como</w:t>
      </w:r>
      <w:r w:rsidRPr="005978DF">
        <w:rPr>
          <w:rFonts w:eastAsia="Times New Roman"/>
          <w:sz w:val="22"/>
          <w:szCs w:val="22"/>
          <w:lang w:val="es-ES"/>
        </w:rPr>
        <w:t xml:space="preserve"> introducir un elemento de supervisión de la ejecución y evaluación como parte de un marco de gestión basado en los resultados, de conformidad con el boletín ST/SGB/2018/3 del Secretario General del 1 de junio de 2018, que rige la planificación, programación, supervisión y evaluación de las actividades de las Naciones Unidas.</w:t>
      </w:r>
    </w:p>
    <w:p w14:paraId="40411327"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Por consiguiente, en la subsección A</w:t>
      </w:r>
      <w:r w:rsidR="007C0A3C">
        <w:rPr>
          <w:rFonts w:eastAsia="Times New Roman"/>
          <w:sz w:val="22"/>
          <w:szCs w:val="22"/>
          <w:lang w:val="es-ES"/>
        </w:rPr>
        <w:t> </w:t>
      </w:r>
      <w:r w:rsidRPr="005978DF">
        <w:rPr>
          <w:rFonts w:eastAsia="Times New Roman"/>
          <w:sz w:val="22"/>
          <w:szCs w:val="22"/>
          <w:lang w:val="es-ES"/>
        </w:rPr>
        <w:t>(Órganos rectores y subsidiarios) se presentan los recursos necesarios para las reuniones previstas y programadas por la Secretaría, como las reuniones de la COP, el OSACTT, el OSA y el WG8J, así como otras reuniones de expertos, reuniones de comités asesores oficiosos y reuniones de mesa. A su vez, los recursos necesarios para la gestión y coordinación se presentan en la subsección B</w:t>
      </w:r>
      <w:r w:rsidR="007C0A3C">
        <w:rPr>
          <w:rFonts w:eastAsia="Times New Roman"/>
          <w:sz w:val="22"/>
          <w:szCs w:val="22"/>
          <w:lang w:val="es-ES"/>
        </w:rPr>
        <w:t> </w:t>
      </w:r>
      <w:r w:rsidRPr="005978DF">
        <w:rPr>
          <w:rFonts w:eastAsia="Times New Roman"/>
          <w:sz w:val="22"/>
          <w:szCs w:val="22"/>
          <w:lang w:val="es-ES"/>
        </w:rPr>
        <w:t>(Dirección y gestión ejecutivas), mientras que los recursos necesarios de las divisiones y dependencias sustantivas se detallan en la subsección C</w:t>
      </w:r>
      <w:r w:rsidR="007C0A3C">
        <w:rPr>
          <w:rFonts w:eastAsia="Times New Roman"/>
          <w:sz w:val="22"/>
          <w:szCs w:val="22"/>
          <w:lang w:val="es-ES"/>
        </w:rPr>
        <w:t> </w:t>
      </w:r>
      <w:r w:rsidRPr="005978DF">
        <w:rPr>
          <w:rFonts w:eastAsia="Times New Roman"/>
          <w:sz w:val="22"/>
          <w:szCs w:val="22"/>
          <w:lang w:val="es-ES"/>
        </w:rPr>
        <w:t>(Programa de trabajo) y, por último, los recursos necesarios para el apoyo administrativo se indican en la subsección D.</w:t>
      </w:r>
    </w:p>
    <w:p w14:paraId="40411328" w14:textId="77777777" w:rsidR="002F3255" w:rsidRPr="005978DF" w:rsidRDefault="002F3255">
      <w:pPr>
        <w:keepNext/>
        <w:tabs>
          <w:tab w:val="left" w:pos="720"/>
          <w:tab w:val="left" w:pos="1742"/>
          <w:tab w:val="left" w:pos="2693"/>
          <w:tab w:val="left" w:pos="3182"/>
          <w:tab w:val="left" w:pos="3658"/>
          <w:tab w:val="left" w:pos="4133"/>
          <w:tab w:val="left" w:pos="4622"/>
          <w:tab w:val="left" w:pos="5098"/>
          <w:tab w:val="left" w:pos="5573"/>
          <w:tab w:val="left" w:pos="6048"/>
        </w:tabs>
        <w:spacing w:before="240" w:after="120"/>
        <w:jc w:val="center"/>
        <w:outlineLvl w:val="1"/>
        <w:rPr>
          <w:rFonts w:eastAsia="Times New Roman"/>
          <w:b/>
          <w:bCs/>
          <w:sz w:val="22"/>
          <w:szCs w:val="22"/>
          <w:lang w:val="es-ES"/>
        </w:rPr>
      </w:pPr>
      <w:r w:rsidRPr="005978DF">
        <w:rPr>
          <w:rFonts w:eastAsia="Times New Roman"/>
          <w:b/>
          <w:bCs/>
          <w:sz w:val="22"/>
          <w:szCs w:val="22"/>
          <w:lang w:val="es-ES"/>
        </w:rPr>
        <w:t>A. Órganos rectores y subsidiarios</w:t>
      </w:r>
    </w:p>
    <w:p w14:paraId="40411329" w14:textId="77777777" w:rsidR="002F3255" w:rsidRPr="005978DF" w:rsidRDefault="002F3255">
      <w:pPr>
        <w:pStyle w:val="H4"/>
        <w:tabs>
          <w:tab w:val="clear" w:pos="1267"/>
          <w:tab w:val="left" w:pos="709"/>
        </w:tabs>
        <w:spacing w:line="240" w:lineRule="auto"/>
        <w:ind w:left="1264" w:right="-164" w:hanging="1264"/>
        <w:outlineLvl w:val="9"/>
        <w:rPr>
          <w:lang w:val="es-ES"/>
        </w:rPr>
      </w:pPr>
      <w:r w:rsidRPr="005978DF">
        <w:rPr>
          <w:sz w:val="22"/>
          <w:szCs w:val="22"/>
          <w:lang w:val="es-ES"/>
        </w:rPr>
        <w:t>Recursos necesarios (presupuesto básico): 4</w:t>
      </w:r>
      <w:r w:rsidR="00C44BAB">
        <w:rPr>
          <w:sz w:val="22"/>
          <w:szCs w:val="22"/>
          <w:lang w:val="es-ES"/>
        </w:rPr>
        <w:t xml:space="preserve"> </w:t>
      </w:r>
      <w:r w:rsidRPr="005978DF">
        <w:rPr>
          <w:sz w:val="22"/>
          <w:szCs w:val="22"/>
          <w:lang w:val="es-ES"/>
        </w:rPr>
        <w:t>568</w:t>
      </w:r>
      <w:r w:rsidR="00C44BAB">
        <w:rPr>
          <w:sz w:val="22"/>
          <w:szCs w:val="22"/>
          <w:lang w:val="es-ES"/>
        </w:rPr>
        <w:t> </w:t>
      </w:r>
      <w:r w:rsidRPr="005978DF">
        <w:rPr>
          <w:sz w:val="22"/>
          <w:szCs w:val="22"/>
          <w:lang w:val="es-ES"/>
        </w:rPr>
        <w:t>900 dólares</w:t>
      </w:r>
    </w:p>
    <w:p w14:paraId="4041132A"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La Conferencia de las Partes es el órgano rector del Convenio e impulsa la aplicación del Convenio a través de las decisiones que adopta en sus reuniones periódicas. Desde el año</w:t>
      </w:r>
      <w:r w:rsidR="00C44BAB">
        <w:rPr>
          <w:rFonts w:eastAsia="Times New Roman"/>
          <w:sz w:val="22"/>
          <w:szCs w:val="22"/>
          <w:lang w:val="es-ES"/>
        </w:rPr>
        <w:t> </w:t>
      </w:r>
      <w:r w:rsidRPr="005978DF">
        <w:rPr>
          <w:rFonts w:eastAsia="Times New Roman"/>
          <w:sz w:val="22"/>
          <w:szCs w:val="22"/>
          <w:lang w:val="es-ES"/>
        </w:rPr>
        <w:t xml:space="preserve">2000, las reuniones ordinarias de la Conferencia de las Partes se celebran cada dos años y tienen una duración aproximada de dos semanas, excepto </w:t>
      </w:r>
      <w:r w:rsidRPr="005978DF">
        <w:rPr>
          <w:rFonts w:eastAsia="Times New Roman"/>
          <w:sz w:val="22"/>
          <w:szCs w:val="22"/>
          <w:lang w:val="es-ES"/>
        </w:rPr>
        <w:lastRenderedPageBreak/>
        <w:t xml:space="preserve">por la COP-15, cuya primera parte se realizó en China, del 11 al 15 de octubre de 2021, y </w:t>
      </w:r>
      <w:r w:rsidR="007C0A3C">
        <w:rPr>
          <w:rFonts w:eastAsia="Times New Roman"/>
          <w:sz w:val="22"/>
          <w:szCs w:val="22"/>
          <w:lang w:val="es-ES"/>
        </w:rPr>
        <w:t>cuy</w:t>
      </w:r>
      <w:r w:rsidRPr="005978DF">
        <w:rPr>
          <w:rFonts w:eastAsia="Times New Roman"/>
          <w:sz w:val="22"/>
          <w:szCs w:val="22"/>
          <w:lang w:val="es-ES"/>
        </w:rPr>
        <w:t xml:space="preserve">a segunda parte está prevista </w:t>
      </w:r>
      <w:r w:rsidR="007C0A3C">
        <w:rPr>
          <w:rFonts w:eastAsia="Times New Roman"/>
          <w:sz w:val="22"/>
          <w:szCs w:val="22"/>
          <w:lang w:val="es-ES"/>
        </w:rPr>
        <w:t xml:space="preserve">para </w:t>
      </w:r>
      <w:r w:rsidRPr="005978DF">
        <w:rPr>
          <w:rFonts w:eastAsia="Times New Roman"/>
          <w:sz w:val="22"/>
          <w:szCs w:val="22"/>
          <w:lang w:val="es-ES"/>
        </w:rPr>
        <w:t>el 7 al 19 de diciembre de 2022</w:t>
      </w:r>
      <w:r w:rsidR="007C0A3C">
        <w:rPr>
          <w:rFonts w:eastAsia="Times New Roman"/>
          <w:sz w:val="22"/>
          <w:szCs w:val="22"/>
          <w:lang w:val="es-ES"/>
        </w:rPr>
        <w:t xml:space="preserve"> </w:t>
      </w:r>
      <w:r w:rsidR="007C0A3C" w:rsidRPr="005978DF">
        <w:rPr>
          <w:rFonts w:eastAsia="Times New Roman"/>
          <w:sz w:val="22"/>
          <w:szCs w:val="22"/>
          <w:lang w:val="es-ES"/>
        </w:rPr>
        <w:t>en Montreal (Canadá)</w:t>
      </w:r>
      <w:r w:rsidRPr="005978DF">
        <w:rPr>
          <w:rFonts w:eastAsia="Times New Roman"/>
          <w:sz w:val="22"/>
          <w:szCs w:val="22"/>
          <w:lang w:val="es-ES"/>
        </w:rPr>
        <w:t>, debido a la pandemia de COVID-19.</w:t>
      </w:r>
    </w:p>
    <w:p w14:paraId="4041132B"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La Conferencia de las Partes que actúa como reunión de las Partes en el Protocolo de Cartagena es el órgano rector del Protocolo de Cartagena sobre Seguridad de la Biotecnología. De 2004 a 2014, las reuniones de las Partes en el Protocolo se celebraron en forma consecutiva a las reuniones de la Conferencia de las Partes en el Convenio y tuvieron una duración de una semana (cinco días). A partir de 2016, las reuniones de las Partes en el Protocolo se han celebrado en forma concurrente con la Conferencia de las Partes en el Convenio dentro del mismo período de dos semanas.</w:t>
      </w:r>
    </w:p>
    <w:p w14:paraId="4041132C"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Conferencia de las Partes que actúa como reunión de las Partes en el Protocolo de Cartagena actúa </w:t>
      </w:r>
      <w:r w:rsidR="007C0A3C" w:rsidRPr="005978DF">
        <w:rPr>
          <w:rFonts w:eastAsia="Times New Roman"/>
          <w:sz w:val="22"/>
          <w:szCs w:val="22"/>
          <w:lang w:val="es-ES"/>
        </w:rPr>
        <w:t xml:space="preserve">también </w:t>
      </w:r>
      <w:r w:rsidRPr="005978DF">
        <w:rPr>
          <w:rFonts w:eastAsia="Times New Roman"/>
          <w:sz w:val="22"/>
          <w:szCs w:val="22"/>
          <w:lang w:val="es-ES"/>
        </w:rPr>
        <w:t>como reunión de las Partes en el Protocolo Suplementario de Nagoya</w:t>
      </w:r>
      <w:r w:rsidR="007C0A3C">
        <w:rPr>
          <w:rFonts w:eastAsia="Times New Roman"/>
          <w:sz w:val="22"/>
          <w:szCs w:val="22"/>
          <w:lang w:val="es-ES"/>
        </w:rPr>
        <w:t> </w:t>
      </w:r>
      <w:r w:rsidRPr="005978DF">
        <w:rPr>
          <w:rFonts w:eastAsia="Times New Roman"/>
          <w:sz w:val="22"/>
          <w:szCs w:val="22"/>
          <w:lang w:val="es-ES"/>
        </w:rPr>
        <w:t>–</w:t>
      </w:r>
      <w:r w:rsidR="007C0A3C">
        <w:rPr>
          <w:rFonts w:eastAsia="Times New Roman"/>
          <w:sz w:val="22"/>
          <w:szCs w:val="22"/>
          <w:lang w:val="es-ES"/>
        </w:rPr>
        <w:t> </w:t>
      </w:r>
      <w:r w:rsidRPr="005978DF">
        <w:rPr>
          <w:rFonts w:eastAsia="Times New Roman"/>
          <w:sz w:val="22"/>
          <w:szCs w:val="22"/>
          <w:lang w:val="es-ES"/>
        </w:rPr>
        <w:t>Kuala</w:t>
      </w:r>
      <w:r w:rsidR="007C0A3C">
        <w:rPr>
          <w:rFonts w:eastAsia="Times New Roman"/>
          <w:sz w:val="22"/>
          <w:szCs w:val="22"/>
          <w:lang w:val="es-ES"/>
        </w:rPr>
        <w:t> </w:t>
      </w:r>
      <w:r w:rsidRPr="005978DF">
        <w:rPr>
          <w:rFonts w:eastAsia="Times New Roman"/>
          <w:sz w:val="22"/>
          <w:szCs w:val="22"/>
          <w:lang w:val="es-ES"/>
        </w:rPr>
        <w:t>Lumpur sobre Responsabilidad y Compensación. La Conferencia de las Partes que actúa como reunión de las Partes en el Protocolo de Nagoya es el órgano rector del Protocolo de Nagoya sobre Acceso y Participación en los Beneficios. Tras la entrada en vigor del Protocolo, el 12 de octubre de 2014, la 1ª</w:t>
      </w:r>
      <w:r w:rsidR="007C0A3C">
        <w:rPr>
          <w:rFonts w:eastAsia="Times New Roman"/>
          <w:sz w:val="22"/>
          <w:szCs w:val="22"/>
          <w:lang w:val="es-ES"/>
        </w:rPr>
        <w:t> </w:t>
      </w:r>
      <w:r w:rsidRPr="005978DF">
        <w:rPr>
          <w:rFonts w:eastAsia="Times New Roman"/>
          <w:sz w:val="22"/>
          <w:szCs w:val="22"/>
          <w:lang w:val="es-ES"/>
        </w:rPr>
        <w:t>reunión de las Partes en el Protocolo se celebró en forma concurrente con la segunda semana de la 12ª reunión de la Conferencia de las Partes en el Convenio. Las reuniones subsiguientes de las Partes en el Protocolo de Nagoya se celebraron en forma concurrente con la Conferencia de las Partes en el Convenio dentro del mismo período de dos semanas.</w:t>
      </w:r>
    </w:p>
    <w:p w14:paraId="4041132D"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Se requiere una suma de 2</w:t>
      </w:r>
      <w:r w:rsidR="00C44BAB">
        <w:rPr>
          <w:rFonts w:eastAsia="Times New Roman"/>
          <w:sz w:val="22"/>
          <w:szCs w:val="22"/>
          <w:lang w:val="es-ES"/>
        </w:rPr>
        <w:t> </w:t>
      </w:r>
      <w:r w:rsidRPr="005978DF">
        <w:rPr>
          <w:rFonts w:eastAsia="Times New Roman"/>
          <w:sz w:val="22"/>
          <w:szCs w:val="22"/>
          <w:lang w:val="es-ES"/>
        </w:rPr>
        <w:t>050</w:t>
      </w:r>
      <w:r w:rsidR="00C44BAB">
        <w:rPr>
          <w:rFonts w:eastAsia="Times New Roman"/>
          <w:sz w:val="22"/>
          <w:szCs w:val="22"/>
          <w:lang w:val="es-ES"/>
        </w:rPr>
        <w:t> </w:t>
      </w:r>
      <w:r w:rsidRPr="005978DF">
        <w:rPr>
          <w:rFonts w:eastAsia="Times New Roman"/>
          <w:sz w:val="22"/>
          <w:szCs w:val="22"/>
          <w:lang w:val="es-ES"/>
        </w:rPr>
        <w:t>000 dólares para sufragar los gastos asociados a, entre otras cosas, interpretación, traducción, redacción de informes y costos de licencia para la 16ª reunión de la Conferencia de las Partes, así como</w:t>
      </w:r>
      <w:r w:rsidR="00921CFB">
        <w:rPr>
          <w:rFonts w:eastAsia="Times New Roman"/>
          <w:sz w:val="22"/>
          <w:szCs w:val="22"/>
          <w:lang w:val="es-ES"/>
        </w:rPr>
        <w:t xml:space="preserve"> para</w:t>
      </w:r>
      <w:r w:rsidRPr="005978DF">
        <w:rPr>
          <w:rFonts w:eastAsia="Times New Roman"/>
          <w:sz w:val="22"/>
          <w:szCs w:val="22"/>
          <w:lang w:val="es-ES"/>
        </w:rPr>
        <w:t xml:space="preserve"> la 11ª reunión de las Partes en el Protocolo de Cartagena y la 5ª reunión de las Partes en Protocolo de Nagoya. Esta cifra no incluye el alquiler del lugar de reunión ni otros gastos asociados a la celebración de las reuniones que deben ser asumidos por el país anfitrión o aportados a través de recursos extrapresupuestarios</w:t>
      </w:r>
      <w:r w:rsidR="00921CFB">
        <w:rPr>
          <w:rFonts w:eastAsia="Times New Roman"/>
          <w:sz w:val="22"/>
          <w:szCs w:val="22"/>
          <w:lang w:val="es-ES"/>
        </w:rPr>
        <w:t xml:space="preserve"> (RE)</w:t>
      </w:r>
      <w:r w:rsidRPr="005978DF">
        <w:rPr>
          <w:rFonts w:eastAsia="Times New Roman"/>
          <w:sz w:val="22"/>
          <w:szCs w:val="22"/>
          <w:lang w:val="es-ES"/>
        </w:rPr>
        <w:t>.</w:t>
      </w:r>
    </w:p>
    <w:p w14:paraId="4041132E"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 xml:space="preserve">Además, se requieren también recursos para las reuniones periódicas de la Secretaría, a </w:t>
      </w:r>
      <w:proofErr w:type="gramStart"/>
      <w:r w:rsidRPr="005978DF">
        <w:rPr>
          <w:rFonts w:eastAsia="Times New Roman"/>
          <w:sz w:val="22"/>
          <w:szCs w:val="22"/>
          <w:lang w:val="es-ES"/>
        </w:rPr>
        <w:t>saber</w:t>
      </w:r>
      <w:proofErr w:type="gramEnd"/>
      <w:r w:rsidRPr="005978DF">
        <w:rPr>
          <w:rFonts w:eastAsia="Times New Roman"/>
          <w:sz w:val="22"/>
          <w:szCs w:val="22"/>
          <w:lang w:val="es-ES"/>
        </w:rPr>
        <w:t xml:space="preserve"> las reuniones del OSACTT, el OSA y el WG8J, así como otras reuniones de expertos y reuniones de grupos asesores oficiosos, incluidas las reuniones de mesa del bienio 2023-2024.</w:t>
      </w:r>
    </w:p>
    <w:p w14:paraId="4041132F"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Por lo tanto, se prevé que la 25ª reunión del OSACTT (3,5 días) y la 12ª reunión del WG8J (3,5 días) se celebrarán en forma consecutiva en 2023, con un gasto total de 790</w:t>
      </w:r>
      <w:r w:rsidR="00C44BAB">
        <w:rPr>
          <w:rFonts w:eastAsia="Times New Roman"/>
          <w:sz w:val="22"/>
          <w:szCs w:val="22"/>
          <w:lang w:val="es-ES"/>
        </w:rPr>
        <w:t> </w:t>
      </w:r>
      <w:r w:rsidRPr="005978DF">
        <w:rPr>
          <w:rFonts w:eastAsia="Times New Roman"/>
          <w:sz w:val="22"/>
          <w:szCs w:val="22"/>
          <w:lang w:val="es-ES"/>
        </w:rPr>
        <w:t>000 dólares. Asimismo, se prevé que la 26ª reunión del OSACTT (5 días) y la 4ª reunión del OSA (5 días) se celebrarán en forma consecutiva en 2024, con un gasto total de 1</w:t>
      </w:r>
      <w:r w:rsidR="00C44BAB">
        <w:rPr>
          <w:rFonts w:eastAsia="Times New Roman"/>
          <w:sz w:val="22"/>
          <w:szCs w:val="22"/>
          <w:lang w:val="es-ES"/>
        </w:rPr>
        <w:t> </w:t>
      </w:r>
      <w:r w:rsidRPr="005978DF">
        <w:rPr>
          <w:rFonts w:eastAsia="Times New Roman"/>
          <w:sz w:val="22"/>
          <w:szCs w:val="22"/>
          <w:lang w:val="es-ES"/>
        </w:rPr>
        <w:t>130</w:t>
      </w:r>
      <w:r w:rsidR="00C44BAB">
        <w:rPr>
          <w:rFonts w:eastAsia="Times New Roman"/>
          <w:sz w:val="22"/>
          <w:szCs w:val="22"/>
          <w:lang w:val="es-ES"/>
        </w:rPr>
        <w:t> </w:t>
      </w:r>
      <w:r w:rsidRPr="005978DF">
        <w:rPr>
          <w:rFonts w:eastAsia="Times New Roman"/>
          <w:sz w:val="22"/>
          <w:szCs w:val="22"/>
          <w:lang w:val="es-ES"/>
        </w:rPr>
        <w:t xml:space="preserve">000 dólares. Estas estimaciones de gastos se basan en gastos estimados de interpretación simultánea, traducción de documentos, redacción de informes, seguridad y uso limitado de una plataforma de reuniones virtuales. También </w:t>
      </w:r>
      <w:r w:rsidR="009D7DDC">
        <w:rPr>
          <w:rFonts w:eastAsia="Times New Roman"/>
          <w:sz w:val="22"/>
          <w:szCs w:val="22"/>
          <w:lang w:val="es-ES"/>
        </w:rPr>
        <w:t>cubren</w:t>
      </w:r>
      <w:r w:rsidRPr="005978DF">
        <w:rPr>
          <w:rFonts w:eastAsia="Times New Roman"/>
          <w:sz w:val="22"/>
          <w:szCs w:val="22"/>
          <w:lang w:val="es-ES"/>
        </w:rPr>
        <w:t xml:space="preserve"> una asignación de gastos para </w:t>
      </w:r>
      <w:r w:rsidR="009D7DDC">
        <w:rPr>
          <w:rFonts w:eastAsia="Times New Roman"/>
          <w:sz w:val="22"/>
          <w:szCs w:val="22"/>
          <w:lang w:val="es-ES"/>
        </w:rPr>
        <w:t>lugar de reunión</w:t>
      </w:r>
      <w:r w:rsidRPr="005978DF">
        <w:rPr>
          <w:rFonts w:eastAsia="Times New Roman"/>
          <w:sz w:val="22"/>
          <w:szCs w:val="22"/>
          <w:lang w:val="es-ES"/>
        </w:rPr>
        <w:t xml:space="preserve"> en el caso de que en 2023 se celebren en la sede de la Organización de Aviación Civil Internacional (OACI), en Montreal (Canadá). Si la ICAO no estuviera disponible en las fechas requeridas o si se precisa</w:t>
      </w:r>
      <w:r w:rsidR="009D7DDC">
        <w:rPr>
          <w:rFonts w:eastAsia="Times New Roman"/>
          <w:sz w:val="22"/>
          <w:szCs w:val="22"/>
          <w:lang w:val="es-ES"/>
        </w:rPr>
        <w:t>ra</w:t>
      </w:r>
      <w:r w:rsidRPr="005978DF">
        <w:rPr>
          <w:rFonts w:eastAsia="Times New Roman"/>
          <w:sz w:val="22"/>
          <w:szCs w:val="22"/>
          <w:lang w:val="es-ES"/>
        </w:rPr>
        <w:t xml:space="preserve"> otro lugar de reunión para recibir a un mayor número de asistentes, como se ha dado en las reuniones recientes de los órganos subsidiarios, o bien si se </w:t>
      </w:r>
      <w:r w:rsidR="009D7DDC">
        <w:rPr>
          <w:rFonts w:eastAsia="Times New Roman"/>
          <w:sz w:val="22"/>
          <w:szCs w:val="22"/>
          <w:lang w:val="es-ES"/>
        </w:rPr>
        <w:t>precisaran</w:t>
      </w:r>
      <w:r w:rsidRPr="005978DF">
        <w:rPr>
          <w:rFonts w:eastAsia="Times New Roman"/>
          <w:sz w:val="22"/>
          <w:szCs w:val="22"/>
          <w:lang w:val="es-ES"/>
        </w:rPr>
        <w:t xml:space="preserve"> servicios adicionales, entonces s</w:t>
      </w:r>
      <w:r w:rsidR="009D7DDC">
        <w:rPr>
          <w:rFonts w:eastAsia="Times New Roman"/>
          <w:sz w:val="22"/>
          <w:szCs w:val="22"/>
          <w:lang w:val="es-ES"/>
        </w:rPr>
        <w:t>e n</w:t>
      </w:r>
      <w:r w:rsidRPr="005978DF">
        <w:rPr>
          <w:rFonts w:eastAsia="Times New Roman"/>
          <w:sz w:val="22"/>
          <w:szCs w:val="22"/>
          <w:lang w:val="es-ES"/>
        </w:rPr>
        <w:t>ec</w:t>
      </w:r>
      <w:r w:rsidR="009D7DDC">
        <w:rPr>
          <w:rFonts w:eastAsia="Times New Roman"/>
          <w:sz w:val="22"/>
          <w:szCs w:val="22"/>
          <w:lang w:val="es-ES"/>
        </w:rPr>
        <w:t>es</w:t>
      </w:r>
      <w:r w:rsidRPr="005978DF">
        <w:rPr>
          <w:rFonts w:eastAsia="Times New Roman"/>
          <w:sz w:val="22"/>
          <w:szCs w:val="22"/>
          <w:lang w:val="es-ES"/>
        </w:rPr>
        <w:t>i</w:t>
      </w:r>
      <w:r w:rsidR="009D7DDC">
        <w:rPr>
          <w:rFonts w:eastAsia="Times New Roman"/>
          <w:sz w:val="22"/>
          <w:szCs w:val="22"/>
          <w:lang w:val="es-ES"/>
        </w:rPr>
        <w:t>t</w:t>
      </w:r>
      <w:r w:rsidRPr="005978DF">
        <w:rPr>
          <w:rFonts w:eastAsia="Times New Roman"/>
          <w:sz w:val="22"/>
          <w:szCs w:val="22"/>
          <w:lang w:val="es-ES"/>
        </w:rPr>
        <w:t>ará financiación adicional a través del presupuesto de contribuciones voluntarias.</w:t>
      </w:r>
    </w:p>
    <w:p w14:paraId="40411330"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Conforme a la práctica anterior y sobre la base de los gastos incurridos en bienios anteriores, se estima que se necesitará una suma de 320</w:t>
      </w:r>
      <w:r w:rsidR="00C44BAB">
        <w:rPr>
          <w:rFonts w:eastAsia="Times New Roman"/>
          <w:sz w:val="22"/>
          <w:szCs w:val="22"/>
          <w:lang w:val="es-ES"/>
        </w:rPr>
        <w:t> </w:t>
      </w:r>
      <w:r w:rsidRPr="005978DF">
        <w:rPr>
          <w:rFonts w:eastAsia="Times New Roman"/>
          <w:sz w:val="22"/>
          <w:szCs w:val="22"/>
          <w:lang w:val="es-ES"/>
        </w:rPr>
        <w:t>000 dólares para sufragar los gastos de las siguientes reuniones de expertos programadas para 2023 y 2024, a saber: a) una reunión del Comité Asesor Oficioso del Centro de Intercambio de Información sobre Acceso y Participación en los Beneficios (30</w:t>
      </w:r>
      <w:r w:rsidR="00C44BAB">
        <w:rPr>
          <w:rFonts w:eastAsia="Times New Roman"/>
          <w:sz w:val="22"/>
          <w:szCs w:val="22"/>
          <w:lang w:val="es-ES"/>
        </w:rPr>
        <w:t> </w:t>
      </w:r>
      <w:r w:rsidRPr="005978DF">
        <w:rPr>
          <w:rFonts w:eastAsia="Times New Roman"/>
          <w:sz w:val="22"/>
          <w:szCs w:val="22"/>
          <w:lang w:val="es-ES"/>
        </w:rPr>
        <w:t>000 dólares); b) una reunión del Comité Asesor Oficioso del Mecanismo de Facilitación (40</w:t>
      </w:r>
      <w:r w:rsidR="009D7DDC">
        <w:rPr>
          <w:rFonts w:eastAsia="Times New Roman"/>
          <w:sz w:val="22"/>
          <w:szCs w:val="22"/>
          <w:lang w:val="es-ES"/>
        </w:rPr>
        <w:t> </w:t>
      </w:r>
      <w:r w:rsidRPr="005978DF">
        <w:rPr>
          <w:rFonts w:eastAsia="Times New Roman"/>
          <w:sz w:val="22"/>
          <w:szCs w:val="22"/>
          <w:lang w:val="es-ES"/>
        </w:rPr>
        <w:t>000 dólares); y c) una reunión del Comité Asesor Oficioso del Centro de Intercambio de Información sobre Seguridad de la Biotecnología (40</w:t>
      </w:r>
      <w:r w:rsidR="00C44BAB">
        <w:rPr>
          <w:rFonts w:eastAsia="Times New Roman"/>
          <w:sz w:val="22"/>
          <w:szCs w:val="22"/>
          <w:lang w:val="es-ES"/>
        </w:rPr>
        <w:t> </w:t>
      </w:r>
      <w:r w:rsidRPr="005978DF">
        <w:rPr>
          <w:rFonts w:eastAsia="Times New Roman"/>
          <w:sz w:val="22"/>
          <w:szCs w:val="22"/>
          <w:lang w:val="es-ES"/>
        </w:rPr>
        <w:t>000 dólares). Además, para 2024 están previstas tres reuniones de expertos, a saber: a) una reunión del Comité de Cumplimiento establecido en el marco del Protocolo de Nagoya sobre Acceso y Participación en los Beneficios (30</w:t>
      </w:r>
      <w:r w:rsidR="00C44BAB">
        <w:rPr>
          <w:rFonts w:eastAsia="Times New Roman"/>
          <w:sz w:val="22"/>
          <w:szCs w:val="22"/>
          <w:lang w:val="es-ES"/>
        </w:rPr>
        <w:t> </w:t>
      </w:r>
      <w:r w:rsidRPr="005978DF">
        <w:rPr>
          <w:rFonts w:eastAsia="Times New Roman"/>
          <w:sz w:val="22"/>
          <w:szCs w:val="22"/>
          <w:lang w:val="es-ES"/>
        </w:rPr>
        <w:t>000 dólares); y b) una reunión del Comité Asesor Oficioso sobre Creación de Capacidad para la Aplicación Protocolo de Nagoya (30</w:t>
      </w:r>
      <w:r w:rsidR="00C44BAB">
        <w:rPr>
          <w:rFonts w:eastAsia="Times New Roman"/>
          <w:sz w:val="22"/>
          <w:szCs w:val="22"/>
          <w:lang w:val="es-ES"/>
        </w:rPr>
        <w:t> </w:t>
      </w:r>
      <w:r w:rsidRPr="005978DF">
        <w:rPr>
          <w:rFonts w:eastAsia="Times New Roman"/>
          <w:sz w:val="22"/>
          <w:szCs w:val="22"/>
          <w:lang w:val="es-ES"/>
        </w:rPr>
        <w:t>000 dólares); También se prevé la realización de dos reuniones del Comité de Cumplimiento establecido en el marco del Protocolo de Cartagena sobre Seguridad de la Biotecnología (45</w:t>
      </w:r>
      <w:r w:rsidR="00C44BAB">
        <w:rPr>
          <w:rFonts w:eastAsia="Times New Roman"/>
          <w:sz w:val="22"/>
          <w:szCs w:val="22"/>
          <w:lang w:val="es-ES"/>
        </w:rPr>
        <w:t> </w:t>
      </w:r>
      <w:r w:rsidRPr="005978DF">
        <w:rPr>
          <w:rFonts w:eastAsia="Times New Roman"/>
          <w:sz w:val="22"/>
          <w:szCs w:val="22"/>
          <w:lang w:val="es-ES"/>
        </w:rPr>
        <w:t>000 dólares cada una) y dos reuniones del Grupo de Enlace del Protocolo de Cartagena sobre Seguridad de la Biotecnología (30</w:t>
      </w:r>
      <w:r w:rsidR="00C44BAB">
        <w:rPr>
          <w:rFonts w:eastAsia="Times New Roman"/>
          <w:sz w:val="22"/>
          <w:szCs w:val="22"/>
          <w:lang w:val="es-ES"/>
        </w:rPr>
        <w:t> </w:t>
      </w:r>
      <w:r w:rsidRPr="005978DF">
        <w:rPr>
          <w:rFonts w:eastAsia="Times New Roman"/>
          <w:sz w:val="22"/>
          <w:szCs w:val="22"/>
          <w:lang w:val="es-ES"/>
        </w:rPr>
        <w:t>000 dólares cada una) que se realizarán en 2023 y en 2024.</w:t>
      </w:r>
    </w:p>
    <w:p w14:paraId="40411331"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lastRenderedPageBreak/>
        <w:t xml:space="preserve">Cabe señalar que muchas de estas reuniones presenciales se complementan con discusiones virtuales. Por ejemplo, hay un intercambio de información constante </w:t>
      </w:r>
      <w:r w:rsidR="005D2E4B">
        <w:rPr>
          <w:rFonts w:eastAsia="Times New Roman"/>
          <w:sz w:val="22"/>
          <w:szCs w:val="22"/>
          <w:lang w:val="es-ES"/>
        </w:rPr>
        <w:t xml:space="preserve">por </w:t>
      </w:r>
      <w:r w:rsidRPr="005978DF">
        <w:rPr>
          <w:rFonts w:eastAsia="Times New Roman"/>
          <w:sz w:val="22"/>
          <w:szCs w:val="22"/>
          <w:lang w:val="es-ES"/>
        </w:rPr>
        <w:t xml:space="preserve">correo electrónico y </w:t>
      </w:r>
      <w:r w:rsidR="005D2E4B" w:rsidRPr="005978DF">
        <w:rPr>
          <w:rFonts w:eastAsia="Times New Roman"/>
          <w:sz w:val="22"/>
          <w:szCs w:val="22"/>
          <w:lang w:val="es-ES"/>
        </w:rPr>
        <w:t>a través de</w:t>
      </w:r>
      <w:r w:rsidRPr="005978DF">
        <w:rPr>
          <w:rFonts w:eastAsia="Times New Roman"/>
          <w:sz w:val="22"/>
          <w:szCs w:val="22"/>
          <w:lang w:val="es-ES"/>
        </w:rPr>
        <w:t xml:space="preserve"> foros de discusión en línea en apoyo a la labor de los comités asesores oficiosos de los centros de intercambio de información y el mecanismo de facilitación. No obstante, las reuniones presenciales siguen siendo necesarias para la toma de decisiones.</w:t>
      </w:r>
    </w:p>
    <w:p w14:paraId="40411332"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También se prevé una suma de 278</w:t>
      </w:r>
      <w:r w:rsidR="00C44BAB">
        <w:rPr>
          <w:rFonts w:eastAsia="Times New Roman"/>
          <w:sz w:val="22"/>
          <w:szCs w:val="22"/>
          <w:lang w:val="es-ES"/>
        </w:rPr>
        <w:t> </w:t>
      </w:r>
      <w:r w:rsidRPr="005978DF">
        <w:rPr>
          <w:rFonts w:eastAsia="Times New Roman"/>
          <w:sz w:val="22"/>
          <w:szCs w:val="22"/>
          <w:lang w:val="es-ES"/>
        </w:rPr>
        <w:t>900 dólares para sufragar los gastos de viaje de ocho integrantes de mesa para que asistan a las reuniones de las mesas, que se convocan para las reuniones de la COP, el OSA y el WG8J. Esto representa una reducción de los gastos con respecto a los bienios anteriores, debido a un mayor uso de la modalidad de videoconferencia. Los gastos de las reuniones de la mesa del OSACTT están incluidos en la estimación p</w:t>
      </w:r>
      <w:r w:rsidR="005D2E4B">
        <w:rPr>
          <w:rFonts w:eastAsia="Times New Roman"/>
          <w:sz w:val="22"/>
          <w:szCs w:val="22"/>
          <w:lang w:val="es-ES"/>
        </w:rPr>
        <w:t xml:space="preserve">ara la reunión, ya señalada, de </w:t>
      </w:r>
      <w:r w:rsidRPr="005978DF">
        <w:rPr>
          <w:rFonts w:eastAsia="Times New Roman"/>
          <w:sz w:val="22"/>
          <w:szCs w:val="22"/>
          <w:lang w:val="es-ES"/>
        </w:rPr>
        <w:t>a</w:t>
      </w:r>
      <w:r w:rsidR="005D2E4B">
        <w:rPr>
          <w:rFonts w:eastAsia="Times New Roman"/>
          <w:sz w:val="22"/>
          <w:szCs w:val="22"/>
          <w:lang w:val="es-ES"/>
        </w:rPr>
        <w:t>cuerdo</w:t>
      </w:r>
      <w:r w:rsidRPr="005978DF">
        <w:rPr>
          <w:rFonts w:eastAsia="Times New Roman"/>
          <w:sz w:val="22"/>
          <w:szCs w:val="22"/>
          <w:lang w:val="es-ES"/>
        </w:rPr>
        <w:t xml:space="preserve"> con las prácticas establecidas.</w:t>
      </w:r>
    </w:p>
    <w:p w14:paraId="40411333"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Estos recursos no relacionados con puestos, que ascienden a un total de 4</w:t>
      </w:r>
      <w:r w:rsidR="00C44BAB">
        <w:rPr>
          <w:rFonts w:eastAsia="Times New Roman"/>
          <w:sz w:val="22"/>
          <w:szCs w:val="22"/>
          <w:lang w:val="es-ES"/>
        </w:rPr>
        <w:t> </w:t>
      </w:r>
      <w:r w:rsidRPr="005978DF">
        <w:rPr>
          <w:rFonts w:eastAsia="Times New Roman"/>
          <w:sz w:val="22"/>
          <w:szCs w:val="22"/>
          <w:lang w:val="es-ES"/>
        </w:rPr>
        <w:t>568</w:t>
      </w:r>
      <w:r w:rsidR="00C44BAB">
        <w:rPr>
          <w:rFonts w:eastAsia="Times New Roman"/>
          <w:sz w:val="22"/>
          <w:szCs w:val="22"/>
          <w:lang w:val="es-ES"/>
        </w:rPr>
        <w:t> </w:t>
      </w:r>
      <w:r w:rsidRPr="005978DF">
        <w:rPr>
          <w:rFonts w:eastAsia="Times New Roman"/>
          <w:sz w:val="22"/>
          <w:szCs w:val="22"/>
          <w:lang w:val="es-ES"/>
        </w:rPr>
        <w:t>900 dólares, servirán para sufragar, entre otras cosas, el alquiler de las instalaciones, los servicios de interpretación, redacción de informes y traducción y otros gastos relacionados con los servicios de conferencia, como los gastos de hospitalidad para apoyar la labor de la COP, las MOP, el OSA y el OSACTT. Cabe señalar que las reuniones contarán con los servicios del personal correspondiente de la Secretaría y, por lo tanto, los gastos relacionados con puestos están incluidos en las divisiones y dependencias pertinentes de la Secretaría.</w:t>
      </w:r>
    </w:p>
    <w:p w14:paraId="40411334" w14:textId="77777777" w:rsidR="002F3255" w:rsidRPr="005978DF" w:rsidRDefault="002F3255">
      <w:pPr>
        <w:pStyle w:val="ListParagraph"/>
        <w:spacing w:before="240" w:after="120"/>
        <w:ind w:left="448"/>
        <w:jc w:val="center"/>
        <w:outlineLvl w:val="1"/>
        <w:rPr>
          <w:rFonts w:eastAsia="Times New Roman"/>
          <w:b/>
          <w:bCs/>
          <w:lang w:val="es-ES"/>
        </w:rPr>
      </w:pPr>
      <w:r w:rsidRPr="005978DF">
        <w:rPr>
          <w:rFonts w:eastAsia="Times New Roman"/>
          <w:b/>
          <w:bCs/>
          <w:lang w:val="es-ES"/>
        </w:rPr>
        <w:t>B. Dirección y gestión ejecutivas</w:t>
      </w:r>
    </w:p>
    <w:p w14:paraId="40411335" w14:textId="77777777" w:rsidR="002F3255" w:rsidRPr="005978DF" w:rsidRDefault="002F3255">
      <w:pPr>
        <w:pStyle w:val="H1"/>
        <w:spacing w:line="240" w:lineRule="auto"/>
        <w:ind w:left="1984" w:right="1259" w:hanging="1264"/>
        <w:outlineLvl w:val="2"/>
        <w:rPr>
          <w:sz w:val="22"/>
          <w:szCs w:val="22"/>
          <w:lang w:val="es-ES"/>
        </w:rPr>
      </w:pPr>
      <w:r w:rsidRPr="005978DF">
        <w:rPr>
          <w:sz w:val="22"/>
          <w:szCs w:val="22"/>
          <w:lang w:val="es-ES"/>
        </w:rPr>
        <w:tab/>
        <w:t xml:space="preserve">Oficina de la </w:t>
      </w:r>
      <w:proofErr w:type="gramStart"/>
      <w:r w:rsidRPr="005978DF">
        <w:rPr>
          <w:sz w:val="22"/>
          <w:szCs w:val="22"/>
          <w:lang w:val="es-ES"/>
        </w:rPr>
        <w:t>Secretaria Ejecutiva</w:t>
      </w:r>
      <w:proofErr w:type="gramEnd"/>
    </w:p>
    <w:p w14:paraId="40411336" w14:textId="77777777" w:rsidR="002F3255" w:rsidRPr="005978DF" w:rsidRDefault="002F3255">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sz w:val="22"/>
          <w:szCs w:val="22"/>
          <w:lang w:val="es-ES"/>
        </w:rPr>
      </w:pPr>
      <w:r w:rsidRPr="005978DF">
        <w:rPr>
          <w:rFonts w:eastAsia="Times New Roman"/>
          <w:sz w:val="22"/>
          <w:szCs w:val="22"/>
          <w:lang w:val="es-ES"/>
        </w:rPr>
        <w:tab/>
      </w:r>
      <w:r w:rsidRPr="005978DF">
        <w:rPr>
          <w:rFonts w:eastAsia="Times New Roman"/>
          <w:i/>
          <w:iCs/>
          <w:spacing w:val="3"/>
          <w:w w:val="103"/>
          <w:kern w:val="14"/>
          <w:sz w:val="22"/>
          <w:szCs w:val="22"/>
          <w:lang w:val="es-ES"/>
        </w:rPr>
        <w:t>Asignación de recursos: 6</w:t>
      </w:r>
      <w:r w:rsidR="00C44BAB">
        <w:rPr>
          <w:rFonts w:eastAsia="Times New Roman"/>
          <w:i/>
          <w:iCs/>
          <w:spacing w:val="3"/>
          <w:w w:val="103"/>
          <w:kern w:val="14"/>
          <w:sz w:val="22"/>
          <w:szCs w:val="22"/>
          <w:lang w:val="es-ES"/>
        </w:rPr>
        <w:t> </w:t>
      </w:r>
      <w:r w:rsidRPr="005978DF">
        <w:rPr>
          <w:rFonts w:eastAsia="Times New Roman"/>
          <w:i/>
          <w:iCs/>
          <w:spacing w:val="3"/>
          <w:w w:val="103"/>
          <w:kern w:val="14"/>
          <w:sz w:val="22"/>
          <w:szCs w:val="22"/>
          <w:lang w:val="es-ES"/>
        </w:rPr>
        <w:t>206</w:t>
      </w:r>
      <w:r w:rsidR="00C44BAB">
        <w:rPr>
          <w:rFonts w:eastAsia="Times New Roman"/>
          <w:i/>
          <w:iCs/>
          <w:spacing w:val="3"/>
          <w:w w:val="103"/>
          <w:kern w:val="14"/>
          <w:sz w:val="22"/>
          <w:szCs w:val="22"/>
          <w:lang w:val="es-ES"/>
        </w:rPr>
        <w:t> </w:t>
      </w:r>
      <w:r w:rsidRPr="005978DF">
        <w:rPr>
          <w:rFonts w:eastAsia="Times New Roman"/>
          <w:i/>
          <w:iCs/>
          <w:spacing w:val="3"/>
          <w:w w:val="103"/>
          <w:kern w:val="14"/>
          <w:sz w:val="22"/>
          <w:szCs w:val="22"/>
          <w:lang w:val="es-ES"/>
        </w:rPr>
        <w:t>200 dólares</w:t>
      </w:r>
    </w:p>
    <w:p w14:paraId="40411337"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está a cargo de la dirección ejecutiva y la gestión integrada general de la Secretaría. Bajo la dirección de gestión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la Oficina de la Secretaria Ejecutiva asegura la coordinación eficaz de las actividades de la Secretaría y examina los progresos logrados en la ejecución del programa de trabajo integrado de la Secretaría, con miras a promover la coherencia y la eficacia en función de los costos en la labor de la Secretaría, pero también para atender las necesidades y pedidos de las Partes. Entre sus responsabilidades están las de proporcionar la visión y dirección de la labor de la Secretaría, fijar prioridades estratégicas para la gestión y ejecución eficaz y eficiente de la labor de la Secretaría, establecer directrices de políticas para las divisiones, brindar representación y divulgación política estratégica, desarrollar nuevas asociaciones y servir de enlace con las delegaciones de las Partes y otras organizaciones, fondos y programas de las Naciones Unidas, así como con otras organizaciones intergubernamentales y asociados estratégicos. La coordinación y gestión de las actividades de la Secretaría se garantizan a través de reuniones periódicas del comité de gestión superior, presidido por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e integrado por los jefes de divisiones y otros funcionarios de la Oficina de la Secretaria Ejecutiva, así como a través de reuniones periódicas de gestión, en las que participa</w:t>
      </w:r>
      <w:r w:rsidR="00E47700">
        <w:rPr>
          <w:rFonts w:eastAsia="Times New Roman"/>
          <w:sz w:val="22"/>
          <w:szCs w:val="22"/>
          <w:lang w:val="es-ES"/>
        </w:rPr>
        <w:t>n</w:t>
      </w:r>
      <w:r w:rsidRPr="005978DF">
        <w:rPr>
          <w:rFonts w:eastAsia="Times New Roman"/>
          <w:sz w:val="22"/>
          <w:szCs w:val="22"/>
          <w:lang w:val="es-ES"/>
        </w:rPr>
        <w:t xml:space="preserve"> el personal directivo superior y los jefes de dependencias.</w:t>
      </w:r>
    </w:p>
    <w:p w14:paraId="40411338"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Oficina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incluye el cargo de Secretario Ejecutivo Adjunto, </w:t>
      </w:r>
      <w:r w:rsidR="00E47700">
        <w:rPr>
          <w:rFonts w:eastAsia="Times New Roman"/>
          <w:sz w:val="22"/>
          <w:szCs w:val="22"/>
          <w:lang w:val="es-ES"/>
        </w:rPr>
        <w:t xml:space="preserve">a </w:t>
      </w:r>
      <w:r w:rsidRPr="005978DF">
        <w:rPr>
          <w:rFonts w:eastAsia="Times New Roman"/>
          <w:sz w:val="22"/>
          <w:szCs w:val="22"/>
          <w:lang w:val="es-ES"/>
        </w:rPr>
        <w:t>qu</w:t>
      </w:r>
      <w:r w:rsidR="00E47700">
        <w:rPr>
          <w:rFonts w:eastAsia="Times New Roman"/>
          <w:sz w:val="22"/>
          <w:szCs w:val="22"/>
          <w:lang w:val="es-ES"/>
        </w:rPr>
        <w:t>i</w:t>
      </w:r>
      <w:r w:rsidRPr="005978DF">
        <w:rPr>
          <w:rFonts w:eastAsia="Times New Roman"/>
          <w:sz w:val="22"/>
          <w:szCs w:val="22"/>
          <w:lang w:val="es-ES"/>
        </w:rPr>
        <w:t>e</w:t>
      </w:r>
      <w:r w:rsidR="00E47700">
        <w:rPr>
          <w:rFonts w:eastAsia="Times New Roman"/>
          <w:sz w:val="22"/>
          <w:szCs w:val="22"/>
          <w:lang w:val="es-ES"/>
        </w:rPr>
        <w:t>n se le delega</w:t>
      </w:r>
      <w:r w:rsidRPr="005978DF">
        <w:rPr>
          <w:rFonts w:eastAsia="Times New Roman"/>
          <w:sz w:val="22"/>
          <w:szCs w:val="22"/>
          <w:lang w:val="es-ES"/>
        </w:rPr>
        <w:t xml:space="preserve"> la responsabilidad de coordinar los programas para la COP, las MOP y los órganos subsidiarios</w:t>
      </w:r>
      <w:r w:rsidR="00E47700">
        <w:rPr>
          <w:rFonts w:eastAsia="Times New Roman"/>
          <w:sz w:val="22"/>
          <w:szCs w:val="22"/>
          <w:lang w:val="es-ES"/>
        </w:rPr>
        <w:t xml:space="preserve"> y</w:t>
      </w:r>
      <w:r w:rsidRPr="005978DF">
        <w:rPr>
          <w:rFonts w:eastAsia="Times New Roman"/>
          <w:sz w:val="22"/>
          <w:szCs w:val="22"/>
          <w:lang w:val="es-ES"/>
        </w:rPr>
        <w:t xml:space="preserve"> </w:t>
      </w:r>
      <w:r w:rsidR="00E47700">
        <w:rPr>
          <w:rFonts w:eastAsia="Times New Roman"/>
          <w:sz w:val="22"/>
          <w:szCs w:val="22"/>
          <w:lang w:val="es-ES"/>
        </w:rPr>
        <w:t>d</w:t>
      </w:r>
      <w:r w:rsidRPr="005978DF">
        <w:rPr>
          <w:rFonts w:eastAsia="Times New Roman"/>
          <w:sz w:val="22"/>
          <w:szCs w:val="22"/>
          <w:lang w:val="es-ES"/>
        </w:rPr>
        <w:t xml:space="preserve">e informar sobre ellos, a fin de garantizar la coherencia de las reuniones concurrentes. </w:t>
      </w:r>
      <w:r w:rsidR="00E47700">
        <w:rPr>
          <w:rFonts w:eastAsia="Times New Roman"/>
          <w:sz w:val="22"/>
          <w:szCs w:val="22"/>
          <w:lang w:val="es-ES"/>
        </w:rPr>
        <w:t>A</w:t>
      </w:r>
      <w:r w:rsidR="00E47700" w:rsidRPr="005978DF">
        <w:rPr>
          <w:rFonts w:eastAsia="Times New Roman"/>
          <w:sz w:val="22"/>
          <w:szCs w:val="22"/>
          <w:lang w:val="es-ES"/>
        </w:rPr>
        <w:t xml:space="preserve">l </w:t>
      </w:r>
      <w:proofErr w:type="gramStart"/>
      <w:r w:rsidR="00E47700" w:rsidRPr="005978DF">
        <w:rPr>
          <w:rFonts w:eastAsia="Times New Roman"/>
          <w:sz w:val="22"/>
          <w:szCs w:val="22"/>
          <w:lang w:val="es-ES"/>
        </w:rPr>
        <w:t>Secretario Ejecutivo</w:t>
      </w:r>
      <w:proofErr w:type="gramEnd"/>
      <w:r w:rsidR="00E47700" w:rsidRPr="005978DF">
        <w:rPr>
          <w:rFonts w:eastAsia="Times New Roman"/>
          <w:sz w:val="22"/>
          <w:szCs w:val="22"/>
          <w:lang w:val="es-ES"/>
        </w:rPr>
        <w:t xml:space="preserve"> Adjunto </w:t>
      </w:r>
      <w:r w:rsidR="00E47700">
        <w:rPr>
          <w:rFonts w:eastAsia="Times New Roman"/>
          <w:sz w:val="22"/>
          <w:szCs w:val="22"/>
          <w:lang w:val="es-ES"/>
        </w:rPr>
        <w:t>se</w:t>
      </w:r>
      <w:r w:rsidRPr="005978DF">
        <w:rPr>
          <w:rFonts w:eastAsia="Times New Roman"/>
          <w:sz w:val="22"/>
          <w:szCs w:val="22"/>
          <w:lang w:val="es-ES"/>
        </w:rPr>
        <w:t xml:space="preserve"> l</w:t>
      </w:r>
      <w:r w:rsidR="00E47700">
        <w:rPr>
          <w:rFonts w:eastAsia="Times New Roman"/>
          <w:sz w:val="22"/>
          <w:szCs w:val="22"/>
          <w:lang w:val="es-ES"/>
        </w:rPr>
        <w:t>e</w:t>
      </w:r>
      <w:r w:rsidRPr="005978DF">
        <w:rPr>
          <w:rFonts w:eastAsia="Times New Roman"/>
          <w:sz w:val="22"/>
          <w:szCs w:val="22"/>
          <w:lang w:val="es-ES"/>
        </w:rPr>
        <w:t xml:space="preserve"> asignan </w:t>
      </w:r>
      <w:r w:rsidR="00E47700">
        <w:rPr>
          <w:rFonts w:eastAsia="Times New Roman"/>
          <w:sz w:val="22"/>
          <w:szCs w:val="22"/>
          <w:lang w:val="es-ES"/>
        </w:rPr>
        <w:t xml:space="preserve">también </w:t>
      </w:r>
      <w:r w:rsidRPr="005978DF">
        <w:rPr>
          <w:rFonts w:eastAsia="Times New Roman"/>
          <w:sz w:val="22"/>
          <w:szCs w:val="22"/>
          <w:lang w:val="es-ES"/>
        </w:rPr>
        <w:t>las funciones adicionales de supervisión de la labor de los Protocolos</w:t>
      </w:r>
      <w:r w:rsidR="00E47700">
        <w:rPr>
          <w:rFonts w:eastAsia="Times New Roman"/>
          <w:sz w:val="22"/>
          <w:szCs w:val="22"/>
          <w:lang w:val="es-ES"/>
        </w:rPr>
        <w:t>, con lo que</w:t>
      </w:r>
      <w:r w:rsidRPr="005978DF">
        <w:rPr>
          <w:rFonts w:eastAsia="Times New Roman"/>
          <w:sz w:val="22"/>
          <w:szCs w:val="22"/>
          <w:lang w:val="es-ES"/>
        </w:rPr>
        <w:t xml:space="preserve"> se promueve una mayor integración entre el Convenio y los Protocolos, aumentando así la coherencia de los procedimientos y mejorando la eficiencia y la eficacia de los procesos y las estructuras en el marco de los tres órganos. Por consiguiente, las dependencias a cargo de los Protocolos responden directamente al </w:t>
      </w:r>
      <w:proofErr w:type="gramStart"/>
      <w:r w:rsidRPr="005978DF">
        <w:rPr>
          <w:rFonts w:eastAsia="Times New Roman"/>
          <w:sz w:val="22"/>
          <w:szCs w:val="22"/>
          <w:lang w:val="es-ES"/>
        </w:rPr>
        <w:t>Secretario Ejecutivo</w:t>
      </w:r>
      <w:proofErr w:type="gramEnd"/>
      <w:r w:rsidRPr="005978DF">
        <w:rPr>
          <w:rFonts w:eastAsia="Times New Roman"/>
          <w:sz w:val="22"/>
          <w:szCs w:val="22"/>
          <w:lang w:val="es-ES"/>
        </w:rPr>
        <w:t xml:space="preserve"> Adjunto y forman parte de la Oficina de la Secretaria Ejecutiva. Los gastos asociados al trabajo sustantivo de las Dependencias de Acceso y Participación en los Beneficios y de Seguridad de la Biotecnología se detallan en la siguiente sección (véase la subsección 1 más adelante).</w:t>
      </w:r>
    </w:p>
    <w:p w14:paraId="40411339" w14:textId="77777777" w:rsidR="002F3255" w:rsidRPr="005978DF" w:rsidRDefault="002F325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bookmarkStart w:id="6" w:name="_Ref113442023"/>
      <w:r w:rsidRPr="005978DF">
        <w:rPr>
          <w:rFonts w:eastAsia="Times New Roman"/>
          <w:sz w:val="22"/>
          <w:szCs w:val="22"/>
          <w:lang w:val="es-ES"/>
        </w:rPr>
        <w:t xml:space="preserve">La Oficina de la Secretaria Ejecutiva también comprende la Dependencia de Asuntos Jurídicos e Intergubernamentales, encabezada por el Oficial Jurídico Superior, que brinda asesoramiento y apoyo jurídico a los procesos del Convenio y los Protocolos y </w:t>
      </w:r>
      <w:r w:rsidR="00A079C2">
        <w:rPr>
          <w:rFonts w:eastAsia="Times New Roman"/>
          <w:sz w:val="22"/>
          <w:szCs w:val="22"/>
          <w:lang w:val="es-ES"/>
        </w:rPr>
        <w:t>a</w:t>
      </w:r>
      <w:r w:rsidRPr="005978DF">
        <w:rPr>
          <w:rFonts w:eastAsia="Times New Roman"/>
          <w:sz w:val="22"/>
          <w:szCs w:val="22"/>
          <w:lang w:val="es-ES"/>
        </w:rPr>
        <w:t xml:space="preserve">l personal de la Secretaría, asesorando sobre la correcta gestión de los procesos intergubernamentales y la aplicación de </w:t>
      </w:r>
      <w:r w:rsidR="00A079C2">
        <w:rPr>
          <w:rFonts w:eastAsia="Times New Roman"/>
          <w:sz w:val="22"/>
          <w:szCs w:val="22"/>
          <w:lang w:val="es-ES"/>
        </w:rPr>
        <w:t>norm</w:t>
      </w:r>
      <w:r w:rsidRPr="005978DF">
        <w:rPr>
          <w:rFonts w:eastAsia="Times New Roman"/>
          <w:sz w:val="22"/>
          <w:szCs w:val="22"/>
          <w:lang w:val="es-ES"/>
        </w:rPr>
        <w:t xml:space="preserve">as de procedimiento y prácticas, de manera que </w:t>
      </w:r>
      <w:r w:rsidR="00A079C2" w:rsidRPr="005978DF">
        <w:rPr>
          <w:rFonts w:eastAsia="Times New Roman"/>
          <w:sz w:val="22"/>
          <w:szCs w:val="22"/>
          <w:lang w:val="es-ES"/>
        </w:rPr>
        <w:t xml:space="preserve">se cumplan </w:t>
      </w:r>
      <w:r w:rsidRPr="005978DF">
        <w:rPr>
          <w:rFonts w:eastAsia="Times New Roman"/>
          <w:sz w:val="22"/>
          <w:szCs w:val="22"/>
          <w:lang w:val="es-ES"/>
        </w:rPr>
        <w:t xml:space="preserve">dichas </w:t>
      </w:r>
      <w:r w:rsidR="00A079C2">
        <w:rPr>
          <w:rFonts w:eastAsia="Times New Roman"/>
          <w:sz w:val="22"/>
          <w:szCs w:val="22"/>
          <w:lang w:val="es-ES"/>
        </w:rPr>
        <w:t>norm</w:t>
      </w:r>
      <w:r w:rsidRPr="005978DF">
        <w:rPr>
          <w:rFonts w:eastAsia="Times New Roman"/>
          <w:sz w:val="22"/>
          <w:szCs w:val="22"/>
          <w:lang w:val="es-ES"/>
        </w:rPr>
        <w:t xml:space="preserve">as y prácticas y guíen la labor de la Secretaría y los procesos y órganos establecidos en </w:t>
      </w:r>
      <w:r w:rsidRPr="005978DF">
        <w:rPr>
          <w:rFonts w:eastAsia="Times New Roman"/>
          <w:sz w:val="22"/>
          <w:szCs w:val="22"/>
          <w:lang w:val="es-ES"/>
        </w:rPr>
        <w:lastRenderedPageBreak/>
        <w:t xml:space="preserve">virtud de tratados. Las funciones de esta Dependencia también incluyen examinar los documentos sustantivos de los órganos rectores que emanan de las divisiones, para garantizar la coherencia y precisión de las respuestas y referencias a mandatos, así como las decisiones anteriores de la Conferencia de las Partes, y mantener la herramienta de seguimiento de decisiones en consonancia con el propósito definido por la Conferencia de las Partes en su decisión </w:t>
      </w:r>
      <w:hyperlink r:id="rId15" w:history="1">
        <w:r w:rsidRPr="005978DF">
          <w:rPr>
            <w:rStyle w:val="Hyperlink"/>
            <w:rFonts w:eastAsia="Times New Roman"/>
            <w:sz w:val="22"/>
            <w:szCs w:val="22"/>
            <w:lang w:val="es-ES"/>
          </w:rPr>
          <w:t>XII/28</w:t>
        </w:r>
      </w:hyperlink>
      <w:r w:rsidRPr="005978DF">
        <w:rPr>
          <w:rFonts w:eastAsia="Times New Roman"/>
          <w:sz w:val="22"/>
          <w:szCs w:val="22"/>
          <w:lang w:val="es-ES"/>
        </w:rPr>
        <w:t>. La Dependencia también brinda asesoramiento jurídico sobre diversos asuntos sustantivos que son de naturaleza jurídica o que tienen implicaciones jurídicas.</w:t>
      </w:r>
    </w:p>
    <w:bookmarkEnd w:id="6"/>
    <w:p w14:paraId="4041133A" w14:textId="77777777" w:rsidR="002F3255" w:rsidRPr="005978DF" w:rsidRDefault="002F3255">
      <w:pPr>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Oficina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también comprende al equipo del Fondo del Japón para la Diversidad Biológica encabezado por el Coordinador Mundial, que gestiona este fondo en apoyo a la aplicación del Convenio y los Protocolos</w:t>
      </w:r>
      <w:r w:rsidR="00A079C2">
        <w:rPr>
          <w:rFonts w:eastAsia="Times New Roman"/>
          <w:sz w:val="22"/>
          <w:szCs w:val="22"/>
          <w:lang w:val="es-ES"/>
        </w:rPr>
        <w:t>,</w:t>
      </w:r>
      <w:r w:rsidRPr="005978DF">
        <w:rPr>
          <w:rFonts w:eastAsia="Times New Roman"/>
          <w:sz w:val="22"/>
          <w:szCs w:val="22"/>
          <w:lang w:val="es-ES"/>
        </w:rPr>
        <w:t xml:space="preserve"> financiado enteramente con una contribución voluntaria del Gobierno de Japón. El fondo se </w:t>
      </w:r>
      <w:r w:rsidR="00A079C2">
        <w:rPr>
          <w:rFonts w:eastAsia="Times New Roman"/>
          <w:sz w:val="22"/>
          <w:szCs w:val="22"/>
          <w:lang w:val="es-ES"/>
        </w:rPr>
        <w:t>prorrog</w:t>
      </w:r>
      <w:r w:rsidRPr="005978DF">
        <w:rPr>
          <w:rFonts w:eastAsia="Times New Roman"/>
          <w:sz w:val="22"/>
          <w:szCs w:val="22"/>
          <w:lang w:val="es-ES"/>
        </w:rPr>
        <w:t>ó para apoyar la implementación del marco mundial de la diversidad biológica posterior a 2020 que se adoptará en la segunda parte de la COP-15.</w:t>
      </w:r>
    </w:p>
    <w:p w14:paraId="4041133B" w14:textId="77777777" w:rsidR="002F3255" w:rsidRPr="005978DF" w:rsidRDefault="002F3255">
      <w:pPr>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Desde el 1 de enero de 2021, la Dependencia de Servicios de Conferencia, encargada de facilitar, apoyar y coordinar los aspectos logísticos de la organización de las reuniones celebradas en el marco del Convenio y sus Protocolos, depende del </w:t>
      </w:r>
      <w:proofErr w:type="gramStart"/>
      <w:r w:rsidRPr="005978DF">
        <w:rPr>
          <w:rFonts w:eastAsia="Times New Roman"/>
          <w:sz w:val="22"/>
          <w:szCs w:val="22"/>
          <w:lang w:val="es-ES"/>
        </w:rPr>
        <w:t>Secretario Ejecutivo</w:t>
      </w:r>
      <w:proofErr w:type="gramEnd"/>
      <w:r w:rsidRPr="005978DF">
        <w:rPr>
          <w:rFonts w:eastAsia="Times New Roman"/>
          <w:sz w:val="22"/>
          <w:szCs w:val="22"/>
          <w:lang w:val="es-ES"/>
        </w:rPr>
        <w:t xml:space="preserve"> Adjunto, que está a cargo de todas las reuniones importantes de la Secretaría y oficia de Secretario de la Conferencia de las Partes. La Dependencia forma parte de la Oficina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Garantiza el buen funcionamiento de las reuniones del Convenio y sus Protocolos </w:t>
      </w:r>
      <w:r w:rsidR="00A079C2">
        <w:rPr>
          <w:rFonts w:eastAsia="Times New Roman"/>
          <w:sz w:val="22"/>
          <w:szCs w:val="22"/>
          <w:lang w:val="es-ES"/>
        </w:rPr>
        <w:t>organizando</w:t>
      </w:r>
      <w:r w:rsidRPr="005978DF">
        <w:rPr>
          <w:rFonts w:eastAsia="Times New Roman"/>
          <w:sz w:val="22"/>
          <w:szCs w:val="22"/>
          <w:lang w:val="es-ES"/>
        </w:rPr>
        <w:t xml:space="preserve"> servicios de conferencia adecuados, incluidas las instalaciones y la dotación de personal, y mediante la producción, traducción y distribución oportunas de la documentación previa a las sesiones, la documentación de las sesiones mismas y la documentación posterior a las sesiones.</w:t>
      </w:r>
    </w:p>
    <w:p w14:paraId="4041133C" w14:textId="77777777" w:rsidR="002F3255" w:rsidRPr="005978DF" w:rsidRDefault="002F3255">
      <w:pPr>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Oficina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también incluye un Asesor Especial, que trabaja con la Secretaria Ejecutiva, así como</w:t>
      </w:r>
      <w:r w:rsidR="004E4456">
        <w:rPr>
          <w:rFonts w:eastAsia="Times New Roman"/>
          <w:sz w:val="22"/>
          <w:szCs w:val="22"/>
          <w:lang w:val="es-ES"/>
        </w:rPr>
        <w:t xml:space="preserve"> con</w:t>
      </w:r>
      <w:r w:rsidRPr="005978DF">
        <w:rPr>
          <w:rFonts w:eastAsia="Times New Roman"/>
          <w:sz w:val="22"/>
          <w:szCs w:val="22"/>
          <w:lang w:val="es-ES"/>
        </w:rPr>
        <w:t xml:space="preserve"> el Secretario Ejecutivo Adjunto, otros integrantes del Equipo de Gestión Superior y las dependencias, para asesorar y hacer un seguimiento de procesos, asociaciones e iniciativas clave para apoyar el rápido crecimiento de la labor política del Convenio.</w:t>
      </w:r>
      <w:r w:rsidR="005515AE">
        <w:rPr>
          <w:rFonts w:eastAsia="Times New Roman"/>
          <w:sz w:val="22"/>
          <w:szCs w:val="22"/>
          <w:lang w:val="es-ES"/>
        </w:rPr>
        <w:t xml:space="preserve"> </w:t>
      </w:r>
      <w:r w:rsidRPr="005978DF">
        <w:rPr>
          <w:rFonts w:eastAsia="Times New Roman"/>
          <w:sz w:val="22"/>
          <w:szCs w:val="22"/>
          <w:lang w:val="es-ES"/>
        </w:rPr>
        <w:t xml:space="preserve">El Asesor Especial también coordina las actividades nuevas, como los planes de trabajo de la Secretaría </w:t>
      </w:r>
      <w:r w:rsidR="004E4456">
        <w:rPr>
          <w:rFonts w:eastAsia="Times New Roman"/>
          <w:sz w:val="22"/>
          <w:szCs w:val="22"/>
          <w:lang w:val="es-ES"/>
        </w:rPr>
        <w:t>para</w:t>
      </w:r>
      <w:r w:rsidRPr="005978DF">
        <w:rPr>
          <w:rFonts w:eastAsia="Times New Roman"/>
          <w:sz w:val="22"/>
          <w:szCs w:val="22"/>
          <w:lang w:val="es-ES"/>
        </w:rPr>
        <w:t xml:space="preserve"> todo el sistema, las respuestas de todo el sistema de las Naciones Unidas relacionadas con la pandemia de COVID-19, las preparaciones sobre el Enfoque Común para la Integración de Soluciones Basadas en la Diversidad Biológica y la Naturaleza de la Junta de los Jefes Ejecutivos del Sistema de las Naciones Unidas para la Coordinación (JJE), la coordinación anual sobre el foro político de alto nivel sobre desarrollo sostenible y las relaciones políticas de alto nivel</w:t>
      </w:r>
      <w:r w:rsidR="004E4456">
        <w:rPr>
          <w:rFonts w:eastAsia="Times New Roman"/>
          <w:sz w:val="22"/>
          <w:szCs w:val="22"/>
          <w:lang w:val="es-ES"/>
        </w:rPr>
        <w:t>,</w:t>
      </w:r>
      <w:r w:rsidRPr="005978DF">
        <w:rPr>
          <w:rFonts w:eastAsia="Times New Roman"/>
          <w:sz w:val="22"/>
          <w:szCs w:val="22"/>
          <w:lang w:val="es-ES"/>
        </w:rPr>
        <w:t xml:space="preserve"> y dirige la gestión de la Agenda de Acción para la Naturalez</w:t>
      </w:r>
      <w:r w:rsidR="007B29DD">
        <w:rPr>
          <w:rFonts w:eastAsia="Times New Roman"/>
          <w:sz w:val="22"/>
          <w:szCs w:val="22"/>
          <w:lang w:val="es-ES"/>
        </w:rPr>
        <w:t>a y las Personas</w:t>
      </w:r>
      <w:r w:rsidRPr="005978DF">
        <w:rPr>
          <w:rFonts w:eastAsia="Times New Roman"/>
          <w:sz w:val="22"/>
          <w:szCs w:val="22"/>
          <w:lang w:val="es-ES"/>
        </w:rPr>
        <w:t>, de Sharm el-</w:t>
      </w:r>
      <w:proofErr w:type="spellStart"/>
      <w:r w:rsidRPr="005978DF">
        <w:rPr>
          <w:rFonts w:eastAsia="Times New Roman"/>
          <w:sz w:val="22"/>
          <w:szCs w:val="22"/>
          <w:lang w:val="es-ES"/>
        </w:rPr>
        <w:t>Sheik</w:t>
      </w:r>
      <w:r w:rsidR="00405F2D">
        <w:rPr>
          <w:rFonts w:eastAsia="Times New Roman"/>
          <w:sz w:val="22"/>
          <w:szCs w:val="22"/>
          <w:lang w:val="es-ES"/>
        </w:rPr>
        <w:t>h</w:t>
      </w:r>
      <w:proofErr w:type="spellEnd"/>
      <w:r w:rsidRPr="005978DF">
        <w:rPr>
          <w:rFonts w:eastAsia="Times New Roman"/>
          <w:sz w:val="22"/>
          <w:szCs w:val="22"/>
          <w:lang w:val="es-ES"/>
        </w:rPr>
        <w:t xml:space="preserve"> a Kunming.</w:t>
      </w:r>
    </w:p>
    <w:p w14:paraId="4041133D" w14:textId="77777777" w:rsidR="002F3255" w:rsidRPr="005978DF" w:rsidRDefault="002F3255">
      <w:pPr>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La Oficina de la Secretaría Ejecutiva también incluye y se apoya en la Oficina de Enlace conjunta de la Convención de las Naciones Unidas de Lucha contra la Desertificación (CNULD) y el CDB, ubicada en la Sede de las Naciones Unidas en Nueva York, que comprende (para los fines del CDB) dos funcionarios a tiempo parcial para actividades de participación estratégica y presentación de informes, entre otros aspectos normativos, en el marco del Consejo Económico y Social (ECOSOC), la Segunda Comisión de la Asamblea General y otros aspectos relacionados con los ODS. Estos dos funcionarios a tiempo parcial son financiados con cargo a gastos de apoyo a los programas.</w:t>
      </w:r>
    </w:p>
    <w:p w14:paraId="4041133E" w14:textId="77777777" w:rsidR="002F3255" w:rsidRPr="005978DF" w:rsidRDefault="002F3255">
      <w:pPr>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La Dependencia de Apoyo a la Secretaría también forma parte de la Oficina de la Secretaria Ejecutiva y presta apoyo a la Secretaria Ejecutiva y al Secretario Ejecutivo Adjunto en la coordinación de las actividades externas de la Secretaría y proporciona un canal de recursos entre la Oficina de la Secretaria Ejecutiva y las Partes, organizaciones intergubernamentales y no gubernamentales pertinentes, los principales grupos de interesados y procesos interinstitucionales, además de las Divisiones, y las Dependencias de la Secretaría de las Naciones Unidas.</w:t>
      </w:r>
    </w:p>
    <w:p w14:paraId="4041133F" w14:textId="77777777" w:rsidR="002F3255" w:rsidRPr="005978DF" w:rsidRDefault="002F3255">
      <w:pPr>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kern w:val="22"/>
          <w:sz w:val="22"/>
          <w:szCs w:val="22"/>
          <w:lang w:val="es-ES"/>
        </w:rPr>
        <w:t>Para lograr una mayor eficiencia y ampliar los servicios de comunicación transversal, la Dependencia de Comunicaciones y Concienciación</w:t>
      </w:r>
      <w:r w:rsidRPr="005978DF">
        <w:rPr>
          <w:rFonts w:eastAsia="Times New Roman"/>
          <w:sz w:val="22"/>
          <w:szCs w:val="22"/>
          <w:lang w:val="es-ES"/>
        </w:rPr>
        <w:t xml:space="preserve"> </w:t>
      </w:r>
      <w:r w:rsidRPr="005978DF">
        <w:rPr>
          <w:rFonts w:eastAsia="Times New Roman"/>
          <w:kern w:val="22"/>
          <w:sz w:val="22"/>
          <w:szCs w:val="22"/>
          <w:lang w:val="es-ES"/>
        </w:rPr>
        <w:t xml:space="preserve">también forma parte de la Oficina de la </w:t>
      </w:r>
      <w:proofErr w:type="gramStart"/>
      <w:r w:rsidRPr="005978DF">
        <w:rPr>
          <w:rFonts w:eastAsia="Times New Roman"/>
          <w:kern w:val="22"/>
          <w:sz w:val="22"/>
          <w:szCs w:val="22"/>
          <w:lang w:val="es-ES"/>
        </w:rPr>
        <w:t>Secretaria Ejecutiva</w:t>
      </w:r>
      <w:proofErr w:type="gramEnd"/>
      <w:r w:rsidRPr="005978DF">
        <w:rPr>
          <w:rFonts w:eastAsia="Times New Roman"/>
          <w:kern w:val="22"/>
          <w:sz w:val="22"/>
          <w:szCs w:val="22"/>
          <w:lang w:val="es-ES"/>
        </w:rPr>
        <w:t>.</w:t>
      </w:r>
      <w:r w:rsidRPr="005978DF">
        <w:rPr>
          <w:rFonts w:eastAsia="Times New Roman"/>
          <w:sz w:val="22"/>
          <w:szCs w:val="22"/>
          <w:lang w:val="es-ES"/>
        </w:rPr>
        <w:t xml:space="preserve"> Esta Dependencia apoya la visión estratégica de la Secretaría y su objetivo de dar mayor visibilidad a la labor del Convenio dentro del sistema de las Naciones Unidas, las organizaciones que no forman parte del sistema de las Naciones Unidas y el público, dirigiendo la planificación, el diseño y la ejecución de actividades e iniciativas comunes de comunicación, promoción y divulgación. La Dependencia también está mejorando la definición y </w:t>
      </w:r>
      <w:r w:rsidRPr="005978DF">
        <w:rPr>
          <w:rFonts w:eastAsia="Times New Roman"/>
          <w:sz w:val="22"/>
          <w:szCs w:val="22"/>
          <w:lang w:val="es-ES"/>
        </w:rPr>
        <w:lastRenderedPageBreak/>
        <w:t xml:space="preserve">elaboración de argumentos para publicaciones y artículos sustantivos que se </w:t>
      </w:r>
      <w:r w:rsidR="004E4456">
        <w:rPr>
          <w:rFonts w:eastAsia="Times New Roman"/>
          <w:sz w:val="22"/>
          <w:szCs w:val="22"/>
          <w:lang w:val="es-ES"/>
        </w:rPr>
        <w:t>difundan</w:t>
      </w:r>
      <w:r w:rsidRPr="005978DF">
        <w:rPr>
          <w:rFonts w:eastAsia="Times New Roman"/>
          <w:sz w:val="22"/>
          <w:szCs w:val="22"/>
          <w:lang w:val="es-ES"/>
        </w:rPr>
        <w:t xml:space="preserve"> en internet y otros canales de medios de comunicación.</w:t>
      </w:r>
    </w:p>
    <w:p w14:paraId="40411340" w14:textId="77777777" w:rsidR="002F3255" w:rsidRPr="005978DF" w:rsidRDefault="002F3255">
      <w:pPr>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Oficina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está a cargo del programa de trabajo </w:t>
      </w:r>
      <w:r w:rsidR="00360179" w:rsidRPr="005978DF">
        <w:rPr>
          <w:rFonts w:eastAsia="Times New Roman"/>
          <w:sz w:val="22"/>
          <w:szCs w:val="22"/>
          <w:lang w:val="es-ES"/>
        </w:rPr>
        <w:t xml:space="preserve">general </w:t>
      </w:r>
      <w:r w:rsidRPr="005978DF">
        <w:rPr>
          <w:rFonts w:eastAsia="Times New Roman"/>
          <w:sz w:val="22"/>
          <w:szCs w:val="22"/>
          <w:lang w:val="es-ES"/>
        </w:rPr>
        <w:t xml:space="preserve">de la Secretaría. Además de los cuatro logros programáticos previstos que se exponen en la sección C </w:t>
      </w:r>
      <w:r w:rsidR="004E4456">
        <w:rPr>
          <w:rFonts w:eastAsia="Times New Roman"/>
          <w:sz w:val="22"/>
          <w:szCs w:val="22"/>
          <w:lang w:val="es-ES"/>
        </w:rPr>
        <w:t>r</w:t>
      </w:r>
      <w:r w:rsidRPr="005978DF">
        <w:rPr>
          <w:rFonts w:eastAsia="Times New Roman"/>
          <w:sz w:val="22"/>
          <w:szCs w:val="22"/>
          <w:lang w:val="es-ES"/>
        </w:rPr>
        <w:t>e</w:t>
      </w:r>
      <w:r w:rsidR="004E4456">
        <w:rPr>
          <w:rFonts w:eastAsia="Times New Roman"/>
          <w:sz w:val="22"/>
          <w:szCs w:val="22"/>
          <w:lang w:val="es-ES"/>
        </w:rPr>
        <w:t>ferida a</w:t>
      </w:r>
      <w:r w:rsidRPr="005978DF">
        <w:rPr>
          <w:rFonts w:eastAsia="Times New Roman"/>
          <w:sz w:val="22"/>
          <w:szCs w:val="22"/>
          <w:lang w:val="es-ES"/>
        </w:rPr>
        <w:t xml:space="preserve">l marco basado en los resultados, la Oficina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también supervisa la consecución y </w:t>
      </w:r>
      <w:r w:rsidR="004E4456">
        <w:rPr>
          <w:rFonts w:eastAsia="Times New Roman"/>
          <w:sz w:val="22"/>
          <w:szCs w:val="22"/>
          <w:lang w:val="es-ES"/>
        </w:rPr>
        <w:t>la obtención</w:t>
      </w:r>
      <w:r w:rsidRPr="005978DF">
        <w:rPr>
          <w:rFonts w:eastAsia="Times New Roman"/>
          <w:sz w:val="22"/>
          <w:szCs w:val="22"/>
          <w:lang w:val="es-ES"/>
        </w:rPr>
        <w:t xml:space="preserve"> de los objetivos y productos para el bienio 2023-2024, que se indican a continuación en el cuadro 12. La efectividad de la Secretaría en el logro de</w:t>
      </w:r>
      <w:r w:rsidR="00360179">
        <w:rPr>
          <w:rFonts w:eastAsia="Times New Roman"/>
          <w:sz w:val="22"/>
          <w:szCs w:val="22"/>
          <w:lang w:val="es-ES"/>
        </w:rPr>
        <w:t xml:space="preserve"> los</w:t>
      </w:r>
      <w:r w:rsidRPr="005978DF">
        <w:rPr>
          <w:rFonts w:eastAsia="Times New Roman"/>
          <w:sz w:val="22"/>
          <w:szCs w:val="22"/>
          <w:lang w:val="es-ES"/>
        </w:rPr>
        <w:t xml:space="preserve"> resultados se sustenta en </w:t>
      </w:r>
      <w:r w:rsidR="00360179">
        <w:rPr>
          <w:rFonts w:eastAsia="Times New Roman"/>
          <w:sz w:val="22"/>
          <w:szCs w:val="22"/>
          <w:lang w:val="es-ES"/>
        </w:rPr>
        <w:t>el</w:t>
      </w:r>
      <w:r w:rsidRPr="005978DF">
        <w:rPr>
          <w:rFonts w:eastAsia="Times New Roman"/>
          <w:sz w:val="22"/>
          <w:szCs w:val="22"/>
          <w:lang w:val="es-ES"/>
        </w:rPr>
        <w:t xml:space="preserve"> compromiso de fortalecer el liderazgo, la gestión y la rendición de cuentas. Esto se logrará reforzando las capacidades de gestión e instalando funciones internas </w:t>
      </w:r>
      <w:r w:rsidR="00360179">
        <w:rPr>
          <w:rFonts w:eastAsia="Times New Roman"/>
          <w:sz w:val="22"/>
          <w:szCs w:val="22"/>
          <w:lang w:val="es-ES"/>
        </w:rPr>
        <w:t>dedicadas a</w:t>
      </w:r>
      <w:r w:rsidRPr="005978DF">
        <w:rPr>
          <w:rFonts w:eastAsia="Times New Roman"/>
          <w:sz w:val="22"/>
          <w:szCs w:val="22"/>
          <w:lang w:val="es-ES"/>
        </w:rPr>
        <w:t xml:space="preserve"> planificación, implementación, seguimiento y evaluación. Programas de trabajo ejecutables combinados con una comunicación interna mejorada y una delegación de funciones adecuada serán elementos importantes de la estrategia. La Oficina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también es responsable directa de varios productos sustantivos del programa de trabajo de la Secretaría, que se refleja</w:t>
      </w:r>
      <w:r w:rsidR="00360179">
        <w:rPr>
          <w:rFonts w:eastAsia="Times New Roman"/>
          <w:sz w:val="22"/>
          <w:szCs w:val="22"/>
          <w:lang w:val="es-ES"/>
        </w:rPr>
        <w:t>ro</w:t>
      </w:r>
      <w:r w:rsidRPr="005978DF">
        <w:rPr>
          <w:rFonts w:eastAsia="Times New Roman"/>
          <w:sz w:val="22"/>
          <w:szCs w:val="22"/>
          <w:lang w:val="es-ES"/>
        </w:rPr>
        <w:t>n en la sección C.</w:t>
      </w:r>
    </w:p>
    <w:p w14:paraId="40411341" w14:textId="77777777" w:rsidR="00360179" w:rsidRDefault="00360179">
      <w:pPr>
        <w:rPr>
          <w:rFonts w:eastAsia="Times New Roman"/>
          <w:b/>
          <w:bCs/>
          <w:sz w:val="22"/>
          <w:szCs w:val="22"/>
          <w:lang w:val="es-ES"/>
        </w:rPr>
      </w:pPr>
    </w:p>
    <w:p w14:paraId="40411342" w14:textId="77777777" w:rsidR="002F3255" w:rsidRPr="005978DF" w:rsidRDefault="002F3255">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4" w:hanging="1264"/>
        <w:outlineLvl w:val="3"/>
        <w:rPr>
          <w:rFonts w:eastAsia="Times New Roman"/>
          <w:b/>
          <w:bCs/>
          <w:sz w:val="22"/>
          <w:szCs w:val="22"/>
          <w:lang w:val="es-ES"/>
        </w:rPr>
      </w:pPr>
      <w:r w:rsidRPr="005978DF">
        <w:rPr>
          <w:rFonts w:eastAsia="Times New Roman"/>
          <w:b/>
          <w:bCs/>
          <w:sz w:val="22"/>
          <w:szCs w:val="22"/>
          <w:lang w:val="es-ES"/>
        </w:rPr>
        <w:t>Cuadro 12. Productos relacionados con el fortalecimiento del liderazgo y la gestión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12"/>
      </w:tblGrid>
      <w:tr w:rsidR="002F3255" w:rsidRPr="005978DF" w14:paraId="40411344" w14:textId="77777777">
        <w:trPr>
          <w:jc w:val="center"/>
        </w:trPr>
        <w:tc>
          <w:tcPr>
            <w:tcW w:w="7512" w:type="dxa"/>
            <w:tcBorders>
              <w:top w:val="single" w:sz="4" w:space="0" w:color="auto"/>
              <w:left w:val="single" w:sz="4" w:space="0" w:color="auto"/>
              <w:bottom w:val="single" w:sz="4" w:space="0" w:color="auto"/>
              <w:right w:val="single" w:sz="4" w:space="0" w:color="auto"/>
            </w:tcBorders>
          </w:tcPr>
          <w:p w14:paraId="40411343" w14:textId="77777777" w:rsidR="002F3255" w:rsidRPr="005978DF" w:rsidRDefault="002F3255">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eastAsia="Times New Roman"/>
                <w:lang w:val="es-ES"/>
              </w:rPr>
            </w:pPr>
            <w:r w:rsidRPr="005978DF">
              <w:rPr>
                <w:rFonts w:eastAsia="Times New Roman"/>
                <w:i/>
                <w:iCs/>
                <w:sz w:val="18"/>
                <w:szCs w:val="18"/>
                <w:lang w:val="es-ES"/>
              </w:rPr>
              <w:t>Productos y subproductos</w:t>
            </w:r>
          </w:p>
        </w:tc>
      </w:tr>
      <w:tr w:rsidR="002F3255" w:rsidRPr="006A6E89" w14:paraId="40411348" w14:textId="77777777">
        <w:trPr>
          <w:jc w:val="center"/>
        </w:trPr>
        <w:tc>
          <w:tcPr>
            <w:tcW w:w="7512" w:type="dxa"/>
            <w:tcBorders>
              <w:top w:val="single" w:sz="4" w:space="0" w:color="auto"/>
              <w:left w:val="single" w:sz="4" w:space="0" w:color="auto"/>
              <w:bottom w:val="single" w:sz="4" w:space="0" w:color="auto"/>
              <w:right w:val="single" w:sz="4" w:space="0" w:color="auto"/>
            </w:tcBorders>
          </w:tcPr>
          <w:p w14:paraId="40411345" w14:textId="77777777" w:rsidR="002F3255" w:rsidRPr="005978DF" w:rsidRDefault="002F3255">
            <w:pPr>
              <w:rPr>
                <w:rFonts w:eastAsia="Times New Roman"/>
                <w:sz w:val="18"/>
                <w:szCs w:val="18"/>
                <w:lang w:val="es-ES"/>
              </w:rPr>
            </w:pPr>
            <w:r w:rsidRPr="005978DF">
              <w:rPr>
                <w:rFonts w:eastAsia="Times New Roman"/>
                <w:b/>
                <w:bCs/>
                <w:sz w:val="18"/>
                <w:szCs w:val="18"/>
                <w:lang w:val="es-ES"/>
              </w:rPr>
              <w:t>Se fortalecen las capacidades de liderazgo estratégico y gestión de la Secretaría</w:t>
            </w:r>
          </w:p>
          <w:p w14:paraId="40411346" w14:textId="77777777" w:rsidR="002F3255" w:rsidRPr="005978DF" w:rsidRDefault="002F3255">
            <w:pPr>
              <w:pStyle w:val="ListParagraph"/>
              <w:numPr>
                <w:ilvl w:val="0"/>
                <w:numId w:val="1"/>
              </w:numPr>
              <w:rPr>
                <w:rFonts w:eastAsia="Times New Roman"/>
                <w:sz w:val="18"/>
                <w:szCs w:val="18"/>
                <w:lang w:val="es-ES"/>
              </w:rPr>
            </w:pPr>
            <w:r w:rsidRPr="005978DF">
              <w:rPr>
                <w:rFonts w:eastAsia="Times New Roman"/>
                <w:sz w:val="18"/>
                <w:szCs w:val="18"/>
                <w:lang w:val="es-ES"/>
              </w:rPr>
              <w:t>El equipo de gestión superior y los jefes de dependencias se someten a evaluaciones exhaustivas de gestión de calidad</w:t>
            </w:r>
          </w:p>
          <w:p w14:paraId="40411347" w14:textId="77777777" w:rsidR="002F3255" w:rsidRPr="005978DF" w:rsidRDefault="002F3255">
            <w:pPr>
              <w:pStyle w:val="ListParagraph"/>
              <w:numPr>
                <w:ilvl w:val="0"/>
                <w:numId w:val="1"/>
              </w:numPr>
              <w:spacing w:after="120"/>
              <w:rPr>
                <w:rFonts w:eastAsia="Times New Roman"/>
                <w:lang w:val="es-ES"/>
              </w:rPr>
            </w:pPr>
            <w:r w:rsidRPr="005978DF">
              <w:rPr>
                <w:rFonts w:eastAsia="Times New Roman"/>
                <w:sz w:val="18"/>
                <w:szCs w:val="18"/>
                <w:lang w:val="es-ES"/>
              </w:rPr>
              <w:t>Se llevan a cabo regularmente comunicaciones e intercambios de información mutuos para establecer, examinar y mejorar la dirección organizativa de la Secretaría</w:t>
            </w:r>
          </w:p>
        </w:tc>
      </w:tr>
      <w:tr w:rsidR="002F3255" w:rsidRPr="006A6E89" w14:paraId="4041134E" w14:textId="77777777">
        <w:trPr>
          <w:jc w:val="center"/>
        </w:trPr>
        <w:tc>
          <w:tcPr>
            <w:tcW w:w="7512" w:type="dxa"/>
            <w:tcBorders>
              <w:top w:val="single" w:sz="4" w:space="0" w:color="auto"/>
              <w:left w:val="single" w:sz="4" w:space="0" w:color="auto"/>
              <w:bottom w:val="single" w:sz="4" w:space="0" w:color="auto"/>
              <w:right w:val="single" w:sz="4" w:space="0" w:color="auto"/>
            </w:tcBorders>
          </w:tcPr>
          <w:p w14:paraId="40411349" w14:textId="77777777" w:rsidR="002F3255" w:rsidRPr="005978DF" w:rsidRDefault="002F3255">
            <w:pPr>
              <w:rPr>
                <w:rFonts w:eastAsia="Times New Roman"/>
                <w:b/>
                <w:bCs/>
                <w:sz w:val="18"/>
                <w:szCs w:val="18"/>
                <w:lang w:val="es-ES"/>
              </w:rPr>
            </w:pPr>
            <w:r w:rsidRPr="005978DF">
              <w:rPr>
                <w:rFonts w:eastAsia="Times New Roman"/>
                <w:b/>
                <w:bCs/>
                <w:sz w:val="18"/>
                <w:szCs w:val="18"/>
                <w:lang w:val="es-ES"/>
              </w:rPr>
              <w:t>Se establecen capacidades específicas de planificación, implementación, seguimiento y evaluación</w:t>
            </w:r>
          </w:p>
          <w:p w14:paraId="4041134A" w14:textId="77777777" w:rsidR="002F3255" w:rsidRPr="005978DF" w:rsidRDefault="002F3255">
            <w:pPr>
              <w:pStyle w:val="ListParagraph"/>
              <w:numPr>
                <w:ilvl w:val="0"/>
                <w:numId w:val="11"/>
              </w:numPr>
              <w:spacing w:line="260" w:lineRule="auto"/>
              <w:rPr>
                <w:rFonts w:eastAsia="Times New Roman"/>
                <w:sz w:val="18"/>
                <w:szCs w:val="18"/>
                <w:lang w:val="es-ES"/>
              </w:rPr>
            </w:pPr>
            <w:r w:rsidRPr="005978DF">
              <w:rPr>
                <w:rFonts w:eastAsia="Times New Roman"/>
                <w:sz w:val="18"/>
                <w:szCs w:val="18"/>
                <w:lang w:val="es-ES"/>
              </w:rPr>
              <w:t>Programa de trabajo basado en los resultados y plan de trabajo de la Secretaría para todo el sistema ejecutables, basados en decisiones de la COP y las MOP</w:t>
            </w:r>
          </w:p>
          <w:p w14:paraId="4041134B" w14:textId="77777777" w:rsidR="002F3255" w:rsidRPr="005978DF" w:rsidRDefault="002F3255">
            <w:pPr>
              <w:pStyle w:val="ListParagraph"/>
              <w:numPr>
                <w:ilvl w:val="0"/>
                <w:numId w:val="11"/>
              </w:numPr>
              <w:rPr>
                <w:rFonts w:eastAsia="Times New Roman"/>
                <w:sz w:val="18"/>
                <w:szCs w:val="18"/>
                <w:lang w:val="es-ES"/>
              </w:rPr>
            </w:pPr>
            <w:r w:rsidRPr="005978DF">
              <w:rPr>
                <w:rFonts w:eastAsia="Times New Roman"/>
                <w:sz w:val="18"/>
                <w:szCs w:val="18"/>
                <w:lang w:val="es-ES"/>
              </w:rPr>
              <w:t>Revisión de la estructura de la Secretaría en función de las prioridades del programa de trabajo</w:t>
            </w:r>
          </w:p>
          <w:p w14:paraId="4041134C" w14:textId="77777777" w:rsidR="002F3255" w:rsidRPr="005978DF" w:rsidRDefault="002F3255">
            <w:pPr>
              <w:pStyle w:val="ListParagraph"/>
              <w:numPr>
                <w:ilvl w:val="0"/>
                <w:numId w:val="11"/>
              </w:numPr>
              <w:rPr>
                <w:rFonts w:eastAsia="Times New Roman"/>
                <w:sz w:val="18"/>
                <w:szCs w:val="18"/>
                <w:lang w:val="es-ES"/>
              </w:rPr>
            </w:pPr>
            <w:r w:rsidRPr="005978DF">
              <w:rPr>
                <w:rFonts w:eastAsia="Times New Roman"/>
                <w:sz w:val="18"/>
                <w:szCs w:val="18"/>
                <w:lang w:val="es-ES"/>
              </w:rPr>
              <w:t>Se pone en funcionamiento una Dependencia de Gestión Basada en los Resultados específica</w:t>
            </w:r>
            <w:r w:rsidR="00360179">
              <w:rPr>
                <w:rFonts w:eastAsia="Times New Roman"/>
                <w:sz w:val="18"/>
                <w:szCs w:val="18"/>
                <w:lang w:val="es-ES"/>
              </w:rPr>
              <w:t>,</w:t>
            </w:r>
            <w:r w:rsidRPr="005978DF">
              <w:rPr>
                <w:rFonts w:eastAsia="Times New Roman"/>
                <w:sz w:val="18"/>
                <w:szCs w:val="18"/>
                <w:lang w:val="es-ES"/>
              </w:rPr>
              <w:t xml:space="preserve"> para dirigir el seguimiento y el mantenimiento del plan de trabajo basado en los resultados, la gestión y el seguimiento y </w:t>
            </w:r>
            <w:r w:rsidR="00360179">
              <w:rPr>
                <w:rFonts w:eastAsia="Times New Roman"/>
                <w:sz w:val="18"/>
                <w:szCs w:val="18"/>
                <w:lang w:val="es-ES"/>
              </w:rPr>
              <w:t xml:space="preserve">la </w:t>
            </w:r>
            <w:r w:rsidRPr="005978DF">
              <w:rPr>
                <w:rFonts w:eastAsia="Times New Roman"/>
                <w:sz w:val="18"/>
                <w:szCs w:val="18"/>
                <w:lang w:val="es-ES"/>
              </w:rPr>
              <w:t>evaluación de programas y proyectos, la recaudación de fondos y las relaciones con los donantes.</w:t>
            </w:r>
          </w:p>
          <w:p w14:paraId="4041134D" w14:textId="77777777" w:rsidR="002F3255" w:rsidRPr="005978DF" w:rsidRDefault="002F3255">
            <w:pPr>
              <w:pStyle w:val="ListParagraph"/>
              <w:numPr>
                <w:ilvl w:val="0"/>
                <w:numId w:val="11"/>
              </w:numPr>
              <w:spacing w:after="120"/>
              <w:rPr>
                <w:rFonts w:eastAsia="Times New Roman"/>
                <w:lang w:val="es-ES"/>
              </w:rPr>
            </w:pPr>
            <w:r w:rsidRPr="005978DF">
              <w:rPr>
                <w:rFonts w:eastAsia="Times New Roman"/>
                <w:sz w:val="18"/>
                <w:szCs w:val="18"/>
                <w:lang w:val="es-ES"/>
              </w:rPr>
              <w:t>Se elabora un plan de trabajo y una política de evaluación y se llevan a cabo evaluaciones.</w:t>
            </w:r>
          </w:p>
        </w:tc>
      </w:tr>
    </w:tbl>
    <w:p w14:paraId="4041134F" w14:textId="77777777" w:rsidR="00C44BAB" w:rsidRDefault="00C44BAB">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7" w:hanging="1267"/>
        <w:rPr>
          <w:rFonts w:eastAsia="Times New Roman"/>
          <w:b/>
          <w:bCs/>
          <w:sz w:val="20"/>
          <w:szCs w:val="20"/>
          <w:lang w:val="es-ES"/>
        </w:rPr>
      </w:pPr>
    </w:p>
    <w:p w14:paraId="40411350" w14:textId="77777777" w:rsidR="00F2055F" w:rsidRDefault="00F2055F">
      <w:pPr>
        <w:rPr>
          <w:rFonts w:eastAsia="Times New Roman"/>
          <w:b/>
          <w:bCs/>
          <w:sz w:val="22"/>
          <w:szCs w:val="22"/>
          <w:lang w:val="es-ES"/>
        </w:rPr>
      </w:pPr>
      <w:r>
        <w:rPr>
          <w:rFonts w:eastAsia="Times New Roman"/>
          <w:b/>
          <w:bCs/>
          <w:sz w:val="22"/>
          <w:szCs w:val="22"/>
          <w:lang w:val="es-ES"/>
        </w:rPr>
        <w:br w:type="page"/>
      </w:r>
    </w:p>
    <w:p w14:paraId="40411351" w14:textId="77777777" w:rsidR="002F3255" w:rsidRPr="005978DF" w:rsidRDefault="002F3255">
      <w:pPr>
        <w:keepNext/>
        <w:spacing w:before="120" w:after="120"/>
        <w:outlineLvl w:val="3"/>
        <w:rPr>
          <w:rFonts w:eastAsia="Times New Roman"/>
          <w:lang w:val="es-ES"/>
        </w:rPr>
      </w:pPr>
      <w:r w:rsidRPr="005978DF">
        <w:rPr>
          <w:rFonts w:eastAsia="Times New Roman"/>
          <w:b/>
          <w:bCs/>
          <w:sz w:val="22"/>
          <w:szCs w:val="22"/>
          <w:lang w:val="es-ES"/>
        </w:rPr>
        <w:lastRenderedPageBreak/>
        <w:t xml:space="preserve">Cuadro 13. Asignación de recursos: Oficina de la </w:t>
      </w:r>
      <w:proofErr w:type="gramStart"/>
      <w:r w:rsidRPr="005978DF">
        <w:rPr>
          <w:rFonts w:eastAsia="Times New Roman"/>
          <w:b/>
          <w:bCs/>
          <w:sz w:val="22"/>
          <w:szCs w:val="22"/>
          <w:lang w:val="es-ES"/>
        </w:rPr>
        <w:t>Secretaria Ejecutiva</w:t>
      </w:r>
      <w:proofErr w:type="gramEnd"/>
      <w:r w:rsidRPr="005978DF">
        <w:rPr>
          <w:rFonts w:eastAsia="Times New Roman"/>
          <w:b/>
          <w:bCs/>
          <w:sz w:val="22"/>
          <w:szCs w:val="22"/>
          <w:lang w:val="es-ES"/>
        </w:rPr>
        <w:t xml:space="preserve"> (excluidas las Dependencias de APB y Seguridad de la Biotecnología)</w:t>
      </w:r>
    </w:p>
    <w:tbl>
      <w:tblPr>
        <w:tblW w:w="9273" w:type="dxa"/>
        <w:jc w:val="center"/>
        <w:tblBorders>
          <w:top w:val="single" w:sz="4" w:space="0" w:color="auto"/>
        </w:tblBorders>
        <w:tblLayout w:type="fixed"/>
        <w:tblLook w:val="00A0" w:firstRow="1" w:lastRow="0" w:firstColumn="1" w:lastColumn="0" w:noHBand="0" w:noVBand="0"/>
      </w:tblPr>
      <w:tblGrid>
        <w:gridCol w:w="1418"/>
        <w:gridCol w:w="251"/>
        <w:gridCol w:w="56"/>
        <w:gridCol w:w="990"/>
        <w:gridCol w:w="244"/>
        <w:gridCol w:w="1130"/>
        <w:gridCol w:w="1130"/>
        <w:gridCol w:w="663"/>
        <w:gridCol w:w="47"/>
        <w:gridCol w:w="212"/>
        <w:gridCol w:w="661"/>
        <w:gridCol w:w="376"/>
        <w:gridCol w:w="900"/>
        <w:gridCol w:w="339"/>
        <w:gridCol w:w="544"/>
        <w:gridCol w:w="265"/>
        <w:gridCol w:w="47"/>
      </w:tblGrid>
      <w:tr w:rsidR="002F3255" w:rsidRPr="00C44BAB" w14:paraId="40411356" w14:textId="77777777" w:rsidTr="00BA1BD1">
        <w:trPr>
          <w:gridAfter w:val="1"/>
          <w:wAfter w:w="47" w:type="dxa"/>
          <w:trHeight w:val="300"/>
          <w:jc w:val="center"/>
        </w:trPr>
        <w:tc>
          <w:tcPr>
            <w:tcW w:w="1418" w:type="dxa"/>
            <w:tcBorders>
              <w:top w:val="single" w:sz="4" w:space="0" w:color="auto"/>
            </w:tcBorders>
            <w:vAlign w:val="center"/>
          </w:tcPr>
          <w:p w14:paraId="40411352" w14:textId="77777777" w:rsidR="002F3255" w:rsidRPr="00C44BAB" w:rsidRDefault="002F3255">
            <w:pPr>
              <w:keepNext/>
              <w:keepLines/>
              <w:rPr>
                <w:rFonts w:asciiTheme="minorHAnsi" w:eastAsia="Times New Roman" w:hAnsiTheme="minorHAnsi" w:cstheme="minorHAnsi"/>
                <w:lang w:val="es-ES"/>
              </w:rPr>
            </w:pPr>
            <w:r w:rsidRPr="00C44BAB">
              <w:rPr>
                <w:rFonts w:asciiTheme="minorHAnsi" w:eastAsia="Times New Roman" w:hAnsiTheme="minorHAnsi" w:cstheme="minorHAnsi"/>
                <w:i/>
                <w:iCs/>
                <w:color w:val="000000"/>
                <w:sz w:val="18"/>
                <w:szCs w:val="18"/>
                <w:lang w:val="es-ES"/>
              </w:rPr>
              <w:t> </w:t>
            </w:r>
          </w:p>
        </w:tc>
        <w:tc>
          <w:tcPr>
            <w:tcW w:w="4464" w:type="dxa"/>
            <w:gridSpan w:val="7"/>
            <w:tcBorders>
              <w:top w:val="single" w:sz="4" w:space="0" w:color="auto"/>
              <w:bottom w:val="single" w:sz="4" w:space="0" w:color="auto"/>
            </w:tcBorders>
            <w:vAlign w:val="center"/>
          </w:tcPr>
          <w:p w14:paraId="40411353" w14:textId="77777777" w:rsidR="002F3255" w:rsidRPr="00C44BAB" w:rsidRDefault="002F3255">
            <w:pPr>
              <w:keepNext/>
              <w:keepLines/>
              <w:jc w:val="center"/>
              <w:rPr>
                <w:rFonts w:asciiTheme="minorHAnsi" w:eastAsia="Times New Roman" w:hAnsiTheme="minorHAnsi" w:cstheme="minorHAnsi"/>
                <w:lang w:val="es-ES"/>
              </w:rPr>
            </w:pPr>
            <w:r w:rsidRPr="00C44BAB">
              <w:rPr>
                <w:rFonts w:asciiTheme="minorHAnsi" w:eastAsia="Times New Roman" w:hAnsiTheme="minorHAnsi" w:cstheme="minorHAnsi"/>
                <w:i/>
                <w:iCs/>
                <w:sz w:val="18"/>
                <w:szCs w:val="18"/>
                <w:lang w:val="es-ES"/>
              </w:rPr>
              <w:t>Recursos (en miles de dólares de los Estados Unidos)</w:t>
            </w:r>
          </w:p>
        </w:tc>
        <w:tc>
          <w:tcPr>
            <w:tcW w:w="259" w:type="dxa"/>
            <w:gridSpan w:val="2"/>
            <w:tcBorders>
              <w:top w:val="single" w:sz="4" w:space="0" w:color="auto"/>
            </w:tcBorders>
            <w:vAlign w:val="center"/>
          </w:tcPr>
          <w:p w14:paraId="40411354" w14:textId="77777777" w:rsidR="002F3255" w:rsidRPr="00C44BAB" w:rsidRDefault="002F3255">
            <w:pPr>
              <w:keepNext/>
              <w:keepLines/>
              <w:jc w:val="right"/>
              <w:rPr>
                <w:rFonts w:asciiTheme="minorHAnsi" w:eastAsia="Times New Roman" w:hAnsiTheme="minorHAnsi" w:cstheme="minorHAnsi"/>
                <w:i/>
                <w:iCs/>
                <w:color w:val="000000"/>
                <w:sz w:val="18"/>
                <w:szCs w:val="18"/>
                <w:lang w:val="es-ES"/>
              </w:rPr>
            </w:pPr>
            <w:r w:rsidRPr="00C44BAB">
              <w:rPr>
                <w:rFonts w:asciiTheme="minorHAnsi" w:eastAsia="Times New Roman" w:hAnsiTheme="minorHAnsi" w:cstheme="minorHAnsi"/>
                <w:i/>
                <w:iCs/>
                <w:color w:val="000000"/>
                <w:sz w:val="18"/>
                <w:szCs w:val="18"/>
                <w:lang w:val="es-ES"/>
              </w:rPr>
              <w:t> </w:t>
            </w:r>
          </w:p>
        </w:tc>
        <w:tc>
          <w:tcPr>
            <w:tcW w:w="3085" w:type="dxa"/>
            <w:gridSpan w:val="6"/>
            <w:tcBorders>
              <w:top w:val="single" w:sz="4" w:space="0" w:color="auto"/>
              <w:bottom w:val="single" w:sz="4" w:space="0" w:color="auto"/>
            </w:tcBorders>
            <w:vAlign w:val="center"/>
          </w:tcPr>
          <w:p w14:paraId="40411355" w14:textId="77777777" w:rsidR="002F3255" w:rsidRPr="00C44BAB" w:rsidRDefault="002F3255">
            <w:pPr>
              <w:keepNext/>
              <w:keepLines/>
              <w:jc w:val="center"/>
              <w:rPr>
                <w:rFonts w:asciiTheme="minorHAnsi" w:eastAsia="Times New Roman" w:hAnsiTheme="minorHAnsi" w:cstheme="minorHAnsi"/>
                <w:lang w:val="es-ES"/>
              </w:rPr>
            </w:pPr>
            <w:r w:rsidRPr="00C44BAB">
              <w:rPr>
                <w:rFonts w:asciiTheme="minorHAnsi" w:eastAsia="Times New Roman" w:hAnsiTheme="minorHAnsi" w:cstheme="minorHAnsi"/>
                <w:i/>
                <w:iCs/>
                <w:color w:val="000000"/>
                <w:sz w:val="18"/>
                <w:szCs w:val="18"/>
                <w:lang w:val="es-ES"/>
              </w:rPr>
              <w:t>Puestos</w:t>
            </w:r>
          </w:p>
        </w:tc>
      </w:tr>
      <w:tr w:rsidR="002F3255" w:rsidRPr="00C44BAB" w14:paraId="40411362" w14:textId="77777777" w:rsidTr="00BA1BD1">
        <w:trPr>
          <w:trHeight w:val="600"/>
          <w:jc w:val="center"/>
        </w:trPr>
        <w:tc>
          <w:tcPr>
            <w:tcW w:w="1669" w:type="dxa"/>
            <w:gridSpan w:val="2"/>
            <w:tcBorders>
              <w:bottom w:val="single" w:sz="4" w:space="0" w:color="auto"/>
            </w:tcBorders>
            <w:vAlign w:val="center"/>
          </w:tcPr>
          <w:p w14:paraId="40411357" w14:textId="77777777" w:rsidR="002F3255" w:rsidRPr="00C44BAB" w:rsidRDefault="002F3255">
            <w:pPr>
              <w:rPr>
                <w:rFonts w:asciiTheme="minorHAnsi" w:eastAsia="Times New Roman" w:hAnsiTheme="minorHAnsi" w:cstheme="minorHAnsi"/>
                <w:i/>
                <w:iCs/>
                <w:color w:val="000000"/>
                <w:sz w:val="18"/>
                <w:szCs w:val="18"/>
                <w:lang w:val="es-ES"/>
              </w:rPr>
            </w:pPr>
          </w:p>
        </w:tc>
        <w:tc>
          <w:tcPr>
            <w:tcW w:w="1046" w:type="dxa"/>
            <w:gridSpan w:val="2"/>
            <w:tcBorders>
              <w:top w:val="single" w:sz="4" w:space="0" w:color="auto"/>
              <w:bottom w:val="single" w:sz="4" w:space="0" w:color="auto"/>
            </w:tcBorders>
            <w:vAlign w:val="center"/>
          </w:tcPr>
          <w:p w14:paraId="40411358" w14:textId="77777777" w:rsidR="002F3255" w:rsidRPr="00C44BAB" w:rsidRDefault="002F3255">
            <w:pPr>
              <w:keepNext/>
              <w:keepLines/>
              <w:jc w:val="right"/>
              <w:rPr>
                <w:rFonts w:asciiTheme="minorHAnsi" w:eastAsia="Times New Roman" w:hAnsiTheme="minorHAnsi" w:cstheme="minorHAnsi"/>
                <w:i/>
                <w:iCs/>
                <w:color w:val="000000"/>
                <w:sz w:val="18"/>
                <w:szCs w:val="18"/>
                <w:lang w:val="es-ES"/>
              </w:rPr>
            </w:pPr>
            <w:r w:rsidRPr="00C44BAB">
              <w:rPr>
                <w:rFonts w:asciiTheme="minorHAnsi" w:eastAsia="Times New Roman" w:hAnsiTheme="minorHAnsi" w:cstheme="minorHAnsi"/>
                <w:i/>
                <w:iCs/>
                <w:color w:val="000000"/>
                <w:sz w:val="18"/>
                <w:szCs w:val="18"/>
                <w:lang w:val="es-ES"/>
              </w:rPr>
              <w:t>2019-2020</w:t>
            </w:r>
          </w:p>
        </w:tc>
        <w:tc>
          <w:tcPr>
            <w:tcW w:w="244" w:type="dxa"/>
            <w:tcBorders>
              <w:top w:val="single" w:sz="4" w:space="0" w:color="auto"/>
              <w:bottom w:val="single" w:sz="4" w:space="0" w:color="auto"/>
            </w:tcBorders>
            <w:vAlign w:val="center"/>
          </w:tcPr>
          <w:p w14:paraId="40411359" w14:textId="77777777" w:rsidR="002F3255" w:rsidRPr="00C44BAB" w:rsidRDefault="002F3255" w:rsidP="00C44BAB">
            <w:pPr>
              <w:keepNext/>
              <w:keepLines/>
              <w:ind w:right="-131"/>
              <w:jc w:val="center"/>
              <w:rPr>
                <w:rFonts w:asciiTheme="minorHAnsi" w:eastAsia="Times New Roman" w:hAnsiTheme="minorHAnsi" w:cstheme="minorHAnsi"/>
                <w:i/>
                <w:iCs/>
                <w:color w:val="000000"/>
                <w:sz w:val="18"/>
                <w:szCs w:val="18"/>
                <w:lang w:val="es-ES"/>
              </w:rPr>
            </w:pPr>
          </w:p>
        </w:tc>
        <w:tc>
          <w:tcPr>
            <w:tcW w:w="1130" w:type="dxa"/>
            <w:tcBorders>
              <w:top w:val="single" w:sz="4" w:space="0" w:color="auto"/>
              <w:bottom w:val="single" w:sz="4" w:space="0" w:color="auto"/>
            </w:tcBorders>
            <w:vAlign w:val="center"/>
          </w:tcPr>
          <w:p w14:paraId="4041135A" w14:textId="77777777" w:rsidR="002F3255" w:rsidRPr="00C44BAB" w:rsidRDefault="002F3255">
            <w:pPr>
              <w:keepNext/>
              <w:keepLines/>
              <w:jc w:val="right"/>
              <w:rPr>
                <w:rFonts w:asciiTheme="minorHAnsi" w:eastAsia="Times New Roman" w:hAnsiTheme="minorHAnsi" w:cstheme="minorHAnsi"/>
                <w:lang w:val="es-ES"/>
              </w:rPr>
            </w:pPr>
            <w:r w:rsidRPr="00C44BAB">
              <w:rPr>
                <w:rFonts w:asciiTheme="minorHAnsi" w:eastAsia="Times New Roman" w:hAnsiTheme="minorHAnsi" w:cstheme="minorHAnsi"/>
                <w:i/>
                <w:iCs/>
                <w:color w:val="000000"/>
                <w:sz w:val="18"/>
                <w:szCs w:val="18"/>
                <w:lang w:val="es-ES"/>
              </w:rPr>
              <w:t>CRN</w:t>
            </w:r>
            <w:r w:rsidRPr="00C44BAB">
              <w:rPr>
                <w:rFonts w:asciiTheme="minorHAnsi" w:eastAsia="Times New Roman" w:hAnsiTheme="minorHAnsi" w:cstheme="minorHAnsi"/>
                <w:i/>
                <w:iCs/>
                <w:color w:val="000000"/>
                <w:sz w:val="18"/>
                <w:szCs w:val="18"/>
                <w:lang w:val="es-ES"/>
              </w:rPr>
              <w:br w:type="textWrapping" w:clear="all"/>
              <w:t>2023-2024</w:t>
            </w:r>
          </w:p>
        </w:tc>
        <w:tc>
          <w:tcPr>
            <w:tcW w:w="1130" w:type="dxa"/>
            <w:tcBorders>
              <w:top w:val="single" w:sz="4" w:space="0" w:color="auto"/>
              <w:bottom w:val="single" w:sz="4" w:space="0" w:color="auto"/>
            </w:tcBorders>
            <w:vAlign w:val="center"/>
          </w:tcPr>
          <w:p w14:paraId="4041135B" w14:textId="77777777" w:rsidR="002F3255" w:rsidRPr="00C44BAB" w:rsidRDefault="002F3255" w:rsidP="00360179">
            <w:pPr>
              <w:keepNext/>
              <w:keepLines/>
              <w:jc w:val="right"/>
              <w:rPr>
                <w:rFonts w:asciiTheme="minorHAnsi" w:eastAsia="Times New Roman" w:hAnsiTheme="minorHAnsi" w:cstheme="minorHAnsi"/>
                <w:lang w:val="es-ES"/>
              </w:rPr>
            </w:pPr>
            <w:r w:rsidRPr="00C44BAB">
              <w:rPr>
                <w:rFonts w:asciiTheme="minorHAnsi" w:eastAsia="Times New Roman" w:hAnsiTheme="minorHAnsi" w:cstheme="minorHAnsi"/>
                <w:i/>
                <w:iCs/>
                <w:color w:val="000000"/>
                <w:sz w:val="18"/>
                <w:szCs w:val="18"/>
                <w:lang w:val="es-ES"/>
              </w:rPr>
              <w:t>C</w:t>
            </w:r>
            <w:r w:rsidR="00360179">
              <w:rPr>
                <w:rFonts w:asciiTheme="minorHAnsi" w:eastAsia="Times New Roman" w:hAnsiTheme="minorHAnsi" w:cstheme="minorHAnsi"/>
                <w:i/>
                <w:iCs/>
                <w:color w:val="000000"/>
                <w:sz w:val="18"/>
                <w:szCs w:val="18"/>
                <w:lang w:val="es-ES"/>
              </w:rPr>
              <w:t>N</w:t>
            </w:r>
            <w:r w:rsidRPr="00C44BAB">
              <w:rPr>
                <w:rFonts w:asciiTheme="minorHAnsi" w:eastAsia="Times New Roman" w:hAnsiTheme="minorHAnsi" w:cstheme="minorHAnsi"/>
                <w:i/>
                <w:iCs/>
                <w:color w:val="000000"/>
                <w:sz w:val="18"/>
                <w:szCs w:val="18"/>
                <w:lang w:val="es-ES"/>
              </w:rPr>
              <w:t>N</w:t>
            </w:r>
            <w:r w:rsidRPr="00C44BAB">
              <w:rPr>
                <w:rFonts w:asciiTheme="minorHAnsi" w:eastAsia="Times New Roman" w:hAnsiTheme="minorHAnsi" w:cstheme="minorHAnsi"/>
                <w:i/>
                <w:iCs/>
                <w:color w:val="000000"/>
                <w:sz w:val="18"/>
                <w:szCs w:val="18"/>
                <w:lang w:val="es-ES"/>
              </w:rPr>
              <w:br w:type="textWrapping" w:clear="all"/>
              <w:t>2023-2024</w:t>
            </w:r>
          </w:p>
        </w:tc>
        <w:tc>
          <w:tcPr>
            <w:tcW w:w="710" w:type="dxa"/>
            <w:gridSpan w:val="2"/>
            <w:tcBorders>
              <w:top w:val="single" w:sz="4" w:space="0" w:color="auto"/>
              <w:bottom w:val="single" w:sz="4" w:space="0" w:color="auto"/>
            </w:tcBorders>
            <w:vAlign w:val="center"/>
          </w:tcPr>
          <w:p w14:paraId="4041135C" w14:textId="77777777" w:rsidR="002F3255" w:rsidRPr="00C44BAB" w:rsidRDefault="002F3255">
            <w:pPr>
              <w:rPr>
                <w:rFonts w:asciiTheme="minorHAnsi" w:eastAsia="Times New Roman" w:hAnsiTheme="minorHAnsi" w:cstheme="minorHAnsi"/>
                <w:i/>
                <w:iCs/>
                <w:color w:val="000000"/>
                <w:sz w:val="18"/>
                <w:szCs w:val="18"/>
                <w:lang w:val="es-ES"/>
              </w:rPr>
            </w:pPr>
          </w:p>
        </w:tc>
        <w:tc>
          <w:tcPr>
            <w:tcW w:w="873" w:type="dxa"/>
            <w:gridSpan w:val="2"/>
            <w:tcBorders>
              <w:bottom w:val="single" w:sz="4" w:space="0" w:color="auto"/>
            </w:tcBorders>
            <w:vAlign w:val="center"/>
          </w:tcPr>
          <w:p w14:paraId="4041135D" w14:textId="77777777" w:rsidR="002F3255" w:rsidRPr="00C44BAB" w:rsidRDefault="002F3255">
            <w:pPr>
              <w:keepNext/>
              <w:keepLines/>
              <w:jc w:val="right"/>
              <w:rPr>
                <w:rFonts w:asciiTheme="minorHAnsi" w:eastAsia="Times New Roman" w:hAnsiTheme="minorHAnsi" w:cstheme="minorHAnsi"/>
                <w:i/>
                <w:iCs/>
                <w:color w:val="000000"/>
                <w:sz w:val="18"/>
                <w:szCs w:val="18"/>
                <w:lang w:val="es-ES"/>
              </w:rPr>
            </w:pPr>
            <w:r w:rsidRPr="00C44BAB">
              <w:rPr>
                <w:rFonts w:asciiTheme="minorHAnsi" w:eastAsia="Times New Roman" w:hAnsiTheme="minorHAnsi" w:cstheme="minorHAnsi"/>
                <w:i/>
                <w:iCs/>
                <w:color w:val="000000"/>
                <w:sz w:val="18"/>
                <w:szCs w:val="18"/>
                <w:lang w:val="es-ES"/>
              </w:rPr>
              <w:t>2019-20</w:t>
            </w:r>
          </w:p>
        </w:tc>
        <w:tc>
          <w:tcPr>
            <w:tcW w:w="376" w:type="dxa"/>
            <w:tcBorders>
              <w:bottom w:val="single" w:sz="4" w:space="0" w:color="auto"/>
            </w:tcBorders>
            <w:vAlign w:val="center"/>
          </w:tcPr>
          <w:p w14:paraId="4041135E" w14:textId="77777777" w:rsidR="002F3255" w:rsidRPr="00C44BAB" w:rsidRDefault="002F3255">
            <w:pPr>
              <w:keepNext/>
              <w:keepLines/>
              <w:jc w:val="right"/>
              <w:rPr>
                <w:rFonts w:asciiTheme="minorHAnsi" w:eastAsia="Times New Roman" w:hAnsiTheme="minorHAnsi" w:cstheme="minorHAnsi"/>
                <w:i/>
                <w:iCs/>
                <w:color w:val="000000"/>
                <w:sz w:val="18"/>
                <w:szCs w:val="18"/>
                <w:lang w:val="es-ES"/>
              </w:rPr>
            </w:pPr>
            <w:r w:rsidRPr="00C44BAB">
              <w:rPr>
                <w:rFonts w:asciiTheme="minorHAnsi" w:eastAsia="Times New Roman" w:hAnsiTheme="minorHAnsi" w:cstheme="minorHAnsi"/>
                <w:i/>
                <w:iCs/>
                <w:color w:val="000000"/>
                <w:sz w:val="18"/>
                <w:szCs w:val="18"/>
                <w:lang w:val="es-ES"/>
              </w:rPr>
              <w:t> </w:t>
            </w:r>
          </w:p>
        </w:tc>
        <w:tc>
          <w:tcPr>
            <w:tcW w:w="900" w:type="dxa"/>
            <w:tcBorders>
              <w:bottom w:val="single" w:sz="4" w:space="0" w:color="auto"/>
            </w:tcBorders>
            <w:vAlign w:val="center"/>
          </w:tcPr>
          <w:p w14:paraId="4041135F" w14:textId="77777777" w:rsidR="002F3255" w:rsidRPr="00C44BAB" w:rsidRDefault="002F3255">
            <w:pPr>
              <w:keepNext/>
              <w:keepLines/>
              <w:jc w:val="right"/>
              <w:rPr>
                <w:rFonts w:asciiTheme="minorHAnsi" w:eastAsia="Times New Roman" w:hAnsiTheme="minorHAnsi" w:cstheme="minorHAnsi"/>
                <w:i/>
                <w:iCs/>
                <w:color w:val="000000"/>
                <w:sz w:val="18"/>
                <w:szCs w:val="18"/>
                <w:lang w:val="es-ES"/>
              </w:rPr>
            </w:pPr>
            <w:r w:rsidRPr="00C44BAB">
              <w:rPr>
                <w:rFonts w:asciiTheme="minorHAnsi" w:eastAsia="Times New Roman" w:hAnsiTheme="minorHAnsi" w:cstheme="minorHAnsi"/>
                <w:i/>
                <w:iCs/>
                <w:color w:val="000000"/>
                <w:sz w:val="18"/>
                <w:szCs w:val="18"/>
                <w:lang w:val="es-ES"/>
              </w:rPr>
              <w:t>2021-22</w:t>
            </w:r>
          </w:p>
        </w:tc>
        <w:tc>
          <w:tcPr>
            <w:tcW w:w="339" w:type="dxa"/>
            <w:tcBorders>
              <w:bottom w:val="single" w:sz="4" w:space="0" w:color="auto"/>
            </w:tcBorders>
            <w:vAlign w:val="center"/>
          </w:tcPr>
          <w:p w14:paraId="40411360" w14:textId="77777777" w:rsidR="002F3255" w:rsidRPr="00C44BAB" w:rsidRDefault="002F3255" w:rsidP="00C44BAB">
            <w:pPr>
              <w:keepNext/>
              <w:keepLines/>
              <w:ind w:left="-74"/>
              <w:jc w:val="right"/>
              <w:rPr>
                <w:rFonts w:asciiTheme="minorHAnsi" w:eastAsia="Times New Roman" w:hAnsiTheme="minorHAnsi" w:cstheme="minorHAnsi"/>
                <w:i/>
                <w:iCs/>
                <w:color w:val="000000"/>
                <w:sz w:val="18"/>
                <w:szCs w:val="18"/>
                <w:lang w:val="es-ES"/>
              </w:rPr>
            </w:pPr>
            <w:r w:rsidRPr="00C44BAB">
              <w:rPr>
                <w:rFonts w:asciiTheme="minorHAnsi" w:eastAsia="Times New Roman" w:hAnsiTheme="minorHAnsi" w:cstheme="minorHAnsi"/>
                <w:i/>
                <w:iCs/>
                <w:color w:val="000000"/>
                <w:sz w:val="18"/>
                <w:szCs w:val="18"/>
                <w:lang w:val="es-ES"/>
              </w:rPr>
              <w:t> </w:t>
            </w:r>
          </w:p>
        </w:tc>
        <w:tc>
          <w:tcPr>
            <w:tcW w:w="856" w:type="dxa"/>
            <w:gridSpan w:val="3"/>
            <w:tcBorders>
              <w:bottom w:val="single" w:sz="4" w:space="0" w:color="auto"/>
            </w:tcBorders>
            <w:vAlign w:val="center"/>
          </w:tcPr>
          <w:p w14:paraId="40411361" w14:textId="77777777" w:rsidR="002F3255" w:rsidRPr="00C44BAB" w:rsidRDefault="002F3255">
            <w:pPr>
              <w:keepNext/>
              <w:keepLines/>
              <w:jc w:val="right"/>
              <w:rPr>
                <w:rFonts w:asciiTheme="minorHAnsi" w:eastAsia="Times New Roman" w:hAnsiTheme="minorHAnsi" w:cstheme="minorHAnsi"/>
                <w:i/>
                <w:iCs/>
                <w:color w:val="000000"/>
                <w:sz w:val="18"/>
                <w:szCs w:val="18"/>
                <w:lang w:val="es-ES"/>
              </w:rPr>
            </w:pPr>
            <w:r w:rsidRPr="00C44BAB">
              <w:rPr>
                <w:rFonts w:asciiTheme="minorHAnsi" w:eastAsia="Times New Roman" w:hAnsiTheme="minorHAnsi" w:cstheme="minorHAnsi"/>
                <w:i/>
                <w:iCs/>
                <w:color w:val="000000"/>
                <w:sz w:val="18"/>
                <w:szCs w:val="18"/>
                <w:lang w:val="es-ES"/>
              </w:rPr>
              <w:t>2023-24</w:t>
            </w:r>
          </w:p>
        </w:tc>
      </w:tr>
      <w:tr w:rsidR="002F3255" w:rsidRPr="00C44BAB" w14:paraId="4041136E" w14:textId="77777777" w:rsidTr="00BA1BD1">
        <w:trPr>
          <w:trHeight w:val="310"/>
          <w:jc w:val="center"/>
        </w:trPr>
        <w:tc>
          <w:tcPr>
            <w:tcW w:w="1725" w:type="dxa"/>
            <w:gridSpan w:val="3"/>
            <w:tcBorders>
              <w:top w:val="single" w:sz="4" w:space="0" w:color="auto"/>
            </w:tcBorders>
            <w:vAlign w:val="center"/>
          </w:tcPr>
          <w:p w14:paraId="40411363" w14:textId="77777777" w:rsidR="002F3255" w:rsidRPr="00C44BAB" w:rsidRDefault="002F3255">
            <w:pPr>
              <w:keepNext/>
              <w:keepLines/>
              <w:rPr>
                <w:rFonts w:asciiTheme="minorHAnsi" w:eastAsia="Times New Roman" w:hAnsiTheme="minorHAnsi" w:cstheme="minorHAnsi"/>
                <w:lang w:val="es-ES"/>
              </w:rPr>
            </w:pPr>
            <w:r w:rsidRPr="00C44BAB">
              <w:rPr>
                <w:rFonts w:asciiTheme="minorHAnsi" w:eastAsia="Times New Roman" w:hAnsiTheme="minorHAnsi" w:cstheme="minorHAnsi"/>
                <w:i/>
                <w:iCs/>
                <w:color w:val="000000"/>
                <w:sz w:val="18"/>
                <w:szCs w:val="18"/>
                <w:lang w:val="es-ES"/>
              </w:rPr>
              <w:t>Presupuesto básico</w:t>
            </w:r>
          </w:p>
        </w:tc>
        <w:tc>
          <w:tcPr>
            <w:tcW w:w="990" w:type="dxa"/>
            <w:tcBorders>
              <w:top w:val="single" w:sz="4" w:space="0" w:color="auto"/>
            </w:tcBorders>
            <w:vAlign w:val="center"/>
          </w:tcPr>
          <w:p w14:paraId="40411364" w14:textId="77777777" w:rsidR="002F3255" w:rsidRPr="00C44BAB" w:rsidRDefault="002F3255">
            <w:pPr>
              <w:rPr>
                <w:rFonts w:asciiTheme="minorHAnsi" w:eastAsia="Times New Roman" w:hAnsiTheme="minorHAnsi" w:cstheme="minorHAnsi"/>
                <w:i/>
                <w:iCs/>
                <w:color w:val="000000"/>
                <w:sz w:val="18"/>
                <w:szCs w:val="18"/>
                <w:lang w:val="es-ES"/>
              </w:rPr>
            </w:pPr>
          </w:p>
        </w:tc>
        <w:tc>
          <w:tcPr>
            <w:tcW w:w="244" w:type="dxa"/>
            <w:tcBorders>
              <w:top w:val="single" w:sz="4" w:space="0" w:color="auto"/>
            </w:tcBorders>
            <w:vAlign w:val="center"/>
          </w:tcPr>
          <w:p w14:paraId="40411365" w14:textId="77777777" w:rsidR="002F3255" w:rsidRPr="00C44BAB" w:rsidRDefault="002F3255" w:rsidP="00C44BAB">
            <w:pPr>
              <w:ind w:right="-131"/>
              <w:jc w:val="center"/>
              <w:rPr>
                <w:rFonts w:asciiTheme="minorHAnsi" w:eastAsia="Times New Roman" w:hAnsiTheme="minorHAnsi" w:cstheme="minorHAnsi"/>
                <w:sz w:val="18"/>
                <w:szCs w:val="18"/>
                <w:lang w:val="es-ES"/>
              </w:rPr>
            </w:pPr>
          </w:p>
        </w:tc>
        <w:tc>
          <w:tcPr>
            <w:tcW w:w="1130" w:type="dxa"/>
            <w:tcBorders>
              <w:top w:val="single" w:sz="4" w:space="0" w:color="auto"/>
            </w:tcBorders>
            <w:vAlign w:val="center"/>
          </w:tcPr>
          <w:p w14:paraId="40411366" w14:textId="77777777" w:rsidR="002F3255" w:rsidRPr="00C44BAB" w:rsidRDefault="002F3255">
            <w:pPr>
              <w:rPr>
                <w:rFonts w:asciiTheme="minorHAnsi" w:eastAsia="Times New Roman" w:hAnsiTheme="minorHAnsi" w:cstheme="minorHAnsi"/>
                <w:sz w:val="18"/>
                <w:szCs w:val="18"/>
                <w:lang w:val="es-ES"/>
              </w:rPr>
            </w:pPr>
          </w:p>
        </w:tc>
        <w:tc>
          <w:tcPr>
            <w:tcW w:w="1130" w:type="dxa"/>
            <w:tcBorders>
              <w:top w:val="single" w:sz="4" w:space="0" w:color="auto"/>
            </w:tcBorders>
            <w:vAlign w:val="center"/>
          </w:tcPr>
          <w:p w14:paraId="40411367" w14:textId="77777777" w:rsidR="002F3255" w:rsidRPr="00C44BAB" w:rsidRDefault="002F3255">
            <w:pPr>
              <w:rPr>
                <w:rFonts w:asciiTheme="minorHAnsi" w:eastAsia="Times New Roman" w:hAnsiTheme="minorHAnsi" w:cstheme="minorHAnsi"/>
                <w:sz w:val="18"/>
                <w:szCs w:val="18"/>
                <w:lang w:val="es-ES"/>
              </w:rPr>
            </w:pPr>
          </w:p>
        </w:tc>
        <w:tc>
          <w:tcPr>
            <w:tcW w:w="710" w:type="dxa"/>
            <w:gridSpan w:val="2"/>
            <w:tcBorders>
              <w:top w:val="single" w:sz="4" w:space="0" w:color="auto"/>
            </w:tcBorders>
            <w:noWrap/>
            <w:vAlign w:val="bottom"/>
          </w:tcPr>
          <w:p w14:paraId="40411368" w14:textId="77777777" w:rsidR="002F3255" w:rsidRPr="00C44BAB" w:rsidRDefault="002F3255">
            <w:pPr>
              <w:rPr>
                <w:rFonts w:asciiTheme="minorHAnsi" w:eastAsia="Times New Roman" w:hAnsiTheme="minorHAnsi" w:cstheme="minorHAnsi"/>
                <w:sz w:val="18"/>
                <w:szCs w:val="18"/>
                <w:lang w:val="es-ES"/>
              </w:rPr>
            </w:pPr>
          </w:p>
        </w:tc>
        <w:tc>
          <w:tcPr>
            <w:tcW w:w="873" w:type="dxa"/>
            <w:gridSpan w:val="2"/>
            <w:tcBorders>
              <w:top w:val="single" w:sz="4" w:space="0" w:color="auto"/>
            </w:tcBorders>
            <w:noWrap/>
            <w:vAlign w:val="bottom"/>
          </w:tcPr>
          <w:p w14:paraId="40411369" w14:textId="77777777" w:rsidR="002F3255" w:rsidRPr="00C44BAB" w:rsidRDefault="002F3255">
            <w:pPr>
              <w:jc w:val="right"/>
              <w:rPr>
                <w:rFonts w:asciiTheme="minorHAnsi" w:eastAsia="Times New Roman" w:hAnsiTheme="minorHAnsi" w:cstheme="minorHAnsi"/>
                <w:sz w:val="18"/>
                <w:szCs w:val="18"/>
                <w:lang w:val="es-ES"/>
              </w:rPr>
            </w:pPr>
          </w:p>
        </w:tc>
        <w:tc>
          <w:tcPr>
            <w:tcW w:w="376" w:type="dxa"/>
            <w:tcBorders>
              <w:top w:val="single" w:sz="4" w:space="0" w:color="auto"/>
            </w:tcBorders>
            <w:noWrap/>
            <w:vAlign w:val="bottom"/>
          </w:tcPr>
          <w:p w14:paraId="4041136A" w14:textId="77777777" w:rsidR="002F3255" w:rsidRPr="00C44BAB" w:rsidRDefault="002F3255">
            <w:pPr>
              <w:rPr>
                <w:rFonts w:asciiTheme="minorHAnsi" w:eastAsia="Times New Roman" w:hAnsiTheme="minorHAnsi" w:cstheme="minorHAnsi"/>
                <w:sz w:val="18"/>
                <w:szCs w:val="18"/>
                <w:lang w:val="es-ES"/>
              </w:rPr>
            </w:pPr>
          </w:p>
        </w:tc>
        <w:tc>
          <w:tcPr>
            <w:tcW w:w="900" w:type="dxa"/>
            <w:tcBorders>
              <w:top w:val="single" w:sz="4" w:space="0" w:color="auto"/>
            </w:tcBorders>
            <w:noWrap/>
            <w:vAlign w:val="bottom"/>
          </w:tcPr>
          <w:p w14:paraId="4041136B" w14:textId="77777777" w:rsidR="002F3255" w:rsidRPr="00C44BAB" w:rsidRDefault="002F3255">
            <w:pPr>
              <w:jc w:val="right"/>
              <w:rPr>
                <w:rFonts w:asciiTheme="minorHAnsi" w:eastAsia="Times New Roman" w:hAnsiTheme="minorHAnsi" w:cstheme="minorHAnsi"/>
                <w:sz w:val="18"/>
                <w:szCs w:val="18"/>
                <w:lang w:val="es-ES"/>
              </w:rPr>
            </w:pPr>
          </w:p>
        </w:tc>
        <w:tc>
          <w:tcPr>
            <w:tcW w:w="339" w:type="dxa"/>
            <w:tcBorders>
              <w:top w:val="single" w:sz="4" w:space="0" w:color="auto"/>
            </w:tcBorders>
            <w:noWrap/>
            <w:vAlign w:val="bottom"/>
          </w:tcPr>
          <w:p w14:paraId="4041136C" w14:textId="77777777" w:rsidR="002F3255" w:rsidRPr="00C44BAB" w:rsidRDefault="002F3255" w:rsidP="00C44BAB">
            <w:pPr>
              <w:ind w:left="-74"/>
              <w:rPr>
                <w:rFonts w:asciiTheme="minorHAnsi" w:eastAsia="Times New Roman" w:hAnsiTheme="minorHAnsi" w:cstheme="minorHAnsi"/>
                <w:sz w:val="18"/>
                <w:szCs w:val="18"/>
                <w:lang w:val="es-ES"/>
              </w:rPr>
            </w:pPr>
          </w:p>
        </w:tc>
        <w:tc>
          <w:tcPr>
            <w:tcW w:w="856" w:type="dxa"/>
            <w:gridSpan w:val="3"/>
            <w:tcBorders>
              <w:top w:val="single" w:sz="4" w:space="0" w:color="auto"/>
            </w:tcBorders>
            <w:noWrap/>
            <w:vAlign w:val="bottom"/>
          </w:tcPr>
          <w:p w14:paraId="4041136D" w14:textId="77777777" w:rsidR="002F3255" w:rsidRPr="00C44BAB" w:rsidRDefault="002F3255">
            <w:pPr>
              <w:jc w:val="right"/>
              <w:rPr>
                <w:rFonts w:asciiTheme="minorHAnsi" w:eastAsia="Times New Roman" w:hAnsiTheme="minorHAnsi" w:cstheme="minorHAnsi"/>
                <w:sz w:val="18"/>
                <w:szCs w:val="18"/>
                <w:lang w:val="es-ES"/>
              </w:rPr>
            </w:pPr>
          </w:p>
        </w:tc>
      </w:tr>
      <w:tr w:rsidR="002F3255" w:rsidRPr="00C44BAB" w14:paraId="4041137A" w14:textId="77777777" w:rsidTr="00BA1BD1">
        <w:trPr>
          <w:trHeight w:val="310"/>
          <w:jc w:val="center"/>
        </w:trPr>
        <w:tc>
          <w:tcPr>
            <w:tcW w:w="1725" w:type="dxa"/>
            <w:gridSpan w:val="3"/>
            <w:vAlign w:val="center"/>
          </w:tcPr>
          <w:p w14:paraId="4041136F" w14:textId="77777777" w:rsidR="002F3255" w:rsidRPr="00C44BAB" w:rsidRDefault="002F3255">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8"/>
                <w:szCs w:val="18"/>
                <w:lang w:val="es-ES"/>
              </w:rPr>
              <w:t>Relacionados con puestos</w:t>
            </w:r>
          </w:p>
        </w:tc>
        <w:tc>
          <w:tcPr>
            <w:tcW w:w="990" w:type="dxa"/>
            <w:vAlign w:val="center"/>
          </w:tcPr>
          <w:p w14:paraId="40411370"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4</w:t>
            </w:r>
            <w:r w:rsidR="00C44BAB">
              <w:rPr>
                <w:rFonts w:asciiTheme="minorHAnsi" w:eastAsia="Times New Roman" w:hAnsiTheme="minorHAnsi" w:cstheme="minorHAnsi"/>
                <w:color w:val="000000"/>
                <w:sz w:val="18"/>
                <w:szCs w:val="18"/>
                <w:lang w:val="es-ES"/>
              </w:rPr>
              <w:t xml:space="preserve"> </w:t>
            </w:r>
            <w:r w:rsidRPr="00C44BAB">
              <w:rPr>
                <w:rFonts w:asciiTheme="minorHAnsi" w:eastAsia="Times New Roman" w:hAnsiTheme="minorHAnsi" w:cstheme="minorHAnsi"/>
                <w:color w:val="000000"/>
                <w:sz w:val="18"/>
                <w:szCs w:val="18"/>
                <w:lang w:val="es-ES"/>
              </w:rPr>
              <w:t>304,3</w:t>
            </w:r>
          </w:p>
        </w:tc>
        <w:tc>
          <w:tcPr>
            <w:tcW w:w="244" w:type="dxa"/>
            <w:vAlign w:val="bottom"/>
          </w:tcPr>
          <w:p w14:paraId="40411371" w14:textId="77777777" w:rsidR="002F3255" w:rsidRPr="00C44BAB" w:rsidRDefault="002F3255" w:rsidP="00C44BAB">
            <w:pPr>
              <w:ind w:right="-131"/>
              <w:jc w:val="center"/>
              <w:rPr>
                <w:rFonts w:asciiTheme="minorHAnsi" w:eastAsia="Times New Roman" w:hAnsiTheme="minorHAnsi" w:cstheme="minorHAnsi"/>
                <w:color w:val="000000"/>
                <w:sz w:val="18"/>
                <w:szCs w:val="18"/>
                <w:lang w:val="es-ES"/>
              </w:rPr>
            </w:pPr>
          </w:p>
        </w:tc>
        <w:tc>
          <w:tcPr>
            <w:tcW w:w="1130" w:type="dxa"/>
            <w:vAlign w:val="center"/>
          </w:tcPr>
          <w:p w14:paraId="40411372"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5</w:t>
            </w:r>
            <w:r w:rsidR="00C44BAB">
              <w:rPr>
                <w:rFonts w:asciiTheme="minorHAnsi" w:eastAsia="Times New Roman" w:hAnsiTheme="minorHAnsi" w:cstheme="minorHAnsi"/>
                <w:color w:val="000000"/>
                <w:sz w:val="18"/>
                <w:szCs w:val="18"/>
                <w:lang w:val="es-ES"/>
              </w:rPr>
              <w:t xml:space="preserve"> </w:t>
            </w:r>
            <w:r w:rsidRPr="00C44BAB">
              <w:rPr>
                <w:rFonts w:asciiTheme="minorHAnsi" w:eastAsia="Times New Roman" w:hAnsiTheme="minorHAnsi" w:cstheme="minorHAnsi"/>
                <w:color w:val="000000"/>
                <w:sz w:val="18"/>
                <w:szCs w:val="18"/>
                <w:lang w:val="es-ES"/>
              </w:rPr>
              <w:t>666,2</w:t>
            </w:r>
          </w:p>
        </w:tc>
        <w:tc>
          <w:tcPr>
            <w:tcW w:w="1130" w:type="dxa"/>
            <w:vAlign w:val="center"/>
          </w:tcPr>
          <w:p w14:paraId="40411373"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4</w:t>
            </w:r>
            <w:r w:rsidR="00C44BAB">
              <w:rPr>
                <w:rFonts w:asciiTheme="minorHAnsi" w:eastAsia="Times New Roman" w:hAnsiTheme="minorHAnsi" w:cstheme="minorHAnsi"/>
                <w:color w:val="000000"/>
                <w:sz w:val="18"/>
                <w:szCs w:val="18"/>
                <w:lang w:val="es-ES"/>
              </w:rPr>
              <w:t xml:space="preserve"> </w:t>
            </w:r>
            <w:r w:rsidRPr="00C44BAB">
              <w:rPr>
                <w:rFonts w:asciiTheme="minorHAnsi" w:eastAsia="Times New Roman" w:hAnsiTheme="minorHAnsi" w:cstheme="minorHAnsi"/>
                <w:color w:val="000000"/>
                <w:sz w:val="18"/>
                <w:szCs w:val="18"/>
                <w:lang w:val="es-ES"/>
              </w:rPr>
              <w:t>981,6</w:t>
            </w:r>
          </w:p>
        </w:tc>
        <w:tc>
          <w:tcPr>
            <w:tcW w:w="710" w:type="dxa"/>
            <w:gridSpan w:val="2"/>
            <w:vAlign w:val="bottom"/>
          </w:tcPr>
          <w:p w14:paraId="40411374" w14:textId="77777777" w:rsidR="002F3255" w:rsidRPr="00C44BAB" w:rsidRDefault="002F3255">
            <w:pPr>
              <w:rPr>
                <w:rFonts w:asciiTheme="minorHAnsi" w:eastAsia="Times New Roman" w:hAnsiTheme="minorHAnsi" w:cstheme="minorHAnsi"/>
                <w:color w:val="000000"/>
                <w:sz w:val="18"/>
                <w:szCs w:val="18"/>
                <w:lang w:val="es-ES"/>
              </w:rPr>
            </w:pPr>
          </w:p>
        </w:tc>
        <w:tc>
          <w:tcPr>
            <w:tcW w:w="873" w:type="dxa"/>
            <w:gridSpan w:val="2"/>
            <w:vAlign w:val="center"/>
          </w:tcPr>
          <w:p w14:paraId="40411375"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14</w:t>
            </w:r>
          </w:p>
        </w:tc>
        <w:tc>
          <w:tcPr>
            <w:tcW w:w="376" w:type="dxa"/>
            <w:vAlign w:val="bottom"/>
          </w:tcPr>
          <w:p w14:paraId="40411376" w14:textId="77777777" w:rsidR="002F3255" w:rsidRPr="00C44BAB" w:rsidRDefault="002F3255">
            <w:pPr>
              <w:rPr>
                <w:rFonts w:asciiTheme="minorHAnsi" w:eastAsia="Times New Roman" w:hAnsiTheme="minorHAnsi" w:cstheme="minorHAnsi"/>
                <w:color w:val="000000"/>
                <w:sz w:val="18"/>
                <w:szCs w:val="18"/>
                <w:lang w:val="es-ES"/>
              </w:rPr>
            </w:pPr>
          </w:p>
        </w:tc>
        <w:tc>
          <w:tcPr>
            <w:tcW w:w="900" w:type="dxa"/>
            <w:vAlign w:val="center"/>
          </w:tcPr>
          <w:p w14:paraId="40411377"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17</w:t>
            </w:r>
          </w:p>
        </w:tc>
        <w:tc>
          <w:tcPr>
            <w:tcW w:w="339" w:type="dxa"/>
            <w:vAlign w:val="bottom"/>
          </w:tcPr>
          <w:p w14:paraId="40411378" w14:textId="77777777" w:rsidR="002F3255" w:rsidRPr="00C44BAB" w:rsidRDefault="002F3255" w:rsidP="00C44BAB">
            <w:pPr>
              <w:ind w:left="-74"/>
              <w:rPr>
                <w:rFonts w:asciiTheme="minorHAnsi" w:eastAsia="Times New Roman" w:hAnsiTheme="minorHAnsi" w:cstheme="minorHAnsi"/>
                <w:color w:val="000000"/>
                <w:sz w:val="18"/>
                <w:szCs w:val="18"/>
                <w:lang w:val="es-ES"/>
              </w:rPr>
            </w:pPr>
          </w:p>
        </w:tc>
        <w:tc>
          <w:tcPr>
            <w:tcW w:w="856" w:type="dxa"/>
            <w:gridSpan w:val="3"/>
            <w:vAlign w:val="center"/>
          </w:tcPr>
          <w:p w14:paraId="40411379"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19</w:t>
            </w:r>
          </w:p>
        </w:tc>
      </w:tr>
      <w:tr w:rsidR="002F3255" w:rsidRPr="00C44BAB" w14:paraId="40411386" w14:textId="77777777" w:rsidTr="00BA1BD1">
        <w:trPr>
          <w:trHeight w:val="320"/>
          <w:jc w:val="center"/>
        </w:trPr>
        <w:tc>
          <w:tcPr>
            <w:tcW w:w="1725" w:type="dxa"/>
            <w:gridSpan w:val="3"/>
            <w:tcBorders>
              <w:bottom w:val="single" w:sz="4" w:space="0" w:color="auto"/>
            </w:tcBorders>
            <w:vAlign w:val="center"/>
          </w:tcPr>
          <w:p w14:paraId="4041137B" w14:textId="77777777" w:rsidR="002F3255" w:rsidRPr="00C44BAB" w:rsidRDefault="002F3255">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8"/>
                <w:szCs w:val="18"/>
                <w:lang w:val="es-ES"/>
              </w:rPr>
              <w:t>No relacionados con puestos</w:t>
            </w:r>
          </w:p>
        </w:tc>
        <w:tc>
          <w:tcPr>
            <w:tcW w:w="990" w:type="dxa"/>
            <w:tcBorders>
              <w:bottom w:val="single" w:sz="4" w:space="0" w:color="auto"/>
            </w:tcBorders>
            <w:vAlign w:val="center"/>
          </w:tcPr>
          <w:p w14:paraId="4041137C"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1</w:t>
            </w:r>
            <w:r w:rsidR="00C44BAB">
              <w:rPr>
                <w:rFonts w:asciiTheme="minorHAnsi" w:eastAsia="Times New Roman" w:hAnsiTheme="minorHAnsi" w:cstheme="minorHAnsi"/>
                <w:color w:val="000000"/>
                <w:sz w:val="18"/>
                <w:szCs w:val="18"/>
                <w:lang w:val="es-ES"/>
              </w:rPr>
              <w:t xml:space="preserve"> </w:t>
            </w:r>
            <w:r w:rsidRPr="00C44BAB">
              <w:rPr>
                <w:rFonts w:asciiTheme="minorHAnsi" w:eastAsia="Times New Roman" w:hAnsiTheme="minorHAnsi" w:cstheme="minorHAnsi"/>
                <w:color w:val="000000"/>
                <w:sz w:val="18"/>
                <w:szCs w:val="18"/>
                <w:lang w:val="es-ES"/>
              </w:rPr>
              <w:t>000,0</w:t>
            </w:r>
          </w:p>
        </w:tc>
        <w:tc>
          <w:tcPr>
            <w:tcW w:w="244" w:type="dxa"/>
            <w:tcBorders>
              <w:bottom w:val="single" w:sz="4" w:space="0" w:color="auto"/>
            </w:tcBorders>
            <w:vAlign w:val="center"/>
          </w:tcPr>
          <w:p w14:paraId="4041137D" w14:textId="77777777" w:rsidR="002F3255" w:rsidRPr="00C44BAB" w:rsidRDefault="002F3255" w:rsidP="00C44BAB">
            <w:pPr>
              <w:keepNext/>
              <w:keepLines/>
              <w:ind w:right="-131"/>
              <w:jc w:val="center"/>
              <w:rPr>
                <w:rFonts w:asciiTheme="minorHAnsi" w:eastAsia="Times New Roman" w:hAnsiTheme="minorHAnsi" w:cstheme="minorHAnsi"/>
                <w:color w:val="000000"/>
                <w:sz w:val="16"/>
                <w:szCs w:val="16"/>
                <w:lang w:val="es-ES"/>
              </w:rPr>
            </w:pPr>
            <w:r w:rsidRPr="00C44BAB">
              <w:rPr>
                <w:rFonts w:asciiTheme="minorHAnsi" w:eastAsia="Times New Roman" w:hAnsiTheme="minorHAnsi" w:cstheme="minorHAnsi"/>
                <w:color w:val="000000"/>
                <w:sz w:val="16"/>
                <w:szCs w:val="16"/>
                <w:lang w:val="es-ES"/>
              </w:rPr>
              <w:t>a/</w:t>
            </w:r>
          </w:p>
        </w:tc>
        <w:tc>
          <w:tcPr>
            <w:tcW w:w="1130" w:type="dxa"/>
            <w:tcBorders>
              <w:bottom w:val="single" w:sz="4" w:space="0" w:color="auto"/>
            </w:tcBorders>
            <w:vAlign w:val="center"/>
          </w:tcPr>
          <w:p w14:paraId="4041137E"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540,0</w:t>
            </w:r>
          </w:p>
        </w:tc>
        <w:tc>
          <w:tcPr>
            <w:tcW w:w="1130" w:type="dxa"/>
            <w:tcBorders>
              <w:bottom w:val="single" w:sz="4" w:space="0" w:color="auto"/>
            </w:tcBorders>
            <w:vAlign w:val="center"/>
          </w:tcPr>
          <w:p w14:paraId="4041137F"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500,0</w:t>
            </w:r>
          </w:p>
        </w:tc>
        <w:tc>
          <w:tcPr>
            <w:tcW w:w="710" w:type="dxa"/>
            <w:gridSpan w:val="2"/>
            <w:tcBorders>
              <w:bottom w:val="single" w:sz="4" w:space="0" w:color="auto"/>
            </w:tcBorders>
            <w:vAlign w:val="center"/>
          </w:tcPr>
          <w:p w14:paraId="40411380" w14:textId="77777777" w:rsidR="002F3255" w:rsidRPr="00C44BAB" w:rsidRDefault="002F3255">
            <w:pPr>
              <w:keepNext/>
              <w:keepLines/>
              <w:rPr>
                <w:rFonts w:asciiTheme="minorHAnsi" w:eastAsia="Times New Roman" w:hAnsiTheme="minorHAnsi" w:cstheme="minorHAnsi"/>
                <w:color w:val="000000"/>
                <w:sz w:val="16"/>
                <w:szCs w:val="16"/>
                <w:lang w:val="es-ES"/>
              </w:rPr>
            </w:pPr>
            <w:proofErr w:type="spellStart"/>
            <w:r w:rsidRPr="00C44BAB">
              <w:rPr>
                <w:rFonts w:asciiTheme="minorHAnsi" w:eastAsia="Times New Roman" w:hAnsiTheme="minorHAnsi" w:cstheme="minorHAnsi"/>
                <w:color w:val="000000"/>
                <w:sz w:val="16"/>
                <w:szCs w:val="16"/>
                <w:lang w:val="es-ES"/>
              </w:rPr>
              <w:t>b/</w:t>
            </w:r>
            <w:proofErr w:type="spellEnd"/>
          </w:p>
        </w:tc>
        <w:tc>
          <w:tcPr>
            <w:tcW w:w="873" w:type="dxa"/>
            <w:gridSpan w:val="2"/>
            <w:tcBorders>
              <w:bottom w:val="single" w:sz="4" w:space="0" w:color="auto"/>
            </w:tcBorders>
            <w:vAlign w:val="bottom"/>
          </w:tcPr>
          <w:p w14:paraId="40411381" w14:textId="77777777" w:rsidR="002F3255" w:rsidRPr="00C44BAB" w:rsidRDefault="002F3255">
            <w:pPr>
              <w:jc w:val="right"/>
              <w:rPr>
                <w:rFonts w:asciiTheme="minorHAnsi" w:eastAsia="Times New Roman" w:hAnsiTheme="minorHAnsi" w:cstheme="minorHAnsi"/>
                <w:color w:val="000000"/>
                <w:sz w:val="18"/>
                <w:szCs w:val="18"/>
                <w:lang w:val="es-ES"/>
              </w:rPr>
            </w:pPr>
          </w:p>
        </w:tc>
        <w:tc>
          <w:tcPr>
            <w:tcW w:w="376" w:type="dxa"/>
            <w:tcBorders>
              <w:bottom w:val="single" w:sz="4" w:space="0" w:color="auto"/>
            </w:tcBorders>
            <w:vAlign w:val="bottom"/>
          </w:tcPr>
          <w:p w14:paraId="40411382" w14:textId="77777777" w:rsidR="002F3255" w:rsidRPr="00C44BAB" w:rsidRDefault="002F3255">
            <w:pPr>
              <w:rPr>
                <w:rFonts w:asciiTheme="minorHAnsi" w:eastAsia="Times New Roman" w:hAnsiTheme="minorHAnsi" w:cstheme="minorHAnsi"/>
                <w:sz w:val="18"/>
                <w:szCs w:val="18"/>
                <w:lang w:val="es-ES"/>
              </w:rPr>
            </w:pPr>
          </w:p>
        </w:tc>
        <w:tc>
          <w:tcPr>
            <w:tcW w:w="900" w:type="dxa"/>
            <w:tcBorders>
              <w:bottom w:val="single" w:sz="4" w:space="0" w:color="auto"/>
            </w:tcBorders>
            <w:vAlign w:val="bottom"/>
          </w:tcPr>
          <w:p w14:paraId="40411383" w14:textId="77777777" w:rsidR="002F3255" w:rsidRPr="00C44BAB" w:rsidRDefault="002F3255">
            <w:pPr>
              <w:jc w:val="right"/>
              <w:rPr>
                <w:rFonts w:asciiTheme="minorHAnsi" w:eastAsia="Times New Roman" w:hAnsiTheme="minorHAnsi" w:cstheme="minorHAnsi"/>
                <w:sz w:val="18"/>
                <w:szCs w:val="18"/>
                <w:lang w:val="es-ES"/>
              </w:rPr>
            </w:pPr>
          </w:p>
        </w:tc>
        <w:tc>
          <w:tcPr>
            <w:tcW w:w="339" w:type="dxa"/>
            <w:tcBorders>
              <w:bottom w:val="single" w:sz="4" w:space="0" w:color="auto"/>
            </w:tcBorders>
            <w:vAlign w:val="bottom"/>
          </w:tcPr>
          <w:p w14:paraId="40411384" w14:textId="77777777" w:rsidR="002F3255" w:rsidRPr="00C44BAB" w:rsidRDefault="002F3255" w:rsidP="00C44BAB">
            <w:pPr>
              <w:ind w:left="-74"/>
              <w:rPr>
                <w:rFonts w:asciiTheme="minorHAnsi" w:eastAsia="Times New Roman" w:hAnsiTheme="minorHAnsi" w:cstheme="minorHAnsi"/>
                <w:sz w:val="18"/>
                <w:szCs w:val="18"/>
                <w:lang w:val="es-ES"/>
              </w:rPr>
            </w:pPr>
          </w:p>
        </w:tc>
        <w:tc>
          <w:tcPr>
            <w:tcW w:w="856" w:type="dxa"/>
            <w:gridSpan w:val="3"/>
            <w:tcBorders>
              <w:bottom w:val="single" w:sz="4" w:space="0" w:color="auto"/>
            </w:tcBorders>
            <w:vAlign w:val="bottom"/>
          </w:tcPr>
          <w:p w14:paraId="40411385" w14:textId="77777777" w:rsidR="002F3255" w:rsidRPr="00C44BAB" w:rsidRDefault="002F3255">
            <w:pPr>
              <w:jc w:val="right"/>
              <w:rPr>
                <w:rFonts w:asciiTheme="minorHAnsi" w:eastAsia="Times New Roman" w:hAnsiTheme="minorHAnsi" w:cstheme="minorHAnsi"/>
                <w:sz w:val="18"/>
                <w:szCs w:val="18"/>
                <w:lang w:val="es-ES"/>
              </w:rPr>
            </w:pPr>
          </w:p>
        </w:tc>
      </w:tr>
      <w:tr w:rsidR="002F3255" w:rsidRPr="00C44BAB" w14:paraId="40411392" w14:textId="77777777" w:rsidTr="00BA1BD1">
        <w:trPr>
          <w:trHeight w:val="300"/>
          <w:jc w:val="center"/>
        </w:trPr>
        <w:tc>
          <w:tcPr>
            <w:tcW w:w="1725" w:type="dxa"/>
            <w:gridSpan w:val="3"/>
            <w:tcBorders>
              <w:top w:val="single" w:sz="4" w:space="0" w:color="auto"/>
              <w:bottom w:val="single" w:sz="4" w:space="0" w:color="auto"/>
            </w:tcBorders>
            <w:vAlign w:val="center"/>
          </w:tcPr>
          <w:p w14:paraId="40411387" w14:textId="77777777" w:rsidR="002F3255" w:rsidRPr="00C44BAB" w:rsidRDefault="002F3255">
            <w:pPr>
              <w:keepNext/>
              <w:keepLines/>
              <w:rPr>
                <w:rFonts w:asciiTheme="minorHAnsi" w:eastAsia="Times New Roman" w:hAnsiTheme="minorHAnsi" w:cstheme="minorHAnsi"/>
                <w:lang w:val="es-ES"/>
              </w:rPr>
            </w:pPr>
            <w:r w:rsidRPr="00C44BAB">
              <w:rPr>
                <w:rFonts w:asciiTheme="minorHAnsi" w:eastAsia="Times New Roman" w:hAnsiTheme="minorHAnsi" w:cstheme="minorHAnsi"/>
                <w:b/>
                <w:bCs/>
                <w:color w:val="000000"/>
                <w:sz w:val="18"/>
                <w:szCs w:val="18"/>
                <w:lang w:val="es-ES"/>
              </w:rPr>
              <w:t>Subtotal</w:t>
            </w:r>
          </w:p>
        </w:tc>
        <w:tc>
          <w:tcPr>
            <w:tcW w:w="990" w:type="dxa"/>
            <w:tcBorders>
              <w:top w:val="single" w:sz="4" w:space="0" w:color="auto"/>
              <w:bottom w:val="single" w:sz="4" w:space="0" w:color="auto"/>
            </w:tcBorders>
            <w:vAlign w:val="center"/>
          </w:tcPr>
          <w:p w14:paraId="40411388"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5</w:t>
            </w:r>
            <w:r w:rsidR="00C44BAB">
              <w:rPr>
                <w:rFonts w:asciiTheme="minorHAnsi" w:eastAsia="Times New Roman" w:hAnsiTheme="minorHAnsi" w:cstheme="minorHAnsi"/>
                <w:b/>
                <w:bCs/>
                <w:color w:val="000000"/>
                <w:sz w:val="18"/>
                <w:szCs w:val="18"/>
                <w:lang w:val="es-ES"/>
              </w:rPr>
              <w:t xml:space="preserve"> </w:t>
            </w:r>
            <w:r w:rsidRPr="00C44BAB">
              <w:rPr>
                <w:rFonts w:asciiTheme="minorHAnsi" w:eastAsia="Times New Roman" w:hAnsiTheme="minorHAnsi" w:cstheme="minorHAnsi"/>
                <w:b/>
                <w:bCs/>
                <w:color w:val="000000"/>
                <w:sz w:val="18"/>
                <w:szCs w:val="18"/>
                <w:lang w:val="es-ES"/>
              </w:rPr>
              <w:t>304,3</w:t>
            </w:r>
          </w:p>
        </w:tc>
        <w:tc>
          <w:tcPr>
            <w:tcW w:w="244" w:type="dxa"/>
            <w:tcBorders>
              <w:top w:val="single" w:sz="4" w:space="0" w:color="auto"/>
              <w:bottom w:val="single" w:sz="4" w:space="0" w:color="auto"/>
            </w:tcBorders>
            <w:vAlign w:val="center"/>
          </w:tcPr>
          <w:p w14:paraId="40411389" w14:textId="77777777" w:rsidR="002F3255" w:rsidRPr="00C44BAB" w:rsidRDefault="002F3255" w:rsidP="00C44BAB">
            <w:pPr>
              <w:keepNext/>
              <w:keepLines/>
              <w:ind w:right="-131"/>
              <w:jc w:val="center"/>
              <w:rPr>
                <w:rFonts w:asciiTheme="minorHAnsi" w:eastAsia="Times New Roman" w:hAnsiTheme="minorHAnsi" w:cstheme="minorHAnsi"/>
                <w:b/>
                <w:bCs/>
                <w:color w:val="000000"/>
                <w:sz w:val="18"/>
                <w:szCs w:val="18"/>
                <w:lang w:val="es-ES"/>
              </w:rPr>
            </w:pPr>
          </w:p>
        </w:tc>
        <w:tc>
          <w:tcPr>
            <w:tcW w:w="1130" w:type="dxa"/>
            <w:tcBorders>
              <w:top w:val="single" w:sz="4" w:space="0" w:color="auto"/>
              <w:bottom w:val="single" w:sz="4" w:space="0" w:color="auto"/>
            </w:tcBorders>
            <w:vAlign w:val="center"/>
          </w:tcPr>
          <w:p w14:paraId="4041138A"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6</w:t>
            </w:r>
            <w:r w:rsidR="00C44BAB">
              <w:rPr>
                <w:rFonts w:asciiTheme="minorHAnsi" w:eastAsia="Times New Roman" w:hAnsiTheme="minorHAnsi" w:cstheme="minorHAnsi"/>
                <w:b/>
                <w:bCs/>
                <w:color w:val="000000"/>
                <w:sz w:val="18"/>
                <w:szCs w:val="18"/>
                <w:lang w:val="es-ES"/>
              </w:rPr>
              <w:t xml:space="preserve"> </w:t>
            </w:r>
            <w:r w:rsidRPr="00C44BAB">
              <w:rPr>
                <w:rFonts w:asciiTheme="minorHAnsi" w:eastAsia="Times New Roman" w:hAnsiTheme="minorHAnsi" w:cstheme="minorHAnsi"/>
                <w:b/>
                <w:bCs/>
                <w:color w:val="000000"/>
                <w:sz w:val="18"/>
                <w:szCs w:val="18"/>
                <w:lang w:val="es-ES"/>
              </w:rPr>
              <w:t>206,2</w:t>
            </w:r>
          </w:p>
        </w:tc>
        <w:tc>
          <w:tcPr>
            <w:tcW w:w="1130" w:type="dxa"/>
            <w:tcBorders>
              <w:top w:val="single" w:sz="4" w:space="0" w:color="auto"/>
              <w:bottom w:val="single" w:sz="4" w:space="0" w:color="auto"/>
            </w:tcBorders>
            <w:vAlign w:val="center"/>
          </w:tcPr>
          <w:p w14:paraId="4041138B"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5</w:t>
            </w:r>
            <w:r w:rsidR="00C44BAB">
              <w:rPr>
                <w:rFonts w:asciiTheme="minorHAnsi" w:eastAsia="Times New Roman" w:hAnsiTheme="minorHAnsi" w:cstheme="minorHAnsi"/>
                <w:b/>
                <w:bCs/>
                <w:color w:val="000000"/>
                <w:sz w:val="18"/>
                <w:szCs w:val="18"/>
                <w:lang w:val="es-ES"/>
              </w:rPr>
              <w:t xml:space="preserve"> </w:t>
            </w:r>
            <w:r w:rsidRPr="00C44BAB">
              <w:rPr>
                <w:rFonts w:asciiTheme="minorHAnsi" w:eastAsia="Times New Roman" w:hAnsiTheme="minorHAnsi" w:cstheme="minorHAnsi"/>
                <w:b/>
                <w:bCs/>
                <w:color w:val="000000"/>
                <w:sz w:val="18"/>
                <w:szCs w:val="18"/>
                <w:lang w:val="es-ES"/>
              </w:rPr>
              <w:t>481,6</w:t>
            </w:r>
          </w:p>
        </w:tc>
        <w:tc>
          <w:tcPr>
            <w:tcW w:w="710" w:type="dxa"/>
            <w:gridSpan w:val="2"/>
            <w:tcBorders>
              <w:top w:val="single" w:sz="4" w:space="0" w:color="auto"/>
              <w:bottom w:val="single" w:sz="4" w:space="0" w:color="auto"/>
            </w:tcBorders>
            <w:vAlign w:val="center"/>
          </w:tcPr>
          <w:p w14:paraId="4041138C" w14:textId="77777777" w:rsidR="002F3255" w:rsidRPr="00C44BAB" w:rsidRDefault="002F3255">
            <w:pPr>
              <w:keepNext/>
              <w:keepLines/>
              <w:jc w:val="center"/>
              <w:rPr>
                <w:rFonts w:asciiTheme="minorHAnsi" w:eastAsia="Times New Roman" w:hAnsiTheme="minorHAnsi" w:cstheme="minorHAnsi"/>
                <w:b/>
                <w:bCs/>
                <w:color w:val="000000"/>
                <w:sz w:val="18"/>
                <w:szCs w:val="18"/>
                <w:lang w:val="es-ES"/>
              </w:rPr>
            </w:pPr>
          </w:p>
        </w:tc>
        <w:tc>
          <w:tcPr>
            <w:tcW w:w="873" w:type="dxa"/>
            <w:gridSpan w:val="2"/>
            <w:tcBorders>
              <w:top w:val="single" w:sz="4" w:space="0" w:color="auto"/>
              <w:bottom w:val="single" w:sz="4" w:space="0" w:color="auto"/>
            </w:tcBorders>
            <w:vAlign w:val="center"/>
          </w:tcPr>
          <w:p w14:paraId="4041138D"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14</w:t>
            </w:r>
          </w:p>
        </w:tc>
        <w:tc>
          <w:tcPr>
            <w:tcW w:w="376" w:type="dxa"/>
            <w:tcBorders>
              <w:top w:val="single" w:sz="4" w:space="0" w:color="auto"/>
              <w:bottom w:val="single" w:sz="4" w:space="0" w:color="auto"/>
            </w:tcBorders>
            <w:vAlign w:val="center"/>
          </w:tcPr>
          <w:p w14:paraId="4041138E" w14:textId="77777777" w:rsidR="002F3255" w:rsidRPr="00C44BAB" w:rsidRDefault="002F3255">
            <w:pPr>
              <w:keepNext/>
              <w:keepLines/>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 </w:t>
            </w:r>
          </w:p>
        </w:tc>
        <w:tc>
          <w:tcPr>
            <w:tcW w:w="900" w:type="dxa"/>
            <w:tcBorders>
              <w:top w:val="single" w:sz="4" w:space="0" w:color="auto"/>
              <w:bottom w:val="single" w:sz="4" w:space="0" w:color="auto"/>
            </w:tcBorders>
            <w:vAlign w:val="center"/>
          </w:tcPr>
          <w:p w14:paraId="4041138F"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17</w:t>
            </w:r>
          </w:p>
        </w:tc>
        <w:tc>
          <w:tcPr>
            <w:tcW w:w="339" w:type="dxa"/>
            <w:tcBorders>
              <w:top w:val="single" w:sz="4" w:space="0" w:color="auto"/>
              <w:bottom w:val="single" w:sz="4" w:space="0" w:color="auto"/>
            </w:tcBorders>
            <w:vAlign w:val="center"/>
          </w:tcPr>
          <w:p w14:paraId="40411390" w14:textId="77777777" w:rsidR="002F3255" w:rsidRPr="00C44BAB" w:rsidRDefault="002F3255" w:rsidP="00C44BAB">
            <w:pPr>
              <w:keepNext/>
              <w:keepLines/>
              <w:ind w:left="-74"/>
              <w:jc w:val="right"/>
              <w:rPr>
                <w:rFonts w:asciiTheme="minorHAnsi" w:eastAsia="Times New Roman" w:hAnsiTheme="minorHAnsi" w:cstheme="minorHAnsi"/>
                <w:b/>
                <w:bCs/>
                <w:color w:val="000000"/>
                <w:sz w:val="18"/>
                <w:szCs w:val="18"/>
                <w:lang w:val="es-ES"/>
              </w:rPr>
            </w:pPr>
          </w:p>
        </w:tc>
        <w:tc>
          <w:tcPr>
            <w:tcW w:w="856" w:type="dxa"/>
            <w:gridSpan w:val="3"/>
            <w:tcBorders>
              <w:top w:val="single" w:sz="4" w:space="0" w:color="auto"/>
              <w:bottom w:val="single" w:sz="4" w:space="0" w:color="auto"/>
            </w:tcBorders>
            <w:vAlign w:val="center"/>
          </w:tcPr>
          <w:p w14:paraId="40411391"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19</w:t>
            </w:r>
          </w:p>
        </w:tc>
      </w:tr>
      <w:tr w:rsidR="002F3255" w:rsidRPr="00C44BAB" w14:paraId="4041139E" w14:textId="77777777" w:rsidTr="00BA1BD1">
        <w:trPr>
          <w:trHeight w:val="310"/>
          <w:jc w:val="center"/>
        </w:trPr>
        <w:tc>
          <w:tcPr>
            <w:tcW w:w="1725" w:type="dxa"/>
            <w:gridSpan w:val="3"/>
            <w:tcBorders>
              <w:top w:val="single" w:sz="4" w:space="0" w:color="auto"/>
            </w:tcBorders>
            <w:vAlign w:val="center"/>
          </w:tcPr>
          <w:p w14:paraId="40411393"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8"/>
                <w:szCs w:val="18"/>
                <w:lang w:val="es-ES"/>
              </w:rPr>
              <w:t>Gastos de apoyo a los programas (</w:t>
            </w:r>
            <w:r w:rsidR="00BA1BD1">
              <w:rPr>
                <w:rFonts w:asciiTheme="minorHAnsi" w:eastAsia="Times New Roman" w:hAnsiTheme="minorHAnsi" w:cstheme="minorHAnsi"/>
                <w:color w:val="000000"/>
                <w:sz w:val="18"/>
                <w:szCs w:val="18"/>
                <w:lang w:val="es-ES"/>
              </w:rPr>
              <w:t>OTA</w:t>
            </w:r>
            <w:r w:rsidRPr="00C44BAB">
              <w:rPr>
                <w:rFonts w:asciiTheme="minorHAnsi" w:eastAsia="Times New Roman" w:hAnsiTheme="minorHAnsi" w:cstheme="minorHAnsi"/>
                <w:color w:val="000000"/>
                <w:sz w:val="18"/>
                <w:szCs w:val="18"/>
                <w:lang w:val="es-ES"/>
              </w:rPr>
              <w:t>)</w:t>
            </w:r>
          </w:p>
        </w:tc>
        <w:tc>
          <w:tcPr>
            <w:tcW w:w="990" w:type="dxa"/>
            <w:tcBorders>
              <w:top w:val="single" w:sz="4" w:space="0" w:color="auto"/>
            </w:tcBorders>
            <w:vAlign w:val="center"/>
          </w:tcPr>
          <w:p w14:paraId="40411394" w14:textId="77777777" w:rsidR="002F3255" w:rsidRPr="00C44BAB" w:rsidRDefault="002F3255">
            <w:pPr>
              <w:rPr>
                <w:rFonts w:asciiTheme="minorHAnsi" w:eastAsia="Times New Roman" w:hAnsiTheme="minorHAnsi" w:cstheme="minorHAnsi"/>
                <w:color w:val="000000"/>
                <w:sz w:val="18"/>
                <w:szCs w:val="18"/>
                <w:lang w:val="es-ES"/>
              </w:rPr>
            </w:pPr>
          </w:p>
        </w:tc>
        <w:tc>
          <w:tcPr>
            <w:tcW w:w="244" w:type="dxa"/>
            <w:tcBorders>
              <w:top w:val="single" w:sz="4" w:space="0" w:color="auto"/>
            </w:tcBorders>
            <w:vAlign w:val="bottom"/>
          </w:tcPr>
          <w:p w14:paraId="40411395" w14:textId="77777777" w:rsidR="002F3255" w:rsidRPr="00C44BAB" w:rsidRDefault="002F3255" w:rsidP="00C44BAB">
            <w:pPr>
              <w:ind w:right="-131"/>
              <w:jc w:val="center"/>
              <w:rPr>
                <w:rFonts w:asciiTheme="minorHAnsi" w:eastAsia="Times New Roman" w:hAnsiTheme="minorHAnsi" w:cstheme="minorHAnsi"/>
                <w:sz w:val="18"/>
                <w:szCs w:val="18"/>
                <w:lang w:val="es-ES"/>
              </w:rPr>
            </w:pPr>
          </w:p>
        </w:tc>
        <w:tc>
          <w:tcPr>
            <w:tcW w:w="1130" w:type="dxa"/>
            <w:tcBorders>
              <w:top w:val="single" w:sz="4" w:space="0" w:color="auto"/>
            </w:tcBorders>
            <w:vAlign w:val="center"/>
          </w:tcPr>
          <w:p w14:paraId="40411396" w14:textId="77777777" w:rsidR="002F3255" w:rsidRPr="00C44BAB" w:rsidRDefault="002F3255">
            <w:pPr>
              <w:rPr>
                <w:rFonts w:asciiTheme="minorHAnsi" w:eastAsia="Times New Roman" w:hAnsiTheme="minorHAnsi" w:cstheme="minorHAnsi"/>
                <w:sz w:val="18"/>
                <w:szCs w:val="18"/>
                <w:lang w:val="es-ES"/>
              </w:rPr>
            </w:pPr>
          </w:p>
        </w:tc>
        <w:tc>
          <w:tcPr>
            <w:tcW w:w="1130" w:type="dxa"/>
            <w:tcBorders>
              <w:top w:val="single" w:sz="4" w:space="0" w:color="auto"/>
            </w:tcBorders>
            <w:vAlign w:val="center"/>
          </w:tcPr>
          <w:p w14:paraId="40411397" w14:textId="77777777" w:rsidR="002F3255" w:rsidRPr="00C44BAB" w:rsidRDefault="002F3255">
            <w:pPr>
              <w:rPr>
                <w:rFonts w:asciiTheme="minorHAnsi" w:eastAsia="Times New Roman" w:hAnsiTheme="minorHAnsi" w:cstheme="minorHAnsi"/>
                <w:sz w:val="18"/>
                <w:szCs w:val="18"/>
                <w:lang w:val="es-ES"/>
              </w:rPr>
            </w:pPr>
          </w:p>
        </w:tc>
        <w:tc>
          <w:tcPr>
            <w:tcW w:w="710" w:type="dxa"/>
            <w:gridSpan w:val="2"/>
            <w:tcBorders>
              <w:top w:val="single" w:sz="4" w:space="0" w:color="auto"/>
            </w:tcBorders>
            <w:vAlign w:val="bottom"/>
          </w:tcPr>
          <w:p w14:paraId="40411398" w14:textId="77777777" w:rsidR="002F3255" w:rsidRPr="00C44BAB" w:rsidRDefault="002F3255">
            <w:pPr>
              <w:rPr>
                <w:rFonts w:asciiTheme="minorHAnsi" w:eastAsia="Times New Roman" w:hAnsiTheme="minorHAnsi" w:cstheme="minorHAnsi"/>
                <w:sz w:val="18"/>
                <w:szCs w:val="18"/>
                <w:lang w:val="es-ES"/>
              </w:rPr>
            </w:pPr>
          </w:p>
        </w:tc>
        <w:tc>
          <w:tcPr>
            <w:tcW w:w="873" w:type="dxa"/>
            <w:gridSpan w:val="2"/>
            <w:tcBorders>
              <w:top w:val="single" w:sz="4" w:space="0" w:color="auto"/>
            </w:tcBorders>
            <w:vAlign w:val="center"/>
          </w:tcPr>
          <w:p w14:paraId="40411399"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1</w:t>
            </w:r>
          </w:p>
        </w:tc>
        <w:tc>
          <w:tcPr>
            <w:tcW w:w="376" w:type="dxa"/>
            <w:tcBorders>
              <w:top w:val="single" w:sz="4" w:space="0" w:color="auto"/>
            </w:tcBorders>
            <w:vAlign w:val="center"/>
          </w:tcPr>
          <w:p w14:paraId="4041139A" w14:textId="77777777" w:rsidR="002F3255" w:rsidRPr="00C44BAB" w:rsidRDefault="002F3255">
            <w:pPr>
              <w:keepNext/>
              <w:keepLines/>
              <w:rPr>
                <w:rFonts w:asciiTheme="minorHAnsi" w:eastAsia="Times New Roman" w:hAnsiTheme="minorHAnsi" w:cstheme="minorHAnsi"/>
                <w:lang w:val="es-ES"/>
              </w:rPr>
            </w:pPr>
            <w:r w:rsidRPr="00C44BAB">
              <w:rPr>
                <w:rFonts w:asciiTheme="minorHAnsi" w:eastAsia="Times New Roman" w:hAnsiTheme="minorHAnsi" w:cstheme="minorHAnsi"/>
                <w:sz w:val="16"/>
                <w:szCs w:val="16"/>
                <w:lang w:val="es-ES"/>
              </w:rPr>
              <w:t>c/</w:t>
            </w:r>
          </w:p>
        </w:tc>
        <w:tc>
          <w:tcPr>
            <w:tcW w:w="900" w:type="dxa"/>
            <w:tcBorders>
              <w:top w:val="single" w:sz="4" w:space="0" w:color="auto"/>
            </w:tcBorders>
            <w:vAlign w:val="center"/>
          </w:tcPr>
          <w:p w14:paraId="4041139B"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3</w:t>
            </w:r>
          </w:p>
        </w:tc>
        <w:tc>
          <w:tcPr>
            <w:tcW w:w="339" w:type="dxa"/>
            <w:tcBorders>
              <w:top w:val="single" w:sz="4" w:space="0" w:color="auto"/>
            </w:tcBorders>
            <w:vAlign w:val="center"/>
          </w:tcPr>
          <w:p w14:paraId="4041139C" w14:textId="77777777" w:rsidR="002F3255" w:rsidRPr="00C44BAB" w:rsidRDefault="002F3255" w:rsidP="00C44BAB">
            <w:pPr>
              <w:keepNext/>
              <w:keepLines/>
              <w:ind w:left="-74"/>
              <w:jc w:val="right"/>
              <w:rPr>
                <w:rFonts w:asciiTheme="minorHAnsi" w:eastAsia="Times New Roman" w:hAnsiTheme="minorHAnsi" w:cstheme="minorHAnsi"/>
                <w:color w:val="000000"/>
                <w:sz w:val="16"/>
                <w:szCs w:val="16"/>
                <w:lang w:val="es-ES"/>
              </w:rPr>
            </w:pPr>
            <w:r w:rsidRPr="00C44BAB">
              <w:rPr>
                <w:rFonts w:asciiTheme="minorHAnsi" w:eastAsia="Times New Roman" w:hAnsiTheme="minorHAnsi" w:cstheme="minorHAnsi"/>
                <w:color w:val="000000"/>
                <w:sz w:val="16"/>
                <w:szCs w:val="16"/>
                <w:lang w:val="es-ES"/>
              </w:rPr>
              <w:t>e/</w:t>
            </w:r>
          </w:p>
        </w:tc>
        <w:tc>
          <w:tcPr>
            <w:tcW w:w="856" w:type="dxa"/>
            <w:gridSpan w:val="3"/>
            <w:tcBorders>
              <w:top w:val="single" w:sz="4" w:space="0" w:color="auto"/>
            </w:tcBorders>
            <w:vAlign w:val="center"/>
          </w:tcPr>
          <w:p w14:paraId="4041139D"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3</w:t>
            </w:r>
          </w:p>
        </w:tc>
      </w:tr>
      <w:tr w:rsidR="002F3255" w:rsidRPr="00C44BAB" w14:paraId="404113AA" w14:textId="77777777" w:rsidTr="00BA1BD1">
        <w:trPr>
          <w:trHeight w:val="320"/>
          <w:jc w:val="center"/>
        </w:trPr>
        <w:tc>
          <w:tcPr>
            <w:tcW w:w="1725" w:type="dxa"/>
            <w:gridSpan w:val="3"/>
            <w:tcBorders>
              <w:bottom w:val="single" w:sz="4" w:space="0" w:color="auto"/>
            </w:tcBorders>
            <w:vAlign w:val="center"/>
          </w:tcPr>
          <w:p w14:paraId="4041139F"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8"/>
                <w:szCs w:val="18"/>
                <w:lang w:val="es-ES"/>
              </w:rPr>
              <w:t>R</w:t>
            </w:r>
            <w:r w:rsidR="00BA1BD1">
              <w:rPr>
                <w:rFonts w:asciiTheme="minorHAnsi" w:eastAsia="Times New Roman" w:hAnsiTheme="minorHAnsi" w:cstheme="minorHAnsi"/>
                <w:color w:val="000000"/>
                <w:sz w:val="18"/>
                <w:szCs w:val="18"/>
                <w:lang w:val="es-ES"/>
              </w:rPr>
              <w:t xml:space="preserve">ecursos </w:t>
            </w:r>
            <w:proofErr w:type="spellStart"/>
            <w:r w:rsidR="00BA1BD1">
              <w:rPr>
                <w:rFonts w:asciiTheme="minorHAnsi" w:eastAsia="Times New Roman" w:hAnsiTheme="minorHAnsi" w:cstheme="minorHAnsi"/>
                <w:color w:val="000000"/>
                <w:sz w:val="18"/>
                <w:szCs w:val="18"/>
                <w:lang w:val="es-ES"/>
              </w:rPr>
              <w:t>extra-presupuestales</w:t>
            </w:r>
            <w:proofErr w:type="spellEnd"/>
            <w:r w:rsidR="00BA1BD1">
              <w:rPr>
                <w:rFonts w:asciiTheme="minorHAnsi" w:eastAsia="Times New Roman" w:hAnsiTheme="minorHAnsi" w:cstheme="minorHAnsi"/>
                <w:color w:val="000000"/>
                <w:sz w:val="18"/>
                <w:szCs w:val="18"/>
                <w:lang w:val="es-ES"/>
              </w:rPr>
              <w:t xml:space="preserve"> (RE)</w:t>
            </w:r>
          </w:p>
        </w:tc>
        <w:tc>
          <w:tcPr>
            <w:tcW w:w="990" w:type="dxa"/>
            <w:tcBorders>
              <w:bottom w:val="single" w:sz="4" w:space="0" w:color="auto"/>
            </w:tcBorders>
            <w:vAlign w:val="center"/>
          </w:tcPr>
          <w:p w14:paraId="404113A0" w14:textId="77777777" w:rsidR="002F3255" w:rsidRPr="00C44BAB" w:rsidRDefault="002F3255">
            <w:pPr>
              <w:rPr>
                <w:rFonts w:asciiTheme="minorHAnsi" w:eastAsia="Times New Roman" w:hAnsiTheme="minorHAnsi" w:cstheme="minorHAnsi"/>
                <w:color w:val="000000"/>
                <w:sz w:val="18"/>
                <w:szCs w:val="18"/>
                <w:lang w:val="es-ES"/>
              </w:rPr>
            </w:pPr>
          </w:p>
        </w:tc>
        <w:tc>
          <w:tcPr>
            <w:tcW w:w="244" w:type="dxa"/>
            <w:tcBorders>
              <w:bottom w:val="single" w:sz="4" w:space="0" w:color="auto"/>
            </w:tcBorders>
            <w:vAlign w:val="bottom"/>
          </w:tcPr>
          <w:p w14:paraId="404113A1" w14:textId="77777777" w:rsidR="002F3255" w:rsidRPr="00C44BAB" w:rsidRDefault="002F3255" w:rsidP="00C44BAB">
            <w:pPr>
              <w:ind w:right="-131"/>
              <w:jc w:val="center"/>
              <w:rPr>
                <w:rFonts w:asciiTheme="minorHAnsi" w:eastAsia="Times New Roman" w:hAnsiTheme="minorHAnsi" w:cstheme="minorHAnsi"/>
                <w:sz w:val="18"/>
                <w:szCs w:val="18"/>
                <w:lang w:val="es-ES"/>
              </w:rPr>
            </w:pPr>
          </w:p>
        </w:tc>
        <w:tc>
          <w:tcPr>
            <w:tcW w:w="1130" w:type="dxa"/>
            <w:tcBorders>
              <w:bottom w:val="single" w:sz="4" w:space="0" w:color="auto"/>
            </w:tcBorders>
            <w:vAlign w:val="center"/>
          </w:tcPr>
          <w:p w14:paraId="404113A2" w14:textId="77777777" w:rsidR="002F3255" w:rsidRPr="00C44BAB" w:rsidRDefault="002F3255">
            <w:pPr>
              <w:rPr>
                <w:rFonts w:asciiTheme="minorHAnsi" w:eastAsia="Times New Roman" w:hAnsiTheme="minorHAnsi" w:cstheme="minorHAnsi"/>
                <w:sz w:val="18"/>
                <w:szCs w:val="18"/>
                <w:lang w:val="es-ES"/>
              </w:rPr>
            </w:pPr>
          </w:p>
        </w:tc>
        <w:tc>
          <w:tcPr>
            <w:tcW w:w="1130" w:type="dxa"/>
            <w:tcBorders>
              <w:bottom w:val="single" w:sz="4" w:space="0" w:color="auto"/>
            </w:tcBorders>
            <w:vAlign w:val="center"/>
          </w:tcPr>
          <w:p w14:paraId="404113A3" w14:textId="77777777" w:rsidR="002F3255" w:rsidRPr="00C44BAB" w:rsidRDefault="002F3255">
            <w:pPr>
              <w:rPr>
                <w:rFonts w:asciiTheme="minorHAnsi" w:eastAsia="Times New Roman" w:hAnsiTheme="minorHAnsi" w:cstheme="minorHAnsi"/>
                <w:sz w:val="18"/>
                <w:szCs w:val="18"/>
                <w:lang w:val="es-ES"/>
              </w:rPr>
            </w:pPr>
          </w:p>
        </w:tc>
        <w:tc>
          <w:tcPr>
            <w:tcW w:w="710" w:type="dxa"/>
            <w:gridSpan w:val="2"/>
            <w:tcBorders>
              <w:bottom w:val="single" w:sz="4" w:space="0" w:color="auto"/>
            </w:tcBorders>
            <w:vAlign w:val="bottom"/>
          </w:tcPr>
          <w:p w14:paraId="404113A4" w14:textId="77777777" w:rsidR="002F3255" w:rsidRPr="00C44BAB" w:rsidRDefault="002F3255">
            <w:pPr>
              <w:rPr>
                <w:rFonts w:asciiTheme="minorHAnsi" w:eastAsia="Times New Roman" w:hAnsiTheme="minorHAnsi" w:cstheme="minorHAnsi"/>
                <w:sz w:val="18"/>
                <w:szCs w:val="18"/>
                <w:lang w:val="es-ES"/>
              </w:rPr>
            </w:pPr>
          </w:p>
        </w:tc>
        <w:tc>
          <w:tcPr>
            <w:tcW w:w="873" w:type="dxa"/>
            <w:gridSpan w:val="2"/>
            <w:tcBorders>
              <w:bottom w:val="single" w:sz="4" w:space="0" w:color="auto"/>
            </w:tcBorders>
            <w:vAlign w:val="center"/>
          </w:tcPr>
          <w:p w14:paraId="404113A5"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7</w:t>
            </w:r>
          </w:p>
        </w:tc>
        <w:tc>
          <w:tcPr>
            <w:tcW w:w="376" w:type="dxa"/>
            <w:tcBorders>
              <w:bottom w:val="single" w:sz="4" w:space="0" w:color="auto"/>
            </w:tcBorders>
            <w:vAlign w:val="center"/>
          </w:tcPr>
          <w:p w14:paraId="404113A6" w14:textId="77777777" w:rsidR="002F3255" w:rsidRPr="00C44BAB" w:rsidRDefault="002F3255">
            <w:pPr>
              <w:keepNext/>
              <w:keepLines/>
              <w:rPr>
                <w:rFonts w:asciiTheme="minorHAnsi" w:eastAsia="Times New Roman" w:hAnsiTheme="minorHAnsi" w:cstheme="minorHAnsi"/>
                <w:color w:val="000000"/>
                <w:sz w:val="16"/>
                <w:szCs w:val="16"/>
                <w:lang w:val="es-ES"/>
              </w:rPr>
            </w:pPr>
            <w:r w:rsidRPr="00C44BAB">
              <w:rPr>
                <w:rFonts w:asciiTheme="minorHAnsi" w:eastAsia="Times New Roman" w:hAnsiTheme="minorHAnsi" w:cstheme="minorHAnsi"/>
                <w:color w:val="000000"/>
                <w:sz w:val="16"/>
                <w:szCs w:val="16"/>
                <w:lang w:val="es-ES"/>
              </w:rPr>
              <w:t>d/</w:t>
            </w:r>
          </w:p>
        </w:tc>
        <w:tc>
          <w:tcPr>
            <w:tcW w:w="900" w:type="dxa"/>
            <w:tcBorders>
              <w:bottom w:val="single" w:sz="4" w:space="0" w:color="auto"/>
            </w:tcBorders>
            <w:vAlign w:val="center"/>
          </w:tcPr>
          <w:p w14:paraId="404113A7"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8</w:t>
            </w:r>
          </w:p>
        </w:tc>
        <w:tc>
          <w:tcPr>
            <w:tcW w:w="339" w:type="dxa"/>
            <w:tcBorders>
              <w:bottom w:val="single" w:sz="4" w:space="0" w:color="auto"/>
            </w:tcBorders>
            <w:vAlign w:val="center"/>
          </w:tcPr>
          <w:p w14:paraId="404113A8" w14:textId="77777777" w:rsidR="002F3255" w:rsidRPr="00C44BAB" w:rsidRDefault="002F3255" w:rsidP="00C44BAB">
            <w:pPr>
              <w:keepNext/>
              <w:keepLines/>
              <w:ind w:left="-74"/>
              <w:jc w:val="right"/>
              <w:rPr>
                <w:rFonts w:asciiTheme="minorHAnsi" w:eastAsia="Times New Roman" w:hAnsiTheme="minorHAnsi" w:cstheme="minorHAnsi"/>
                <w:color w:val="000000"/>
                <w:sz w:val="16"/>
                <w:szCs w:val="16"/>
                <w:lang w:val="es-ES"/>
              </w:rPr>
            </w:pPr>
            <w:r w:rsidRPr="00C44BAB">
              <w:rPr>
                <w:rFonts w:asciiTheme="minorHAnsi" w:eastAsia="Times New Roman" w:hAnsiTheme="minorHAnsi" w:cstheme="minorHAnsi"/>
                <w:color w:val="000000"/>
                <w:sz w:val="16"/>
                <w:szCs w:val="16"/>
                <w:lang w:val="es-ES"/>
              </w:rPr>
              <w:t>f/</w:t>
            </w:r>
          </w:p>
        </w:tc>
        <w:tc>
          <w:tcPr>
            <w:tcW w:w="856" w:type="dxa"/>
            <w:gridSpan w:val="3"/>
            <w:tcBorders>
              <w:bottom w:val="single" w:sz="4" w:space="0" w:color="auto"/>
            </w:tcBorders>
            <w:vAlign w:val="center"/>
          </w:tcPr>
          <w:p w14:paraId="404113A9" w14:textId="77777777" w:rsidR="002F3255" w:rsidRPr="00C44BAB" w:rsidRDefault="002F3255">
            <w:pPr>
              <w:keepNext/>
              <w:keepLines/>
              <w:jc w:val="right"/>
              <w:rPr>
                <w:rFonts w:asciiTheme="minorHAnsi" w:eastAsia="Times New Roman" w:hAnsiTheme="minorHAnsi" w:cstheme="minorHAnsi"/>
                <w:color w:val="000000"/>
                <w:sz w:val="18"/>
                <w:szCs w:val="18"/>
                <w:lang w:val="es-ES"/>
              </w:rPr>
            </w:pPr>
            <w:r w:rsidRPr="00C44BAB">
              <w:rPr>
                <w:rFonts w:asciiTheme="minorHAnsi" w:eastAsia="Times New Roman" w:hAnsiTheme="minorHAnsi" w:cstheme="minorHAnsi"/>
                <w:color w:val="000000"/>
                <w:sz w:val="18"/>
                <w:szCs w:val="18"/>
                <w:lang w:val="es-ES"/>
              </w:rPr>
              <w:t>7</w:t>
            </w:r>
          </w:p>
        </w:tc>
      </w:tr>
      <w:tr w:rsidR="002F3255" w:rsidRPr="00C44BAB" w14:paraId="404113B6" w14:textId="77777777" w:rsidTr="00BA1BD1">
        <w:trPr>
          <w:trHeight w:val="300"/>
          <w:jc w:val="center"/>
        </w:trPr>
        <w:tc>
          <w:tcPr>
            <w:tcW w:w="1725" w:type="dxa"/>
            <w:gridSpan w:val="3"/>
            <w:tcBorders>
              <w:top w:val="single" w:sz="4" w:space="0" w:color="auto"/>
              <w:bottom w:val="single" w:sz="4" w:space="0" w:color="auto"/>
            </w:tcBorders>
            <w:vAlign w:val="center"/>
          </w:tcPr>
          <w:p w14:paraId="404113AB" w14:textId="77777777" w:rsidR="002F3255" w:rsidRPr="00C44BAB" w:rsidRDefault="002F3255">
            <w:pPr>
              <w:keepNext/>
              <w:keepLines/>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 xml:space="preserve">Total </w:t>
            </w:r>
          </w:p>
        </w:tc>
        <w:tc>
          <w:tcPr>
            <w:tcW w:w="990" w:type="dxa"/>
            <w:tcBorders>
              <w:top w:val="single" w:sz="4" w:space="0" w:color="auto"/>
              <w:bottom w:val="single" w:sz="4" w:space="0" w:color="auto"/>
            </w:tcBorders>
            <w:vAlign w:val="center"/>
          </w:tcPr>
          <w:p w14:paraId="404113AC"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5</w:t>
            </w:r>
            <w:r w:rsidR="00C44BAB">
              <w:rPr>
                <w:rFonts w:asciiTheme="minorHAnsi" w:eastAsia="Times New Roman" w:hAnsiTheme="minorHAnsi" w:cstheme="minorHAnsi"/>
                <w:b/>
                <w:bCs/>
                <w:color w:val="000000"/>
                <w:sz w:val="18"/>
                <w:szCs w:val="18"/>
                <w:lang w:val="es-ES"/>
              </w:rPr>
              <w:t xml:space="preserve"> </w:t>
            </w:r>
            <w:r w:rsidRPr="00C44BAB">
              <w:rPr>
                <w:rFonts w:asciiTheme="minorHAnsi" w:eastAsia="Times New Roman" w:hAnsiTheme="minorHAnsi" w:cstheme="minorHAnsi"/>
                <w:b/>
                <w:bCs/>
                <w:color w:val="000000"/>
                <w:sz w:val="18"/>
                <w:szCs w:val="18"/>
                <w:lang w:val="es-ES"/>
              </w:rPr>
              <w:t>304,3</w:t>
            </w:r>
          </w:p>
        </w:tc>
        <w:tc>
          <w:tcPr>
            <w:tcW w:w="244" w:type="dxa"/>
            <w:tcBorders>
              <w:top w:val="single" w:sz="4" w:space="0" w:color="auto"/>
              <w:bottom w:val="single" w:sz="4" w:space="0" w:color="auto"/>
            </w:tcBorders>
            <w:vAlign w:val="center"/>
          </w:tcPr>
          <w:p w14:paraId="404113AD" w14:textId="77777777" w:rsidR="002F3255" w:rsidRPr="00C44BAB" w:rsidRDefault="002F3255" w:rsidP="00C44BAB">
            <w:pPr>
              <w:keepNext/>
              <w:keepLines/>
              <w:ind w:right="-131"/>
              <w:jc w:val="center"/>
              <w:rPr>
                <w:rFonts w:asciiTheme="minorHAnsi" w:eastAsia="Times New Roman" w:hAnsiTheme="minorHAnsi" w:cstheme="minorHAnsi"/>
                <w:b/>
                <w:bCs/>
                <w:color w:val="000000"/>
                <w:sz w:val="18"/>
                <w:szCs w:val="18"/>
                <w:lang w:val="es-ES"/>
              </w:rPr>
            </w:pPr>
          </w:p>
        </w:tc>
        <w:tc>
          <w:tcPr>
            <w:tcW w:w="1130" w:type="dxa"/>
            <w:tcBorders>
              <w:top w:val="single" w:sz="4" w:space="0" w:color="auto"/>
              <w:bottom w:val="single" w:sz="4" w:space="0" w:color="auto"/>
            </w:tcBorders>
            <w:vAlign w:val="center"/>
          </w:tcPr>
          <w:p w14:paraId="404113AE"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6</w:t>
            </w:r>
            <w:r w:rsidR="00C44BAB">
              <w:rPr>
                <w:rFonts w:asciiTheme="minorHAnsi" w:eastAsia="Times New Roman" w:hAnsiTheme="minorHAnsi" w:cstheme="minorHAnsi"/>
                <w:b/>
                <w:bCs/>
                <w:color w:val="000000"/>
                <w:sz w:val="18"/>
                <w:szCs w:val="18"/>
                <w:lang w:val="es-ES"/>
              </w:rPr>
              <w:t xml:space="preserve"> </w:t>
            </w:r>
            <w:r w:rsidRPr="00C44BAB">
              <w:rPr>
                <w:rFonts w:asciiTheme="minorHAnsi" w:eastAsia="Times New Roman" w:hAnsiTheme="minorHAnsi" w:cstheme="minorHAnsi"/>
                <w:b/>
                <w:bCs/>
                <w:color w:val="000000"/>
                <w:sz w:val="18"/>
                <w:szCs w:val="18"/>
                <w:lang w:val="es-ES"/>
              </w:rPr>
              <w:t>206,2</w:t>
            </w:r>
          </w:p>
        </w:tc>
        <w:tc>
          <w:tcPr>
            <w:tcW w:w="1130" w:type="dxa"/>
            <w:tcBorders>
              <w:top w:val="single" w:sz="4" w:space="0" w:color="auto"/>
              <w:bottom w:val="single" w:sz="4" w:space="0" w:color="auto"/>
            </w:tcBorders>
            <w:vAlign w:val="center"/>
          </w:tcPr>
          <w:p w14:paraId="404113AF"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5</w:t>
            </w:r>
            <w:r w:rsidR="00C44BAB">
              <w:rPr>
                <w:rFonts w:asciiTheme="minorHAnsi" w:eastAsia="Times New Roman" w:hAnsiTheme="minorHAnsi" w:cstheme="minorHAnsi"/>
                <w:b/>
                <w:bCs/>
                <w:color w:val="000000"/>
                <w:sz w:val="18"/>
                <w:szCs w:val="18"/>
                <w:lang w:val="es-ES"/>
              </w:rPr>
              <w:t xml:space="preserve"> </w:t>
            </w:r>
            <w:r w:rsidRPr="00C44BAB">
              <w:rPr>
                <w:rFonts w:asciiTheme="minorHAnsi" w:eastAsia="Times New Roman" w:hAnsiTheme="minorHAnsi" w:cstheme="minorHAnsi"/>
                <w:b/>
                <w:bCs/>
                <w:color w:val="000000"/>
                <w:sz w:val="18"/>
                <w:szCs w:val="18"/>
                <w:lang w:val="es-ES"/>
              </w:rPr>
              <w:t>481,6</w:t>
            </w:r>
          </w:p>
        </w:tc>
        <w:tc>
          <w:tcPr>
            <w:tcW w:w="710" w:type="dxa"/>
            <w:gridSpan w:val="2"/>
            <w:tcBorders>
              <w:top w:val="single" w:sz="4" w:space="0" w:color="auto"/>
              <w:bottom w:val="single" w:sz="4" w:space="0" w:color="auto"/>
            </w:tcBorders>
            <w:vAlign w:val="center"/>
          </w:tcPr>
          <w:p w14:paraId="404113B0" w14:textId="77777777" w:rsidR="002F3255" w:rsidRPr="00C44BAB" w:rsidRDefault="002F3255">
            <w:pPr>
              <w:keepNext/>
              <w:keepLines/>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 </w:t>
            </w:r>
          </w:p>
        </w:tc>
        <w:tc>
          <w:tcPr>
            <w:tcW w:w="873" w:type="dxa"/>
            <w:gridSpan w:val="2"/>
            <w:tcBorders>
              <w:top w:val="single" w:sz="4" w:space="0" w:color="auto"/>
              <w:bottom w:val="single" w:sz="4" w:space="0" w:color="auto"/>
            </w:tcBorders>
            <w:vAlign w:val="center"/>
          </w:tcPr>
          <w:p w14:paraId="404113B1"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22</w:t>
            </w:r>
          </w:p>
        </w:tc>
        <w:tc>
          <w:tcPr>
            <w:tcW w:w="376" w:type="dxa"/>
            <w:tcBorders>
              <w:top w:val="single" w:sz="4" w:space="0" w:color="auto"/>
              <w:bottom w:val="single" w:sz="4" w:space="0" w:color="auto"/>
            </w:tcBorders>
            <w:vAlign w:val="center"/>
          </w:tcPr>
          <w:p w14:paraId="404113B2" w14:textId="77777777" w:rsidR="002F3255" w:rsidRPr="00C44BAB" w:rsidRDefault="002F3255">
            <w:pPr>
              <w:keepNext/>
              <w:keepLines/>
              <w:rPr>
                <w:rFonts w:asciiTheme="minorHAnsi" w:eastAsia="Times New Roman" w:hAnsiTheme="minorHAnsi" w:cstheme="minorHAnsi"/>
                <w:b/>
                <w:bCs/>
                <w:color w:val="000000"/>
                <w:sz w:val="18"/>
                <w:szCs w:val="18"/>
                <w:lang w:val="es-ES"/>
              </w:rPr>
            </w:pPr>
          </w:p>
        </w:tc>
        <w:tc>
          <w:tcPr>
            <w:tcW w:w="900" w:type="dxa"/>
            <w:tcBorders>
              <w:top w:val="single" w:sz="4" w:space="0" w:color="auto"/>
              <w:bottom w:val="single" w:sz="4" w:space="0" w:color="auto"/>
            </w:tcBorders>
            <w:vAlign w:val="center"/>
          </w:tcPr>
          <w:p w14:paraId="404113B3"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28</w:t>
            </w:r>
          </w:p>
        </w:tc>
        <w:tc>
          <w:tcPr>
            <w:tcW w:w="339" w:type="dxa"/>
            <w:tcBorders>
              <w:top w:val="single" w:sz="4" w:space="0" w:color="auto"/>
              <w:bottom w:val="single" w:sz="4" w:space="0" w:color="auto"/>
            </w:tcBorders>
            <w:vAlign w:val="center"/>
          </w:tcPr>
          <w:p w14:paraId="404113B4" w14:textId="77777777" w:rsidR="002F3255" w:rsidRPr="00C44BAB" w:rsidRDefault="002F3255" w:rsidP="00C44BAB">
            <w:pPr>
              <w:keepNext/>
              <w:keepLines/>
              <w:ind w:left="-74"/>
              <w:jc w:val="right"/>
              <w:rPr>
                <w:rFonts w:asciiTheme="minorHAnsi" w:eastAsia="Times New Roman" w:hAnsiTheme="minorHAnsi" w:cstheme="minorHAnsi"/>
                <w:b/>
                <w:bCs/>
                <w:color w:val="000000"/>
                <w:sz w:val="18"/>
                <w:szCs w:val="18"/>
                <w:lang w:val="es-ES"/>
              </w:rPr>
            </w:pPr>
          </w:p>
        </w:tc>
        <w:tc>
          <w:tcPr>
            <w:tcW w:w="856" w:type="dxa"/>
            <w:gridSpan w:val="3"/>
            <w:tcBorders>
              <w:top w:val="single" w:sz="4" w:space="0" w:color="auto"/>
              <w:bottom w:val="single" w:sz="4" w:space="0" w:color="auto"/>
            </w:tcBorders>
            <w:vAlign w:val="center"/>
          </w:tcPr>
          <w:p w14:paraId="404113B5" w14:textId="77777777" w:rsidR="002F3255" w:rsidRPr="00C44BAB" w:rsidRDefault="002F3255">
            <w:pPr>
              <w:keepNext/>
              <w:keepLines/>
              <w:jc w:val="right"/>
              <w:rPr>
                <w:rFonts w:asciiTheme="minorHAnsi" w:eastAsia="Times New Roman" w:hAnsiTheme="minorHAnsi" w:cstheme="minorHAnsi"/>
                <w:b/>
                <w:bCs/>
                <w:color w:val="000000"/>
                <w:sz w:val="18"/>
                <w:szCs w:val="18"/>
                <w:lang w:val="es-ES"/>
              </w:rPr>
            </w:pPr>
            <w:r w:rsidRPr="00C44BAB">
              <w:rPr>
                <w:rFonts w:asciiTheme="minorHAnsi" w:eastAsia="Times New Roman" w:hAnsiTheme="minorHAnsi" w:cstheme="minorHAnsi"/>
                <w:b/>
                <w:bCs/>
                <w:color w:val="000000"/>
                <w:sz w:val="18"/>
                <w:szCs w:val="18"/>
                <w:lang w:val="es-ES"/>
              </w:rPr>
              <w:t>29</w:t>
            </w:r>
          </w:p>
        </w:tc>
      </w:tr>
      <w:tr w:rsidR="002F3255" w:rsidRPr="006A6E89" w14:paraId="404113B8" w14:textId="77777777" w:rsidTr="00BA1BD1">
        <w:trPr>
          <w:gridAfter w:val="2"/>
          <w:wAfter w:w="312" w:type="dxa"/>
          <w:jc w:val="center"/>
        </w:trPr>
        <w:tc>
          <w:tcPr>
            <w:tcW w:w="8961" w:type="dxa"/>
            <w:gridSpan w:val="15"/>
            <w:vAlign w:val="center"/>
          </w:tcPr>
          <w:p w14:paraId="404113B7"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6"/>
                <w:szCs w:val="16"/>
                <w:lang w:val="es-ES"/>
              </w:rPr>
              <w:t xml:space="preserve">a/ </w:t>
            </w:r>
            <w:r w:rsidR="00BA1BD1">
              <w:rPr>
                <w:rFonts w:asciiTheme="minorHAnsi" w:eastAsia="Times New Roman" w:hAnsiTheme="minorHAnsi" w:cstheme="minorHAnsi"/>
                <w:color w:val="000000"/>
                <w:sz w:val="16"/>
                <w:szCs w:val="16"/>
                <w:lang w:val="es-ES"/>
              </w:rPr>
              <w:t>I</w:t>
            </w:r>
            <w:r w:rsidRPr="00C44BAB">
              <w:rPr>
                <w:rFonts w:asciiTheme="minorHAnsi" w:eastAsia="Times New Roman" w:hAnsiTheme="minorHAnsi" w:cstheme="minorHAnsi"/>
                <w:color w:val="000000"/>
                <w:sz w:val="16"/>
                <w:szCs w:val="16"/>
                <w:lang w:val="es-ES"/>
              </w:rPr>
              <w:t>ncluye viajes (800</w:t>
            </w:r>
            <w:r w:rsidR="00C44BAB">
              <w:rPr>
                <w:rFonts w:asciiTheme="minorHAnsi" w:eastAsia="Times New Roman" w:hAnsiTheme="minorHAnsi" w:cstheme="minorHAnsi"/>
                <w:color w:val="000000"/>
                <w:sz w:val="16"/>
                <w:szCs w:val="16"/>
                <w:lang w:val="es-ES"/>
              </w:rPr>
              <w:t xml:space="preserve"> </w:t>
            </w:r>
            <w:r w:rsidRPr="00C44BAB">
              <w:rPr>
                <w:rFonts w:asciiTheme="minorHAnsi" w:eastAsia="Times New Roman" w:hAnsiTheme="minorHAnsi" w:cstheme="minorHAnsi"/>
                <w:color w:val="000000"/>
                <w:sz w:val="16"/>
                <w:szCs w:val="16"/>
                <w:lang w:val="es-ES"/>
              </w:rPr>
              <w:t>000 dólares), consultores (100</w:t>
            </w:r>
            <w:r w:rsidR="00C44BAB">
              <w:rPr>
                <w:rFonts w:asciiTheme="minorHAnsi" w:eastAsia="Times New Roman" w:hAnsiTheme="minorHAnsi" w:cstheme="minorHAnsi"/>
                <w:color w:val="000000"/>
                <w:sz w:val="16"/>
                <w:szCs w:val="16"/>
                <w:lang w:val="es-ES"/>
              </w:rPr>
              <w:t xml:space="preserve"> </w:t>
            </w:r>
            <w:r w:rsidRPr="00C44BAB">
              <w:rPr>
                <w:rFonts w:asciiTheme="minorHAnsi" w:eastAsia="Times New Roman" w:hAnsiTheme="minorHAnsi" w:cstheme="minorHAnsi"/>
                <w:color w:val="000000"/>
                <w:sz w:val="16"/>
                <w:szCs w:val="16"/>
                <w:lang w:val="es-ES"/>
              </w:rPr>
              <w:t>000 dólares) y materiales de información / concienciación (100</w:t>
            </w:r>
            <w:r w:rsidR="00C44BAB">
              <w:rPr>
                <w:rFonts w:asciiTheme="minorHAnsi" w:eastAsia="Times New Roman" w:hAnsiTheme="minorHAnsi" w:cstheme="minorHAnsi"/>
                <w:color w:val="000000"/>
                <w:sz w:val="16"/>
                <w:szCs w:val="16"/>
                <w:lang w:val="es-ES"/>
              </w:rPr>
              <w:t xml:space="preserve"> </w:t>
            </w:r>
            <w:r w:rsidRPr="00C44BAB">
              <w:rPr>
                <w:rFonts w:asciiTheme="minorHAnsi" w:eastAsia="Times New Roman" w:hAnsiTheme="minorHAnsi" w:cstheme="minorHAnsi"/>
                <w:color w:val="000000"/>
                <w:sz w:val="16"/>
                <w:szCs w:val="16"/>
                <w:lang w:val="es-ES"/>
              </w:rPr>
              <w:t>000 dólares).</w:t>
            </w:r>
          </w:p>
        </w:tc>
      </w:tr>
      <w:tr w:rsidR="002F3255" w:rsidRPr="006A6E89" w14:paraId="404113BA" w14:textId="77777777" w:rsidTr="00BA1BD1">
        <w:trPr>
          <w:gridAfter w:val="2"/>
          <w:wAfter w:w="312" w:type="dxa"/>
          <w:jc w:val="center"/>
        </w:trPr>
        <w:tc>
          <w:tcPr>
            <w:tcW w:w="8961" w:type="dxa"/>
            <w:gridSpan w:val="15"/>
            <w:vAlign w:val="center"/>
          </w:tcPr>
          <w:p w14:paraId="404113B9" w14:textId="77777777" w:rsidR="002F3255" w:rsidRPr="00C44BAB" w:rsidRDefault="00C44BAB" w:rsidP="00BA1BD1">
            <w:pPr>
              <w:keepNext/>
              <w:keepLines/>
              <w:rPr>
                <w:rFonts w:asciiTheme="minorHAnsi" w:eastAsia="Times New Roman" w:hAnsiTheme="minorHAnsi" w:cstheme="minorHAnsi"/>
                <w:lang w:val="es-ES"/>
              </w:rPr>
            </w:pPr>
            <w:proofErr w:type="spellStart"/>
            <w:r>
              <w:rPr>
                <w:rFonts w:asciiTheme="minorHAnsi" w:eastAsia="Times New Roman" w:hAnsiTheme="minorHAnsi" w:cstheme="minorHAnsi"/>
                <w:color w:val="000000"/>
                <w:sz w:val="16"/>
                <w:szCs w:val="16"/>
                <w:lang w:val="es-ES"/>
              </w:rPr>
              <w:t>b</w:t>
            </w:r>
            <w:r w:rsidR="002F3255" w:rsidRPr="00C44BAB">
              <w:rPr>
                <w:rFonts w:asciiTheme="minorHAnsi" w:eastAsia="Times New Roman" w:hAnsiTheme="minorHAnsi" w:cstheme="minorHAnsi"/>
                <w:color w:val="000000"/>
                <w:sz w:val="16"/>
                <w:szCs w:val="16"/>
                <w:lang w:val="es-ES"/>
              </w:rPr>
              <w:t>/</w:t>
            </w:r>
            <w:proofErr w:type="spellEnd"/>
            <w:r w:rsidR="002F3255" w:rsidRPr="00C44BAB">
              <w:rPr>
                <w:rFonts w:asciiTheme="minorHAnsi" w:eastAsia="Times New Roman" w:hAnsiTheme="minorHAnsi" w:cstheme="minorHAnsi"/>
                <w:color w:val="000000"/>
                <w:sz w:val="16"/>
                <w:szCs w:val="16"/>
                <w:lang w:val="es-ES"/>
              </w:rPr>
              <w:t xml:space="preserve"> </w:t>
            </w:r>
            <w:r w:rsidR="00BA1BD1">
              <w:rPr>
                <w:rFonts w:asciiTheme="minorHAnsi" w:eastAsia="Times New Roman" w:hAnsiTheme="minorHAnsi" w:cstheme="minorHAnsi"/>
                <w:color w:val="000000"/>
                <w:sz w:val="16"/>
                <w:szCs w:val="16"/>
                <w:lang w:val="es-ES"/>
              </w:rPr>
              <w:t>I</w:t>
            </w:r>
            <w:r w:rsidR="002F3255" w:rsidRPr="00C44BAB">
              <w:rPr>
                <w:rFonts w:asciiTheme="minorHAnsi" w:eastAsia="Times New Roman" w:hAnsiTheme="minorHAnsi" w:cstheme="minorHAnsi"/>
                <w:color w:val="000000"/>
                <w:sz w:val="16"/>
                <w:szCs w:val="16"/>
                <w:lang w:val="es-ES"/>
              </w:rPr>
              <w:t>ncluye viajes (300</w:t>
            </w:r>
            <w:r>
              <w:rPr>
                <w:rFonts w:asciiTheme="minorHAnsi" w:eastAsia="Times New Roman" w:hAnsiTheme="minorHAnsi" w:cstheme="minorHAnsi"/>
                <w:color w:val="000000"/>
                <w:sz w:val="16"/>
                <w:szCs w:val="16"/>
                <w:lang w:val="es-ES"/>
              </w:rPr>
              <w:t xml:space="preserve"> </w:t>
            </w:r>
            <w:r w:rsidR="002F3255" w:rsidRPr="00C44BAB">
              <w:rPr>
                <w:rFonts w:asciiTheme="minorHAnsi" w:eastAsia="Times New Roman" w:hAnsiTheme="minorHAnsi" w:cstheme="minorHAnsi"/>
                <w:color w:val="000000"/>
                <w:sz w:val="16"/>
                <w:szCs w:val="16"/>
                <w:lang w:val="es-ES"/>
              </w:rPr>
              <w:t>000 dólares), consultores (100</w:t>
            </w:r>
            <w:r>
              <w:rPr>
                <w:rFonts w:asciiTheme="minorHAnsi" w:eastAsia="Times New Roman" w:hAnsiTheme="minorHAnsi" w:cstheme="minorHAnsi"/>
                <w:color w:val="000000"/>
                <w:sz w:val="16"/>
                <w:szCs w:val="16"/>
                <w:lang w:val="es-ES"/>
              </w:rPr>
              <w:t xml:space="preserve"> </w:t>
            </w:r>
            <w:r w:rsidR="002F3255" w:rsidRPr="00C44BAB">
              <w:rPr>
                <w:rFonts w:asciiTheme="minorHAnsi" w:eastAsia="Times New Roman" w:hAnsiTheme="minorHAnsi" w:cstheme="minorHAnsi"/>
                <w:color w:val="000000"/>
                <w:sz w:val="16"/>
                <w:szCs w:val="16"/>
                <w:lang w:val="es-ES"/>
              </w:rPr>
              <w:t>000 dólares) y materiales de información / concienciación (100</w:t>
            </w:r>
            <w:r>
              <w:rPr>
                <w:rFonts w:asciiTheme="minorHAnsi" w:eastAsia="Times New Roman" w:hAnsiTheme="minorHAnsi" w:cstheme="minorHAnsi"/>
                <w:color w:val="000000"/>
                <w:sz w:val="16"/>
                <w:szCs w:val="16"/>
                <w:lang w:val="es-ES"/>
              </w:rPr>
              <w:t xml:space="preserve"> </w:t>
            </w:r>
            <w:r w:rsidR="002F3255" w:rsidRPr="00C44BAB">
              <w:rPr>
                <w:rFonts w:asciiTheme="minorHAnsi" w:eastAsia="Times New Roman" w:hAnsiTheme="minorHAnsi" w:cstheme="minorHAnsi"/>
                <w:color w:val="000000"/>
                <w:sz w:val="16"/>
                <w:szCs w:val="16"/>
                <w:lang w:val="es-ES"/>
              </w:rPr>
              <w:t>000 dólares).</w:t>
            </w:r>
          </w:p>
        </w:tc>
      </w:tr>
      <w:tr w:rsidR="002F3255" w:rsidRPr="006A6E89" w14:paraId="404113BC" w14:textId="77777777" w:rsidTr="00BA1BD1">
        <w:trPr>
          <w:gridAfter w:val="2"/>
          <w:wAfter w:w="312" w:type="dxa"/>
          <w:jc w:val="center"/>
        </w:trPr>
        <w:tc>
          <w:tcPr>
            <w:tcW w:w="8961" w:type="dxa"/>
            <w:gridSpan w:val="15"/>
            <w:vAlign w:val="center"/>
          </w:tcPr>
          <w:p w14:paraId="404113BB"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6"/>
                <w:szCs w:val="16"/>
                <w:lang w:val="es-ES"/>
              </w:rPr>
              <w:t xml:space="preserve">c/ </w:t>
            </w:r>
            <w:r w:rsidR="00BA1BD1">
              <w:rPr>
                <w:rFonts w:asciiTheme="minorHAnsi" w:eastAsia="Times New Roman" w:hAnsiTheme="minorHAnsi" w:cstheme="minorHAnsi"/>
                <w:color w:val="000000"/>
                <w:sz w:val="16"/>
                <w:szCs w:val="16"/>
                <w:lang w:val="es-ES"/>
              </w:rPr>
              <w:t>R</w:t>
            </w:r>
            <w:r w:rsidRPr="00C44BAB">
              <w:rPr>
                <w:rFonts w:asciiTheme="minorHAnsi" w:eastAsia="Times New Roman" w:hAnsiTheme="minorHAnsi" w:cstheme="minorHAnsi"/>
                <w:color w:val="000000"/>
                <w:sz w:val="16"/>
                <w:szCs w:val="16"/>
                <w:lang w:val="es-ES"/>
              </w:rPr>
              <w:t>epresenta un 50 % de P-4 y un 50 % de SG en la Oficina de Enlace del CNULD-SCDB en la Sede de la ONU</w:t>
            </w:r>
          </w:p>
        </w:tc>
      </w:tr>
      <w:tr w:rsidR="002F3255" w:rsidRPr="006A6E89" w14:paraId="404113BE" w14:textId="77777777" w:rsidTr="00BA1BD1">
        <w:trPr>
          <w:gridAfter w:val="2"/>
          <w:wAfter w:w="312" w:type="dxa"/>
          <w:jc w:val="center"/>
        </w:trPr>
        <w:tc>
          <w:tcPr>
            <w:tcW w:w="8961" w:type="dxa"/>
            <w:gridSpan w:val="15"/>
            <w:vAlign w:val="center"/>
          </w:tcPr>
          <w:p w14:paraId="404113BD"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6"/>
                <w:szCs w:val="16"/>
                <w:lang w:val="es-ES"/>
              </w:rPr>
              <w:t xml:space="preserve">d/ </w:t>
            </w:r>
            <w:r w:rsidR="00BA1BD1">
              <w:rPr>
                <w:rFonts w:asciiTheme="minorHAnsi" w:eastAsia="Times New Roman" w:hAnsiTheme="minorHAnsi" w:cstheme="minorHAnsi"/>
                <w:color w:val="000000"/>
                <w:sz w:val="16"/>
                <w:szCs w:val="16"/>
                <w:lang w:val="es-ES"/>
              </w:rPr>
              <w:t>R</w:t>
            </w:r>
            <w:r w:rsidRPr="00C44BAB">
              <w:rPr>
                <w:rFonts w:asciiTheme="minorHAnsi" w:eastAsia="Times New Roman" w:hAnsiTheme="minorHAnsi" w:cstheme="minorHAnsi"/>
                <w:color w:val="000000"/>
                <w:sz w:val="16"/>
                <w:szCs w:val="16"/>
                <w:lang w:val="es-ES"/>
              </w:rPr>
              <w:t>epresenta el Fondo del Japón para la Diversidad Biológica (1 D-1, 2 P-4, 2 SG) y 1 Oficial Profesional Subalterno (Japón) y 1 Oficial de Comunicaciones categoría P-3 (UE)</w:t>
            </w:r>
          </w:p>
        </w:tc>
      </w:tr>
      <w:tr w:rsidR="002F3255" w:rsidRPr="006A6E89" w14:paraId="404113C0" w14:textId="77777777" w:rsidTr="00BA1BD1">
        <w:trPr>
          <w:gridAfter w:val="2"/>
          <w:wAfter w:w="312" w:type="dxa"/>
          <w:jc w:val="center"/>
        </w:trPr>
        <w:tc>
          <w:tcPr>
            <w:tcW w:w="8961" w:type="dxa"/>
            <w:gridSpan w:val="15"/>
            <w:vAlign w:val="center"/>
          </w:tcPr>
          <w:p w14:paraId="404113BF"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6"/>
                <w:szCs w:val="16"/>
                <w:lang w:val="es-ES"/>
              </w:rPr>
              <w:t xml:space="preserve">e/ </w:t>
            </w:r>
            <w:r w:rsidR="00BA1BD1">
              <w:rPr>
                <w:rFonts w:asciiTheme="minorHAnsi" w:eastAsia="Times New Roman" w:hAnsiTheme="minorHAnsi" w:cstheme="minorHAnsi"/>
                <w:color w:val="000000"/>
                <w:sz w:val="16"/>
                <w:szCs w:val="16"/>
                <w:lang w:val="es-ES"/>
              </w:rPr>
              <w:t>R</w:t>
            </w:r>
            <w:r w:rsidRPr="00C44BAB">
              <w:rPr>
                <w:rFonts w:asciiTheme="minorHAnsi" w:eastAsia="Times New Roman" w:hAnsiTheme="minorHAnsi" w:cstheme="minorHAnsi"/>
                <w:color w:val="000000"/>
                <w:sz w:val="16"/>
                <w:szCs w:val="16"/>
                <w:lang w:val="es-ES"/>
              </w:rPr>
              <w:t>epresenta un 50 % de P-4 y un 50 % de SG en la Oficina de Enlace del CNULD-SCDB en la Sede de la ONU y 2 funcionarios en la Dependencia de Servicios de Conferencia</w:t>
            </w:r>
          </w:p>
        </w:tc>
      </w:tr>
      <w:tr w:rsidR="002F3255" w:rsidRPr="006A6E89" w14:paraId="404113C2" w14:textId="77777777" w:rsidTr="00BA1BD1">
        <w:trPr>
          <w:gridAfter w:val="2"/>
          <w:wAfter w:w="312" w:type="dxa"/>
          <w:jc w:val="center"/>
        </w:trPr>
        <w:tc>
          <w:tcPr>
            <w:tcW w:w="8961" w:type="dxa"/>
            <w:gridSpan w:val="15"/>
            <w:vAlign w:val="center"/>
          </w:tcPr>
          <w:p w14:paraId="404113C1"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6"/>
                <w:szCs w:val="16"/>
                <w:lang w:val="es-ES"/>
              </w:rPr>
              <w:t xml:space="preserve">f/ </w:t>
            </w:r>
            <w:r w:rsidR="00BA1BD1">
              <w:rPr>
                <w:rFonts w:asciiTheme="minorHAnsi" w:eastAsia="Times New Roman" w:hAnsiTheme="minorHAnsi" w:cstheme="minorHAnsi"/>
                <w:color w:val="000000"/>
                <w:sz w:val="16"/>
                <w:szCs w:val="16"/>
                <w:lang w:val="es-ES"/>
              </w:rPr>
              <w:t>R</w:t>
            </w:r>
            <w:r w:rsidRPr="00C44BAB">
              <w:rPr>
                <w:rFonts w:asciiTheme="minorHAnsi" w:eastAsia="Times New Roman" w:hAnsiTheme="minorHAnsi" w:cstheme="minorHAnsi"/>
                <w:color w:val="000000"/>
                <w:sz w:val="16"/>
                <w:szCs w:val="16"/>
                <w:lang w:val="es-ES"/>
              </w:rPr>
              <w:t>epresenta el Fondo del Japón para la Diversidad Biológica (1 D-1, 2 P-4, 2 SG) y 1 Oficial de Enlace de la COP-15 categoría P-4 y 1 Oficial Profesional Subalterno (Japón) y 1 Oficial de Comunicaciones categoría P-3 (UE)</w:t>
            </w:r>
          </w:p>
        </w:tc>
      </w:tr>
      <w:tr w:rsidR="002F3255" w:rsidRPr="006A6E89" w14:paraId="404113C4" w14:textId="77777777" w:rsidTr="00BA1BD1">
        <w:trPr>
          <w:gridAfter w:val="2"/>
          <w:wAfter w:w="312" w:type="dxa"/>
          <w:jc w:val="center"/>
        </w:trPr>
        <w:tc>
          <w:tcPr>
            <w:tcW w:w="8961" w:type="dxa"/>
            <w:gridSpan w:val="15"/>
            <w:vAlign w:val="center"/>
          </w:tcPr>
          <w:p w14:paraId="404113C3" w14:textId="77777777" w:rsidR="002F3255" w:rsidRPr="00C44BAB" w:rsidRDefault="002F3255" w:rsidP="00BA1BD1">
            <w:pPr>
              <w:keepNext/>
              <w:keepLines/>
              <w:rPr>
                <w:rFonts w:asciiTheme="minorHAnsi" w:eastAsia="Times New Roman" w:hAnsiTheme="minorHAnsi" w:cstheme="minorHAnsi"/>
                <w:lang w:val="es-ES"/>
              </w:rPr>
            </w:pPr>
            <w:r w:rsidRPr="00C44BAB">
              <w:rPr>
                <w:rFonts w:asciiTheme="minorHAnsi" w:eastAsia="Times New Roman" w:hAnsiTheme="minorHAnsi" w:cstheme="minorHAnsi"/>
                <w:color w:val="000000"/>
                <w:sz w:val="16"/>
                <w:szCs w:val="16"/>
                <w:lang w:val="es-ES"/>
              </w:rPr>
              <w:t xml:space="preserve">g/ </w:t>
            </w:r>
            <w:r w:rsidR="00BA1BD1">
              <w:rPr>
                <w:rFonts w:asciiTheme="minorHAnsi" w:eastAsia="Times New Roman" w:hAnsiTheme="minorHAnsi" w:cstheme="minorHAnsi"/>
                <w:color w:val="000000"/>
                <w:sz w:val="16"/>
                <w:szCs w:val="16"/>
                <w:lang w:val="es-ES"/>
              </w:rPr>
              <w:t>R</w:t>
            </w:r>
            <w:r w:rsidRPr="00C44BAB">
              <w:rPr>
                <w:rFonts w:asciiTheme="minorHAnsi" w:eastAsia="Times New Roman" w:hAnsiTheme="minorHAnsi" w:cstheme="minorHAnsi"/>
                <w:color w:val="000000"/>
                <w:sz w:val="16"/>
                <w:szCs w:val="16"/>
                <w:lang w:val="es-ES"/>
              </w:rPr>
              <w:t>epresenta el Fondo del Japón para la Diversidad Biológica (1 D-1, 2 P-4, 2 SG) y 1 Oficial de Enlace de la COP-15 categoría P-4 y 1 Oficial Profesional Subalterno (Japón)</w:t>
            </w:r>
          </w:p>
        </w:tc>
      </w:tr>
    </w:tbl>
    <w:p w14:paraId="404113C5" w14:textId="77777777" w:rsidR="002F3255" w:rsidRPr="00C44BAB" w:rsidRDefault="002F3255">
      <w:pPr>
        <w:pStyle w:val="NoSpacing"/>
        <w:rPr>
          <w:rFonts w:asciiTheme="minorHAnsi" w:eastAsia="Times New Roman" w:hAnsiTheme="minorHAnsi" w:cstheme="minorHAnsi"/>
          <w:sz w:val="12"/>
          <w:szCs w:val="12"/>
          <w:lang w:val="es-ES"/>
        </w:rPr>
      </w:pPr>
    </w:p>
    <w:p w14:paraId="404113C6" w14:textId="77777777" w:rsidR="002F3255" w:rsidRPr="005978DF" w:rsidRDefault="002F3255">
      <w:pPr>
        <w:pStyle w:val="NoSpacing"/>
        <w:rPr>
          <w:rFonts w:eastAsia="Times New Roman"/>
          <w:sz w:val="12"/>
          <w:szCs w:val="12"/>
          <w:lang w:val="es-ES"/>
        </w:rPr>
      </w:pPr>
    </w:p>
    <w:p w14:paraId="404113C7"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Los recursos relacionados con puestos en la oficina inmediata de la Secretaria Ejecutiva, la Dependencia de Asuntos Jurídicos e Intergubernamentales, la Dependencia de Servicios de Conferencia y la Dependencia de Comunicaciones y Concienciación, que ascienden a un total de 5</w:t>
      </w:r>
      <w:r w:rsidR="00C44BAB">
        <w:rPr>
          <w:rFonts w:eastAsia="Times New Roman"/>
          <w:sz w:val="22"/>
          <w:szCs w:val="22"/>
          <w:lang w:val="es-ES"/>
        </w:rPr>
        <w:t> </w:t>
      </w:r>
      <w:r w:rsidRPr="005978DF">
        <w:rPr>
          <w:rFonts w:eastAsia="Times New Roman"/>
          <w:sz w:val="22"/>
          <w:szCs w:val="22"/>
          <w:lang w:val="es-ES"/>
        </w:rPr>
        <w:t>666</w:t>
      </w:r>
      <w:r w:rsidR="00C44BAB">
        <w:rPr>
          <w:rFonts w:eastAsia="Times New Roman"/>
          <w:sz w:val="22"/>
          <w:szCs w:val="22"/>
          <w:lang w:val="es-ES"/>
        </w:rPr>
        <w:t> </w:t>
      </w:r>
      <w:r w:rsidRPr="005978DF">
        <w:rPr>
          <w:rFonts w:eastAsia="Times New Roman"/>
          <w:sz w:val="22"/>
          <w:szCs w:val="22"/>
          <w:lang w:val="es-ES"/>
        </w:rPr>
        <w:t>400</w:t>
      </w:r>
      <w:r w:rsidR="00C44BAB">
        <w:rPr>
          <w:rFonts w:eastAsia="Times New Roman"/>
          <w:sz w:val="22"/>
          <w:szCs w:val="22"/>
          <w:lang w:val="es-ES"/>
        </w:rPr>
        <w:t> </w:t>
      </w:r>
      <w:r w:rsidRPr="005978DF">
        <w:rPr>
          <w:rFonts w:eastAsia="Times New Roman"/>
          <w:sz w:val="22"/>
          <w:szCs w:val="22"/>
          <w:lang w:val="es-ES"/>
        </w:rPr>
        <w:t>dólares, permitirían mantener 17</w:t>
      </w:r>
      <w:r w:rsidR="00BA1BD1">
        <w:rPr>
          <w:rFonts w:eastAsia="Times New Roman"/>
          <w:sz w:val="22"/>
          <w:szCs w:val="22"/>
          <w:lang w:val="es-ES"/>
        </w:rPr>
        <w:t> </w:t>
      </w:r>
      <w:r w:rsidRPr="005978DF">
        <w:rPr>
          <w:rFonts w:eastAsia="Times New Roman"/>
          <w:sz w:val="22"/>
          <w:szCs w:val="22"/>
          <w:lang w:val="es-ES"/>
        </w:rPr>
        <w:t>puestos financiados con cargo al presupuesto básico (1 SSG, 1 D-1, 2 P-5, 3 P-4, 1 P</w:t>
      </w:r>
      <w:r w:rsidR="00C44BAB">
        <w:rPr>
          <w:rFonts w:eastAsia="Times New Roman"/>
          <w:sz w:val="22"/>
          <w:szCs w:val="22"/>
          <w:lang w:val="es-ES"/>
        </w:rPr>
        <w:t>-</w:t>
      </w:r>
      <w:r w:rsidRPr="005978DF">
        <w:rPr>
          <w:rFonts w:eastAsia="Times New Roman"/>
          <w:sz w:val="22"/>
          <w:szCs w:val="22"/>
          <w:lang w:val="es-ES"/>
        </w:rPr>
        <w:t>3, 1 P-2 y 8 SG), la reclasificación propuesta del Secretario Ejecutivo Adjunto de D-1 a D-2 y dos puestos nuevos de categoría P-4 y P-3, respectivamente. Estos se describen en mayor detalle más adelante.</w:t>
      </w:r>
    </w:p>
    <w:p w14:paraId="404113C8"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Los recursos relacionados con puestos para mantener los 15,5</w:t>
      </w:r>
      <w:r w:rsidR="00BA1BD1">
        <w:rPr>
          <w:rFonts w:eastAsia="Times New Roman"/>
          <w:sz w:val="22"/>
          <w:szCs w:val="22"/>
          <w:lang w:val="es-ES"/>
        </w:rPr>
        <w:t> </w:t>
      </w:r>
      <w:r w:rsidRPr="005978DF">
        <w:rPr>
          <w:rFonts w:eastAsia="Times New Roman"/>
          <w:sz w:val="22"/>
          <w:szCs w:val="22"/>
          <w:lang w:val="es-ES"/>
        </w:rPr>
        <w:t>puestos financiados con cargo al presupuesto básico para las Dependencias de APB y Seguridad de la Biotecnología (2 P-5, 1 P-4, 4,5 P-3, 2 P-2 y 6</w:t>
      </w:r>
      <w:r w:rsidR="00BA1BD1">
        <w:rPr>
          <w:rFonts w:eastAsia="Times New Roman"/>
          <w:sz w:val="22"/>
          <w:szCs w:val="22"/>
          <w:lang w:val="es-ES"/>
        </w:rPr>
        <w:t> </w:t>
      </w:r>
      <w:r w:rsidRPr="005978DF">
        <w:rPr>
          <w:rFonts w:eastAsia="Times New Roman"/>
          <w:sz w:val="22"/>
          <w:szCs w:val="22"/>
          <w:lang w:val="es-ES"/>
        </w:rPr>
        <w:t>SG) y la solicitud de conversión de dos puestos en las categorías P-4 y P-3 financiados con cargo a contribuciones voluntarias se presentan bajo el programa de trabajo, en la sección C más adelante.</w:t>
      </w:r>
    </w:p>
    <w:p w14:paraId="404113C9"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La reclasificación del puesto de </w:t>
      </w:r>
      <w:proofErr w:type="gramStart"/>
      <w:r w:rsidRPr="005978DF">
        <w:rPr>
          <w:rFonts w:eastAsia="Times New Roman"/>
          <w:sz w:val="22"/>
          <w:szCs w:val="22"/>
          <w:lang w:val="es-ES"/>
        </w:rPr>
        <w:t>Secretario Ejecutivo</w:t>
      </w:r>
      <w:proofErr w:type="gramEnd"/>
      <w:r w:rsidRPr="005978DF">
        <w:rPr>
          <w:rFonts w:eastAsia="Times New Roman"/>
          <w:sz w:val="22"/>
          <w:szCs w:val="22"/>
          <w:lang w:val="es-ES"/>
        </w:rPr>
        <w:t xml:space="preserve"> Adjunto de categoría D-1 a categoría D-2 se solicita para contemplar el mayor nivel de responsabilidad a partir de la reorganización que entró en vigor el 10</w:t>
      </w:r>
      <w:r w:rsidR="00BA1BD1">
        <w:rPr>
          <w:rFonts w:eastAsia="Times New Roman"/>
          <w:sz w:val="22"/>
          <w:szCs w:val="22"/>
          <w:lang w:val="es-ES"/>
        </w:rPr>
        <w:t> </w:t>
      </w:r>
      <w:r w:rsidRPr="005978DF">
        <w:rPr>
          <w:rFonts w:eastAsia="Times New Roman"/>
          <w:sz w:val="22"/>
          <w:szCs w:val="22"/>
          <w:lang w:val="es-ES"/>
        </w:rPr>
        <w:t>de octubre de 2018, en relación con la gestión y supervisión de dos Protocolos y el Fondo del Japón para la Diversidad Biológica, y desde el 1 de enero de 2021, la supervisión de la Dependencia de Servicios de Conferencia. La elevación del puesto a una categoría superior fue propuesta inicialmente a las Partes en la</w:t>
      </w:r>
      <w:r w:rsidR="00BA1BD1">
        <w:rPr>
          <w:rFonts w:eastAsia="Times New Roman"/>
          <w:sz w:val="22"/>
          <w:szCs w:val="22"/>
          <w:lang w:val="es-ES"/>
        </w:rPr>
        <w:t> </w:t>
      </w:r>
      <w:r w:rsidRPr="005978DF">
        <w:rPr>
          <w:rFonts w:eastAsia="Times New Roman"/>
          <w:sz w:val="22"/>
          <w:szCs w:val="22"/>
          <w:lang w:val="es-ES"/>
        </w:rPr>
        <w:t>2ª reunión extraordinaria de la Conferencia de las Partes en el Convenio y luego en la primera parte de la</w:t>
      </w:r>
      <w:r w:rsidR="00BA1BD1">
        <w:rPr>
          <w:rFonts w:eastAsia="Times New Roman"/>
          <w:sz w:val="22"/>
          <w:szCs w:val="22"/>
          <w:lang w:val="es-ES"/>
        </w:rPr>
        <w:t> </w:t>
      </w:r>
      <w:r w:rsidRPr="005978DF">
        <w:rPr>
          <w:rFonts w:eastAsia="Times New Roman"/>
          <w:sz w:val="22"/>
          <w:szCs w:val="22"/>
          <w:lang w:val="es-ES"/>
        </w:rPr>
        <w:t xml:space="preserve">15ª reunión de la Conferencia de las Partes. De acuerdo con las solicitudes formuladas por las Partes en las decisiones EM-2/1, párrafo 8, y 15/1, párrafo 7, la Secretaría vuelve a presentar esta solicitud. La reclasificación del puesto a la categoría D-2 fue aprobado por la </w:t>
      </w:r>
      <w:proofErr w:type="gramStart"/>
      <w:r w:rsidRPr="005978DF">
        <w:rPr>
          <w:rFonts w:eastAsia="Times New Roman"/>
          <w:sz w:val="22"/>
          <w:szCs w:val="22"/>
          <w:lang w:val="es-ES"/>
        </w:rPr>
        <w:t xml:space="preserve">Directora </w:t>
      </w:r>
      <w:r w:rsidRPr="005978DF">
        <w:rPr>
          <w:rFonts w:eastAsia="Times New Roman"/>
          <w:kern w:val="22"/>
          <w:sz w:val="22"/>
          <w:szCs w:val="22"/>
          <w:lang w:val="es-ES"/>
        </w:rPr>
        <w:t>Ejecutiva</w:t>
      </w:r>
      <w:proofErr w:type="gramEnd"/>
      <w:r w:rsidRPr="005978DF">
        <w:rPr>
          <w:rFonts w:eastAsia="Times New Roman"/>
          <w:kern w:val="22"/>
          <w:sz w:val="22"/>
          <w:szCs w:val="22"/>
          <w:lang w:val="es-ES"/>
        </w:rPr>
        <w:t xml:space="preserve"> del Programa de las Naciones Unidas para el Medio Ambiente en respuesta a una solicitud de la Secretaria Ejecutiva de fecha 22 de mayo de 2022.</w:t>
      </w:r>
    </w:p>
    <w:p w14:paraId="404113CA"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Bajo la orientación y supervisión de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el titular del puesto sustituirá a la Secretaria Ejecutiva y coordinará el funcionamiento diario de la Secretaría y sus actividades estratégicas y de planificación, así como el programa de trabajo sustantivo, y dirigirá el seguimiento del cumplimiento de las responsabilidades de la Secretaría y el trabajo solicitado por las Partes. El titular también coordinará los procesos y actividades </w:t>
      </w:r>
      <w:r w:rsidRPr="005978DF">
        <w:rPr>
          <w:rFonts w:eastAsia="Times New Roman"/>
          <w:sz w:val="22"/>
          <w:szCs w:val="22"/>
          <w:lang w:val="es-ES"/>
        </w:rPr>
        <w:lastRenderedPageBreak/>
        <w:t xml:space="preserve">intergubernamentales en el marco del Convenio y sus Protocolos oficiando de Secretario de la Conferencia de las Partes y su Mesa, supervisará la preparación de documentos y se asegurará de que los productos del Convenio y los Protocolos mantengan un nivel de calidad alto y administrará los aspectos logísticos, incluida la prestación de servicios de conferencia, asesorando a los presidentes de las reuniones y a la Secretaria Ejecutiva en materia de programas, </w:t>
      </w:r>
      <w:r w:rsidR="00CD48A0">
        <w:rPr>
          <w:rFonts w:eastAsia="Times New Roman"/>
          <w:sz w:val="22"/>
          <w:szCs w:val="22"/>
          <w:lang w:val="es-ES"/>
        </w:rPr>
        <w:t>conducción</w:t>
      </w:r>
      <w:r w:rsidRPr="005978DF">
        <w:rPr>
          <w:rFonts w:eastAsia="Times New Roman"/>
          <w:sz w:val="22"/>
          <w:szCs w:val="22"/>
          <w:lang w:val="es-ES"/>
        </w:rPr>
        <w:t xml:space="preserve"> de las reuniones, procedimientos, estrategias y aspectos sustantivos de las reuniones y la redacción de decisiones, recomendaciones y otros resultados de las reuniones, y asesorará y oficiará de enlace con delegaciones y funcionarios de organizaciones intergubernamentales. Además, el titular brindará a la Secretaria Ejecutiva asesoramiento en materia de políticas referidas a la aplicación del Convenio y sus Protocolos y apoyará a la Secretaria Ejecutiva en la dirección de la elaboración e implementación de planes estratégicos periódicos y en el diseño de enfoques para abordar cuestiones incipientes,</w:t>
      </w:r>
      <w:r w:rsidR="00CD48A0">
        <w:rPr>
          <w:rFonts w:eastAsia="Times New Roman"/>
          <w:sz w:val="22"/>
          <w:szCs w:val="22"/>
          <w:lang w:val="es-ES"/>
        </w:rPr>
        <w:t xml:space="preserve"> así como prestar asistencia</w:t>
      </w:r>
      <w:r w:rsidRPr="005978DF">
        <w:rPr>
          <w:rFonts w:eastAsia="Times New Roman"/>
          <w:sz w:val="22"/>
          <w:szCs w:val="22"/>
          <w:lang w:val="es-ES"/>
        </w:rPr>
        <w:t xml:space="preserve"> en actividades de promoción de alto nivel, representará y hablará en nombre de la Secretaria Ejecutiva en reuniones, talleres y conferencias y </w:t>
      </w:r>
      <w:r w:rsidR="00CD48A0">
        <w:rPr>
          <w:rFonts w:eastAsia="Times New Roman"/>
          <w:sz w:val="22"/>
          <w:szCs w:val="22"/>
          <w:lang w:val="es-ES"/>
        </w:rPr>
        <w:t>ayudará</w:t>
      </w:r>
      <w:r w:rsidRPr="005978DF">
        <w:rPr>
          <w:rFonts w:eastAsia="Times New Roman"/>
          <w:sz w:val="22"/>
          <w:szCs w:val="22"/>
          <w:lang w:val="es-ES"/>
        </w:rPr>
        <w:t xml:space="preserve"> a la Secretaria Ejecutiva en la orientación estratégica brindada a la Dependencia de Comunicaciones. El titular también supervisará las Dependencias de Acceso y Participación en los Beneficios y de Seguridad de la Biotecnología y garantizará la coordinación e integración entre el Convenio, el Protocolo de Cartagena sobre Seguridad en la Biotecnología y el Protocolo de Nagoya sobre Acceso y Participación en los Beneficios. Asimismo, el titular asesorará a la </w:t>
      </w:r>
      <w:proofErr w:type="gramStart"/>
      <w:r w:rsidRPr="005978DF">
        <w:rPr>
          <w:rFonts w:eastAsia="Times New Roman"/>
          <w:sz w:val="22"/>
          <w:szCs w:val="22"/>
          <w:lang w:val="es-ES"/>
        </w:rPr>
        <w:t>Secretaria Ejecutiva</w:t>
      </w:r>
      <w:proofErr w:type="gramEnd"/>
      <w:r w:rsidRPr="005978DF">
        <w:rPr>
          <w:rFonts w:eastAsia="Times New Roman"/>
          <w:sz w:val="22"/>
          <w:szCs w:val="22"/>
          <w:lang w:val="es-ES"/>
        </w:rPr>
        <w:t xml:space="preserve"> en la gestión de la Secretaría basada en los resultados y en la planificación, coordinación y seguimiento de planes estratégicos, programas de trabajo y coordinación/supervisión de la administración de los recursos de programas bajo su supervisión. También coordinará la recaudación de fondos complementarios, incluido comunicándose con funcionarios de organismos de recaudación de fondos y gobiernos.</w:t>
      </w:r>
    </w:p>
    <w:p w14:paraId="404113CB"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bookmarkStart w:id="7" w:name="_Ref113439537"/>
      <w:r w:rsidRPr="005978DF">
        <w:rPr>
          <w:rFonts w:eastAsia="Times New Roman"/>
          <w:sz w:val="22"/>
          <w:szCs w:val="22"/>
          <w:lang w:val="es-ES"/>
        </w:rPr>
        <w:t>En la misma decisión </w:t>
      </w:r>
      <w:hyperlink r:id="rId16" w:history="1">
        <w:r w:rsidRPr="005978DF">
          <w:rPr>
            <w:rStyle w:val="Hyperlink"/>
            <w:rFonts w:eastAsia="Times New Roman"/>
            <w:sz w:val="22"/>
            <w:szCs w:val="22"/>
            <w:lang w:val="es-ES"/>
          </w:rPr>
          <w:t>15/1</w:t>
        </w:r>
      </w:hyperlink>
      <w:r w:rsidRPr="005978DF">
        <w:rPr>
          <w:rFonts w:eastAsia="Times New Roman"/>
          <w:sz w:val="22"/>
          <w:szCs w:val="22"/>
          <w:lang w:val="es-ES"/>
        </w:rPr>
        <w:t xml:space="preserve">, en el párrafo 8, </w:t>
      </w:r>
      <w:r w:rsidRPr="005978DF">
        <w:rPr>
          <w:rFonts w:eastAsia="Times New Roman"/>
          <w:kern w:val="22"/>
          <w:sz w:val="22"/>
          <w:szCs w:val="22"/>
          <w:lang w:val="es-ES"/>
        </w:rPr>
        <w:t xml:space="preserve">también se autorizó a la Secretaria Ejecutiva, con carácter excepcional, a </w:t>
      </w:r>
      <w:r w:rsidR="00CD48A0">
        <w:rPr>
          <w:rFonts w:eastAsia="Times New Roman"/>
          <w:kern w:val="22"/>
          <w:sz w:val="22"/>
          <w:szCs w:val="22"/>
          <w:lang w:val="es-ES"/>
        </w:rPr>
        <w:t>elevar</w:t>
      </w:r>
      <w:r w:rsidRPr="005978DF">
        <w:rPr>
          <w:rFonts w:eastAsia="Times New Roman"/>
          <w:kern w:val="22"/>
          <w:sz w:val="22"/>
          <w:szCs w:val="22"/>
          <w:lang w:val="es-ES"/>
        </w:rPr>
        <w:t xml:space="preserve"> </w:t>
      </w:r>
      <w:r w:rsidR="00CD48A0" w:rsidRPr="005978DF">
        <w:rPr>
          <w:rFonts w:eastAsia="Times New Roman"/>
          <w:kern w:val="22"/>
          <w:sz w:val="22"/>
          <w:szCs w:val="22"/>
          <w:lang w:val="es-ES"/>
        </w:rPr>
        <w:t>a la categoría P-4</w:t>
      </w:r>
      <w:r w:rsidR="00CD48A0">
        <w:rPr>
          <w:rFonts w:eastAsia="Times New Roman"/>
          <w:kern w:val="22"/>
          <w:sz w:val="22"/>
          <w:szCs w:val="22"/>
          <w:lang w:val="es-ES"/>
        </w:rPr>
        <w:t xml:space="preserve"> </w:t>
      </w:r>
      <w:r w:rsidRPr="005978DF">
        <w:rPr>
          <w:rFonts w:eastAsia="Times New Roman"/>
          <w:kern w:val="22"/>
          <w:sz w:val="22"/>
          <w:szCs w:val="22"/>
          <w:lang w:val="es-ES"/>
        </w:rPr>
        <w:t>al puesto de Auxiliar Especial en la Oficina de la Secretaria Ejecutiva, de conformidad con todas las normas y reglamentos pertinentes de las Naciones Unidas, y se pidió</w:t>
      </w:r>
      <w:r w:rsidR="00CD48A0" w:rsidRPr="00CD48A0">
        <w:rPr>
          <w:rFonts w:eastAsia="Times New Roman"/>
          <w:kern w:val="22"/>
          <w:sz w:val="22"/>
          <w:szCs w:val="22"/>
          <w:lang w:val="es-ES"/>
        </w:rPr>
        <w:t xml:space="preserve"> </w:t>
      </w:r>
      <w:r w:rsidR="00CD48A0" w:rsidRPr="005978DF">
        <w:rPr>
          <w:rFonts w:eastAsia="Times New Roman"/>
          <w:kern w:val="22"/>
          <w:sz w:val="22"/>
          <w:szCs w:val="22"/>
          <w:lang w:val="es-ES"/>
        </w:rPr>
        <w:t>a la Secretaria Ejecutiva</w:t>
      </w:r>
      <w:r w:rsidRPr="005978DF">
        <w:rPr>
          <w:rFonts w:eastAsia="Times New Roman"/>
          <w:kern w:val="22"/>
          <w:sz w:val="22"/>
          <w:szCs w:val="22"/>
          <w:lang w:val="es-ES"/>
        </w:rPr>
        <w:t xml:space="preserve"> que proporcionara a la Conferencia de las Partes, en la segunda parte de su 15ª reunión, información </w:t>
      </w:r>
      <w:r w:rsidR="00CD48A0">
        <w:rPr>
          <w:rFonts w:eastAsia="Times New Roman"/>
          <w:kern w:val="22"/>
          <w:sz w:val="22"/>
          <w:szCs w:val="22"/>
          <w:lang w:val="es-ES"/>
        </w:rPr>
        <w:t>relacionada con</w:t>
      </w:r>
      <w:r w:rsidRPr="005978DF">
        <w:rPr>
          <w:rFonts w:eastAsia="Times New Roman"/>
          <w:kern w:val="22"/>
          <w:sz w:val="22"/>
          <w:szCs w:val="22"/>
          <w:lang w:val="es-ES"/>
        </w:rPr>
        <w:t xml:space="preserve"> el fundamento jurídico, incluidas las posibles implicaciones jurídicas relacionadas con la reclasificación. Esta información se proporcionará en el informe de ejecución financiera indicado en el párrafo </w:t>
      </w:r>
      <w:r w:rsidR="00904737">
        <w:rPr>
          <w:rFonts w:eastAsia="Times New Roman"/>
          <w:kern w:val="22"/>
          <w:sz w:val="22"/>
          <w:szCs w:val="22"/>
          <w:lang w:val="es-ES"/>
        </w:rPr>
        <w:fldChar w:fldCharType="begin"/>
      </w:r>
      <w:r w:rsidR="00904737">
        <w:rPr>
          <w:rFonts w:eastAsia="Times New Roman"/>
          <w:kern w:val="22"/>
          <w:sz w:val="22"/>
          <w:szCs w:val="22"/>
          <w:lang w:val="es-ES"/>
        </w:rPr>
        <w:instrText xml:space="preserve"> REF _Ref115092165 \r \h </w:instrText>
      </w:r>
      <w:r w:rsidR="00904737">
        <w:rPr>
          <w:rFonts w:eastAsia="Times New Roman"/>
          <w:kern w:val="22"/>
          <w:sz w:val="22"/>
          <w:szCs w:val="22"/>
          <w:lang w:val="es-ES"/>
        </w:rPr>
      </w:r>
      <w:r w:rsidR="00904737">
        <w:rPr>
          <w:rFonts w:eastAsia="Times New Roman"/>
          <w:kern w:val="22"/>
          <w:sz w:val="22"/>
          <w:szCs w:val="22"/>
          <w:lang w:val="es-ES"/>
        </w:rPr>
        <w:fldChar w:fldCharType="separate"/>
      </w:r>
      <w:r w:rsidR="00904737">
        <w:rPr>
          <w:rFonts w:eastAsia="Times New Roman"/>
          <w:kern w:val="22"/>
          <w:sz w:val="22"/>
          <w:szCs w:val="22"/>
          <w:lang w:val="es-ES"/>
        </w:rPr>
        <w:t>10</w:t>
      </w:r>
      <w:r w:rsidR="00904737">
        <w:rPr>
          <w:rFonts w:eastAsia="Times New Roman"/>
          <w:kern w:val="22"/>
          <w:sz w:val="22"/>
          <w:szCs w:val="22"/>
          <w:lang w:val="es-ES"/>
        </w:rPr>
        <w:fldChar w:fldCharType="end"/>
      </w:r>
      <w:r w:rsidRPr="005978DF">
        <w:rPr>
          <w:rFonts w:eastAsia="Times New Roman"/>
          <w:kern w:val="22"/>
          <w:sz w:val="22"/>
          <w:szCs w:val="22"/>
          <w:lang w:val="es-ES"/>
        </w:rPr>
        <w:t xml:space="preserve"> anterior.</w:t>
      </w:r>
    </w:p>
    <w:p w14:paraId="404113CC"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bookmarkStart w:id="8" w:name="_Ref115092123"/>
      <w:bookmarkEnd w:id="7"/>
      <w:r w:rsidRPr="005978DF">
        <w:rPr>
          <w:rFonts w:eastAsia="Times New Roman"/>
          <w:sz w:val="22"/>
          <w:szCs w:val="22"/>
          <w:lang w:val="es-ES"/>
        </w:rPr>
        <w:t>Cabe señalar que la Asamblea General de las Naciones Unidas ha reafirmado en varias oportunidades que la gestión basada en los resultados y la presentación de informes sobre la ejecución de las actividades son pilares esenciales de un marco amplio de rendición de cuentas, siendo el ejemplo más reciente de esto el párrafo 13 de la resolución</w:t>
      </w:r>
      <w:r w:rsidR="00C44BAB">
        <w:rPr>
          <w:rFonts w:eastAsia="Times New Roman"/>
          <w:sz w:val="22"/>
          <w:szCs w:val="22"/>
          <w:lang w:val="es-ES"/>
        </w:rPr>
        <w:t> </w:t>
      </w:r>
      <w:r w:rsidRPr="005978DF">
        <w:rPr>
          <w:rFonts w:eastAsia="Times New Roman"/>
          <w:sz w:val="22"/>
          <w:szCs w:val="22"/>
          <w:lang w:val="es-ES"/>
        </w:rPr>
        <w:t xml:space="preserve">A/RES/72/303 de la Asamblea General de las Naciones Unidas. La Asamblea General de las Naciones Unidas también solicitó al </w:t>
      </w:r>
      <w:proofErr w:type="gramStart"/>
      <w:r w:rsidRPr="005978DF">
        <w:rPr>
          <w:rFonts w:eastAsia="Times New Roman"/>
          <w:sz w:val="22"/>
          <w:szCs w:val="22"/>
          <w:lang w:val="es-ES"/>
        </w:rPr>
        <w:t>Secretario General</w:t>
      </w:r>
      <w:proofErr w:type="gramEnd"/>
      <w:r w:rsidRPr="005978DF">
        <w:rPr>
          <w:rFonts w:eastAsia="Times New Roman"/>
          <w:sz w:val="22"/>
          <w:szCs w:val="22"/>
          <w:lang w:val="es-ES"/>
        </w:rPr>
        <w:t>, en el párrafo 21 de la resolución</w:t>
      </w:r>
      <w:r w:rsidR="00C44BAB">
        <w:rPr>
          <w:rFonts w:eastAsia="Times New Roman"/>
          <w:sz w:val="22"/>
          <w:szCs w:val="22"/>
          <w:lang w:val="es-ES"/>
        </w:rPr>
        <w:t> </w:t>
      </w:r>
      <w:r w:rsidRPr="005978DF">
        <w:rPr>
          <w:rFonts w:eastAsia="Times New Roman"/>
          <w:sz w:val="22"/>
          <w:szCs w:val="22"/>
          <w:lang w:val="es-ES"/>
        </w:rPr>
        <w:t xml:space="preserve">74/271, que siguiera adoptando medidas concretas para aumentar la capacidad interna de evaluación y autoevaluación. Por consiguiente, la Secretaría propone un </w:t>
      </w:r>
      <w:r w:rsidRPr="005978DF">
        <w:rPr>
          <w:rFonts w:eastAsia="Times New Roman"/>
          <w:i/>
          <w:iCs/>
          <w:sz w:val="22"/>
          <w:szCs w:val="22"/>
          <w:lang w:val="es-ES"/>
        </w:rPr>
        <w:t>Oficial de Gestión de Programas de categoría P-4</w:t>
      </w:r>
      <w:r w:rsidRPr="005978DF">
        <w:rPr>
          <w:rFonts w:eastAsia="Times New Roman"/>
          <w:sz w:val="22"/>
          <w:szCs w:val="22"/>
          <w:lang w:val="es-ES"/>
        </w:rPr>
        <w:t xml:space="preserve"> para supervisar la implementación del nuevo marco de presupuestación basada en los resultados sobre la base de indicadores de logros, y que estar</w:t>
      </w:r>
      <w:r w:rsidR="00CD48A0">
        <w:rPr>
          <w:rFonts w:eastAsia="Times New Roman"/>
          <w:sz w:val="22"/>
          <w:szCs w:val="22"/>
          <w:lang w:val="es-ES"/>
        </w:rPr>
        <w:t>ía</w:t>
      </w:r>
      <w:r w:rsidRPr="005978DF">
        <w:rPr>
          <w:rFonts w:eastAsia="Times New Roman"/>
          <w:sz w:val="22"/>
          <w:szCs w:val="22"/>
          <w:lang w:val="es-ES"/>
        </w:rPr>
        <w:t xml:space="preserve"> también encargado de la puesta en marcha </w:t>
      </w:r>
      <w:r w:rsidR="00CD48A0" w:rsidRPr="005978DF">
        <w:rPr>
          <w:rFonts w:eastAsia="Times New Roman"/>
          <w:color w:val="000000"/>
          <w:sz w:val="22"/>
          <w:szCs w:val="22"/>
          <w:lang w:val="es-ES"/>
        </w:rPr>
        <w:t>e</w:t>
      </w:r>
      <w:r w:rsidR="00CD48A0" w:rsidRPr="005978DF">
        <w:rPr>
          <w:rFonts w:eastAsia="Times New Roman"/>
          <w:sz w:val="22"/>
          <w:szCs w:val="22"/>
          <w:lang w:val="es-ES"/>
        </w:rPr>
        <w:t xml:space="preserve">n la Secretaría </w:t>
      </w:r>
      <w:r w:rsidRPr="005978DF">
        <w:rPr>
          <w:rFonts w:eastAsia="Times New Roman"/>
          <w:sz w:val="22"/>
          <w:szCs w:val="22"/>
          <w:lang w:val="es-ES"/>
        </w:rPr>
        <w:t xml:space="preserve">del módulo de Planificación, Gestión y Presentación de Informes Integrada y el módulo de Donantes de </w:t>
      </w:r>
      <w:r w:rsidRPr="005978DF">
        <w:rPr>
          <w:rFonts w:eastAsia="Times New Roman"/>
          <w:color w:val="000000"/>
          <w:sz w:val="22"/>
          <w:szCs w:val="22"/>
          <w:lang w:val="es-ES"/>
        </w:rPr>
        <w:t>Umoja</w:t>
      </w:r>
      <w:r w:rsidRPr="005978DF">
        <w:rPr>
          <w:rFonts w:eastAsia="Times New Roman"/>
          <w:sz w:val="22"/>
          <w:szCs w:val="22"/>
          <w:lang w:val="es-ES"/>
        </w:rPr>
        <w:t>. Con la creación de este puesto también se atender</w:t>
      </w:r>
      <w:r w:rsidR="00CD48A0">
        <w:rPr>
          <w:rFonts w:eastAsia="Times New Roman"/>
          <w:sz w:val="22"/>
          <w:szCs w:val="22"/>
          <w:lang w:val="es-ES"/>
        </w:rPr>
        <w:t>ía</w:t>
      </w:r>
      <w:r w:rsidRPr="005978DF">
        <w:rPr>
          <w:rFonts w:eastAsia="Times New Roman"/>
          <w:sz w:val="22"/>
          <w:szCs w:val="22"/>
          <w:lang w:val="es-ES"/>
        </w:rPr>
        <w:t xml:space="preserve"> la observación pendiente resultante de la auditoría de la Oficina de Servicios de Supervisión Interna (OSSI) de 2019, en la que se indicó que la Secretaría, en consulta con el PNUMA</w:t>
      </w:r>
      <w:r w:rsidR="00CD48A0">
        <w:rPr>
          <w:rFonts w:eastAsia="Times New Roman"/>
          <w:sz w:val="22"/>
          <w:szCs w:val="22"/>
          <w:lang w:val="es-ES"/>
        </w:rPr>
        <w:t>,</w:t>
      </w:r>
      <w:r w:rsidRPr="005978DF">
        <w:rPr>
          <w:rFonts w:eastAsia="Times New Roman"/>
          <w:sz w:val="22"/>
          <w:szCs w:val="22"/>
          <w:lang w:val="es-ES"/>
        </w:rPr>
        <w:t xml:space="preserve"> debía elaborar una política y mecanismo de evaluación para facilitar las evaluaciones de su programa de trabajo plurianual. Como señaló la OSSI en su auditoría de la Secretaría (informe</w:t>
      </w:r>
      <w:r w:rsidR="00C44BAB">
        <w:rPr>
          <w:rFonts w:eastAsia="Times New Roman"/>
          <w:sz w:val="22"/>
          <w:szCs w:val="22"/>
          <w:lang w:val="es-ES"/>
        </w:rPr>
        <w:t> </w:t>
      </w:r>
      <w:r w:rsidRPr="005978DF">
        <w:rPr>
          <w:rFonts w:eastAsia="Times New Roman"/>
          <w:sz w:val="22"/>
          <w:szCs w:val="22"/>
          <w:lang w:val="es-ES"/>
        </w:rPr>
        <w:t xml:space="preserve">2019/095 de la OSSI del 31 de octubre de 2019), no hay mecanismos definidos de evaluación en la Secretaría. Por otra parte, la Dependencia de Evaluación del PNUMA no se ocupa de las actividades de las secretarías que administra, por lo que la Secretaría </w:t>
      </w:r>
      <w:r w:rsidR="00CD48A0">
        <w:rPr>
          <w:rFonts w:eastAsia="Times New Roman"/>
          <w:sz w:val="22"/>
          <w:szCs w:val="22"/>
          <w:lang w:val="es-ES"/>
        </w:rPr>
        <w:t xml:space="preserve">no </w:t>
      </w:r>
      <w:r w:rsidRPr="005978DF">
        <w:rPr>
          <w:rFonts w:eastAsia="Times New Roman"/>
          <w:sz w:val="22"/>
          <w:szCs w:val="22"/>
          <w:lang w:val="es-ES"/>
        </w:rPr>
        <w:t xml:space="preserve">ha evaluado </w:t>
      </w:r>
      <w:r w:rsidR="00CD48A0" w:rsidRPr="005978DF">
        <w:rPr>
          <w:rFonts w:eastAsia="Times New Roman"/>
          <w:sz w:val="22"/>
          <w:szCs w:val="22"/>
          <w:lang w:val="es-ES"/>
        </w:rPr>
        <w:t xml:space="preserve">nunca </w:t>
      </w:r>
      <w:r w:rsidRPr="005978DF">
        <w:rPr>
          <w:rFonts w:eastAsia="Times New Roman"/>
          <w:sz w:val="22"/>
          <w:szCs w:val="22"/>
          <w:lang w:val="es-ES"/>
        </w:rPr>
        <w:t xml:space="preserve">sistemáticamente sus actividades para </w:t>
      </w:r>
      <w:r w:rsidR="00CD48A0">
        <w:rPr>
          <w:rFonts w:eastAsia="Times New Roman"/>
          <w:sz w:val="22"/>
          <w:szCs w:val="22"/>
          <w:lang w:val="es-ES"/>
        </w:rPr>
        <w:t>verificar</w:t>
      </w:r>
      <w:r w:rsidRPr="005978DF">
        <w:rPr>
          <w:rFonts w:eastAsia="Times New Roman"/>
          <w:sz w:val="22"/>
          <w:szCs w:val="22"/>
          <w:lang w:val="es-ES"/>
        </w:rPr>
        <w:t xml:space="preserve"> su pertinencia, eficiencia, eficacia, impacto y sostenibilidad.</w:t>
      </w:r>
      <w:bookmarkEnd w:id="8"/>
    </w:p>
    <w:p w14:paraId="404113CD" w14:textId="77777777" w:rsidR="002F3255" w:rsidRPr="00CD3868"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pacing w:val="2"/>
          <w:lang w:val="es-ES"/>
        </w:rPr>
      </w:pPr>
      <w:r w:rsidRPr="00CD3868">
        <w:rPr>
          <w:rFonts w:eastAsia="Times New Roman"/>
          <w:spacing w:val="2"/>
          <w:sz w:val="22"/>
          <w:szCs w:val="22"/>
          <w:lang w:val="es-ES"/>
        </w:rPr>
        <w:t xml:space="preserve">La Secretaría también propone la conversión de un puesto de </w:t>
      </w:r>
      <w:r w:rsidRPr="00CD3868">
        <w:rPr>
          <w:rFonts w:eastAsia="Times New Roman"/>
          <w:i/>
          <w:iCs/>
          <w:spacing w:val="2"/>
          <w:sz w:val="22"/>
          <w:szCs w:val="22"/>
          <w:lang w:val="es-ES"/>
        </w:rPr>
        <w:t>Oficial de Comunicaciones de categoría P-3</w:t>
      </w:r>
      <w:r w:rsidRPr="00CD3868">
        <w:rPr>
          <w:rFonts w:eastAsia="Times New Roman"/>
          <w:spacing w:val="2"/>
          <w:sz w:val="22"/>
          <w:szCs w:val="22"/>
          <w:lang w:val="es-ES"/>
        </w:rPr>
        <w:t>, que actualmente se financia con recursos extrapresupuestarios aportados por la Unión Europea. Su financiación con cargo al presupuesto básico a partir de 2023 es necesaria para garantizar la estabilidad y continuidad de esta función de comunicaciones en un período en el que se registra</w:t>
      </w:r>
      <w:r w:rsidR="00CD3868" w:rsidRPr="00CD3868">
        <w:rPr>
          <w:rFonts w:eastAsia="Times New Roman"/>
          <w:spacing w:val="2"/>
          <w:sz w:val="22"/>
          <w:szCs w:val="22"/>
          <w:lang w:val="es-ES"/>
        </w:rPr>
        <w:t>rá</w:t>
      </w:r>
      <w:r w:rsidRPr="00CD3868">
        <w:rPr>
          <w:rFonts w:eastAsia="Times New Roman"/>
          <w:spacing w:val="2"/>
          <w:sz w:val="22"/>
          <w:szCs w:val="22"/>
          <w:lang w:val="es-ES"/>
        </w:rPr>
        <w:t xml:space="preserve"> un aumento vertiginoso de las actividades de comunicación y divulgación de la Secretaría. El puesto apoyará las actividades de </w:t>
      </w:r>
      <w:r w:rsidRPr="00CD3868">
        <w:rPr>
          <w:rFonts w:eastAsia="Times New Roman"/>
          <w:spacing w:val="2"/>
          <w:sz w:val="22"/>
          <w:szCs w:val="22"/>
          <w:lang w:val="es-ES"/>
        </w:rPr>
        <w:lastRenderedPageBreak/>
        <w:t>comunicación y divulgación, incluidas iniciativas en regiones específicas, sobre temas clave y con asociados pertinentes, partiendo de la estrategia mundial de comunicaciones del Convenio, entre otras cosas a través de organizaciones y profesionales de medios de comunicación impresos y electrónicos, así como en la documentación, supervisión y evaluación sistemáticas de las actividades en todos los niveles; Este puesto es clave para la gestión de los canales de redes sociales de la Secretaría, un componente esencial de la divulgación.</w:t>
      </w:r>
    </w:p>
    <w:p w14:paraId="404113CE"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En los últimos años ha habido un aumento en la demanda de Servicios de Conferencia, por lo que hay una necesidad urgente de ampliar la Dependencia de Servicios de Conferencia. Como primera medida, se propone crear dos puestos nuevos de Servicios Generales para apoyar la preparación logística para las reuniones.</w:t>
      </w:r>
    </w:p>
    <w:p w14:paraId="404113CF"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lang w:val="es-ES"/>
        </w:rPr>
      </w:pPr>
      <w:r w:rsidRPr="005978DF">
        <w:rPr>
          <w:rFonts w:eastAsia="Times New Roman"/>
          <w:sz w:val="22"/>
          <w:szCs w:val="22"/>
          <w:lang w:val="es-ES"/>
        </w:rPr>
        <w:t xml:space="preserve">Los recursos no relacionados con puestos en la hipótesis de crecimiento real nulo ascienden a </w:t>
      </w:r>
      <w:r w:rsidRPr="005978DF">
        <w:rPr>
          <w:rFonts w:eastAsia="Times New Roman"/>
          <w:i/>
          <w:iCs/>
          <w:sz w:val="22"/>
          <w:szCs w:val="22"/>
          <w:lang w:val="es-ES"/>
        </w:rPr>
        <w:t>540</w:t>
      </w:r>
      <w:r w:rsidR="002C3B9C">
        <w:rPr>
          <w:rFonts w:eastAsia="Times New Roman"/>
          <w:i/>
          <w:iCs/>
          <w:sz w:val="22"/>
          <w:szCs w:val="22"/>
          <w:lang w:val="es-ES"/>
        </w:rPr>
        <w:t> </w:t>
      </w:r>
      <w:r w:rsidRPr="005978DF">
        <w:rPr>
          <w:rFonts w:eastAsia="Times New Roman"/>
          <w:i/>
          <w:iCs/>
          <w:sz w:val="22"/>
          <w:szCs w:val="22"/>
          <w:lang w:val="es-ES"/>
        </w:rPr>
        <w:t>000</w:t>
      </w:r>
      <w:r w:rsidR="0027390C">
        <w:rPr>
          <w:rFonts w:eastAsia="Times New Roman"/>
          <w:i/>
          <w:iCs/>
          <w:sz w:val="22"/>
          <w:szCs w:val="22"/>
          <w:lang w:val="es-ES"/>
        </w:rPr>
        <w:t> </w:t>
      </w:r>
      <w:r w:rsidRPr="005978DF">
        <w:rPr>
          <w:rFonts w:eastAsia="Times New Roman"/>
          <w:i/>
          <w:iCs/>
          <w:sz w:val="22"/>
          <w:szCs w:val="22"/>
          <w:lang w:val="es-ES"/>
        </w:rPr>
        <w:t>dólares</w:t>
      </w:r>
      <w:r w:rsidRPr="005978DF">
        <w:rPr>
          <w:rFonts w:eastAsia="Times New Roman"/>
          <w:sz w:val="22"/>
          <w:szCs w:val="22"/>
          <w:lang w:val="es-ES"/>
        </w:rPr>
        <w:t xml:space="preserve"> y permitirían sufragar los viajes del personal </w:t>
      </w:r>
      <w:r w:rsidRPr="005978DF">
        <w:rPr>
          <w:rFonts w:eastAsia="Times New Roman"/>
          <w:i/>
          <w:iCs/>
          <w:sz w:val="22"/>
          <w:szCs w:val="22"/>
          <w:lang w:val="es-ES"/>
        </w:rPr>
        <w:t>(340</w:t>
      </w:r>
      <w:r w:rsidR="002C3B9C">
        <w:rPr>
          <w:rFonts w:eastAsia="Times New Roman"/>
          <w:i/>
          <w:iCs/>
          <w:sz w:val="22"/>
          <w:szCs w:val="22"/>
          <w:lang w:val="es-ES"/>
        </w:rPr>
        <w:t> </w:t>
      </w:r>
      <w:r w:rsidRPr="005978DF">
        <w:rPr>
          <w:rFonts w:eastAsia="Times New Roman"/>
          <w:i/>
          <w:iCs/>
          <w:sz w:val="22"/>
          <w:szCs w:val="22"/>
          <w:lang w:val="es-ES"/>
        </w:rPr>
        <w:t>000 dólares),</w:t>
      </w:r>
      <w:r w:rsidRPr="005978DF">
        <w:rPr>
          <w:rFonts w:eastAsia="Times New Roman"/>
          <w:sz w:val="22"/>
          <w:szCs w:val="22"/>
          <w:lang w:val="es-ES"/>
        </w:rPr>
        <w:t xml:space="preserve"> teniendo en cuenta que en el futuro algunos viajes se reemplazarán lo más posible con </w:t>
      </w:r>
      <w:r w:rsidR="00CD3868">
        <w:rPr>
          <w:rFonts w:eastAsia="Times New Roman"/>
          <w:sz w:val="22"/>
          <w:szCs w:val="22"/>
          <w:lang w:val="es-ES"/>
        </w:rPr>
        <w:t xml:space="preserve">modalidades de </w:t>
      </w:r>
      <w:r w:rsidRPr="005978DF">
        <w:rPr>
          <w:rFonts w:eastAsia="Times New Roman"/>
          <w:sz w:val="22"/>
          <w:szCs w:val="22"/>
          <w:lang w:val="es-ES"/>
        </w:rPr>
        <w:t xml:space="preserve">participación virtual e híbrida. Por lo tanto, la estimación de gastos se base en los gastos reales del bienio 2019-2020. También cubre los gastos de consultores </w:t>
      </w:r>
      <w:r w:rsidRPr="005978DF">
        <w:rPr>
          <w:rFonts w:eastAsia="Times New Roman"/>
          <w:i/>
          <w:iCs/>
          <w:sz w:val="22"/>
          <w:szCs w:val="22"/>
          <w:lang w:val="es-ES"/>
        </w:rPr>
        <w:t>(100</w:t>
      </w:r>
      <w:r w:rsidR="002C3B9C">
        <w:rPr>
          <w:rFonts w:eastAsia="Times New Roman"/>
          <w:i/>
          <w:iCs/>
          <w:sz w:val="22"/>
          <w:szCs w:val="22"/>
          <w:lang w:val="es-ES"/>
        </w:rPr>
        <w:t> </w:t>
      </w:r>
      <w:r w:rsidRPr="005978DF">
        <w:rPr>
          <w:rFonts w:eastAsia="Times New Roman"/>
          <w:i/>
          <w:iCs/>
          <w:sz w:val="22"/>
          <w:szCs w:val="22"/>
          <w:lang w:val="es-ES"/>
        </w:rPr>
        <w:t>000 dólares)</w:t>
      </w:r>
      <w:r w:rsidRPr="005978DF">
        <w:rPr>
          <w:rFonts w:eastAsia="Times New Roman"/>
          <w:sz w:val="22"/>
          <w:szCs w:val="22"/>
          <w:lang w:val="es-ES"/>
        </w:rPr>
        <w:t xml:space="preserve"> e iniciativas de concienciación del público </w:t>
      </w:r>
      <w:r w:rsidRPr="005978DF">
        <w:rPr>
          <w:rFonts w:eastAsia="Times New Roman"/>
          <w:i/>
          <w:iCs/>
          <w:sz w:val="22"/>
          <w:szCs w:val="22"/>
          <w:lang w:val="es-ES"/>
        </w:rPr>
        <w:t>(100</w:t>
      </w:r>
      <w:r w:rsidR="002C3B9C">
        <w:rPr>
          <w:rFonts w:eastAsia="Times New Roman"/>
          <w:i/>
          <w:iCs/>
          <w:sz w:val="22"/>
          <w:szCs w:val="22"/>
          <w:lang w:val="es-ES"/>
        </w:rPr>
        <w:t> </w:t>
      </w:r>
      <w:r w:rsidRPr="005978DF">
        <w:rPr>
          <w:rFonts w:eastAsia="Times New Roman"/>
          <w:i/>
          <w:iCs/>
          <w:sz w:val="22"/>
          <w:szCs w:val="22"/>
          <w:lang w:val="es-ES"/>
        </w:rPr>
        <w:t>000 dólares)</w:t>
      </w:r>
      <w:r w:rsidRPr="005978DF">
        <w:rPr>
          <w:rFonts w:eastAsia="Times New Roman"/>
          <w:sz w:val="22"/>
          <w:szCs w:val="22"/>
          <w:lang w:val="es-ES"/>
        </w:rPr>
        <w:t xml:space="preserve"> para apoyar el cumplimiento de los mandatos en el marco del programa.</w:t>
      </w:r>
    </w:p>
    <w:p w14:paraId="404113D0" w14:textId="77777777" w:rsidR="002F3255" w:rsidRPr="005978DF" w:rsidRDefault="002F3255">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imes New Roman"/>
          <w:sz w:val="22"/>
          <w:szCs w:val="22"/>
          <w:lang w:val="es-ES"/>
        </w:rPr>
      </w:pPr>
      <w:r w:rsidRPr="005978DF">
        <w:rPr>
          <w:rFonts w:eastAsia="Times New Roman"/>
          <w:sz w:val="22"/>
          <w:szCs w:val="22"/>
          <w:lang w:val="es-ES"/>
        </w:rPr>
        <w:t>En la hipótesis de crecimiento nominal nulo (aumento del 0</w:t>
      </w:r>
      <w:r w:rsidR="002C3B9C">
        <w:rPr>
          <w:rFonts w:eastAsia="Times New Roman"/>
          <w:sz w:val="22"/>
          <w:szCs w:val="22"/>
          <w:lang w:val="es-ES"/>
        </w:rPr>
        <w:t> </w:t>
      </w:r>
      <w:r w:rsidRPr="005978DF">
        <w:rPr>
          <w:rFonts w:eastAsia="Times New Roman"/>
          <w:sz w:val="22"/>
          <w:szCs w:val="22"/>
          <w:lang w:val="es-ES"/>
        </w:rPr>
        <w:t xml:space="preserve">% en términos nominales), manteniendo el presupuesto en el nivel de 2023-2024 en términos reales y en términos nominales, la Secretaría propondría la continuación de todos los puestos existentes y una suma de </w:t>
      </w:r>
      <w:r w:rsidRPr="005978DF">
        <w:rPr>
          <w:rFonts w:eastAsia="Times New Roman"/>
          <w:i/>
          <w:iCs/>
          <w:sz w:val="22"/>
          <w:szCs w:val="22"/>
          <w:lang w:val="es-ES"/>
        </w:rPr>
        <w:t>500</w:t>
      </w:r>
      <w:r w:rsidR="002C3B9C">
        <w:rPr>
          <w:rFonts w:eastAsia="Times New Roman"/>
          <w:i/>
          <w:iCs/>
          <w:sz w:val="22"/>
          <w:szCs w:val="22"/>
          <w:lang w:val="es-ES"/>
        </w:rPr>
        <w:t> </w:t>
      </w:r>
      <w:r w:rsidRPr="005978DF">
        <w:rPr>
          <w:rFonts w:eastAsia="Times New Roman"/>
          <w:i/>
          <w:iCs/>
          <w:sz w:val="22"/>
          <w:szCs w:val="22"/>
          <w:lang w:val="es-ES"/>
        </w:rPr>
        <w:t>000 dólares</w:t>
      </w:r>
      <w:r w:rsidRPr="005978DF">
        <w:rPr>
          <w:rFonts w:eastAsia="Times New Roman"/>
          <w:sz w:val="22"/>
          <w:szCs w:val="22"/>
          <w:lang w:val="es-ES"/>
        </w:rPr>
        <w:t xml:space="preserve"> en la partida de recursos no relacionados con puestos para sufragar los viajes del personal </w:t>
      </w:r>
      <w:r w:rsidRPr="005978DF">
        <w:rPr>
          <w:rFonts w:eastAsia="Times New Roman"/>
          <w:i/>
          <w:iCs/>
          <w:sz w:val="22"/>
          <w:szCs w:val="22"/>
          <w:lang w:val="es-ES"/>
        </w:rPr>
        <w:t>(300</w:t>
      </w:r>
      <w:r w:rsidR="002C3B9C">
        <w:rPr>
          <w:rFonts w:eastAsia="Times New Roman"/>
          <w:i/>
          <w:iCs/>
          <w:sz w:val="22"/>
          <w:szCs w:val="22"/>
          <w:lang w:val="es-ES"/>
        </w:rPr>
        <w:t> </w:t>
      </w:r>
      <w:r w:rsidRPr="005978DF">
        <w:rPr>
          <w:rFonts w:eastAsia="Times New Roman"/>
          <w:i/>
          <w:iCs/>
          <w:sz w:val="22"/>
          <w:szCs w:val="22"/>
          <w:lang w:val="es-ES"/>
        </w:rPr>
        <w:t>000 dólares</w:t>
      </w:r>
      <w:r w:rsidRPr="005978DF">
        <w:rPr>
          <w:rFonts w:eastAsia="Times New Roman"/>
          <w:sz w:val="22"/>
          <w:szCs w:val="22"/>
          <w:lang w:val="es-ES"/>
        </w:rPr>
        <w:t xml:space="preserve">) en la Oficina de la Secretaria Ejecutiva, </w:t>
      </w:r>
      <w:r w:rsidR="00CD3868">
        <w:rPr>
          <w:rFonts w:eastAsia="Times New Roman"/>
          <w:sz w:val="22"/>
          <w:szCs w:val="22"/>
          <w:lang w:val="es-ES"/>
        </w:rPr>
        <w:t xml:space="preserve">los gastos de </w:t>
      </w:r>
      <w:r w:rsidRPr="005978DF">
        <w:rPr>
          <w:rFonts w:eastAsia="Times New Roman"/>
          <w:sz w:val="22"/>
          <w:szCs w:val="22"/>
          <w:lang w:val="es-ES"/>
        </w:rPr>
        <w:t xml:space="preserve">consultores </w:t>
      </w:r>
      <w:r w:rsidRPr="005978DF">
        <w:rPr>
          <w:rFonts w:eastAsia="Times New Roman"/>
          <w:i/>
          <w:iCs/>
          <w:sz w:val="22"/>
          <w:szCs w:val="22"/>
          <w:lang w:val="es-ES"/>
        </w:rPr>
        <w:t>(100</w:t>
      </w:r>
      <w:r w:rsidR="002C3B9C">
        <w:rPr>
          <w:rFonts w:eastAsia="Times New Roman"/>
          <w:i/>
          <w:iCs/>
          <w:sz w:val="22"/>
          <w:szCs w:val="22"/>
          <w:lang w:val="es-ES"/>
        </w:rPr>
        <w:t> </w:t>
      </w:r>
      <w:r w:rsidRPr="005978DF">
        <w:rPr>
          <w:rFonts w:eastAsia="Times New Roman"/>
          <w:i/>
          <w:iCs/>
          <w:sz w:val="22"/>
          <w:szCs w:val="22"/>
          <w:lang w:val="es-ES"/>
        </w:rPr>
        <w:t>000 dólares</w:t>
      </w:r>
      <w:r w:rsidRPr="005978DF">
        <w:rPr>
          <w:rFonts w:eastAsia="Times New Roman"/>
          <w:sz w:val="22"/>
          <w:szCs w:val="22"/>
          <w:lang w:val="es-ES"/>
        </w:rPr>
        <w:t xml:space="preserve">) e iniciativas de concienciación del público </w:t>
      </w:r>
      <w:r w:rsidRPr="005978DF">
        <w:rPr>
          <w:rFonts w:eastAsia="Times New Roman"/>
          <w:i/>
          <w:iCs/>
          <w:sz w:val="22"/>
          <w:szCs w:val="22"/>
          <w:lang w:val="es-ES"/>
        </w:rPr>
        <w:t>(100</w:t>
      </w:r>
      <w:r w:rsidR="002C3B9C">
        <w:rPr>
          <w:rFonts w:eastAsia="Times New Roman"/>
          <w:i/>
          <w:iCs/>
          <w:sz w:val="22"/>
          <w:szCs w:val="22"/>
          <w:lang w:val="es-ES"/>
        </w:rPr>
        <w:t> </w:t>
      </w:r>
      <w:r w:rsidRPr="005978DF">
        <w:rPr>
          <w:rFonts w:eastAsia="Times New Roman"/>
          <w:i/>
          <w:iCs/>
          <w:sz w:val="22"/>
          <w:szCs w:val="22"/>
          <w:lang w:val="es-ES"/>
        </w:rPr>
        <w:t>000</w:t>
      </w:r>
      <w:r w:rsidR="00CD3868">
        <w:rPr>
          <w:rFonts w:eastAsia="Times New Roman"/>
          <w:i/>
          <w:iCs/>
          <w:sz w:val="22"/>
          <w:szCs w:val="22"/>
          <w:lang w:val="es-ES"/>
        </w:rPr>
        <w:t> </w:t>
      </w:r>
      <w:r w:rsidRPr="005978DF">
        <w:rPr>
          <w:rFonts w:eastAsia="Times New Roman"/>
          <w:i/>
          <w:iCs/>
          <w:sz w:val="22"/>
          <w:szCs w:val="22"/>
          <w:lang w:val="es-ES"/>
        </w:rPr>
        <w:t>dólares)</w:t>
      </w:r>
      <w:r w:rsidRPr="005978DF">
        <w:rPr>
          <w:rFonts w:eastAsia="Times New Roman"/>
          <w:sz w:val="22"/>
          <w:szCs w:val="22"/>
          <w:lang w:val="es-ES"/>
        </w:rPr>
        <w:t xml:space="preserve"> para apoyar el cumplimiento de los mandatos del programa.</w:t>
      </w:r>
    </w:p>
    <w:p w14:paraId="404113D1" w14:textId="77777777" w:rsidR="002809FB" w:rsidRPr="005978DF" w:rsidRDefault="002809FB" w:rsidP="002809FB">
      <w:pPr>
        <w:pStyle w:val="Heading2"/>
        <w:spacing w:before="240"/>
        <w:ind w:left="357"/>
        <w:rPr>
          <w:rFonts w:eastAsiaTheme="minorEastAsia"/>
          <w:lang w:val="es-ES"/>
        </w:rPr>
      </w:pPr>
      <w:r w:rsidRPr="005978DF">
        <w:rPr>
          <w:lang w:val="es-ES"/>
        </w:rPr>
        <w:t xml:space="preserve">C. </w:t>
      </w:r>
      <w:r w:rsidRPr="005978DF">
        <w:rPr>
          <w:lang w:val="es-ES"/>
        </w:rPr>
        <w:tab/>
        <w:t>Ejecución del programa de trabajo</w:t>
      </w:r>
    </w:p>
    <w:p w14:paraId="404113D2"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sz w:val="22"/>
          <w:szCs w:val="22"/>
          <w:lang w:val="es-ES"/>
        </w:rPr>
      </w:pPr>
      <w:r w:rsidRPr="005978DF">
        <w:rPr>
          <w:sz w:val="22"/>
          <w:szCs w:val="22"/>
          <w:lang w:val="es-ES"/>
        </w:rPr>
        <w:t>En el cuadro 14 que figura a continuación se presenta la distribución de recursos por División.</w:t>
      </w:r>
    </w:p>
    <w:p w14:paraId="404113D3" w14:textId="77777777" w:rsidR="002809FB" w:rsidRPr="005978DF" w:rsidRDefault="002809FB" w:rsidP="002809FB">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lang w:val="es-ES"/>
        </w:rPr>
      </w:pPr>
      <w:r w:rsidRPr="005978DF">
        <w:rPr>
          <w:b/>
          <w:bCs/>
          <w:sz w:val="22"/>
          <w:szCs w:val="22"/>
          <w:lang w:val="es-ES"/>
        </w:rPr>
        <w:t>Cuadro 14. Asignación de recursos por División</w:t>
      </w:r>
    </w:p>
    <w:tbl>
      <w:tblPr>
        <w:tblW w:w="0" w:type="auto"/>
        <w:jc w:val="center"/>
        <w:tblLayout w:type="fixed"/>
        <w:tblLook w:val="04A0" w:firstRow="1" w:lastRow="0" w:firstColumn="1" w:lastColumn="0" w:noHBand="0" w:noVBand="1"/>
      </w:tblPr>
      <w:tblGrid>
        <w:gridCol w:w="2615"/>
        <w:gridCol w:w="2630"/>
        <w:gridCol w:w="284"/>
        <w:gridCol w:w="1275"/>
        <w:gridCol w:w="1166"/>
      </w:tblGrid>
      <w:tr w:rsidR="002809FB" w:rsidRPr="00C44BAB" w14:paraId="404113D9" w14:textId="77777777" w:rsidTr="0049064A">
        <w:trPr>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404113D4" w14:textId="77777777" w:rsidR="002809FB" w:rsidRPr="00C44BAB" w:rsidRDefault="002809FB" w:rsidP="0049064A">
            <w:pPr>
              <w:spacing w:after="60"/>
              <w:rPr>
                <w:rFonts w:asciiTheme="minorHAnsi" w:hAnsiTheme="minorHAnsi" w:cstheme="minorHAnsi"/>
                <w:color w:val="000000"/>
                <w:sz w:val="18"/>
                <w:szCs w:val="18"/>
                <w:lang w:val="es-ES"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404113D5" w14:textId="77777777" w:rsidR="002809FB" w:rsidRPr="00C44BAB" w:rsidRDefault="002809FB" w:rsidP="0049064A">
            <w:pPr>
              <w:spacing w:after="60"/>
              <w:jc w:val="right"/>
              <w:rPr>
                <w:rFonts w:asciiTheme="minorHAnsi" w:hAnsiTheme="minorHAnsi" w:cstheme="minorHAnsi"/>
                <w:i/>
                <w:iCs/>
                <w:color w:val="000000"/>
                <w:sz w:val="18"/>
                <w:szCs w:val="18"/>
                <w:lang w:val="es-ES"/>
              </w:rPr>
            </w:pPr>
            <w:r w:rsidRPr="00C44BAB">
              <w:rPr>
                <w:rFonts w:asciiTheme="minorHAnsi" w:hAnsiTheme="minorHAnsi" w:cstheme="minorHAnsi"/>
                <w:i/>
                <w:iCs/>
                <w:color w:val="000000"/>
                <w:sz w:val="18"/>
                <w:szCs w:val="18"/>
                <w:lang w:val="es-ES"/>
              </w:rPr>
              <w:t>Presupuesto aprobado para 2019-2020</w:t>
            </w:r>
          </w:p>
        </w:tc>
        <w:tc>
          <w:tcPr>
            <w:tcW w:w="284" w:type="dxa"/>
            <w:tcBorders>
              <w:top w:val="single" w:sz="8" w:space="0" w:color="auto"/>
              <w:left w:val="nil"/>
              <w:bottom w:val="nil"/>
              <w:right w:val="nil"/>
            </w:tcBorders>
            <w:shd w:val="clear" w:color="auto" w:fill="auto"/>
            <w:vAlign w:val="center"/>
            <w:hideMark/>
          </w:tcPr>
          <w:p w14:paraId="404113D6" w14:textId="77777777" w:rsidR="002809FB" w:rsidRPr="00C44BAB" w:rsidRDefault="002809FB" w:rsidP="0049064A">
            <w:pPr>
              <w:spacing w:after="60"/>
              <w:rPr>
                <w:rFonts w:asciiTheme="minorHAnsi" w:hAnsiTheme="minorHAnsi" w:cstheme="minorHAnsi"/>
                <w:i/>
                <w:iCs/>
                <w:color w:val="000000"/>
                <w:sz w:val="18"/>
                <w:szCs w:val="18"/>
                <w:lang w:val="es-ES" w:eastAsia="zh-CN"/>
              </w:rPr>
            </w:pP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404113D7" w14:textId="77777777" w:rsidR="002809FB" w:rsidRPr="00C44BAB" w:rsidRDefault="002809FB" w:rsidP="005515AE">
            <w:pPr>
              <w:spacing w:after="60"/>
              <w:jc w:val="right"/>
              <w:rPr>
                <w:rFonts w:asciiTheme="minorHAnsi" w:hAnsiTheme="minorHAnsi" w:cstheme="minorHAnsi"/>
                <w:i/>
                <w:iCs/>
                <w:color w:val="000000"/>
                <w:sz w:val="18"/>
                <w:szCs w:val="18"/>
                <w:lang w:val="es-ES"/>
              </w:rPr>
            </w:pPr>
            <w:r w:rsidRPr="00C44BAB">
              <w:rPr>
                <w:rFonts w:asciiTheme="minorHAnsi" w:hAnsiTheme="minorHAnsi" w:cstheme="minorHAnsi"/>
                <w:i/>
                <w:iCs/>
                <w:color w:val="000000"/>
                <w:sz w:val="18"/>
                <w:szCs w:val="18"/>
                <w:lang w:val="es-ES"/>
              </w:rPr>
              <w:t>CRN</w:t>
            </w:r>
            <w:r w:rsidRPr="00C44BAB">
              <w:rPr>
                <w:rFonts w:asciiTheme="minorHAnsi" w:hAnsiTheme="minorHAnsi" w:cstheme="minorHAnsi"/>
                <w:i/>
                <w:iCs/>
                <w:color w:val="000000"/>
                <w:sz w:val="18"/>
                <w:szCs w:val="18"/>
                <w:lang w:val="es-ES"/>
              </w:rPr>
              <w:br/>
              <w:t>2023-2024</w:t>
            </w:r>
          </w:p>
        </w:tc>
        <w:tc>
          <w:tcPr>
            <w:tcW w:w="1166" w:type="dxa"/>
            <w:vMerge w:val="restart"/>
            <w:tcBorders>
              <w:top w:val="single" w:sz="8" w:space="0" w:color="auto"/>
              <w:left w:val="nil"/>
              <w:bottom w:val="single" w:sz="12" w:space="0" w:color="000000"/>
              <w:right w:val="nil"/>
            </w:tcBorders>
            <w:shd w:val="clear" w:color="auto" w:fill="auto"/>
            <w:vAlign w:val="center"/>
            <w:hideMark/>
          </w:tcPr>
          <w:p w14:paraId="404113D8" w14:textId="77777777" w:rsidR="002809FB" w:rsidRPr="00C44BAB" w:rsidRDefault="002809FB" w:rsidP="005515AE">
            <w:pPr>
              <w:spacing w:after="60"/>
              <w:ind w:left="-76"/>
              <w:jc w:val="right"/>
              <w:rPr>
                <w:rFonts w:asciiTheme="minorHAnsi" w:hAnsiTheme="minorHAnsi" w:cstheme="minorHAnsi"/>
                <w:i/>
                <w:iCs/>
                <w:color w:val="000000"/>
                <w:sz w:val="18"/>
                <w:szCs w:val="18"/>
                <w:lang w:val="es-ES"/>
              </w:rPr>
            </w:pPr>
            <w:r w:rsidRPr="00C44BAB">
              <w:rPr>
                <w:rFonts w:asciiTheme="minorHAnsi" w:hAnsiTheme="minorHAnsi" w:cstheme="minorHAnsi"/>
                <w:i/>
                <w:iCs/>
                <w:color w:val="000000"/>
                <w:sz w:val="18"/>
                <w:szCs w:val="18"/>
                <w:lang w:val="es-ES"/>
              </w:rPr>
              <w:t>CNN</w:t>
            </w:r>
            <w:r w:rsidRPr="00C44BAB">
              <w:rPr>
                <w:rFonts w:asciiTheme="minorHAnsi" w:hAnsiTheme="minorHAnsi" w:cstheme="minorHAnsi"/>
                <w:i/>
                <w:iCs/>
                <w:color w:val="000000"/>
                <w:sz w:val="18"/>
                <w:szCs w:val="18"/>
                <w:lang w:val="es-ES"/>
              </w:rPr>
              <w:br/>
              <w:t>2023-2024</w:t>
            </w:r>
          </w:p>
        </w:tc>
      </w:tr>
      <w:tr w:rsidR="002809FB" w:rsidRPr="00C44BAB" w14:paraId="404113DF" w14:textId="77777777" w:rsidTr="0049064A">
        <w:trPr>
          <w:jc w:val="center"/>
        </w:trPr>
        <w:tc>
          <w:tcPr>
            <w:tcW w:w="2615" w:type="dxa"/>
            <w:vMerge/>
            <w:tcBorders>
              <w:top w:val="single" w:sz="8" w:space="0" w:color="auto"/>
              <w:left w:val="nil"/>
              <w:bottom w:val="single" w:sz="12" w:space="0" w:color="000000"/>
              <w:right w:val="nil"/>
            </w:tcBorders>
            <w:vAlign w:val="center"/>
            <w:hideMark/>
          </w:tcPr>
          <w:p w14:paraId="404113DA" w14:textId="77777777" w:rsidR="002809FB" w:rsidRPr="00C44BAB" w:rsidRDefault="002809FB" w:rsidP="0049064A">
            <w:pPr>
              <w:rPr>
                <w:rFonts w:asciiTheme="minorHAnsi" w:hAnsiTheme="minorHAnsi" w:cstheme="minorHAnsi"/>
                <w:color w:val="000000"/>
                <w:sz w:val="18"/>
                <w:szCs w:val="18"/>
                <w:lang w:val="es-ES" w:eastAsia="zh-CN"/>
              </w:rPr>
            </w:pPr>
          </w:p>
        </w:tc>
        <w:tc>
          <w:tcPr>
            <w:tcW w:w="2630" w:type="dxa"/>
            <w:vMerge/>
            <w:tcBorders>
              <w:top w:val="single" w:sz="8" w:space="0" w:color="auto"/>
              <w:left w:val="nil"/>
              <w:bottom w:val="single" w:sz="12" w:space="0" w:color="000000"/>
              <w:right w:val="nil"/>
            </w:tcBorders>
            <w:vAlign w:val="center"/>
            <w:hideMark/>
          </w:tcPr>
          <w:p w14:paraId="404113DB" w14:textId="77777777" w:rsidR="002809FB" w:rsidRPr="00C44BAB" w:rsidRDefault="002809FB" w:rsidP="0049064A">
            <w:pPr>
              <w:jc w:val="right"/>
              <w:rPr>
                <w:rFonts w:asciiTheme="minorHAnsi" w:hAnsiTheme="minorHAnsi" w:cstheme="minorHAnsi"/>
                <w:i/>
                <w:iCs/>
                <w:color w:val="000000"/>
                <w:sz w:val="18"/>
                <w:szCs w:val="18"/>
                <w:lang w:val="es-ES" w:eastAsia="zh-CN"/>
              </w:rPr>
            </w:pPr>
          </w:p>
        </w:tc>
        <w:tc>
          <w:tcPr>
            <w:tcW w:w="284" w:type="dxa"/>
            <w:tcBorders>
              <w:top w:val="nil"/>
              <w:left w:val="nil"/>
              <w:bottom w:val="nil"/>
              <w:right w:val="nil"/>
            </w:tcBorders>
            <w:shd w:val="clear" w:color="auto" w:fill="auto"/>
            <w:vAlign w:val="center"/>
            <w:hideMark/>
          </w:tcPr>
          <w:p w14:paraId="404113DC" w14:textId="77777777" w:rsidR="002809FB" w:rsidRPr="00C44BAB" w:rsidRDefault="002809FB" w:rsidP="0049064A">
            <w:pPr>
              <w:rPr>
                <w:rFonts w:asciiTheme="minorHAnsi" w:hAnsiTheme="minorHAnsi" w:cstheme="minorHAnsi"/>
                <w:i/>
                <w:iCs/>
                <w:color w:val="000000"/>
                <w:sz w:val="18"/>
                <w:szCs w:val="18"/>
                <w:lang w:val="es-ES" w:eastAsia="zh-CN"/>
              </w:rPr>
            </w:pPr>
          </w:p>
        </w:tc>
        <w:tc>
          <w:tcPr>
            <w:tcW w:w="1275" w:type="dxa"/>
            <w:vMerge/>
            <w:tcBorders>
              <w:top w:val="single" w:sz="8" w:space="0" w:color="auto"/>
              <w:left w:val="nil"/>
              <w:bottom w:val="single" w:sz="12" w:space="0" w:color="000000"/>
              <w:right w:val="nil"/>
            </w:tcBorders>
            <w:vAlign w:val="center"/>
            <w:hideMark/>
          </w:tcPr>
          <w:p w14:paraId="404113DD" w14:textId="77777777" w:rsidR="002809FB" w:rsidRPr="00C44BAB" w:rsidRDefault="002809FB" w:rsidP="0049064A">
            <w:pPr>
              <w:jc w:val="right"/>
              <w:rPr>
                <w:rFonts w:asciiTheme="minorHAnsi" w:hAnsiTheme="minorHAnsi" w:cstheme="minorHAnsi"/>
                <w:i/>
                <w:iCs/>
                <w:color w:val="000000"/>
                <w:sz w:val="18"/>
                <w:szCs w:val="18"/>
                <w:lang w:val="es-ES" w:eastAsia="zh-CN"/>
              </w:rPr>
            </w:pPr>
          </w:p>
        </w:tc>
        <w:tc>
          <w:tcPr>
            <w:tcW w:w="1166" w:type="dxa"/>
            <w:vMerge/>
            <w:tcBorders>
              <w:top w:val="single" w:sz="8" w:space="0" w:color="auto"/>
              <w:left w:val="nil"/>
              <w:bottom w:val="single" w:sz="12" w:space="0" w:color="000000"/>
              <w:right w:val="nil"/>
            </w:tcBorders>
            <w:vAlign w:val="center"/>
            <w:hideMark/>
          </w:tcPr>
          <w:p w14:paraId="404113DE" w14:textId="77777777" w:rsidR="002809FB" w:rsidRPr="00C44BAB" w:rsidRDefault="002809FB" w:rsidP="0049064A">
            <w:pPr>
              <w:jc w:val="right"/>
              <w:rPr>
                <w:rFonts w:asciiTheme="minorHAnsi" w:hAnsiTheme="minorHAnsi" w:cstheme="minorHAnsi"/>
                <w:i/>
                <w:iCs/>
                <w:color w:val="000000"/>
                <w:sz w:val="18"/>
                <w:szCs w:val="18"/>
                <w:lang w:val="es-ES" w:eastAsia="zh-CN"/>
              </w:rPr>
            </w:pPr>
          </w:p>
        </w:tc>
      </w:tr>
      <w:tr w:rsidR="002809FB" w:rsidRPr="00C44BAB" w14:paraId="404113E5" w14:textId="77777777" w:rsidTr="0049064A">
        <w:trPr>
          <w:jc w:val="center"/>
        </w:trPr>
        <w:tc>
          <w:tcPr>
            <w:tcW w:w="2615" w:type="dxa"/>
            <w:vMerge/>
            <w:tcBorders>
              <w:top w:val="single" w:sz="8" w:space="0" w:color="auto"/>
              <w:left w:val="nil"/>
              <w:bottom w:val="single" w:sz="12" w:space="0" w:color="000000"/>
              <w:right w:val="nil"/>
            </w:tcBorders>
            <w:vAlign w:val="center"/>
            <w:hideMark/>
          </w:tcPr>
          <w:p w14:paraId="404113E0" w14:textId="77777777" w:rsidR="002809FB" w:rsidRPr="00C44BAB" w:rsidRDefault="002809FB" w:rsidP="0049064A">
            <w:pPr>
              <w:rPr>
                <w:rFonts w:asciiTheme="minorHAnsi" w:hAnsiTheme="minorHAnsi" w:cstheme="minorHAnsi"/>
                <w:color w:val="000000"/>
                <w:sz w:val="18"/>
                <w:szCs w:val="18"/>
                <w:lang w:val="es-ES" w:eastAsia="zh-CN"/>
              </w:rPr>
            </w:pPr>
          </w:p>
        </w:tc>
        <w:tc>
          <w:tcPr>
            <w:tcW w:w="2630" w:type="dxa"/>
            <w:vMerge/>
            <w:tcBorders>
              <w:top w:val="single" w:sz="8" w:space="0" w:color="auto"/>
              <w:left w:val="nil"/>
              <w:bottom w:val="single" w:sz="12" w:space="0" w:color="000000"/>
              <w:right w:val="nil"/>
            </w:tcBorders>
            <w:vAlign w:val="center"/>
            <w:hideMark/>
          </w:tcPr>
          <w:p w14:paraId="404113E1" w14:textId="77777777" w:rsidR="002809FB" w:rsidRPr="00C44BAB" w:rsidRDefault="002809FB" w:rsidP="0049064A">
            <w:pPr>
              <w:jc w:val="right"/>
              <w:rPr>
                <w:rFonts w:asciiTheme="minorHAnsi" w:hAnsiTheme="minorHAnsi" w:cstheme="minorHAnsi"/>
                <w:i/>
                <w:iCs/>
                <w:color w:val="000000"/>
                <w:sz w:val="18"/>
                <w:szCs w:val="18"/>
                <w:lang w:val="es-ES" w:eastAsia="zh-CN"/>
              </w:rPr>
            </w:pPr>
          </w:p>
        </w:tc>
        <w:tc>
          <w:tcPr>
            <w:tcW w:w="284" w:type="dxa"/>
            <w:tcBorders>
              <w:top w:val="nil"/>
              <w:left w:val="nil"/>
              <w:bottom w:val="single" w:sz="12" w:space="0" w:color="000000"/>
              <w:right w:val="nil"/>
            </w:tcBorders>
            <w:shd w:val="clear" w:color="auto" w:fill="auto"/>
            <w:vAlign w:val="center"/>
            <w:hideMark/>
          </w:tcPr>
          <w:p w14:paraId="404113E2" w14:textId="77777777" w:rsidR="002809FB" w:rsidRPr="00C44BAB" w:rsidRDefault="002809FB" w:rsidP="0049064A">
            <w:pPr>
              <w:rPr>
                <w:rFonts w:asciiTheme="minorHAnsi" w:hAnsiTheme="minorHAnsi" w:cstheme="minorHAnsi"/>
                <w:i/>
                <w:iCs/>
                <w:color w:val="000000"/>
                <w:sz w:val="18"/>
                <w:szCs w:val="18"/>
                <w:lang w:val="es-ES" w:eastAsia="zh-CN"/>
              </w:rPr>
            </w:pPr>
          </w:p>
        </w:tc>
        <w:tc>
          <w:tcPr>
            <w:tcW w:w="1275" w:type="dxa"/>
            <w:vMerge/>
            <w:tcBorders>
              <w:top w:val="single" w:sz="8" w:space="0" w:color="auto"/>
              <w:left w:val="nil"/>
              <w:bottom w:val="single" w:sz="12" w:space="0" w:color="000000"/>
              <w:right w:val="nil"/>
            </w:tcBorders>
            <w:vAlign w:val="center"/>
            <w:hideMark/>
          </w:tcPr>
          <w:p w14:paraId="404113E3" w14:textId="77777777" w:rsidR="002809FB" w:rsidRPr="00C44BAB" w:rsidRDefault="002809FB" w:rsidP="0049064A">
            <w:pPr>
              <w:jc w:val="right"/>
              <w:rPr>
                <w:rFonts w:asciiTheme="minorHAnsi" w:hAnsiTheme="minorHAnsi" w:cstheme="minorHAnsi"/>
                <w:i/>
                <w:iCs/>
                <w:color w:val="000000"/>
                <w:sz w:val="18"/>
                <w:szCs w:val="18"/>
                <w:lang w:val="es-ES" w:eastAsia="zh-CN"/>
              </w:rPr>
            </w:pPr>
          </w:p>
        </w:tc>
        <w:tc>
          <w:tcPr>
            <w:tcW w:w="1166" w:type="dxa"/>
            <w:vMerge/>
            <w:tcBorders>
              <w:top w:val="single" w:sz="8" w:space="0" w:color="auto"/>
              <w:left w:val="nil"/>
              <w:bottom w:val="single" w:sz="12" w:space="0" w:color="000000"/>
              <w:right w:val="nil"/>
            </w:tcBorders>
            <w:vAlign w:val="center"/>
            <w:hideMark/>
          </w:tcPr>
          <w:p w14:paraId="404113E4" w14:textId="77777777" w:rsidR="002809FB" w:rsidRPr="00C44BAB" w:rsidRDefault="002809FB" w:rsidP="0049064A">
            <w:pPr>
              <w:jc w:val="right"/>
              <w:rPr>
                <w:rFonts w:asciiTheme="minorHAnsi" w:hAnsiTheme="minorHAnsi" w:cstheme="minorHAnsi"/>
                <w:i/>
                <w:iCs/>
                <w:color w:val="000000"/>
                <w:sz w:val="18"/>
                <w:szCs w:val="18"/>
                <w:lang w:val="es-ES" w:eastAsia="zh-CN"/>
              </w:rPr>
            </w:pPr>
          </w:p>
        </w:tc>
      </w:tr>
      <w:tr w:rsidR="002809FB" w:rsidRPr="00C44BAB" w14:paraId="404113EB" w14:textId="77777777" w:rsidTr="0049064A">
        <w:trPr>
          <w:jc w:val="center"/>
        </w:trPr>
        <w:tc>
          <w:tcPr>
            <w:tcW w:w="2615" w:type="dxa"/>
            <w:tcBorders>
              <w:top w:val="nil"/>
              <w:left w:val="nil"/>
              <w:bottom w:val="nil"/>
              <w:right w:val="nil"/>
            </w:tcBorders>
            <w:shd w:val="clear" w:color="auto" w:fill="auto"/>
            <w:vAlign w:val="center"/>
            <w:hideMark/>
          </w:tcPr>
          <w:p w14:paraId="404113E6" w14:textId="77777777" w:rsidR="002809FB" w:rsidRPr="00C44BAB" w:rsidRDefault="002809FB" w:rsidP="0049064A">
            <w:pPr>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C. Programa de trabajo</w:t>
            </w:r>
          </w:p>
        </w:tc>
        <w:tc>
          <w:tcPr>
            <w:tcW w:w="2630" w:type="dxa"/>
            <w:tcBorders>
              <w:top w:val="nil"/>
              <w:left w:val="nil"/>
              <w:bottom w:val="nil"/>
              <w:right w:val="nil"/>
            </w:tcBorders>
            <w:shd w:val="clear" w:color="auto" w:fill="auto"/>
            <w:vAlign w:val="center"/>
            <w:hideMark/>
          </w:tcPr>
          <w:p w14:paraId="404113E7" w14:textId="77777777" w:rsidR="002809FB" w:rsidRPr="00C44BAB" w:rsidRDefault="002809FB" w:rsidP="0049064A">
            <w:pPr>
              <w:jc w:val="right"/>
              <w:rPr>
                <w:rFonts w:asciiTheme="minorHAnsi" w:hAnsiTheme="minorHAnsi" w:cstheme="minorHAnsi"/>
                <w:color w:val="000000"/>
                <w:sz w:val="18"/>
                <w:szCs w:val="18"/>
                <w:lang w:val="es-ES" w:eastAsia="zh-CN"/>
              </w:rPr>
            </w:pPr>
          </w:p>
        </w:tc>
        <w:tc>
          <w:tcPr>
            <w:tcW w:w="284" w:type="dxa"/>
            <w:tcBorders>
              <w:top w:val="nil"/>
              <w:left w:val="nil"/>
              <w:bottom w:val="nil"/>
              <w:right w:val="nil"/>
            </w:tcBorders>
            <w:shd w:val="clear" w:color="auto" w:fill="auto"/>
            <w:vAlign w:val="center"/>
            <w:hideMark/>
          </w:tcPr>
          <w:p w14:paraId="404113E8" w14:textId="77777777" w:rsidR="002809FB" w:rsidRPr="00C44BAB" w:rsidRDefault="002809FB" w:rsidP="0049064A">
            <w:pPr>
              <w:rPr>
                <w:rFonts w:asciiTheme="minorHAnsi" w:hAnsiTheme="minorHAnsi" w:cstheme="minorHAnsi"/>
                <w:sz w:val="18"/>
                <w:szCs w:val="18"/>
                <w:lang w:val="es-ES" w:eastAsia="zh-CN"/>
              </w:rPr>
            </w:pPr>
          </w:p>
        </w:tc>
        <w:tc>
          <w:tcPr>
            <w:tcW w:w="1275" w:type="dxa"/>
            <w:tcBorders>
              <w:top w:val="nil"/>
              <w:left w:val="nil"/>
              <w:bottom w:val="nil"/>
              <w:right w:val="nil"/>
            </w:tcBorders>
            <w:shd w:val="clear" w:color="auto" w:fill="auto"/>
            <w:vAlign w:val="center"/>
            <w:hideMark/>
          </w:tcPr>
          <w:p w14:paraId="404113E9" w14:textId="77777777" w:rsidR="002809FB" w:rsidRPr="00C44BAB" w:rsidRDefault="002809FB" w:rsidP="0049064A">
            <w:pPr>
              <w:jc w:val="right"/>
              <w:rPr>
                <w:rFonts w:asciiTheme="minorHAnsi" w:hAnsiTheme="minorHAnsi" w:cstheme="minorHAnsi"/>
                <w:sz w:val="18"/>
                <w:szCs w:val="18"/>
                <w:lang w:val="es-ES" w:eastAsia="zh-CN"/>
              </w:rPr>
            </w:pPr>
          </w:p>
        </w:tc>
        <w:tc>
          <w:tcPr>
            <w:tcW w:w="1166" w:type="dxa"/>
            <w:tcBorders>
              <w:top w:val="nil"/>
              <w:left w:val="nil"/>
              <w:bottom w:val="nil"/>
              <w:right w:val="nil"/>
            </w:tcBorders>
            <w:shd w:val="clear" w:color="auto" w:fill="auto"/>
            <w:vAlign w:val="center"/>
            <w:hideMark/>
          </w:tcPr>
          <w:p w14:paraId="404113EA" w14:textId="77777777" w:rsidR="002809FB" w:rsidRPr="00C44BAB" w:rsidRDefault="002809FB" w:rsidP="0049064A">
            <w:pPr>
              <w:jc w:val="right"/>
              <w:rPr>
                <w:rFonts w:asciiTheme="minorHAnsi" w:hAnsiTheme="minorHAnsi" w:cstheme="minorHAnsi"/>
                <w:sz w:val="18"/>
                <w:szCs w:val="18"/>
                <w:lang w:val="es-ES" w:eastAsia="zh-CN"/>
              </w:rPr>
            </w:pPr>
          </w:p>
        </w:tc>
      </w:tr>
      <w:tr w:rsidR="002809FB" w:rsidRPr="00C44BAB" w14:paraId="404113F1" w14:textId="77777777" w:rsidTr="0049064A">
        <w:trPr>
          <w:jc w:val="center"/>
        </w:trPr>
        <w:tc>
          <w:tcPr>
            <w:tcW w:w="2615" w:type="dxa"/>
            <w:tcBorders>
              <w:top w:val="nil"/>
              <w:left w:val="nil"/>
              <w:bottom w:val="nil"/>
              <w:right w:val="nil"/>
            </w:tcBorders>
            <w:shd w:val="clear" w:color="auto" w:fill="auto"/>
            <w:vAlign w:val="center"/>
            <w:hideMark/>
          </w:tcPr>
          <w:p w14:paraId="404113EC" w14:textId="77777777" w:rsidR="002809FB" w:rsidRPr="00C44BAB" w:rsidRDefault="002809FB" w:rsidP="0049064A">
            <w:pPr>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Protocolos de APB y Seguridad de la Biotecnología</w:t>
            </w:r>
          </w:p>
        </w:tc>
        <w:tc>
          <w:tcPr>
            <w:tcW w:w="2630" w:type="dxa"/>
            <w:tcBorders>
              <w:top w:val="nil"/>
              <w:left w:val="nil"/>
              <w:bottom w:val="nil"/>
              <w:right w:val="nil"/>
            </w:tcBorders>
            <w:shd w:val="clear" w:color="auto" w:fill="auto"/>
            <w:vAlign w:val="center"/>
            <w:hideMark/>
          </w:tcPr>
          <w:p w14:paraId="404113ED"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4 698,5</w:t>
            </w:r>
          </w:p>
        </w:tc>
        <w:tc>
          <w:tcPr>
            <w:tcW w:w="284" w:type="dxa"/>
            <w:tcBorders>
              <w:top w:val="nil"/>
              <w:left w:val="nil"/>
              <w:bottom w:val="nil"/>
              <w:right w:val="nil"/>
            </w:tcBorders>
            <w:shd w:val="clear" w:color="auto" w:fill="auto"/>
            <w:vAlign w:val="center"/>
            <w:hideMark/>
          </w:tcPr>
          <w:p w14:paraId="404113EE" w14:textId="77777777" w:rsidR="002809FB" w:rsidRPr="00C44BAB" w:rsidRDefault="002809FB" w:rsidP="0049064A">
            <w:pPr>
              <w:rPr>
                <w:rFonts w:asciiTheme="minorHAnsi" w:hAnsiTheme="minorHAnsi" w:cstheme="minorHAnsi"/>
                <w:color w:val="000000"/>
                <w:sz w:val="18"/>
                <w:szCs w:val="18"/>
                <w:lang w:val="es-ES" w:eastAsia="zh-CN"/>
              </w:rPr>
            </w:pPr>
          </w:p>
        </w:tc>
        <w:tc>
          <w:tcPr>
            <w:tcW w:w="1275" w:type="dxa"/>
            <w:tcBorders>
              <w:top w:val="nil"/>
              <w:left w:val="nil"/>
              <w:bottom w:val="nil"/>
              <w:right w:val="nil"/>
            </w:tcBorders>
            <w:shd w:val="clear" w:color="auto" w:fill="auto"/>
            <w:vAlign w:val="center"/>
            <w:hideMark/>
          </w:tcPr>
          <w:p w14:paraId="404113EF"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4 927,8</w:t>
            </w:r>
          </w:p>
        </w:tc>
        <w:tc>
          <w:tcPr>
            <w:tcW w:w="1166" w:type="dxa"/>
            <w:tcBorders>
              <w:top w:val="nil"/>
              <w:left w:val="nil"/>
              <w:bottom w:val="nil"/>
              <w:right w:val="nil"/>
            </w:tcBorders>
            <w:shd w:val="clear" w:color="auto" w:fill="auto"/>
            <w:vAlign w:val="center"/>
            <w:hideMark/>
          </w:tcPr>
          <w:p w14:paraId="404113F0"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4 278,1</w:t>
            </w:r>
          </w:p>
        </w:tc>
      </w:tr>
      <w:tr w:rsidR="002809FB" w:rsidRPr="00C44BAB" w14:paraId="404113F7" w14:textId="77777777" w:rsidTr="0049064A">
        <w:trPr>
          <w:jc w:val="center"/>
        </w:trPr>
        <w:tc>
          <w:tcPr>
            <w:tcW w:w="2615" w:type="dxa"/>
            <w:tcBorders>
              <w:top w:val="nil"/>
              <w:left w:val="nil"/>
              <w:bottom w:val="nil"/>
              <w:right w:val="nil"/>
            </w:tcBorders>
            <w:shd w:val="clear" w:color="auto" w:fill="auto"/>
            <w:vAlign w:val="center"/>
            <w:hideMark/>
          </w:tcPr>
          <w:p w14:paraId="404113F2" w14:textId="77777777" w:rsidR="002809FB" w:rsidRPr="00C44BAB" w:rsidRDefault="002809FB" w:rsidP="0049064A">
            <w:pPr>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División de Ciencia, Sociedad y Futuros Sostenibles</w:t>
            </w:r>
          </w:p>
        </w:tc>
        <w:tc>
          <w:tcPr>
            <w:tcW w:w="2630" w:type="dxa"/>
            <w:tcBorders>
              <w:top w:val="nil"/>
              <w:left w:val="nil"/>
              <w:bottom w:val="nil"/>
              <w:right w:val="nil"/>
            </w:tcBorders>
            <w:shd w:val="clear" w:color="auto" w:fill="auto"/>
            <w:vAlign w:val="center"/>
            <w:hideMark/>
          </w:tcPr>
          <w:p w14:paraId="404113F3"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7 040,3</w:t>
            </w:r>
          </w:p>
        </w:tc>
        <w:tc>
          <w:tcPr>
            <w:tcW w:w="284" w:type="dxa"/>
            <w:tcBorders>
              <w:top w:val="nil"/>
              <w:left w:val="nil"/>
              <w:bottom w:val="nil"/>
              <w:right w:val="nil"/>
            </w:tcBorders>
            <w:shd w:val="clear" w:color="auto" w:fill="auto"/>
            <w:vAlign w:val="center"/>
            <w:hideMark/>
          </w:tcPr>
          <w:p w14:paraId="404113F4" w14:textId="77777777" w:rsidR="002809FB" w:rsidRPr="00C44BAB" w:rsidRDefault="002809FB" w:rsidP="0049064A">
            <w:pPr>
              <w:rPr>
                <w:rFonts w:asciiTheme="minorHAnsi" w:hAnsiTheme="minorHAnsi" w:cstheme="minorHAnsi"/>
                <w:color w:val="000000"/>
                <w:sz w:val="18"/>
                <w:szCs w:val="18"/>
                <w:lang w:val="es-ES" w:eastAsia="zh-CN"/>
              </w:rPr>
            </w:pPr>
          </w:p>
        </w:tc>
        <w:tc>
          <w:tcPr>
            <w:tcW w:w="1275" w:type="dxa"/>
            <w:tcBorders>
              <w:top w:val="nil"/>
              <w:left w:val="nil"/>
              <w:bottom w:val="nil"/>
              <w:right w:val="nil"/>
            </w:tcBorders>
            <w:shd w:val="clear" w:color="auto" w:fill="auto"/>
            <w:vAlign w:val="center"/>
            <w:hideMark/>
          </w:tcPr>
          <w:p w14:paraId="404113F5"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6 761,3</w:t>
            </w:r>
          </w:p>
        </w:tc>
        <w:tc>
          <w:tcPr>
            <w:tcW w:w="1166" w:type="dxa"/>
            <w:tcBorders>
              <w:top w:val="nil"/>
              <w:left w:val="nil"/>
              <w:bottom w:val="nil"/>
              <w:right w:val="nil"/>
            </w:tcBorders>
            <w:shd w:val="clear" w:color="auto" w:fill="auto"/>
            <w:vAlign w:val="center"/>
            <w:hideMark/>
          </w:tcPr>
          <w:p w14:paraId="404113F6"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5 818,7</w:t>
            </w:r>
          </w:p>
        </w:tc>
      </w:tr>
      <w:tr w:rsidR="002809FB" w:rsidRPr="00C44BAB" w14:paraId="404113FD" w14:textId="77777777" w:rsidTr="0049064A">
        <w:trPr>
          <w:jc w:val="center"/>
        </w:trPr>
        <w:tc>
          <w:tcPr>
            <w:tcW w:w="2615" w:type="dxa"/>
            <w:tcBorders>
              <w:top w:val="nil"/>
              <w:left w:val="nil"/>
              <w:bottom w:val="nil"/>
              <w:right w:val="nil"/>
            </w:tcBorders>
            <w:shd w:val="clear" w:color="auto" w:fill="auto"/>
            <w:vAlign w:val="center"/>
            <w:hideMark/>
          </w:tcPr>
          <w:p w14:paraId="404113F8" w14:textId="77777777" w:rsidR="002809FB" w:rsidRPr="00C44BAB" w:rsidRDefault="002809FB" w:rsidP="0049064A">
            <w:pPr>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División de Aplicación</w:t>
            </w:r>
          </w:p>
        </w:tc>
        <w:tc>
          <w:tcPr>
            <w:tcW w:w="2630" w:type="dxa"/>
            <w:tcBorders>
              <w:top w:val="nil"/>
              <w:left w:val="nil"/>
              <w:bottom w:val="nil"/>
              <w:right w:val="nil"/>
            </w:tcBorders>
            <w:shd w:val="clear" w:color="auto" w:fill="auto"/>
            <w:vAlign w:val="center"/>
            <w:hideMark/>
          </w:tcPr>
          <w:p w14:paraId="404113F9"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6 813,2</w:t>
            </w:r>
          </w:p>
        </w:tc>
        <w:tc>
          <w:tcPr>
            <w:tcW w:w="284" w:type="dxa"/>
            <w:tcBorders>
              <w:top w:val="nil"/>
              <w:left w:val="nil"/>
              <w:bottom w:val="nil"/>
              <w:right w:val="nil"/>
            </w:tcBorders>
            <w:shd w:val="clear" w:color="auto" w:fill="auto"/>
            <w:vAlign w:val="center"/>
            <w:hideMark/>
          </w:tcPr>
          <w:p w14:paraId="404113FA" w14:textId="77777777" w:rsidR="002809FB" w:rsidRPr="00C44BAB" w:rsidRDefault="002809FB" w:rsidP="0049064A">
            <w:pPr>
              <w:rPr>
                <w:rFonts w:asciiTheme="minorHAnsi" w:hAnsiTheme="minorHAnsi" w:cstheme="minorHAnsi"/>
                <w:color w:val="000000"/>
                <w:sz w:val="18"/>
                <w:szCs w:val="18"/>
                <w:lang w:val="es-ES" w:eastAsia="zh-CN"/>
              </w:rPr>
            </w:pPr>
          </w:p>
        </w:tc>
        <w:tc>
          <w:tcPr>
            <w:tcW w:w="1275" w:type="dxa"/>
            <w:tcBorders>
              <w:top w:val="nil"/>
              <w:left w:val="nil"/>
              <w:bottom w:val="nil"/>
              <w:right w:val="nil"/>
            </w:tcBorders>
            <w:shd w:val="clear" w:color="auto" w:fill="auto"/>
            <w:vAlign w:val="center"/>
            <w:hideMark/>
          </w:tcPr>
          <w:p w14:paraId="404113FB"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7 048,8</w:t>
            </w:r>
          </w:p>
        </w:tc>
        <w:tc>
          <w:tcPr>
            <w:tcW w:w="1166" w:type="dxa"/>
            <w:tcBorders>
              <w:top w:val="nil"/>
              <w:left w:val="nil"/>
              <w:bottom w:val="nil"/>
              <w:right w:val="nil"/>
            </w:tcBorders>
            <w:shd w:val="clear" w:color="auto" w:fill="auto"/>
            <w:vAlign w:val="center"/>
            <w:hideMark/>
          </w:tcPr>
          <w:p w14:paraId="404113FC" w14:textId="77777777" w:rsidR="002809FB" w:rsidRPr="00C44BAB" w:rsidRDefault="002809FB" w:rsidP="0049064A">
            <w:pPr>
              <w:jc w:val="right"/>
              <w:rPr>
                <w:rFonts w:asciiTheme="minorHAnsi" w:hAnsiTheme="minorHAnsi" w:cstheme="minorHAnsi"/>
                <w:color w:val="000000"/>
                <w:sz w:val="18"/>
                <w:szCs w:val="18"/>
                <w:lang w:val="es-ES"/>
              </w:rPr>
            </w:pPr>
            <w:r w:rsidRPr="00C44BAB">
              <w:rPr>
                <w:rFonts w:asciiTheme="minorHAnsi" w:hAnsiTheme="minorHAnsi" w:cstheme="minorHAnsi"/>
                <w:color w:val="000000"/>
                <w:sz w:val="18"/>
                <w:szCs w:val="18"/>
                <w:lang w:val="es-ES"/>
              </w:rPr>
              <w:t>7 048,8</w:t>
            </w:r>
          </w:p>
        </w:tc>
      </w:tr>
      <w:tr w:rsidR="002809FB" w:rsidRPr="00C44BAB" w14:paraId="40411403" w14:textId="77777777" w:rsidTr="0049064A">
        <w:trPr>
          <w:jc w:val="center"/>
        </w:trPr>
        <w:tc>
          <w:tcPr>
            <w:tcW w:w="2615" w:type="dxa"/>
            <w:tcBorders>
              <w:top w:val="single" w:sz="4" w:space="0" w:color="auto"/>
              <w:left w:val="nil"/>
              <w:bottom w:val="single" w:sz="8" w:space="0" w:color="auto"/>
              <w:right w:val="nil"/>
            </w:tcBorders>
            <w:shd w:val="clear" w:color="auto" w:fill="auto"/>
            <w:vAlign w:val="center"/>
            <w:hideMark/>
          </w:tcPr>
          <w:p w14:paraId="404113FE" w14:textId="77777777" w:rsidR="002809FB" w:rsidRPr="00C44BAB" w:rsidRDefault="002809FB" w:rsidP="0049064A">
            <w:pPr>
              <w:rPr>
                <w:rFonts w:asciiTheme="minorHAnsi" w:hAnsiTheme="minorHAnsi" w:cstheme="minorHAnsi"/>
                <w:b/>
                <w:bCs/>
                <w:color w:val="000000"/>
                <w:sz w:val="18"/>
                <w:szCs w:val="18"/>
                <w:lang w:val="es-ES"/>
              </w:rPr>
            </w:pPr>
            <w:r w:rsidRPr="00C44BAB">
              <w:rPr>
                <w:rFonts w:asciiTheme="minorHAnsi" w:hAnsiTheme="minorHAnsi" w:cstheme="minorHAnsi"/>
                <w:b/>
                <w:bCs/>
                <w:color w:val="000000"/>
                <w:sz w:val="18"/>
                <w:szCs w:val="18"/>
                <w:lang w:val="es-ES"/>
              </w:rPr>
              <w:t>Total</w:t>
            </w:r>
          </w:p>
        </w:tc>
        <w:tc>
          <w:tcPr>
            <w:tcW w:w="2630" w:type="dxa"/>
            <w:tcBorders>
              <w:top w:val="single" w:sz="4" w:space="0" w:color="auto"/>
              <w:left w:val="nil"/>
              <w:bottom w:val="single" w:sz="8" w:space="0" w:color="auto"/>
              <w:right w:val="nil"/>
            </w:tcBorders>
            <w:shd w:val="clear" w:color="auto" w:fill="auto"/>
            <w:vAlign w:val="center"/>
            <w:hideMark/>
          </w:tcPr>
          <w:p w14:paraId="404113FF" w14:textId="77777777" w:rsidR="002809FB" w:rsidRPr="00C44BAB" w:rsidRDefault="002809FB" w:rsidP="0049064A">
            <w:pPr>
              <w:jc w:val="right"/>
              <w:rPr>
                <w:rFonts w:asciiTheme="minorHAnsi" w:hAnsiTheme="minorHAnsi" w:cstheme="minorHAnsi"/>
                <w:b/>
                <w:bCs/>
                <w:color w:val="000000"/>
                <w:sz w:val="18"/>
                <w:szCs w:val="18"/>
                <w:lang w:val="es-ES"/>
              </w:rPr>
            </w:pPr>
            <w:r w:rsidRPr="00C44BAB">
              <w:rPr>
                <w:rFonts w:asciiTheme="minorHAnsi" w:hAnsiTheme="minorHAnsi" w:cstheme="minorHAnsi"/>
                <w:b/>
                <w:bCs/>
                <w:color w:val="000000"/>
                <w:sz w:val="18"/>
                <w:szCs w:val="18"/>
                <w:lang w:val="es-ES"/>
              </w:rPr>
              <w:t>18 552,0</w:t>
            </w:r>
          </w:p>
        </w:tc>
        <w:tc>
          <w:tcPr>
            <w:tcW w:w="284" w:type="dxa"/>
            <w:tcBorders>
              <w:top w:val="single" w:sz="4" w:space="0" w:color="auto"/>
              <w:left w:val="nil"/>
              <w:bottom w:val="single" w:sz="8" w:space="0" w:color="auto"/>
              <w:right w:val="nil"/>
            </w:tcBorders>
            <w:shd w:val="clear" w:color="auto" w:fill="auto"/>
            <w:vAlign w:val="center"/>
            <w:hideMark/>
          </w:tcPr>
          <w:p w14:paraId="40411400" w14:textId="77777777" w:rsidR="002809FB" w:rsidRPr="00C44BAB" w:rsidRDefault="002809FB" w:rsidP="0049064A">
            <w:pPr>
              <w:rPr>
                <w:rFonts w:asciiTheme="minorHAnsi" w:hAnsiTheme="minorHAnsi" w:cstheme="minorHAnsi"/>
                <w:b/>
                <w:bCs/>
                <w:color w:val="000000"/>
                <w:sz w:val="18"/>
                <w:szCs w:val="18"/>
                <w:lang w:val="es-ES" w:eastAsia="zh-CN"/>
              </w:rPr>
            </w:pPr>
          </w:p>
        </w:tc>
        <w:tc>
          <w:tcPr>
            <w:tcW w:w="1275" w:type="dxa"/>
            <w:tcBorders>
              <w:top w:val="single" w:sz="4" w:space="0" w:color="auto"/>
              <w:left w:val="nil"/>
              <w:bottom w:val="single" w:sz="8" w:space="0" w:color="auto"/>
              <w:right w:val="nil"/>
            </w:tcBorders>
            <w:shd w:val="clear" w:color="auto" w:fill="auto"/>
            <w:vAlign w:val="center"/>
            <w:hideMark/>
          </w:tcPr>
          <w:p w14:paraId="40411401" w14:textId="77777777" w:rsidR="002809FB" w:rsidRPr="00C44BAB" w:rsidRDefault="002809FB" w:rsidP="0049064A">
            <w:pPr>
              <w:jc w:val="right"/>
              <w:rPr>
                <w:rFonts w:asciiTheme="minorHAnsi" w:hAnsiTheme="minorHAnsi" w:cstheme="minorHAnsi"/>
                <w:b/>
                <w:bCs/>
                <w:color w:val="000000"/>
                <w:sz w:val="18"/>
                <w:szCs w:val="18"/>
                <w:lang w:val="es-ES"/>
              </w:rPr>
            </w:pPr>
            <w:r w:rsidRPr="00C44BAB">
              <w:rPr>
                <w:rFonts w:asciiTheme="minorHAnsi" w:hAnsiTheme="minorHAnsi" w:cstheme="minorHAnsi"/>
                <w:b/>
                <w:bCs/>
                <w:color w:val="000000"/>
                <w:sz w:val="18"/>
                <w:szCs w:val="18"/>
                <w:lang w:val="es-ES"/>
              </w:rPr>
              <w:t>18 737,9</w:t>
            </w:r>
          </w:p>
        </w:tc>
        <w:tc>
          <w:tcPr>
            <w:tcW w:w="1166" w:type="dxa"/>
            <w:tcBorders>
              <w:top w:val="single" w:sz="4" w:space="0" w:color="auto"/>
              <w:left w:val="nil"/>
              <w:bottom w:val="single" w:sz="8" w:space="0" w:color="auto"/>
              <w:right w:val="nil"/>
            </w:tcBorders>
            <w:shd w:val="clear" w:color="auto" w:fill="auto"/>
            <w:vAlign w:val="center"/>
            <w:hideMark/>
          </w:tcPr>
          <w:p w14:paraId="40411402" w14:textId="77777777" w:rsidR="002809FB" w:rsidRPr="00C44BAB" w:rsidRDefault="002809FB" w:rsidP="0049064A">
            <w:pPr>
              <w:jc w:val="right"/>
              <w:rPr>
                <w:rFonts w:asciiTheme="minorHAnsi" w:hAnsiTheme="minorHAnsi" w:cstheme="minorHAnsi"/>
                <w:b/>
                <w:bCs/>
                <w:color w:val="000000"/>
                <w:sz w:val="18"/>
                <w:szCs w:val="18"/>
                <w:lang w:val="es-ES"/>
              </w:rPr>
            </w:pPr>
            <w:r w:rsidRPr="00C44BAB">
              <w:rPr>
                <w:rFonts w:asciiTheme="minorHAnsi" w:hAnsiTheme="minorHAnsi" w:cstheme="minorHAnsi"/>
                <w:b/>
                <w:bCs/>
                <w:color w:val="000000"/>
                <w:sz w:val="18"/>
                <w:szCs w:val="18"/>
                <w:lang w:val="es-ES"/>
              </w:rPr>
              <w:t>17 145,6</w:t>
            </w:r>
          </w:p>
        </w:tc>
      </w:tr>
    </w:tbl>
    <w:p w14:paraId="40411404" w14:textId="77777777" w:rsidR="002809FB" w:rsidRPr="005978DF" w:rsidRDefault="002809FB" w:rsidP="002809FB">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lang w:val="es-ES"/>
        </w:rPr>
      </w:pPr>
    </w:p>
    <w:p w14:paraId="40411405" w14:textId="77777777" w:rsidR="002809FB" w:rsidRPr="005978DF" w:rsidRDefault="002809FB" w:rsidP="002809FB">
      <w:pPr>
        <w:pStyle w:val="H1"/>
        <w:numPr>
          <w:ilvl w:val="3"/>
          <w:numId w:val="10"/>
        </w:numPr>
        <w:spacing w:before="240" w:line="240" w:lineRule="auto"/>
        <w:ind w:left="0" w:right="992" w:firstLine="0"/>
        <w:jc w:val="center"/>
        <w:outlineLvl w:val="2"/>
        <w:rPr>
          <w:rFonts w:asciiTheme="majorBidi" w:eastAsiaTheme="majorBidi" w:hAnsiTheme="majorBidi" w:cstheme="majorBidi"/>
          <w:b w:val="0"/>
          <w:bCs w:val="0"/>
          <w:i/>
          <w:iCs/>
          <w:sz w:val="22"/>
          <w:szCs w:val="22"/>
          <w:lang w:val="es-ES"/>
        </w:rPr>
      </w:pPr>
      <w:r w:rsidRPr="005978DF">
        <w:rPr>
          <w:rFonts w:asciiTheme="majorBidi" w:hAnsiTheme="majorBidi"/>
          <w:sz w:val="22"/>
          <w:szCs w:val="22"/>
          <w:lang w:val="es-ES"/>
        </w:rPr>
        <w:t xml:space="preserve">Oficina de la </w:t>
      </w:r>
      <w:proofErr w:type="gramStart"/>
      <w:r w:rsidRPr="005978DF">
        <w:rPr>
          <w:rFonts w:asciiTheme="majorBidi" w:hAnsiTheme="majorBidi"/>
          <w:sz w:val="22"/>
          <w:szCs w:val="22"/>
          <w:lang w:val="es-ES"/>
        </w:rPr>
        <w:t>Secretaria Ejecutiva</w:t>
      </w:r>
      <w:proofErr w:type="gramEnd"/>
      <w:r w:rsidRPr="005978DF">
        <w:rPr>
          <w:rFonts w:asciiTheme="majorBidi" w:hAnsiTheme="majorBidi"/>
          <w:sz w:val="22"/>
          <w:szCs w:val="22"/>
          <w:lang w:val="es-ES"/>
        </w:rPr>
        <w:t xml:space="preserve">: Dependencias </w:t>
      </w:r>
      <w:r w:rsidR="00D307B4">
        <w:rPr>
          <w:rFonts w:asciiTheme="majorBidi" w:hAnsiTheme="majorBidi"/>
          <w:sz w:val="22"/>
          <w:szCs w:val="22"/>
          <w:lang w:val="es-ES"/>
        </w:rPr>
        <w:t>s</w:t>
      </w:r>
      <w:r w:rsidRPr="005978DF">
        <w:rPr>
          <w:rFonts w:asciiTheme="majorBidi" w:hAnsiTheme="majorBidi"/>
          <w:sz w:val="22"/>
          <w:szCs w:val="22"/>
          <w:lang w:val="es-ES"/>
        </w:rPr>
        <w:t>ustantivas</w:t>
      </w:r>
    </w:p>
    <w:p w14:paraId="40411406" w14:textId="77777777" w:rsidR="002809FB" w:rsidRPr="005978DF" w:rsidRDefault="002809FB" w:rsidP="002809FB">
      <w:pPr>
        <w:pStyle w:val="H1"/>
        <w:spacing w:before="0" w:after="0"/>
        <w:ind w:left="0" w:right="-9" w:firstLine="0"/>
        <w:jc w:val="center"/>
        <w:outlineLvl w:val="9"/>
        <w:rPr>
          <w:rFonts w:asciiTheme="majorBidi" w:eastAsiaTheme="majorBidi" w:hAnsiTheme="majorBidi" w:cstheme="majorBidi"/>
          <w:b w:val="0"/>
          <w:i/>
          <w:iCs/>
          <w:sz w:val="22"/>
          <w:szCs w:val="22"/>
          <w:lang w:val="es-ES"/>
        </w:rPr>
      </w:pPr>
      <w:r w:rsidRPr="005978DF">
        <w:rPr>
          <w:rFonts w:asciiTheme="majorBidi" w:hAnsiTheme="majorBidi"/>
          <w:b w:val="0"/>
          <w:i/>
          <w:iCs/>
          <w:sz w:val="22"/>
          <w:szCs w:val="22"/>
          <w:lang w:val="es-ES"/>
        </w:rPr>
        <w:t>(Dependencia de Acceso y Participación en los Beneficios y Dependencia de Seguridad</w:t>
      </w:r>
      <w:r w:rsidR="002F293B">
        <w:rPr>
          <w:rFonts w:asciiTheme="majorBidi" w:hAnsiTheme="majorBidi"/>
          <w:b w:val="0"/>
          <w:i/>
          <w:iCs/>
          <w:sz w:val="22"/>
          <w:szCs w:val="22"/>
          <w:lang w:val="es-ES"/>
        </w:rPr>
        <w:t> </w:t>
      </w:r>
      <w:r w:rsidRPr="005978DF">
        <w:rPr>
          <w:rFonts w:asciiTheme="majorBidi" w:hAnsiTheme="majorBidi"/>
          <w:b w:val="0"/>
          <w:i/>
          <w:iCs/>
          <w:sz w:val="22"/>
          <w:szCs w:val="22"/>
          <w:lang w:val="es-ES"/>
        </w:rPr>
        <w:t>de</w:t>
      </w:r>
      <w:r w:rsidR="002F293B">
        <w:rPr>
          <w:rFonts w:asciiTheme="majorBidi" w:hAnsiTheme="majorBidi"/>
          <w:b w:val="0"/>
          <w:i/>
          <w:iCs/>
          <w:sz w:val="22"/>
          <w:szCs w:val="22"/>
          <w:lang w:val="es-ES"/>
        </w:rPr>
        <w:t> </w:t>
      </w:r>
      <w:r w:rsidRPr="005978DF">
        <w:rPr>
          <w:rFonts w:asciiTheme="majorBidi" w:hAnsiTheme="majorBidi"/>
          <w:b w:val="0"/>
          <w:i/>
          <w:iCs/>
          <w:sz w:val="22"/>
          <w:szCs w:val="22"/>
          <w:lang w:val="es-ES"/>
        </w:rPr>
        <w:t>la</w:t>
      </w:r>
      <w:r w:rsidR="002F293B">
        <w:rPr>
          <w:rFonts w:asciiTheme="majorBidi" w:hAnsiTheme="majorBidi"/>
          <w:b w:val="0"/>
          <w:i/>
          <w:iCs/>
          <w:sz w:val="22"/>
          <w:szCs w:val="22"/>
          <w:lang w:val="es-ES"/>
        </w:rPr>
        <w:t> </w:t>
      </w:r>
      <w:r w:rsidRPr="005978DF">
        <w:rPr>
          <w:rFonts w:asciiTheme="majorBidi" w:hAnsiTheme="majorBidi"/>
          <w:b w:val="0"/>
          <w:i/>
          <w:iCs/>
          <w:sz w:val="22"/>
          <w:szCs w:val="22"/>
          <w:lang w:val="es-ES"/>
        </w:rPr>
        <w:t>Biotecnología)</w:t>
      </w:r>
    </w:p>
    <w:p w14:paraId="40411407" w14:textId="77777777" w:rsidR="002809FB" w:rsidRPr="005978DF" w:rsidRDefault="002809FB" w:rsidP="002809FB">
      <w:pPr>
        <w:pStyle w:val="ListParagraph"/>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es-ES"/>
        </w:rPr>
      </w:pPr>
      <w:r w:rsidRPr="005978DF">
        <w:rPr>
          <w:rFonts w:asciiTheme="majorBidi" w:hAnsiTheme="majorBidi"/>
          <w:i/>
          <w:lang w:val="es-ES"/>
        </w:rPr>
        <w:t>Asignación de recursos (presupuesto básico): 4 927 800 dólares (hipótesis 1)</w:t>
      </w:r>
    </w:p>
    <w:p w14:paraId="40411408"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lang w:val="es-ES"/>
        </w:rPr>
      </w:pPr>
      <w:r w:rsidRPr="005978DF">
        <w:rPr>
          <w:sz w:val="22"/>
          <w:szCs w:val="22"/>
          <w:lang w:val="es-ES"/>
        </w:rPr>
        <w:t>Como se señala en la sección</w:t>
      </w:r>
      <w:r w:rsidR="00D307B4">
        <w:rPr>
          <w:sz w:val="22"/>
          <w:szCs w:val="22"/>
          <w:lang w:val="es-ES"/>
        </w:rPr>
        <w:t> </w:t>
      </w:r>
      <w:r w:rsidRPr="005978DF">
        <w:rPr>
          <w:sz w:val="22"/>
          <w:szCs w:val="22"/>
          <w:lang w:val="es-ES"/>
        </w:rPr>
        <w:t xml:space="preserve">B, la Oficina de la </w:t>
      </w:r>
      <w:proofErr w:type="gramStart"/>
      <w:r w:rsidRPr="005978DF">
        <w:rPr>
          <w:sz w:val="22"/>
          <w:szCs w:val="22"/>
          <w:lang w:val="es-ES"/>
        </w:rPr>
        <w:t>Secretaria Ejecutiva</w:t>
      </w:r>
      <w:proofErr w:type="gramEnd"/>
      <w:r w:rsidRPr="005978DF">
        <w:rPr>
          <w:sz w:val="22"/>
          <w:szCs w:val="22"/>
          <w:lang w:val="es-ES"/>
        </w:rPr>
        <w:t xml:space="preserve"> incluye varias dependencias y personal que contribuyen a la ejecución del programa de trabajo de la Secretaría de manera sustantiva.</w:t>
      </w:r>
      <w:r w:rsidRPr="005978DF">
        <w:rPr>
          <w:rFonts w:asciiTheme="majorBidi" w:hAnsiTheme="majorBidi"/>
          <w:sz w:val="22"/>
          <w:szCs w:val="22"/>
          <w:lang w:val="es-ES"/>
        </w:rPr>
        <w:t xml:space="preserve"> Entre ellas se encuentran las </w:t>
      </w:r>
      <w:r w:rsidR="00D307B4">
        <w:rPr>
          <w:rFonts w:asciiTheme="majorBidi" w:hAnsiTheme="majorBidi"/>
          <w:sz w:val="22"/>
          <w:szCs w:val="22"/>
          <w:lang w:val="es-ES"/>
        </w:rPr>
        <w:t>D</w:t>
      </w:r>
      <w:r w:rsidRPr="005978DF">
        <w:rPr>
          <w:rFonts w:asciiTheme="majorBidi" w:hAnsiTheme="majorBidi"/>
          <w:sz w:val="22"/>
          <w:szCs w:val="22"/>
          <w:lang w:val="es-ES"/>
        </w:rPr>
        <w:t>ependencias de APB y de Seguridad de la Biotecnología. Asimismo, incluyen dependencias y personal cuyo trabajo es transversal a la labor de la Secretaría y que colaboran con todas las demás dependencias y divisiones. Entre ellas se encuentran la Dependencia de Comunicaciones, responsable de dirigir el trabajo en el marco del resultado</w:t>
      </w:r>
      <w:r w:rsidR="00D307B4">
        <w:rPr>
          <w:rFonts w:asciiTheme="majorBidi" w:hAnsiTheme="majorBidi"/>
          <w:sz w:val="22"/>
          <w:szCs w:val="22"/>
          <w:lang w:val="es-ES"/>
        </w:rPr>
        <w:t> </w:t>
      </w:r>
      <w:r w:rsidRPr="005978DF">
        <w:rPr>
          <w:rFonts w:asciiTheme="majorBidi" w:hAnsiTheme="majorBidi"/>
          <w:sz w:val="22"/>
          <w:szCs w:val="22"/>
          <w:lang w:val="es-ES"/>
        </w:rPr>
        <w:t xml:space="preserve">3, y la Dependencia de Servicios de Conferencias. Del mismo modo, la Oficina de Enlace de la Convención de las Naciones Unidas de Lucha contra la Desertificación y el Convenio sobre la Diversidad Biológica en la sede de las Naciones Unidas en Nueva York apoya o representa a la </w:t>
      </w:r>
      <w:r w:rsidRPr="005978DF">
        <w:rPr>
          <w:rFonts w:asciiTheme="majorBidi" w:hAnsiTheme="majorBidi"/>
          <w:sz w:val="22"/>
          <w:szCs w:val="22"/>
          <w:lang w:val="es-ES"/>
        </w:rPr>
        <w:lastRenderedPageBreak/>
        <w:t>Secretaría en los trabajos del Consejo Económico y Social (ECOSOC) y de la segunda Comisión de la Asamblea General en todos los aspectos relacionados con la labor de la Secretaría, también esencial para el resultado</w:t>
      </w:r>
      <w:r w:rsidR="00D307B4">
        <w:rPr>
          <w:rFonts w:asciiTheme="majorBidi" w:hAnsiTheme="majorBidi"/>
          <w:sz w:val="22"/>
          <w:szCs w:val="22"/>
          <w:lang w:val="es-ES"/>
        </w:rPr>
        <w:t> </w:t>
      </w:r>
      <w:r w:rsidRPr="005978DF">
        <w:rPr>
          <w:rFonts w:asciiTheme="majorBidi" w:hAnsiTheme="majorBidi"/>
          <w:sz w:val="22"/>
          <w:szCs w:val="22"/>
          <w:lang w:val="es-ES"/>
        </w:rPr>
        <w:t xml:space="preserve">3. </w:t>
      </w:r>
      <w:r w:rsidR="00D307B4">
        <w:rPr>
          <w:sz w:val="22"/>
          <w:szCs w:val="22"/>
          <w:lang w:val="es-ES"/>
        </w:rPr>
        <w:t>I</w:t>
      </w:r>
      <w:r w:rsidRPr="005978DF">
        <w:rPr>
          <w:sz w:val="22"/>
          <w:szCs w:val="22"/>
          <w:lang w:val="es-ES"/>
        </w:rPr>
        <w:t xml:space="preserve">ncluye </w:t>
      </w:r>
      <w:r w:rsidR="00D307B4">
        <w:rPr>
          <w:sz w:val="22"/>
          <w:szCs w:val="22"/>
          <w:lang w:val="es-ES"/>
        </w:rPr>
        <w:t xml:space="preserve">asimismo </w:t>
      </w:r>
      <w:r w:rsidRPr="005978DF">
        <w:rPr>
          <w:sz w:val="22"/>
          <w:szCs w:val="22"/>
          <w:lang w:val="es-ES"/>
        </w:rPr>
        <w:t xml:space="preserve">a quien desempeña la función de Asesor Especial de la </w:t>
      </w:r>
      <w:proofErr w:type="gramStart"/>
      <w:r w:rsidRPr="005978DF">
        <w:rPr>
          <w:sz w:val="22"/>
          <w:szCs w:val="22"/>
          <w:lang w:val="es-ES"/>
        </w:rPr>
        <w:t>Secretaria Ejecutiva</w:t>
      </w:r>
      <w:proofErr w:type="gramEnd"/>
      <w:r w:rsidRPr="005978DF">
        <w:rPr>
          <w:sz w:val="22"/>
          <w:szCs w:val="22"/>
          <w:lang w:val="es-ES"/>
        </w:rPr>
        <w:t>, que asesora y hace un seguimiento de los procesos, asociaciones e iniciativas clave para apoyar el rápido crecimiento de la labor política del Convenio. Además, incluye la Dependencia de Asuntos Jurídicos e Intergubernamentales, dirigida por quien desempeña la función de Oficial Jurídico Superior, que proporciona asesoramiento jurídico y apoyo a los procesos del CDB y al personal de la Secretaría.</w:t>
      </w:r>
      <w:r w:rsidRPr="005978DF">
        <w:rPr>
          <w:rFonts w:asciiTheme="majorBidi" w:hAnsiTheme="majorBidi"/>
          <w:sz w:val="22"/>
          <w:szCs w:val="22"/>
          <w:lang w:val="es-ES"/>
        </w:rPr>
        <w:t xml:space="preserve"> De este modo, la </w:t>
      </w:r>
      <w:r w:rsidR="00D307B4">
        <w:rPr>
          <w:rFonts w:asciiTheme="majorBidi" w:hAnsiTheme="majorBidi"/>
          <w:sz w:val="22"/>
          <w:szCs w:val="22"/>
          <w:lang w:val="es-ES"/>
        </w:rPr>
        <w:t>O</w:t>
      </w:r>
      <w:r w:rsidRPr="005978DF">
        <w:rPr>
          <w:rFonts w:asciiTheme="majorBidi" w:hAnsiTheme="majorBidi"/>
          <w:sz w:val="22"/>
          <w:szCs w:val="22"/>
          <w:lang w:val="es-ES"/>
        </w:rPr>
        <w:t xml:space="preserve">ficina de la </w:t>
      </w:r>
      <w:proofErr w:type="gramStart"/>
      <w:r w:rsidRPr="005978DF">
        <w:rPr>
          <w:rFonts w:asciiTheme="majorBidi" w:hAnsiTheme="majorBidi"/>
          <w:sz w:val="22"/>
          <w:szCs w:val="22"/>
          <w:lang w:val="es-ES"/>
        </w:rPr>
        <w:t>Secretaria Ejecutiva</w:t>
      </w:r>
      <w:proofErr w:type="gramEnd"/>
      <w:r w:rsidRPr="005978DF">
        <w:rPr>
          <w:rFonts w:asciiTheme="majorBidi" w:hAnsiTheme="majorBidi"/>
          <w:sz w:val="22"/>
          <w:szCs w:val="22"/>
          <w:lang w:val="es-ES"/>
        </w:rPr>
        <w:t xml:space="preserve"> contribuye a la consecución de los cuatro resultados sustantivos del marco basado en </w:t>
      </w:r>
      <w:r w:rsidR="00D307B4">
        <w:rPr>
          <w:rFonts w:asciiTheme="majorBidi" w:hAnsiTheme="majorBidi"/>
          <w:sz w:val="22"/>
          <w:szCs w:val="22"/>
          <w:lang w:val="es-ES"/>
        </w:rPr>
        <w:t xml:space="preserve">los </w:t>
      </w:r>
      <w:r w:rsidRPr="005978DF">
        <w:rPr>
          <w:rFonts w:asciiTheme="majorBidi" w:hAnsiTheme="majorBidi"/>
          <w:sz w:val="22"/>
          <w:szCs w:val="22"/>
          <w:lang w:val="es-ES"/>
        </w:rPr>
        <w:t>resultados. Los productos específicos de los que es directamente responsable se describen en el cuadro 15.</w:t>
      </w:r>
    </w:p>
    <w:p w14:paraId="40411409"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lang w:val="es-ES"/>
        </w:rPr>
      </w:pPr>
      <w:r w:rsidRPr="005978DF">
        <w:rPr>
          <w:sz w:val="22"/>
          <w:szCs w:val="22"/>
          <w:lang w:val="es-ES"/>
        </w:rPr>
        <w:t>La Dependencia de Acceso y Participación en los Beneficios (APB) se encarga de los asuntos relacionados con el acceso y la participación en los beneficios en el marco del Convenio y el Protocolo de Nagoya.</w:t>
      </w:r>
      <w:r w:rsidR="005515AE">
        <w:rPr>
          <w:sz w:val="22"/>
          <w:szCs w:val="22"/>
          <w:lang w:val="es-ES"/>
        </w:rPr>
        <w:t xml:space="preserve"> </w:t>
      </w:r>
      <w:r w:rsidRPr="005978DF">
        <w:rPr>
          <w:sz w:val="22"/>
          <w:szCs w:val="22"/>
          <w:lang w:val="es-ES"/>
        </w:rPr>
        <w:t>La dependencia promueve y apoya la ratificación del Protocolo de Nagoya por todas las Partes en el Convenio y presta apoyo a las Partes, a los pueblos indígenas y a las comunidades locales, así como a interesadas pertinentes, en la aplicación del acceso y la participación en los beneficios y del Protocolo de Nagoya.</w:t>
      </w:r>
      <w:r w:rsidRPr="005978DF">
        <w:rPr>
          <w:rFonts w:asciiTheme="majorBidi" w:hAnsiTheme="majorBidi"/>
          <w:sz w:val="22"/>
          <w:szCs w:val="22"/>
          <w:lang w:val="es-ES"/>
        </w:rPr>
        <w:t xml:space="preserve"> La dependencia facilita y presta servicios a las reuniones de la Conferencia de las Partes que actúa como reunión de las Partes en el Protocolo de Nagoya y proporciona el apoyo jurídico pertinente, presta apoyo pertinente en materia de creación de capacidad y gestiona el Centro de Intercambio de Información sobre APB. Además, gestiona cuestiones emergentes, como </w:t>
      </w:r>
      <w:r w:rsidR="000D1A30">
        <w:rPr>
          <w:rFonts w:asciiTheme="majorBidi" w:hAnsiTheme="majorBidi"/>
          <w:sz w:val="22"/>
          <w:szCs w:val="22"/>
          <w:lang w:val="es-ES"/>
        </w:rPr>
        <w:t xml:space="preserve">el tema de </w:t>
      </w:r>
      <w:r w:rsidRPr="005978DF">
        <w:rPr>
          <w:rFonts w:asciiTheme="majorBidi" w:hAnsiTheme="majorBidi"/>
          <w:sz w:val="22"/>
          <w:szCs w:val="22"/>
          <w:lang w:val="es-ES"/>
        </w:rPr>
        <w:t>la información digital sobre secuencias de recursos genéticos en el marco del Convenio, de forma coordinada con el Protocolo.</w:t>
      </w:r>
    </w:p>
    <w:p w14:paraId="4041140A"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lang w:val="es-ES"/>
        </w:rPr>
      </w:pPr>
      <w:r w:rsidRPr="005978DF">
        <w:rPr>
          <w:sz w:val="22"/>
          <w:szCs w:val="22"/>
          <w:lang w:val="es-ES"/>
        </w:rPr>
        <w:t>La Dependencia de Seguridad de la Biotecnología es responsable de los asuntos relacionados con la seguridad y la biotecnología en el marco del Convenio y el Protocolo de Cartagena. La dependencia promueve y apoya la ratificación del Protocolo de Cartagena sobre Seguridad de la Biotecnología y el Protocolo Suplementario de Nagoya-Kuala Lumpur sobre Responsabilidad y Compensación.</w:t>
      </w:r>
      <w:r w:rsidRPr="005978DF">
        <w:rPr>
          <w:rFonts w:asciiTheme="majorBidi" w:hAnsiTheme="majorBidi"/>
          <w:sz w:val="22"/>
          <w:szCs w:val="22"/>
          <w:lang w:val="es-ES"/>
        </w:rPr>
        <w:t xml:space="preserve"> La Dependencia de Seguridad de la Biotecnología también organiza y prepara reuniones en el marco del Protocolo de Cartagena sobre Seguridad de la Biotecnología, el Convenio sobre la Diversidad Biológica y el Protocolo Suplementario de Nagoya-Kuala Lumpur sobre Responsabilidad y Compensación en cuestiones relacionadas con </w:t>
      </w:r>
      <w:r w:rsidR="000D1A30" w:rsidRPr="005978DF">
        <w:rPr>
          <w:rFonts w:asciiTheme="majorBidi" w:hAnsiTheme="majorBidi"/>
          <w:sz w:val="22"/>
          <w:szCs w:val="22"/>
          <w:lang w:val="es-ES"/>
        </w:rPr>
        <w:t xml:space="preserve">la biotecnología y </w:t>
      </w:r>
      <w:r w:rsidRPr="005978DF">
        <w:rPr>
          <w:rFonts w:asciiTheme="majorBidi" w:hAnsiTheme="majorBidi"/>
          <w:sz w:val="22"/>
          <w:szCs w:val="22"/>
          <w:lang w:val="es-ES"/>
        </w:rPr>
        <w:t xml:space="preserve">la seguridad </w:t>
      </w:r>
      <w:r w:rsidR="000D1A30">
        <w:rPr>
          <w:sz w:val="22"/>
          <w:szCs w:val="22"/>
          <w:lang w:val="es-ES"/>
        </w:rPr>
        <w:t>de la biotecnología</w:t>
      </w:r>
      <w:r w:rsidRPr="005978DF">
        <w:rPr>
          <w:rFonts w:asciiTheme="majorBidi" w:hAnsiTheme="majorBidi"/>
          <w:sz w:val="22"/>
          <w:szCs w:val="22"/>
          <w:lang w:val="es-ES"/>
        </w:rPr>
        <w:t xml:space="preserve">. </w:t>
      </w:r>
      <w:r w:rsidRPr="005978DF">
        <w:rPr>
          <w:sz w:val="22"/>
          <w:szCs w:val="22"/>
          <w:lang w:val="es-ES"/>
        </w:rPr>
        <w:t xml:space="preserve">La </w:t>
      </w:r>
      <w:r w:rsidR="000D1A30">
        <w:rPr>
          <w:sz w:val="22"/>
          <w:szCs w:val="22"/>
          <w:lang w:val="es-ES"/>
        </w:rPr>
        <w:t>d</w:t>
      </w:r>
      <w:r w:rsidRPr="005978DF">
        <w:rPr>
          <w:sz w:val="22"/>
          <w:szCs w:val="22"/>
          <w:lang w:val="es-ES"/>
        </w:rPr>
        <w:t>ependencia apoya a las Partes en sus esfuerzos de aplicación</w:t>
      </w:r>
      <w:r w:rsidR="000D1A30">
        <w:rPr>
          <w:sz w:val="22"/>
          <w:szCs w:val="22"/>
          <w:lang w:val="es-ES"/>
        </w:rPr>
        <w:t>,</w:t>
      </w:r>
      <w:r w:rsidRPr="005978DF">
        <w:rPr>
          <w:sz w:val="22"/>
          <w:szCs w:val="22"/>
          <w:lang w:val="es-ES"/>
        </w:rPr>
        <w:t xml:space="preserve"> facilitando la generación, la difusión y el intercambio de información sobre cuestiones relacionadas con la biotecnología</w:t>
      </w:r>
      <w:r w:rsidR="000D1A30" w:rsidRPr="000D1A30">
        <w:rPr>
          <w:sz w:val="22"/>
          <w:szCs w:val="22"/>
          <w:lang w:val="es-ES"/>
        </w:rPr>
        <w:t xml:space="preserve"> </w:t>
      </w:r>
      <w:r w:rsidR="000D1A30" w:rsidRPr="005978DF">
        <w:rPr>
          <w:sz w:val="22"/>
          <w:szCs w:val="22"/>
          <w:lang w:val="es-ES"/>
        </w:rPr>
        <w:t>y la seguridad</w:t>
      </w:r>
      <w:r w:rsidR="000D1A30">
        <w:rPr>
          <w:sz w:val="22"/>
          <w:szCs w:val="22"/>
          <w:lang w:val="es-ES"/>
        </w:rPr>
        <w:t xml:space="preserve"> de la biotecnología</w:t>
      </w:r>
      <w:r w:rsidRPr="005978DF">
        <w:rPr>
          <w:sz w:val="22"/>
          <w:szCs w:val="22"/>
          <w:lang w:val="es-ES"/>
        </w:rPr>
        <w:t>, prestando el apoyo jurídico y de creación de capacidad pertinente</w:t>
      </w:r>
      <w:r w:rsidR="000D1A30">
        <w:rPr>
          <w:sz w:val="22"/>
          <w:szCs w:val="22"/>
          <w:lang w:val="es-ES"/>
        </w:rPr>
        <w:t>s</w:t>
      </w:r>
      <w:r w:rsidRPr="005978DF">
        <w:rPr>
          <w:sz w:val="22"/>
          <w:szCs w:val="22"/>
          <w:lang w:val="es-ES"/>
        </w:rPr>
        <w:t>, y gestionando el Centro de Intercambio de Información sobre Seguridad de la Biotecnología.</w:t>
      </w:r>
      <w:r w:rsidR="005515AE">
        <w:rPr>
          <w:rFonts w:asciiTheme="majorBidi" w:hAnsiTheme="majorBidi"/>
          <w:sz w:val="22"/>
          <w:szCs w:val="22"/>
          <w:lang w:val="es-ES"/>
        </w:rPr>
        <w:t xml:space="preserve"> </w:t>
      </w:r>
      <w:r w:rsidRPr="005978DF">
        <w:rPr>
          <w:rFonts w:asciiTheme="majorBidi" w:hAnsiTheme="majorBidi"/>
          <w:sz w:val="22"/>
          <w:szCs w:val="22"/>
          <w:lang w:val="es-ES"/>
        </w:rPr>
        <w:t>Además, la Unidad gestiona cuestiones técnicas relativas a la biología sintética en el marco del Convenio de mane</w:t>
      </w:r>
      <w:r w:rsidR="002F293B">
        <w:rPr>
          <w:rFonts w:asciiTheme="majorBidi" w:hAnsiTheme="majorBidi"/>
          <w:sz w:val="22"/>
          <w:szCs w:val="22"/>
          <w:lang w:val="es-ES"/>
        </w:rPr>
        <w:t>ra coordinada con el Protocolo.</w:t>
      </w:r>
    </w:p>
    <w:p w14:paraId="4041140B" w14:textId="77777777" w:rsidR="002809FB" w:rsidRPr="005978DF" w:rsidRDefault="002809FB" w:rsidP="000D1A30">
      <w:pPr>
        <w:spacing w:before="120" w:after="120"/>
        <w:outlineLvl w:val="3"/>
        <w:rPr>
          <w:sz w:val="22"/>
          <w:szCs w:val="22"/>
          <w:lang w:val="es-ES"/>
        </w:rPr>
      </w:pPr>
      <w:r w:rsidRPr="005978DF">
        <w:rPr>
          <w:b/>
          <w:bCs/>
          <w:sz w:val="22"/>
          <w:szCs w:val="22"/>
          <w:lang w:val="es-ES"/>
        </w:rPr>
        <w:t xml:space="preserve">Cuadro 15. Productos y subproductos desarrollados por la Oficina de la </w:t>
      </w:r>
      <w:proofErr w:type="gramStart"/>
      <w:r w:rsidRPr="005978DF">
        <w:rPr>
          <w:b/>
          <w:bCs/>
          <w:sz w:val="22"/>
          <w:szCs w:val="22"/>
          <w:lang w:val="es-ES"/>
        </w:rPr>
        <w:t>Secretaria Ejecutiva</w:t>
      </w:r>
      <w:proofErr w:type="gramEnd"/>
    </w:p>
    <w:tbl>
      <w:tblPr>
        <w:tblStyle w:val="TableGrid"/>
        <w:tblW w:w="0" w:type="auto"/>
        <w:jc w:val="center"/>
        <w:tblLook w:val="04A0" w:firstRow="1" w:lastRow="0" w:firstColumn="1" w:lastColumn="0" w:noHBand="0" w:noVBand="1"/>
      </w:tblPr>
      <w:tblGrid>
        <w:gridCol w:w="9067"/>
      </w:tblGrid>
      <w:tr w:rsidR="002809FB" w:rsidRPr="006A6E89" w14:paraId="4041140D" w14:textId="77777777" w:rsidTr="0049064A">
        <w:trPr>
          <w:jc w:val="center"/>
        </w:trPr>
        <w:tc>
          <w:tcPr>
            <w:tcW w:w="9067" w:type="dxa"/>
          </w:tcPr>
          <w:p w14:paraId="4041140C" w14:textId="77777777" w:rsidR="002809FB" w:rsidRPr="005978DF" w:rsidRDefault="002809FB" w:rsidP="000D1A30">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lang w:val="es-ES"/>
              </w:rPr>
            </w:pPr>
            <w:r w:rsidRPr="005978DF">
              <w:rPr>
                <w:rFonts w:asciiTheme="majorBidi" w:hAnsiTheme="majorBidi"/>
                <w:i/>
                <w:iCs/>
                <w:sz w:val="18"/>
                <w:szCs w:val="18"/>
                <w:lang w:val="es-ES"/>
              </w:rPr>
              <w:t>Productos y subproductos por resultado</w:t>
            </w:r>
          </w:p>
        </w:tc>
      </w:tr>
      <w:tr w:rsidR="002809FB" w:rsidRPr="006A6E89" w14:paraId="4041140F" w14:textId="77777777" w:rsidTr="0049064A">
        <w:trPr>
          <w:jc w:val="center"/>
        </w:trPr>
        <w:tc>
          <w:tcPr>
            <w:tcW w:w="9067" w:type="dxa"/>
          </w:tcPr>
          <w:p w14:paraId="4041140E" w14:textId="77777777" w:rsidR="002809FB" w:rsidRPr="005978DF" w:rsidRDefault="002809FB" w:rsidP="00B52137">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lang w:val="es-ES"/>
              </w:rPr>
            </w:pPr>
            <w:r w:rsidRPr="005978DF">
              <w:rPr>
                <w:rFonts w:asciiTheme="majorBidi" w:hAnsiTheme="majorBidi"/>
                <w:b/>
                <w:bCs/>
                <w:sz w:val="18"/>
                <w:szCs w:val="18"/>
                <w:lang w:val="es-ES"/>
              </w:rPr>
              <w:t xml:space="preserve">Productos previstos para el bienio en </w:t>
            </w:r>
            <w:proofErr w:type="spellStart"/>
            <w:r w:rsidRPr="005978DF">
              <w:rPr>
                <w:rFonts w:asciiTheme="majorBidi" w:hAnsiTheme="majorBidi"/>
                <w:b/>
                <w:bCs/>
                <w:sz w:val="18"/>
                <w:szCs w:val="18"/>
                <w:lang w:val="es-ES"/>
              </w:rPr>
              <w:t>pos</w:t>
            </w:r>
            <w:proofErr w:type="spellEnd"/>
            <w:r w:rsidRPr="005978DF">
              <w:rPr>
                <w:rFonts w:asciiTheme="majorBidi" w:hAnsiTheme="majorBidi"/>
                <w:b/>
                <w:bCs/>
                <w:sz w:val="18"/>
                <w:szCs w:val="18"/>
                <w:lang w:val="es-ES"/>
              </w:rPr>
              <w:t xml:space="preserve"> de lograr el resultado</w:t>
            </w:r>
            <w:r w:rsidR="00B52137">
              <w:rPr>
                <w:rFonts w:asciiTheme="majorBidi" w:hAnsiTheme="majorBidi"/>
                <w:b/>
                <w:bCs/>
                <w:sz w:val="18"/>
                <w:szCs w:val="18"/>
                <w:lang w:val="es-ES"/>
              </w:rPr>
              <w:t> </w:t>
            </w:r>
            <w:r w:rsidRPr="005978DF">
              <w:rPr>
                <w:rFonts w:asciiTheme="majorBidi" w:hAnsiTheme="majorBidi"/>
                <w:b/>
                <w:bCs/>
                <w:sz w:val="18"/>
                <w:szCs w:val="18"/>
                <w:lang w:val="es-ES"/>
              </w:rPr>
              <w:t>1):</w:t>
            </w:r>
            <w:r w:rsidRPr="005978DF">
              <w:rPr>
                <w:rFonts w:asciiTheme="majorBidi" w:hAnsiTheme="majorBidi"/>
                <w:sz w:val="18"/>
                <w:szCs w:val="18"/>
                <w:lang w:val="es-ES"/>
              </w:rPr>
              <w:t xml:space="preserve"> A través del Convenio y sus Protocolos, la comunidad internacional converge cada vez más en enfoques comunes</w:t>
            </w:r>
            <w:r w:rsidR="00B52137">
              <w:rPr>
                <w:rFonts w:asciiTheme="majorBidi" w:hAnsiTheme="majorBidi"/>
                <w:sz w:val="18"/>
                <w:szCs w:val="18"/>
                <w:lang w:val="es-ES"/>
              </w:rPr>
              <w:t>,</w:t>
            </w:r>
            <w:r w:rsidRPr="005978DF">
              <w:rPr>
                <w:rFonts w:asciiTheme="majorBidi" w:hAnsiTheme="majorBidi"/>
                <w:sz w:val="18"/>
                <w:szCs w:val="18"/>
                <w:lang w:val="es-ES"/>
              </w:rPr>
              <w:t xml:space="preserve"> integrados </w:t>
            </w:r>
            <w:r w:rsidR="00B52137">
              <w:rPr>
                <w:rFonts w:asciiTheme="majorBidi" w:hAnsiTheme="majorBidi"/>
                <w:sz w:val="18"/>
                <w:szCs w:val="18"/>
                <w:lang w:val="es-ES"/>
              </w:rPr>
              <w:t>y sensibles a la perspectiva de</w:t>
            </w:r>
            <w:r w:rsidRPr="005978DF">
              <w:rPr>
                <w:rFonts w:asciiTheme="majorBidi" w:hAnsiTheme="majorBidi"/>
                <w:sz w:val="18"/>
                <w:szCs w:val="18"/>
                <w:lang w:val="es-ES"/>
              </w:rPr>
              <w:t xml:space="preserve"> género para la conservación de la diversidad biológica, </w:t>
            </w:r>
            <w:r w:rsidR="00B52137">
              <w:rPr>
                <w:rFonts w:asciiTheme="majorBidi" w:hAnsiTheme="majorBidi"/>
                <w:sz w:val="18"/>
                <w:szCs w:val="18"/>
                <w:lang w:val="es-ES"/>
              </w:rPr>
              <w:t>su</w:t>
            </w:r>
            <w:r w:rsidRPr="005978DF">
              <w:rPr>
                <w:rFonts w:asciiTheme="majorBidi" w:hAnsiTheme="majorBidi"/>
                <w:sz w:val="18"/>
                <w:szCs w:val="18"/>
                <w:lang w:val="es-ES"/>
              </w:rPr>
              <w:t xml:space="preserve"> utilización sostenible y la participación justa y equitativa en los beneficios derivados de la utilización de los recursos genéticos</w:t>
            </w:r>
          </w:p>
        </w:tc>
      </w:tr>
      <w:tr w:rsidR="002809FB" w:rsidRPr="006A6E89" w14:paraId="40411411" w14:textId="77777777" w:rsidTr="0049064A">
        <w:trPr>
          <w:jc w:val="center"/>
        </w:trPr>
        <w:tc>
          <w:tcPr>
            <w:tcW w:w="9067" w:type="dxa"/>
          </w:tcPr>
          <w:p w14:paraId="40411410" w14:textId="77777777" w:rsidR="002809FB" w:rsidRPr="005978DF" w:rsidRDefault="002809FB" w:rsidP="000D1A30">
            <w:pPr>
              <w:pStyle w:val="ListParagraph"/>
              <w:ind w:left="0"/>
              <w:rPr>
                <w:rFonts w:asciiTheme="majorBidi" w:hAnsiTheme="majorBidi" w:cstheme="majorBidi"/>
                <w:sz w:val="18"/>
                <w:szCs w:val="18"/>
                <w:lang w:val="es-ES"/>
              </w:rPr>
            </w:pPr>
            <w:r w:rsidRPr="005978DF">
              <w:rPr>
                <w:rFonts w:asciiTheme="majorBidi" w:hAnsiTheme="majorBidi"/>
                <w:sz w:val="18"/>
                <w:szCs w:val="18"/>
                <w:lang w:val="es-ES"/>
              </w:rPr>
              <w:t>1.1 Análisis/trabajos técnicos con base empírica aportan información a los procesos de adopción de decisiones de las Partes durante las principales reuniones</w:t>
            </w:r>
          </w:p>
        </w:tc>
      </w:tr>
      <w:tr w:rsidR="002809FB" w:rsidRPr="006A6E89" w14:paraId="40411413" w14:textId="77777777" w:rsidTr="0049064A">
        <w:trPr>
          <w:jc w:val="center"/>
        </w:trPr>
        <w:tc>
          <w:tcPr>
            <w:tcW w:w="9067" w:type="dxa"/>
          </w:tcPr>
          <w:p w14:paraId="40411412" w14:textId="77777777" w:rsidR="002809FB" w:rsidRPr="005978DF" w:rsidRDefault="002809FB" w:rsidP="000D1A30">
            <w:pPr>
              <w:pStyle w:val="ListParagraph"/>
              <w:rPr>
                <w:rFonts w:asciiTheme="majorBidi" w:hAnsiTheme="majorBidi" w:cstheme="majorBidi"/>
                <w:sz w:val="18"/>
                <w:szCs w:val="18"/>
                <w:lang w:val="es-ES"/>
              </w:rPr>
            </w:pPr>
            <w:r w:rsidRPr="005978DF">
              <w:rPr>
                <w:rFonts w:asciiTheme="majorBidi" w:hAnsiTheme="majorBidi"/>
                <w:sz w:val="18"/>
                <w:szCs w:val="18"/>
                <w:lang w:val="es-ES"/>
              </w:rPr>
              <w:t>1.1.1 Se elaboran documentos de orientación técnica (incluidos estudios)</w:t>
            </w:r>
          </w:p>
        </w:tc>
      </w:tr>
      <w:tr w:rsidR="002809FB" w:rsidRPr="006A6E89" w14:paraId="40411415" w14:textId="77777777" w:rsidTr="0049064A">
        <w:trPr>
          <w:jc w:val="center"/>
        </w:trPr>
        <w:tc>
          <w:tcPr>
            <w:tcW w:w="9067" w:type="dxa"/>
          </w:tcPr>
          <w:p w14:paraId="40411414" w14:textId="77777777" w:rsidR="002809FB" w:rsidRPr="005978DF" w:rsidRDefault="002809FB" w:rsidP="00B52137">
            <w:pPr>
              <w:pStyle w:val="ListParagraph"/>
              <w:rPr>
                <w:rFonts w:asciiTheme="majorBidi" w:hAnsiTheme="majorBidi" w:cstheme="majorBidi"/>
                <w:sz w:val="18"/>
                <w:szCs w:val="18"/>
                <w:lang w:val="es-ES"/>
              </w:rPr>
            </w:pPr>
            <w:r w:rsidRPr="005978DF">
              <w:rPr>
                <w:rFonts w:asciiTheme="majorBidi" w:hAnsiTheme="majorBidi"/>
                <w:sz w:val="18"/>
                <w:szCs w:val="18"/>
                <w:lang w:val="es-ES"/>
              </w:rPr>
              <w:t>1.1.2 Se celebran reuniones técnicas (</w:t>
            </w:r>
            <w:r w:rsidR="00B52137">
              <w:rPr>
                <w:rFonts w:asciiTheme="majorBidi" w:hAnsiTheme="majorBidi"/>
                <w:sz w:val="18"/>
                <w:szCs w:val="18"/>
                <w:lang w:val="es-ES"/>
              </w:rPr>
              <w:t>g</w:t>
            </w:r>
            <w:r w:rsidRPr="005978DF">
              <w:rPr>
                <w:rFonts w:asciiTheme="majorBidi" w:hAnsiTheme="majorBidi"/>
                <w:sz w:val="18"/>
                <w:szCs w:val="18"/>
                <w:lang w:val="es-ES"/>
              </w:rPr>
              <w:t xml:space="preserve">rupos especiales de expertos técnicos, </w:t>
            </w:r>
            <w:r w:rsidR="00B52137">
              <w:rPr>
                <w:rFonts w:asciiTheme="majorBidi" w:hAnsiTheme="majorBidi"/>
                <w:sz w:val="18"/>
                <w:szCs w:val="18"/>
                <w:lang w:val="es-ES"/>
              </w:rPr>
              <w:t>c</w:t>
            </w:r>
            <w:r w:rsidRPr="005978DF">
              <w:rPr>
                <w:rFonts w:asciiTheme="majorBidi" w:hAnsiTheme="majorBidi"/>
                <w:sz w:val="18"/>
                <w:szCs w:val="18"/>
                <w:lang w:val="es-ES"/>
              </w:rPr>
              <w:t xml:space="preserve">omités asesores oficiosos, </w:t>
            </w:r>
            <w:r w:rsidR="00B52137">
              <w:rPr>
                <w:rFonts w:asciiTheme="majorBidi" w:hAnsiTheme="majorBidi"/>
                <w:sz w:val="18"/>
                <w:szCs w:val="18"/>
                <w:lang w:val="es-ES"/>
              </w:rPr>
              <w:t>g</w:t>
            </w:r>
            <w:r w:rsidRPr="005978DF">
              <w:rPr>
                <w:rFonts w:asciiTheme="majorBidi" w:hAnsiTheme="majorBidi"/>
                <w:sz w:val="18"/>
                <w:szCs w:val="18"/>
                <w:lang w:val="es-ES"/>
              </w:rPr>
              <w:t>rupos asesores oficiosos, etc.)</w:t>
            </w:r>
          </w:p>
        </w:tc>
      </w:tr>
      <w:tr w:rsidR="002809FB" w:rsidRPr="006A6E89" w14:paraId="40411417" w14:textId="77777777" w:rsidTr="0049064A">
        <w:trPr>
          <w:jc w:val="center"/>
        </w:trPr>
        <w:tc>
          <w:tcPr>
            <w:tcW w:w="9067" w:type="dxa"/>
          </w:tcPr>
          <w:p w14:paraId="40411416" w14:textId="77777777" w:rsidR="002809FB" w:rsidRPr="005978DF" w:rsidRDefault="002809FB" w:rsidP="000D1A30">
            <w:pPr>
              <w:pStyle w:val="ListParagraph"/>
              <w:rPr>
                <w:rFonts w:asciiTheme="majorBidi" w:hAnsiTheme="majorBidi" w:cstheme="majorBidi"/>
                <w:sz w:val="18"/>
                <w:szCs w:val="18"/>
                <w:lang w:val="es-ES"/>
              </w:rPr>
            </w:pPr>
            <w:r w:rsidRPr="005978DF">
              <w:rPr>
                <w:rFonts w:asciiTheme="majorBidi" w:hAnsiTheme="majorBidi"/>
                <w:sz w:val="18"/>
                <w:szCs w:val="18"/>
                <w:lang w:val="es-ES"/>
              </w:rPr>
              <w:t xml:space="preserve">1.1.3 Se elaboran proyectos de decisión y recomendaciones </w:t>
            </w:r>
          </w:p>
        </w:tc>
      </w:tr>
      <w:tr w:rsidR="002809FB" w:rsidRPr="006A6E89" w14:paraId="40411419" w14:textId="77777777" w:rsidTr="0049064A">
        <w:trPr>
          <w:jc w:val="center"/>
        </w:trPr>
        <w:tc>
          <w:tcPr>
            <w:tcW w:w="9067" w:type="dxa"/>
          </w:tcPr>
          <w:p w14:paraId="40411418"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 xml:space="preserve">1. 2 Se organizan y celebran reuniones importantes con la participación plena y efectiva de las Partes, los pueblos indígenas y </w:t>
            </w:r>
            <w:r w:rsidR="00B52137">
              <w:rPr>
                <w:rFonts w:asciiTheme="majorBidi" w:hAnsiTheme="majorBidi"/>
                <w:sz w:val="18"/>
                <w:szCs w:val="18"/>
                <w:lang w:val="es-ES"/>
              </w:rPr>
              <w:t xml:space="preserve">las </w:t>
            </w:r>
            <w:r w:rsidRPr="005978DF">
              <w:rPr>
                <w:rFonts w:asciiTheme="majorBidi" w:hAnsiTheme="majorBidi"/>
                <w:sz w:val="18"/>
                <w:szCs w:val="18"/>
                <w:lang w:val="es-ES"/>
              </w:rPr>
              <w:t>comunidades locales y otros interesados</w:t>
            </w:r>
          </w:p>
        </w:tc>
      </w:tr>
      <w:tr w:rsidR="002809FB" w:rsidRPr="006A6E89" w14:paraId="4041141B" w14:textId="77777777" w:rsidTr="0049064A">
        <w:trPr>
          <w:jc w:val="center"/>
        </w:trPr>
        <w:tc>
          <w:tcPr>
            <w:tcW w:w="9067" w:type="dxa"/>
          </w:tcPr>
          <w:p w14:paraId="4041141A"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1.2.1 Reuniones COP-16, MOP-11 (Cartagena), MOP-5 (Nagoya)</w:t>
            </w:r>
          </w:p>
        </w:tc>
      </w:tr>
      <w:tr w:rsidR="002809FB" w:rsidRPr="006A6E89" w14:paraId="4041141D" w14:textId="77777777" w:rsidTr="0049064A">
        <w:trPr>
          <w:jc w:val="center"/>
        </w:trPr>
        <w:tc>
          <w:tcPr>
            <w:tcW w:w="9067" w:type="dxa"/>
          </w:tcPr>
          <w:p w14:paraId="4041141C"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1. 3 Se fomenta la integración de las metas de diversidad biológica en las políticas, estrategias y planes de trabajo del sistema de las Naciones Unidas y otras organizaciones internacionales</w:t>
            </w:r>
          </w:p>
        </w:tc>
      </w:tr>
      <w:tr w:rsidR="002809FB" w:rsidRPr="006A6E89" w14:paraId="4041141F" w14:textId="77777777" w:rsidTr="00F2055F">
        <w:trPr>
          <w:cantSplit/>
          <w:jc w:val="center"/>
        </w:trPr>
        <w:tc>
          <w:tcPr>
            <w:tcW w:w="9067" w:type="dxa"/>
          </w:tcPr>
          <w:p w14:paraId="4041141E"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1.3.2 Se desarrollan programas de trabajo/directrices/estrategias conjuntas con otros acuerdos ambientales multilaterales y organizaciones internacionales</w:t>
            </w:r>
          </w:p>
        </w:tc>
      </w:tr>
      <w:tr w:rsidR="002809FB" w:rsidRPr="006A6E89" w14:paraId="40411421" w14:textId="77777777" w:rsidTr="0049064A">
        <w:trPr>
          <w:jc w:val="center"/>
        </w:trPr>
        <w:tc>
          <w:tcPr>
            <w:tcW w:w="9067" w:type="dxa"/>
          </w:tcPr>
          <w:p w14:paraId="40411420" w14:textId="77777777" w:rsidR="002809FB" w:rsidRPr="005978DF" w:rsidRDefault="002809FB" w:rsidP="00B52137">
            <w:pPr>
              <w:pStyle w:val="ListParagraph"/>
              <w:ind w:left="0"/>
              <w:rPr>
                <w:rFonts w:asciiTheme="majorBidi" w:eastAsiaTheme="minorEastAsia" w:hAnsiTheme="majorBidi" w:cstheme="majorBidi"/>
                <w:sz w:val="18"/>
                <w:szCs w:val="18"/>
                <w:lang w:val="es-ES"/>
              </w:rPr>
            </w:pPr>
            <w:r w:rsidRPr="005978DF">
              <w:rPr>
                <w:rFonts w:asciiTheme="majorBidi" w:hAnsiTheme="majorBidi"/>
                <w:b/>
                <w:bCs/>
                <w:sz w:val="18"/>
                <w:szCs w:val="18"/>
                <w:lang w:val="es-ES"/>
              </w:rPr>
              <w:lastRenderedPageBreak/>
              <w:t xml:space="preserve">Productos previstos para el bienio en </w:t>
            </w:r>
            <w:proofErr w:type="spellStart"/>
            <w:r w:rsidRPr="005978DF">
              <w:rPr>
                <w:rFonts w:asciiTheme="majorBidi" w:hAnsiTheme="majorBidi"/>
                <w:b/>
                <w:bCs/>
                <w:sz w:val="18"/>
                <w:szCs w:val="18"/>
                <w:lang w:val="es-ES"/>
              </w:rPr>
              <w:t>pos</w:t>
            </w:r>
            <w:proofErr w:type="spellEnd"/>
            <w:r w:rsidRPr="005978DF">
              <w:rPr>
                <w:rFonts w:asciiTheme="majorBidi" w:hAnsiTheme="majorBidi"/>
                <w:b/>
                <w:bCs/>
                <w:sz w:val="18"/>
                <w:szCs w:val="18"/>
                <w:lang w:val="es-ES"/>
              </w:rPr>
              <w:t xml:space="preserve"> de lograr el resultado</w:t>
            </w:r>
            <w:r w:rsidR="00B52137">
              <w:rPr>
                <w:rFonts w:asciiTheme="majorBidi" w:hAnsiTheme="majorBidi"/>
                <w:b/>
                <w:bCs/>
                <w:sz w:val="18"/>
                <w:szCs w:val="18"/>
                <w:lang w:val="es-ES"/>
              </w:rPr>
              <w:t> </w:t>
            </w:r>
            <w:r w:rsidRPr="005978DF">
              <w:rPr>
                <w:rFonts w:asciiTheme="majorBidi" w:hAnsiTheme="majorBidi"/>
                <w:b/>
                <w:bCs/>
                <w:sz w:val="18"/>
                <w:szCs w:val="18"/>
                <w:lang w:val="es-ES"/>
              </w:rPr>
              <w:t>2):</w:t>
            </w:r>
            <w:r w:rsidRPr="005978DF">
              <w:rPr>
                <w:rFonts w:asciiTheme="majorBidi" w:hAnsiTheme="majorBidi"/>
                <w:sz w:val="18"/>
                <w:szCs w:val="18"/>
                <w:lang w:val="es-ES"/>
              </w:rPr>
              <w:t xml:space="preserve"> Mediante la implementación del marco mundial de la diversidad biológica, se fortalece la aplicación nacional del Convenio y sus Protocolos para mejorar </w:t>
            </w:r>
            <w:r w:rsidR="00B52137">
              <w:rPr>
                <w:rFonts w:asciiTheme="majorBidi" w:hAnsiTheme="majorBidi"/>
                <w:sz w:val="18"/>
                <w:szCs w:val="18"/>
                <w:lang w:val="es-ES"/>
              </w:rPr>
              <w:t>el estado</w:t>
            </w:r>
            <w:r w:rsidRPr="005978DF">
              <w:rPr>
                <w:rFonts w:asciiTheme="majorBidi" w:hAnsiTheme="majorBidi"/>
                <w:sz w:val="18"/>
                <w:szCs w:val="18"/>
                <w:lang w:val="es-ES"/>
              </w:rPr>
              <w:t xml:space="preserve"> de la diversidad biológica</w:t>
            </w:r>
          </w:p>
        </w:tc>
      </w:tr>
      <w:tr w:rsidR="002809FB" w:rsidRPr="006A6E89" w14:paraId="40411423" w14:textId="77777777" w:rsidTr="0049064A">
        <w:trPr>
          <w:jc w:val="center"/>
        </w:trPr>
        <w:tc>
          <w:tcPr>
            <w:tcW w:w="9067" w:type="dxa"/>
          </w:tcPr>
          <w:p w14:paraId="40411422"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2.1 Se promueve la movilización de recursos para apoyar la aplicación</w:t>
            </w:r>
          </w:p>
        </w:tc>
      </w:tr>
      <w:tr w:rsidR="002809FB" w:rsidRPr="006A6E89" w14:paraId="40411425" w14:textId="77777777" w:rsidTr="0049064A">
        <w:trPr>
          <w:jc w:val="center"/>
        </w:trPr>
        <w:tc>
          <w:tcPr>
            <w:tcW w:w="9067" w:type="dxa"/>
          </w:tcPr>
          <w:p w14:paraId="40411424"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2.1.1 Se fortalecen aún más las asociaciones existentes y se desarrollan otras nuevas</w:t>
            </w:r>
          </w:p>
        </w:tc>
      </w:tr>
      <w:tr w:rsidR="002809FB" w:rsidRPr="006A6E89" w14:paraId="40411427" w14:textId="77777777" w:rsidTr="0049064A">
        <w:trPr>
          <w:jc w:val="center"/>
        </w:trPr>
        <w:tc>
          <w:tcPr>
            <w:tcW w:w="9067" w:type="dxa"/>
          </w:tcPr>
          <w:p w14:paraId="40411426"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2.2 Se fortalecen las capacidades institucionales y técnicas de los gobiernos y los interesados para aplicar el Convenio y sus Protocolos</w:t>
            </w:r>
          </w:p>
        </w:tc>
      </w:tr>
      <w:tr w:rsidR="002809FB" w:rsidRPr="006A6E89" w14:paraId="40411429" w14:textId="77777777" w:rsidTr="0049064A">
        <w:trPr>
          <w:jc w:val="center"/>
        </w:trPr>
        <w:tc>
          <w:tcPr>
            <w:tcW w:w="9067" w:type="dxa"/>
          </w:tcPr>
          <w:p w14:paraId="40411428"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2.2.1 Se implementan programas/iniciativas de desarrollo de capacidades (Protocolos)</w:t>
            </w:r>
          </w:p>
        </w:tc>
      </w:tr>
      <w:tr w:rsidR="002809FB" w:rsidRPr="006A6E89" w14:paraId="4041142B" w14:textId="77777777" w:rsidTr="0049064A">
        <w:trPr>
          <w:jc w:val="center"/>
        </w:trPr>
        <w:tc>
          <w:tcPr>
            <w:tcW w:w="9067" w:type="dxa"/>
          </w:tcPr>
          <w:p w14:paraId="4041142A"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2.3 La gestión de los conocimientos y el intercambio de información se mejoran para apoyar la aplicación del Convenio y sus Protocolos</w:t>
            </w:r>
          </w:p>
        </w:tc>
      </w:tr>
      <w:tr w:rsidR="002809FB" w:rsidRPr="006A6E89" w14:paraId="4041142D" w14:textId="77777777" w:rsidTr="0049064A">
        <w:trPr>
          <w:jc w:val="center"/>
        </w:trPr>
        <w:tc>
          <w:tcPr>
            <w:tcW w:w="9067" w:type="dxa"/>
          </w:tcPr>
          <w:p w14:paraId="4041142C" w14:textId="77777777" w:rsidR="002809FB" w:rsidRPr="005978DF" w:rsidRDefault="002809FB" w:rsidP="00B52137">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 xml:space="preserve">2.3.2 Los </w:t>
            </w:r>
            <w:r w:rsidR="00B52137">
              <w:rPr>
                <w:rFonts w:asciiTheme="majorBidi" w:hAnsiTheme="majorBidi"/>
                <w:sz w:val="18"/>
                <w:szCs w:val="18"/>
                <w:lang w:val="es-ES"/>
              </w:rPr>
              <w:t>C</w:t>
            </w:r>
            <w:r w:rsidRPr="005978DF">
              <w:rPr>
                <w:rFonts w:asciiTheme="majorBidi" w:hAnsiTheme="majorBidi"/>
                <w:sz w:val="18"/>
                <w:szCs w:val="18"/>
                <w:lang w:val="es-ES"/>
              </w:rPr>
              <w:t xml:space="preserve">entros de </w:t>
            </w:r>
            <w:r w:rsidR="00B52137">
              <w:rPr>
                <w:rFonts w:asciiTheme="majorBidi" w:hAnsiTheme="majorBidi"/>
                <w:sz w:val="18"/>
                <w:szCs w:val="18"/>
                <w:lang w:val="es-ES"/>
              </w:rPr>
              <w:t>I</w:t>
            </w:r>
            <w:r w:rsidRPr="005978DF">
              <w:rPr>
                <w:rFonts w:asciiTheme="majorBidi" w:hAnsiTheme="majorBidi"/>
                <w:sz w:val="18"/>
                <w:szCs w:val="18"/>
                <w:lang w:val="es-ES"/>
              </w:rPr>
              <w:t xml:space="preserve">ntercambio de </w:t>
            </w:r>
            <w:r w:rsidR="00B52137">
              <w:rPr>
                <w:rFonts w:asciiTheme="majorBidi" w:hAnsiTheme="majorBidi"/>
                <w:sz w:val="18"/>
                <w:szCs w:val="18"/>
                <w:lang w:val="es-ES"/>
              </w:rPr>
              <w:t>I</w:t>
            </w:r>
            <w:r w:rsidRPr="005978DF">
              <w:rPr>
                <w:rFonts w:asciiTheme="majorBidi" w:hAnsiTheme="majorBidi"/>
                <w:sz w:val="18"/>
                <w:szCs w:val="18"/>
                <w:lang w:val="es-ES"/>
              </w:rPr>
              <w:t>nformación sobre Seguridad de la Biotecnología y APB y sus herramientas se mantienen correctamente, se continúan desarrollando y están disponibles y son interoperables con varias plataformas asociadas</w:t>
            </w:r>
          </w:p>
        </w:tc>
      </w:tr>
      <w:tr w:rsidR="002809FB" w:rsidRPr="006A6E89" w14:paraId="4041142F" w14:textId="77777777" w:rsidTr="0049064A">
        <w:trPr>
          <w:jc w:val="center"/>
        </w:trPr>
        <w:tc>
          <w:tcPr>
            <w:tcW w:w="9067" w:type="dxa"/>
          </w:tcPr>
          <w:p w14:paraId="4041142E"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2.4 Las asociaciones se movilizan a nivel mundial y regional para apoyar la aplicación por las Partes a nivel nacional</w:t>
            </w:r>
          </w:p>
        </w:tc>
      </w:tr>
      <w:tr w:rsidR="002809FB" w:rsidRPr="006A6E89" w14:paraId="40411431" w14:textId="77777777" w:rsidTr="0049064A">
        <w:trPr>
          <w:jc w:val="center"/>
        </w:trPr>
        <w:tc>
          <w:tcPr>
            <w:tcW w:w="9067" w:type="dxa"/>
          </w:tcPr>
          <w:p w14:paraId="40411430"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2.4.1 Se ofrecen seminarios web regionales al sistema de Coordinadores Residentes de las Naciones Unidas</w:t>
            </w:r>
          </w:p>
        </w:tc>
      </w:tr>
      <w:tr w:rsidR="002809FB" w:rsidRPr="006A6E89" w14:paraId="40411433" w14:textId="77777777" w:rsidTr="0049064A">
        <w:trPr>
          <w:jc w:val="center"/>
        </w:trPr>
        <w:tc>
          <w:tcPr>
            <w:tcW w:w="9067" w:type="dxa"/>
          </w:tcPr>
          <w:p w14:paraId="40411432" w14:textId="77777777" w:rsidR="002809FB" w:rsidRPr="005978DF" w:rsidRDefault="002809FB" w:rsidP="00B52137">
            <w:pPr>
              <w:pStyle w:val="ListParagraph"/>
              <w:ind w:left="0"/>
              <w:rPr>
                <w:rFonts w:asciiTheme="majorBidi" w:eastAsiaTheme="minorEastAsia" w:hAnsiTheme="majorBidi" w:cstheme="majorBidi"/>
                <w:sz w:val="18"/>
                <w:szCs w:val="18"/>
                <w:lang w:val="es-ES"/>
              </w:rPr>
            </w:pPr>
            <w:r w:rsidRPr="005978DF">
              <w:rPr>
                <w:rFonts w:asciiTheme="majorBidi" w:hAnsiTheme="majorBidi"/>
                <w:b/>
                <w:bCs/>
                <w:sz w:val="18"/>
                <w:szCs w:val="18"/>
                <w:lang w:val="es-ES"/>
              </w:rPr>
              <w:t xml:space="preserve">Productos previstos para el bienio en </w:t>
            </w:r>
            <w:proofErr w:type="spellStart"/>
            <w:r w:rsidRPr="005978DF">
              <w:rPr>
                <w:rFonts w:asciiTheme="majorBidi" w:hAnsiTheme="majorBidi"/>
                <w:b/>
                <w:bCs/>
                <w:sz w:val="18"/>
                <w:szCs w:val="18"/>
                <w:lang w:val="es-ES"/>
              </w:rPr>
              <w:t>pos</w:t>
            </w:r>
            <w:proofErr w:type="spellEnd"/>
            <w:r w:rsidRPr="005978DF">
              <w:rPr>
                <w:rFonts w:asciiTheme="majorBidi" w:hAnsiTheme="majorBidi"/>
                <w:b/>
                <w:bCs/>
                <w:sz w:val="18"/>
                <w:szCs w:val="18"/>
                <w:lang w:val="es-ES"/>
              </w:rPr>
              <w:t xml:space="preserve"> de lograr el resultado 3):</w:t>
            </w:r>
            <w:r w:rsidRPr="005978DF">
              <w:rPr>
                <w:rFonts w:asciiTheme="majorBidi" w:hAnsiTheme="majorBidi"/>
                <w:sz w:val="18"/>
                <w:szCs w:val="18"/>
                <w:lang w:val="es-ES"/>
              </w:rPr>
              <w:t xml:space="preserve"> La concienciación y la acci</w:t>
            </w:r>
            <w:r w:rsidR="00B52137">
              <w:rPr>
                <w:rFonts w:asciiTheme="majorBidi" w:hAnsiTheme="majorBidi"/>
                <w:sz w:val="18"/>
                <w:szCs w:val="18"/>
                <w:lang w:val="es-ES"/>
              </w:rPr>
              <w:t>o</w:t>
            </w:r>
            <w:r w:rsidRPr="005978DF">
              <w:rPr>
                <w:rFonts w:asciiTheme="majorBidi" w:hAnsiTheme="majorBidi"/>
                <w:sz w:val="18"/>
                <w:szCs w:val="18"/>
                <w:lang w:val="es-ES"/>
              </w:rPr>
              <w:t>n</w:t>
            </w:r>
            <w:r w:rsidR="00B52137">
              <w:rPr>
                <w:rFonts w:asciiTheme="majorBidi" w:hAnsiTheme="majorBidi"/>
                <w:sz w:val="18"/>
                <w:szCs w:val="18"/>
                <w:lang w:val="es-ES"/>
              </w:rPr>
              <w:t>es</w:t>
            </w:r>
            <w:r w:rsidRPr="005978DF">
              <w:rPr>
                <w:rFonts w:asciiTheme="majorBidi" w:hAnsiTheme="majorBidi"/>
                <w:sz w:val="18"/>
                <w:szCs w:val="18"/>
                <w:lang w:val="es-ES"/>
              </w:rPr>
              <w:t xml:space="preserve"> para conservar, utilizar de manera sostenible y participar en los beneficios de la diversidad biológica aumentan en todos los niveles y </w:t>
            </w:r>
            <w:r w:rsidR="00B52137">
              <w:rPr>
                <w:rFonts w:asciiTheme="majorBidi" w:hAnsiTheme="majorBidi"/>
                <w:sz w:val="18"/>
                <w:szCs w:val="18"/>
                <w:lang w:val="es-ES"/>
              </w:rPr>
              <w:t>en</w:t>
            </w:r>
            <w:r w:rsidRPr="005978DF">
              <w:rPr>
                <w:rFonts w:asciiTheme="majorBidi" w:hAnsiTheme="majorBidi"/>
                <w:sz w:val="18"/>
                <w:szCs w:val="18"/>
                <w:lang w:val="es-ES"/>
              </w:rPr>
              <w:t xml:space="preserve"> todos los sectores de la sociedad</w:t>
            </w:r>
          </w:p>
        </w:tc>
      </w:tr>
      <w:tr w:rsidR="002809FB" w:rsidRPr="006A6E89" w14:paraId="40411435" w14:textId="77777777" w:rsidTr="0049064A">
        <w:trPr>
          <w:jc w:val="center"/>
        </w:trPr>
        <w:tc>
          <w:tcPr>
            <w:tcW w:w="9067" w:type="dxa"/>
          </w:tcPr>
          <w:p w14:paraId="40411434"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3.2 La diversidad biológica se promueve para apoyar el programa de trabajo de la Secretaría y el marco mundial de la diversidad biológica posterior a 2020</w:t>
            </w:r>
          </w:p>
        </w:tc>
      </w:tr>
      <w:tr w:rsidR="002809FB" w:rsidRPr="006A6E89" w14:paraId="40411437" w14:textId="77777777" w:rsidTr="0049064A">
        <w:trPr>
          <w:jc w:val="center"/>
        </w:trPr>
        <w:tc>
          <w:tcPr>
            <w:tcW w:w="9067" w:type="dxa"/>
          </w:tcPr>
          <w:p w14:paraId="40411436"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 xml:space="preserve">3.2.1 Estrategia de comunicación que tenga en cuenta a los interesados </w:t>
            </w:r>
          </w:p>
        </w:tc>
      </w:tr>
      <w:tr w:rsidR="002809FB" w:rsidRPr="006A6E89" w14:paraId="40411439" w14:textId="77777777" w:rsidTr="0049064A">
        <w:trPr>
          <w:jc w:val="center"/>
        </w:trPr>
        <w:tc>
          <w:tcPr>
            <w:tcW w:w="9067" w:type="dxa"/>
          </w:tcPr>
          <w:p w14:paraId="40411438"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 xml:space="preserve">3.2.2 Fuerte presencia en eventos políticos clave de alto nivel, tales como mensajes y representación en eventos relacionados con la diversidad biológica en el G7, G20, foros políticos de alto nivel y la Asamblea General de las Naciones Unidas </w:t>
            </w:r>
          </w:p>
        </w:tc>
      </w:tr>
      <w:tr w:rsidR="002809FB" w:rsidRPr="006A6E89" w14:paraId="4041143B" w14:textId="77777777" w:rsidTr="0049064A">
        <w:trPr>
          <w:jc w:val="center"/>
        </w:trPr>
        <w:tc>
          <w:tcPr>
            <w:tcW w:w="9067" w:type="dxa"/>
          </w:tcPr>
          <w:p w14:paraId="4041143A"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3.2.3 Se promueven y ponen en práctica campañas de comunicación con los asociados</w:t>
            </w:r>
          </w:p>
        </w:tc>
      </w:tr>
      <w:tr w:rsidR="002809FB" w:rsidRPr="006A6E89" w14:paraId="4041143D" w14:textId="77777777" w:rsidTr="0049064A">
        <w:trPr>
          <w:jc w:val="center"/>
        </w:trPr>
        <w:tc>
          <w:tcPr>
            <w:tcW w:w="9067" w:type="dxa"/>
          </w:tcPr>
          <w:p w14:paraId="4041143C"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3.2.4 Se involucran y movilizan grupos de interesados para promover la diversidad biológica</w:t>
            </w:r>
          </w:p>
        </w:tc>
      </w:tr>
      <w:tr w:rsidR="002809FB" w:rsidRPr="006A6E89" w14:paraId="4041143F" w14:textId="77777777" w:rsidTr="0049064A">
        <w:trPr>
          <w:jc w:val="center"/>
        </w:trPr>
        <w:tc>
          <w:tcPr>
            <w:tcW w:w="9067" w:type="dxa"/>
          </w:tcPr>
          <w:p w14:paraId="4041143E"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 xml:space="preserve">3.2.5 Los compromisos y acciones de actores subnacionales y no estatales aumentan a través de la Agenda de Acción para la Naturaleza y las Personas, de Sharm </w:t>
            </w:r>
            <w:r w:rsidR="007B29DD">
              <w:rPr>
                <w:rFonts w:asciiTheme="majorBidi" w:hAnsiTheme="majorBidi"/>
                <w:sz w:val="18"/>
                <w:szCs w:val="18"/>
                <w:lang w:val="es-ES"/>
              </w:rPr>
              <w:t>e</w:t>
            </w:r>
            <w:r w:rsidRPr="005978DF">
              <w:rPr>
                <w:rFonts w:asciiTheme="majorBidi" w:hAnsiTheme="majorBidi"/>
                <w:sz w:val="18"/>
                <w:szCs w:val="18"/>
                <w:lang w:val="es-ES"/>
              </w:rPr>
              <w:t>l-</w:t>
            </w:r>
            <w:proofErr w:type="spellStart"/>
            <w:r w:rsidRPr="005978DF">
              <w:rPr>
                <w:rFonts w:asciiTheme="majorBidi" w:hAnsiTheme="majorBidi"/>
                <w:sz w:val="18"/>
                <w:szCs w:val="18"/>
                <w:lang w:val="es-ES"/>
              </w:rPr>
              <w:t>Sheikh</w:t>
            </w:r>
            <w:proofErr w:type="spellEnd"/>
            <w:r w:rsidRPr="005978DF">
              <w:rPr>
                <w:rFonts w:asciiTheme="majorBidi" w:hAnsiTheme="majorBidi"/>
                <w:sz w:val="18"/>
                <w:szCs w:val="18"/>
                <w:lang w:val="es-ES"/>
              </w:rPr>
              <w:t xml:space="preserve"> a Kunming</w:t>
            </w:r>
          </w:p>
        </w:tc>
      </w:tr>
      <w:tr w:rsidR="002809FB" w:rsidRPr="006A6E89" w14:paraId="40411441" w14:textId="77777777" w:rsidTr="0049064A">
        <w:trPr>
          <w:jc w:val="center"/>
        </w:trPr>
        <w:tc>
          <w:tcPr>
            <w:tcW w:w="9067" w:type="dxa"/>
          </w:tcPr>
          <w:p w14:paraId="40411440" w14:textId="77777777" w:rsidR="002809FB" w:rsidRPr="005978DF" w:rsidRDefault="002809FB" w:rsidP="00405F2D">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3.3 Se implementan campañas de divulgación y concienciación para el Protocolo de Cartagena, el Protocolo Suplementario de Kuala-Lumpur y el Protocolo de Nagoya a fin de fomentar su ratificación</w:t>
            </w:r>
          </w:p>
        </w:tc>
      </w:tr>
      <w:tr w:rsidR="002809FB" w:rsidRPr="006A6E89" w14:paraId="40411443" w14:textId="77777777" w:rsidTr="00654971">
        <w:trPr>
          <w:cantSplit/>
          <w:jc w:val="center"/>
        </w:trPr>
        <w:tc>
          <w:tcPr>
            <w:tcW w:w="9067" w:type="dxa"/>
          </w:tcPr>
          <w:p w14:paraId="40411442" w14:textId="77777777" w:rsidR="002809FB" w:rsidRPr="005978DF" w:rsidRDefault="002809FB" w:rsidP="00654971">
            <w:pPr>
              <w:pStyle w:val="ListParagraph"/>
              <w:ind w:left="0"/>
              <w:rPr>
                <w:rFonts w:asciiTheme="majorBidi" w:eastAsiaTheme="minorEastAsia" w:hAnsiTheme="majorBidi" w:cstheme="majorBidi"/>
                <w:sz w:val="18"/>
                <w:szCs w:val="18"/>
                <w:lang w:val="es-ES"/>
              </w:rPr>
            </w:pPr>
            <w:r w:rsidRPr="005978DF">
              <w:rPr>
                <w:rFonts w:asciiTheme="majorBidi" w:hAnsiTheme="majorBidi"/>
                <w:b/>
                <w:bCs/>
                <w:sz w:val="18"/>
                <w:szCs w:val="18"/>
                <w:lang w:val="es-ES"/>
              </w:rPr>
              <w:t xml:space="preserve">Productos previstos para el bienio en </w:t>
            </w:r>
            <w:proofErr w:type="spellStart"/>
            <w:r w:rsidRPr="005978DF">
              <w:rPr>
                <w:rFonts w:asciiTheme="majorBidi" w:hAnsiTheme="majorBidi"/>
                <w:b/>
                <w:bCs/>
                <w:sz w:val="18"/>
                <w:szCs w:val="18"/>
                <w:lang w:val="es-ES"/>
              </w:rPr>
              <w:t>pos</w:t>
            </w:r>
            <w:proofErr w:type="spellEnd"/>
            <w:r w:rsidRPr="005978DF">
              <w:rPr>
                <w:rFonts w:asciiTheme="majorBidi" w:hAnsiTheme="majorBidi"/>
                <w:b/>
                <w:bCs/>
                <w:sz w:val="18"/>
                <w:szCs w:val="18"/>
                <w:lang w:val="es-ES"/>
              </w:rPr>
              <w:t xml:space="preserve"> de lograr el resultado 4):</w:t>
            </w:r>
            <w:r w:rsidRPr="005978DF">
              <w:rPr>
                <w:rFonts w:asciiTheme="majorBidi" w:hAnsiTheme="majorBidi"/>
                <w:sz w:val="18"/>
                <w:szCs w:val="18"/>
                <w:lang w:val="es-ES"/>
              </w:rPr>
              <w:t xml:space="preserve"> El seguimiento, </w:t>
            </w:r>
            <w:r w:rsidR="00654971">
              <w:rPr>
                <w:rFonts w:asciiTheme="majorBidi" w:hAnsiTheme="majorBidi"/>
                <w:sz w:val="18"/>
                <w:szCs w:val="18"/>
                <w:lang w:val="es-ES"/>
              </w:rPr>
              <w:t>la revisión</w:t>
            </w:r>
            <w:r w:rsidRPr="005978DF">
              <w:rPr>
                <w:rFonts w:asciiTheme="majorBidi" w:hAnsiTheme="majorBidi"/>
                <w:sz w:val="18"/>
                <w:szCs w:val="18"/>
                <w:lang w:val="es-ES"/>
              </w:rPr>
              <w:t xml:space="preserve"> y la evaluación periódic</w:t>
            </w:r>
            <w:r w:rsidR="00405F2D">
              <w:rPr>
                <w:rFonts w:asciiTheme="majorBidi" w:hAnsiTheme="majorBidi"/>
                <w:sz w:val="18"/>
                <w:szCs w:val="18"/>
                <w:lang w:val="es-ES"/>
              </w:rPr>
              <w:t>o</w:t>
            </w:r>
            <w:r w:rsidRPr="005978DF">
              <w:rPr>
                <w:rFonts w:asciiTheme="majorBidi" w:hAnsiTheme="majorBidi"/>
                <w:sz w:val="18"/>
                <w:szCs w:val="18"/>
                <w:lang w:val="es-ES"/>
              </w:rPr>
              <w:t>s contribuyen a la planificación y la adopción de decisiones informadas en todos los niveles, lo que resulta en una mejora progresiva de la aplicación del marco mundial de la diversidad biológica, el Convenio y sus Protocolos</w:t>
            </w:r>
          </w:p>
        </w:tc>
      </w:tr>
      <w:tr w:rsidR="002809FB" w:rsidRPr="006A6E89" w14:paraId="40411445" w14:textId="77777777" w:rsidTr="0049064A">
        <w:trPr>
          <w:jc w:val="center"/>
        </w:trPr>
        <w:tc>
          <w:tcPr>
            <w:tcW w:w="9067" w:type="dxa"/>
          </w:tcPr>
          <w:p w14:paraId="40411444" w14:textId="77777777" w:rsidR="002809FB" w:rsidRPr="005978DF" w:rsidRDefault="002809FB" w:rsidP="000D1A30">
            <w:pPr>
              <w:pStyle w:val="ListParagraph"/>
              <w:ind w:left="0"/>
              <w:rPr>
                <w:rFonts w:asciiTheme="majorBidi" w:eastAsiaTheme="minorEastAsia" w:hAnsiTheme="majorBidi" w:cstheme="majorBidi"/>
                <w:sz w:val="18"/>
                <w:szCs w:val="18"/>
                <w:lang w:val="es-ES"/>
              </w:rPr>
            </w:pPr>
            <w:r w:rsidRPr="005978DF">
              <w:rPr>
                <w:rFonts w:asciiTheme="majorBidi" w:hAnsiTheme="majorBidi"/>
                <w:sz w:val="18"/>
                <w:szCs w:val="18"/>
                <w:lang w:val="es-ES"/>
              </w:rPr>
              <w:t>4.3) Se evalúa la situación de la aplicación y se divulgan los resultados a fin de aportar información para la adopción de decisiones (para el Convenio y los Protocolos)</w:t>
            </w:r>
          </w:p>
        </w:tc>
      </w:tr>
      <w:tr w:rsidR="002809FB" w:rsidRPr="006A6E89" w14:paraId="40411447" w14:textId="77777777" w:rsidTr="0049064A">
        <w:trPr>
          <w:jc w:val="center"/>
        </w:trPr>
        <w:tc>
          <w:tcPr>
            <w:tcW w:w="9067" w:type="dxa"/>
          </w:tcPr>
          <w:p w14:paraId="40411446" w14:textId="77777777" w:rsidR="002809FB" w:rsidRPr="005978DF" w:rsidRDefault="002809FB" w:rsidP="000D1A30">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4.3.3 Se elaboran y/o coordinan evaluaciones y balances pertinentes, incluidos los medios de aplicación y los recursos financieros (Protocolos)</w:t>
            </w:r>
          </w:p>
        </w:tc>
      </w:tr>
      <w:tr w:rsidR="002809FB" w:rsidRPr="006A6E89" w14:paraId="40411449" w14:textId="77777777" w:rsidTr="0049064A">
        <w:trPr>
          <w:jc w:val="center"/>
        </w:trPr>
        <w:tc>
          <w:tcPr>
            <w:tcW w:w="9067" w:type="dxa"/>
          </w:tcPr>
          <w:p w14:paraId="40411448" w14:textId="77777777" w:rsidR="002809FB" w:rsidRPr="005978DF" w:rsidRDefault="002809FB" w:rsidP="00405F2D">
            <w:pPr>
              <w:pStyle w:val="ListParagraph"/>
              <w:rPr>
                <w:rFonts w:asciiTheme="majorBidi" w:eastAsiaTheme="minorEastAsia" w:hAnsiTheme="majorBidi" w:cstheme="majorBidi"/>
                <w:sz w:val="18"/>
                <w:szCs w:val="18"/>
                <w:lang w:val="es-ES"/>
              </w:rPr>
            </w:pPr>
            <w:r w:rsidRPr="005978DF">
              <w:rPr>
                <w:rFonts w:asciiTheme="majorBidi" w:hAnsiTheme="majorBidi"/>
                <w:sz w:val="18"/>
                <w:szCs w:val="18"/>
                <w:lang w:val="es-ES"/>
              </w:rPr>
              <w:t xml:space="preserve">4.3.4 Se organizan reuniones del </w:t>
            </w:r>
            <w:r w:rsidR="00405F2D">
              <w:rPr>
                <w:rFonts w:asciiTheme="majorBidi" w:hAnsiTheme="majorBidi"/>
                <w:sz w:val="18"/>
                <w:szCs w:val="18"/>
                <w:lang w:val="es-ES"/>
              </w:rPr>
              <w:t>C</w:t>
            </w:r>
            <w:r w:rsidRPr="005978DF">
              <w:rPr>
                <w:rFonts w:asciiTheme="majorBidi" w:hAnsiTheme="majorBidi"/>
                <w:sz w:val="18"/>
                <w:szCs w:val="18"/>
                <w:lang w:val="es-ES"/>
              </w:rPr>
              <w:t xml:space="preserve">omité de </w:t>
            </w:r>
            <w:r w:rsidR="00405F2D">
              <w:rPr>
                <w:rFonts w:asciiTheme="majorBidi" w:hAnsiTheme="majorBidi"/>
                <w:sz w:val="18"/>
                <w:szCs w:val="18"/>
                <w:lang w:val="es-ES"/>
              </w:rPr>
              <w:t>C</w:t>
            </w:r>
            <w:r w:rsidRPr="005978DF">
              <w:rPr>
                <w:rFonts w:asciiTheme="majorBidi" w:hAnsiTheme="majorBidi"/>
                <w:sz w:val="18"/>
                <w:szCs w:val="18"/>
                <w:lang w:val="es-ES"/>
              </w:rPr>
              <w:t>umplimiento y se revisan cuestiones (Protocolos)</w:t>
            </w:r>
          </w:p>
        </w:tc>
      </w:tr>
      <w:tr w:rsidR="002809FB" w:rsidRPr="006A6E89" w14:paraId="4041144B" w14:textId="77777777" w:rsidTr="0049064A">
        <w:trPr>
          <w:jc w:val="center"/>
        </w:trPr>
        <w:tc>
          <w:tcPr>
            <w:tcW w:w="9067" w:type="dxa"/>
          </w:tcPr>
          <w:p w14:paraId="4041144A" w14:textId="77777777" w:rsidR="002809FB" w:rsidRPr="00405F2D" w:rsidRDefault="002809FB" w:rsidP="000D1A30">
            <w:pPr>
              <w:pStyle w:val="ListParagraph"/>
              <w:rPr>
                <w:rFonts w:ascii="Calibri" w:hAnsi="Calibri" w:cs="Calibri"/>
                <w:sz w:val="18"/>
                <w:szCs w:val="18"/>
                <w:lang w:val="es-ES"/>
              </w:rPr>
            </w:pPr>
            <w:r w:rsidRPr="00405F2D">
              <w:rPr>
                <w:rFonts w:ascii="Calibri" w:hAnsi="Calibri" w:cs="Calibri"/>
                <w:sz w:val="18"/>
                <w:szCs w:val="18"/>
                <w:lang w:val="es-ES"/>
              </w:rPr>
              <w:t xml:space="preserve">4.3.5 Las herramientas en línea, incluida la herramienta de seguimiento de decisiones, están totalmente desarrolladas y disponibles, y se actualizan y mantienen periódicamente </w:t>
            </w:r>
          </w:p>
        </w:tc>
      </w:tr>
    </w:tbl>
    <w:p w14:paraId="4041144C"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Los recursos relacionados con puestos, qu</w:t>
      </w:r>
      <w:r w:rsidR="002F293B">
        <w:rPr>
          <w:sz w:val="22"/>
          <w:szCs w:val="22"/>
          <w:lang w:val="es-ES"/>
        </w:rPr>
        <w:t>e ascienden a 4</w:t>
      </w:r>
      <w:r w:rsidR="00726ACD">
        <w:rPr>
          <w:sz w:val="22"/>
          <w:szCs w:val="22"/>
          <w:lang w:val="es-ES"/>
        </w:rPr>
        <w:t> </w:t>
      </w:r>
      <w:r w:rsidR="002F293B">
        <w:rPr>
          <w:sz w:val="22"/>
          <w:szCs w:val="22"/>
          <w:lang w:val="es-ES"/>
        </w:rPr>
        <w:t>827</w:t>
      </w:r>
      <w:r w:rsidR="00726ACD">
        <w:rPr>
          <w:sz w:val="22"/>
          <w:szCs w:val="22"/>
          <w:lang w:val="es-ES"/>
        </w:rPr>
        <w:t> </w:t>
      </w:r>
      <w:r w:rsidR="002F293B">
        <w:rPr>
          <w:sz w:val="22"/>
          <w:szCs w:val="22"/>
          <w:lang w:val="es-ES"/>
        </w:rPr>
        <w:t>800</w:t>
      </w:r>
      <w:r w:rsidR="00726ACD">
        <w:rPr>
          <w:sz w:val="22"/>
          <w:szCs w:val="22"/>
          <w:lang w:val="es-ES"/>
        </w:rPr>
        <w:t> </w:t>
      </w:r>
      <w:r w:rsidR="002F293B">
        <w:rPr>
          <w:sz w:val="22"/>
          <w:szCs w:val="22"/>
          <w:lang w:val="es-ES"/>
        </w:rPr>
        <w:t>dólares</w:t>
      </w:r>
      <w:r w:rsidRPr="005978DF">
        <w:rPr>
          <w:sz w:val="22"/>
          <w:szCs w:val="22"/>
          <w:lang w:val="es-ES"/>
        </w:rPr>
        <w:t>, permitirían mantener 15,5</w:t>
      </w:r>
      <w:r w:rsidR="00726ACD">
        <w:rPr>
          <w:sz w:val="22"/>
          <w:szCs w:val="22"/>
          <w:lang w:val="es-ES"/>
        </w:rPr>
        <w:t> </w:t>
      </w:r>
      <w:r w:rsidRPr="005978DF">
        <w:rPr>
          <w:sz w:val="22"/>
          <w:szCs w:val="22"/>
          <w:lang w:val="es-ES"/>
        </w:rPr>
        <w:t xml:space="preserve">puestos (2 P-5, 1 P-4, 4,5 P-3, 2 P-2 y 6 SG), así como 2 puestos </w:t>
      </w:r>
      <w:r w:rsidR="00726ACD" w:rsidRPr="005978DF">
        <w:rPr>
          <w:sz w:val="22"/>
          <w:szCs w:val="22"/>
          <w:lang w:val="es-ES"/>
        </w:rPr>
        <w:t xml:space="preserve">nuevos </w:t>
      </w:r>
      <w:r w:rsidRPr="005978DF">
        <w:rPr>
          <w:sz w:val="22"/>
          <w:szCs w:val="22"/>
          <w:lang w:val="es-ES"/>
        </w:rPr>
        <w:t>de categoría P-4 y P-3, respectivamente. Estos se describen a continuación.</w:t>
      </w:r>
    </w:p>
    <w:p w14:paraId="4041144D"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 xml:space="preserve">Habida cuenta de los trabajos en curso relacionados con la información digital sobre secuencias de recursos genéticos (DSI) y las cuestiones científicas y técnicas emergentes conexas, como la biología sintética, la Secretaría propone la conversión de un </w:t>
      </w:r>
      <w:r w:rsidRPr="005978DF">
        <w:rPr>
          <w:i/>
          <w:iCs/>
          <w:sz w:val="22"/>
          <w:szCs w:val="22"/>
          <w:lang w:val="es-ES"/>
        </w:rPr>
        <w:t>puesto de</w:t>
      </w:r>
      <w:r w:rsidRPr="005978DF">
        <w:rPr>
          <w:sz w:val="22"/>
          <w:szCs w:val="22"/>
          <w:lang w:val="es-ES"/>
        </w:rPr>
        <w:t xml:space="preserve"> </w:t>
      </w:r>
      <w:r w:rsidRPr="005978DF">
        <w:rPr>
          <w:i/>
          <w:iCs/>
          <w:sz w:val="22"/>
          <w:szCs w:val="22"/>
          <w:lang w:val="es-ES"/>
        </w:rPr>
        <w:t>Oficial de Programas de categoría P-4</w:t>
      </w:r>
      <w:r w:rsidRPr="005978DF">
        <w:rPr>
          <w:sz w:val="22"/>
          <w:szCs w:val="22"/>
          <w:lang w:val="es-ES"/>
        </w:rPr>
        <w:t xml:space="preserve">, </w:t>
      </w:r>
      <w:r w:rsidR="002F293B">
        <w:rPr>
          <w:sz w:val="22"/>
          <w:szCs w:val="22"/>
          <w:lang w:val="es-ES"/>
        </w:rPr>
        <w:t xml:space="preserve">que </w:t>
      </w:r>
      <w:r w:rsidR="00726ACD" w:rsidRPr="005978DF">
        <w:rPr>
          <w:sz w:val="22"/>
          <w:szCs w:val="22"/>
          <w:lang w:val="es-ES"/>
        </w:rPr>
        <w:t xml:space="preserve">actualmente </w:t>
      </w:r>
      <w:r w:rsidR="002F293B">
        <w:rPr>
          <w:sz w:val="22"/>
          <w:szCs w:val="22"/>
          <w:lang w:val="es-ES"/>
        </w:rPr>
        <w:t xml:space="preserve">se </w:t>
      </w:r>
      <w:r w:rsidRPr="005978DF">
        <w:rPr>
          <w:sz w:val="22"/>
          <w:szCs w:val="22"/>
          <w:lang w:val="es-ES"/>
        </w:rPr>
        <w:t>financia con recursos extrapresupuestarios, en un puesto financiado con cargo al presupuesto básico. Cabe señalar que la cuestión de la información digital sobre secuencias de recursos genéticos surgió como una cuestión transversal en la 13ª</w:t>
      </w:r>
      <w:r w:rsidR="00726ACD">
        <w:rPr>
          <w:sz w:val="22"/>
          <w:szCs w:val="22"/>
          <w:lang w:val="es-ES"/>
        </w:rPr>
        <w:t> </w:t>
      </w:r>
      <w:r w:rsidRPr="005978DF">
        <w:rPr>
          <w:sz w:val="22"/>
          <w:szCs w:val="22"/>
          <w:lang w:val="es-ES"/>
        </w:rPr>
        <w:t xml:space="preserve">reunión de la Conferencia de las Partes y la </w:t>
      </w:r>
      <w:r w:rsidR="00726ACD">
        <w:rPr>
          <w:sz w:val="22"/>
          <w:szCs w:val="22"/>
          <w:lang w:val="es-ES"/>
        </w:rPr>
        <w:t>2ª </w:t>
      </w:r>
      <w:r w:rsidRPr="005978DF">
        <w:rPr>
          <w:sz w:val="22"/>
          <w:szCs w:val="22"/>
          <w:lang w:val="es-ES"/>
        </w:rPr>
        <w:t>reunión de la Conferencia de las Partes que actúa como reunión de las Partes en el Protocolo de Nagoya. El puesto garantizaría que la Secretaría pueda llevar a cabo adecuadamente el trabajo necesario sobre este tema en los próximos años, así como seguir otros avances científicos y tecnológicos que puedan repercutir en la aplicación del Convenio y sus Protocolos. Se recuerda que en las decisiones</w:t>
      </w:r>
      <w:r w:rsidR="00726ACD">
        <w:rPr>
          <w:sz w:val="22"/>
          <w:szCs w:val="22"/>
          <w:lang w:val="es-ES"/>
        </w:rPr>
        <w:t> </w:t>
      </w:r>
      <w:r w:rsidRPr="005978DF">
        <w:rPr>
          <w:sz w:val="22"/>
          <w:szCs w:val="22"/>
          <w:lang w:val="es-ES"/>
        </w:rPr>
        <w:t xml:space="preserve">XIII/16 y NP-2/14, respectivamente, las Partes acordaron </w:t>
      </w:r>
      <w:r w:rsidR="00726ACD">
        <w:rPr>
          <w:sz w:val="22"/>
          <w:szCs w:val="22"/>
          <w:lang w:val="es-ES"/>
        </w:rPr>
        <w:t xml:space="preserve">que </w:t>
      </w:r>
      <w:r w:rsidR="00726ACD" w:rsidRPr="005978DF">
        <w:rPr>
          <w:sz w:val="22"/>
          <w:szCs w:val="22"/>
          <w:lang w:val="es-ES"/>
        </w:rPr>
        <w:t>en la 14ª</w:t>
      </w:r>
      <w:r w:rsidR="00726ACD">
        <w:rPr>
          <w:sz w:val="22"/>
          <w:szCs w:val="22"/>
          <w:lang w:val="es-ES"/>
        </w:rPr>
        <w:t> </w:t>
      </w:r>
      <w:r w:rsidR="00726ACD" w:rsidRPr="005978DF">
        <w:rPr>
          <w:sz w:val="22"/>
          <w:szCs w:val="22"/>
          <w:lang w:val="es-ES"/>
        </w:rPr>
        <w:t xml:space="preserve">reunión de la Conferencia de las Partes y la </w:t>
      </w:r>
      <w:r w:rsidR="00726ACD">
        <w:rPr>
          <w:sz w:val="22"/>
          <w:szCs w:val="22"/>
          <w:lang w:val="es-ES"/>
        </w:rPr>
        <w:t>3ª </w:t>
      </w:r>
      <w:r w:rsidR="00726ACD" w:rsidRPr="005978DF">
        <w:rPr>
          <w:sz w:val="22"/>
          <w:szCs w:val="22"/>
          <w:lang w:val="es-ES"/>
        </w:rPr>
        <w:t xml:space="preserve">reunión de la Conferencia de las Partes que actúa como reunión de las Partes en el Protocolo de Nagoya </w:t>
      </w:r>
      <w:r w:rsidRPr="005978DF">
        <w:rPr>
          <w:sz w:val="22"/>
          <w:szCs w:val="22"/>
          <w:lang w:val="es-ES"/>
        </w:rPr>
        <w:t>examinar</w:t>
      </w:r>
      <w:r w:rsidR="00726ACD">
        <w:rPr>
          <w:sz w:val="22"/>
          <w:szCs w:val="22"/>
          <w:lang w:val="es-ES"/>
        </w:rPr>
        <w:t>ían</w:t>
      </w:r>
      <w:r w:rsidRPr="005978DF">
        <w:rPr>
          <w:sz w:val="22"/>
          <w:szCs w:val="22"/>
          <w:lang w:val="es-ES"/>
        </w:rPr>
        <w:t xml:space="preserve"> </w:t>
      </w:r>
      <w:r w:rsidR="00726ACD">
        <w:rPr>
          <w:sz w:val="22"/>
          <w:szCs w:val="22"/>
          <w:lang w:val="es-ES"/>
        </w:rPr>
        <w:t>las</w:t>
      </w:r>
      <w:r w:rsidRPr="005978DF">
        <w:rPr>
          <w:sz w:val="22"/>
          <w:szCs w:val="22"/>
          <w:lang w:val="es-ES"/>
        </w:rPr>
        <w:t xml:space="preserve"> repercusi</w:t>
      </w:r>
      <w:r w:rsidR="00726ACD">
        <w:rPr>
          <w:sz w:val="22"/>
          <w:szCs w:val="22"/>
          <w:lang w:val="es-ES"/>
        </w:rPr>
        <w:t>o</w:t>
      </w:r>
      <w:r w:rsidRPr="005978DF">
        <w:rPr>
          <w:sz w:val="22"/>
          <w:szCs w:val="22"/>
          <w:lang w:val="es-ES"/>
        </w:rPr>
        <w:t>n</w:t>
      </w:r>
      <w:r w:rsidR="00726ACD">
        <w:rPr>
          <w:sz w:val="22"/>
          <w:szCs w:val="22"/>
          <w:lang w:val="es-ES"/>
        </w:rPr>
        <w:t>es</w:t>
      </w:r>
      <w:r w:rsidRPr="005978DF">
        <w:rPr>
          <w:sz w:val="22"/>
          <w:szCs w:val="22"/>
          <w:lang w:val="es-ES"/>
        </w:rPr>
        <w:t xml:space="preserve"> </w:t>
      </w:r>
      <w:r w:rsidR="00726ACD">
        <w:rPr>
          <w:sz w:val="22"/>
          <w:szCs w:val="22"/>
          <w:lang w:val="es-ES"/>
        </w:rPr>
        <w:t xml:space="preserve">que podría tener </w:t>
      </w:r>
      <w:r w:rsidR="00726ACD" w:rsidRPr="005978DF">
        <w:rPr>
          <w:sz w:val="22"/>
          <w:szCs w:val="22"/>
          <w:lang w:val="es-ES"/>
        </w:rPr>
        <w:t xml:space="preserve">en los recursos genéticos </w:t>
      </w:r>
      <w:r w:rsidRPr="005978DF">
        <w:rPr>
          <w:sz w:val="22"/>
          <w:szCs w:val="22"/>
          <w:lang w:val="es-ES"/>
        </w:rPr>
        <w:t xml:space="preserve">la </w:t>
      </w:r>
      <w:r w:rsidR="00726ACD">
        <w:rPr>
          <w:sz w:val="22"/>
          <w:szCs w:val="22"/>
          <w:lang w:val="es-ES"/>
        </w:rPr>
        <w:t xml:space="preserve">información digital sobre secuencias de recursos genéticos, </w:t>
      </w:r>
      <w:r w:rsidRPr="005978DF">
        <w:rPr>
          <w:sz w:val="22"/>
          <w:szCs w:val="22"/>
          <w:lang w:val="es-ES"/>
        </w:rPr>
        <w:t>a</w:t>
      </w:r>
      <w:r w:rsidR="00726ACD">
        <w:rPr>
          <w:sz w:val="22"/>
          <w:szCs w:val="22"/>
          <w:lang w:val="es-ES"/>
        </w:rPr>
        <w:t xml:space="preserve"> los efectos de</w:t>
      </w:r>
      <w:r w:rsidRPr="005978DF">
        <w:rPr>
          <w:sz w:val="22"/>
          <w:szCs w:val="22"/>
          <w:lang w:val="es-ES"/>
        </w:rPr>
        <w:t xml:space="preserve"> los objetivos del Convenio y el objetivo del Protocolo de Nagoya. El oficial de programas se encargaría de la puesta en práctica de esta nueva </w:t>
      </w:r>
      <w:r w:rsidRPr="005978DF">
        <w:rPr>
          <w:sz w:val="22"/>
          <w:szCs w:val="22"/>
          <w:lang w:val="es-ES"/>
        </w:rPr>
        <w:lastRenderedPageBreak/>
        <w:t>área de trabajo, y también abarcaría los trabajos sobre taxonomía, seguiría la evolución de las cuestiones relacionadas en otros foros internacionales, colaboraría con las organizaciones pertinentes y serviría de enlace con la comunidad científica y empresarial para garantizar que los avances en el marco del Convenio y sus Protocolos tengan debidamente en cuenta las necesidades de los Gobiernos y de los interesados</w:t>
      </w:r>
      <w:r w:rsidR="00726ACD">
        <w:rPr>
          <w:sz w:val="22"/>
          <w:szCs w:val="22"/>
          <w:lang w:val="es-ES"/>
        </w:rPr>
        <w:t>,</w:t>
      </w:r>
      <w:r w:rsidRPr="005978DF">
        <w:rPr>
          <w:sz w:val="22"/>
          <w:szCs w:val="22"/>
          <w:lang w:val="es-ES"/>
        </w:rPr>
        <w:t xml:space="preserve"> en beneficio</w:t>
      </w:r>
      <w:r w:rsidR="002F293B">
        <w:rPr>
          <w:sz w:val="22"/>
          <w:szCs w:val="22"/>
          <w:lang w:val="es-ES"/>
        </w:rPr>
        <w:t xml:space="preserve"> de la comunidad internacional.</w:t>
      </w:r>
    </w:p>
    <w:p w14:paraId="4041144E"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sz w:val="22"/>
          <w:szCs w:val="22"/>
          <w:lang w:val="es-ES"/>
        </w:rPr>
      </w:pPr>
      <w:r w:rsidRPr="005978DF">
        <w:rPr>
          <w:sz w:val="22"/>
          <w:szCs w:val="22"/>
          <w:lang w:val="es-ES"/>
        </w:rPr>
        <w:t xml:space="preserve">También es urgente regularizar el </w:t>
      </w:r>
      <w:r w:rsidRPr="005978DF">
        <w:rPr>
          <w:i/>
          <w:iCs/>
          <w:sz w:val="22"/>
          <w:szCs w:val="22"/>
          <w:lang w:val="es-ES"/>
        </w:rPr>
        <w:t>puesto del</w:t>
      </w:r>
      <w:r w:rsidRPr="005978DF">
        <w:rPr>
          <w:sz w:val="22"/>
          <w:szCs w:val="22"/>
          <w:lang w:val="es-ES"/>
        </w:rPr>
        <w:t xml:space="preserve"> </w:t>
      </w:r>
      <w:r w:rsidRPr="005978DF">
        <w:rPr>
          <w:i/>
          <w:iCs/>
          <w:sz w:val="22"/>
          <w:szCs w:val="22"/>
          <w:lang w:val="es-ES"/>
        </w:rPr>
        <w:t>Centro de Intercambio de Información sobre Seguridad de la Biotecnología (CIISB) (P-3)</w:t>
      </w:r>
      <w:r w:rsidRPr="005978DF">
        <w:rPr>
          <w:sz w:val="22"/>
          <w:szCs w:val="22"/>
          <w:lang w:val="es-ES"/>
        </w:rPr>
        <w:t xml:space="preserve">, actualmente financiado con recursos extrapresupuestarios. El CIISB es un mecanismo obligatorio establecido en el marco del Protocolo de Cartagena sobre Seguridad de la Biotecnología y la falta de un puesto financiado con cargo al presupuesto básico ha perjudicado la capacidad de la Secretaría para obtener resultados clave relacionados con la migración del CIISB y la armonización con el mecanismo de facilitación y el Centro de Intercambio de Información sobre APB. El puesto es fundamental para la gestión de las plataformas en línea como medio para involucrar a las Partes y otros interesados en la elaboración de documentos técnicos para los debates sobre seguridad de la biotecnología y biología sintética. Además, se </w:t>
      </w:r>
      <w:r w:rsidR="00D13E6B">
        <w:rPr>
          <w:sz w:val="22"/>
          <w:szCs w:val="22"/>
          <w:lang w:val="es-ES"/>
        </w:rPr>
        <w:t>prevé</w:t>
      </w:r>
      <w:r w:rsidRPr="005978DF">
        <w:rPr>
          <w:sz w:val="22"/>
          <w:szCs w:val="22"/>
          <w:lang w:val="es-ES"/>
        </w:rPr>
        <w:t xml:space="preserve"> que la 15ª</w:t>
      </w:r>
      <w:r w:rsidR="00726ACD">
        <w:rPr>
          <w:sz w:val="22"/>
          <w:szCs w:val="22"/>
          <w:lang w:val="es-ES"/>
        </w:rPr>
        <w:t> </w:t>
      </w:r>
      <w:r w:rsidRPr="005978DF">
        <w:rPr>
          <w:sz w:val="22"/>
          <w:szCs w:val="22"/>
          <w:lang w:val="es-ES"/>
        </w:rPr>
        <w:t xml:space="preserve">reunión de la Conferencia de las Partes y la </w:t>
      </w:r>
      <w:r w:rsidR="00726ACD">
        <w:rPr>
          <w:sz w:val="22"/>
          <w:szCs w:val="22"/>
          <w:lang w:val="es-ES"/>
        </w:rPr>
        <w:t>10ª </w:t>
      </w:r>
      <w:r w:rsidRPr="005978DF">
        <w:rPr>
          <w:sz w:val="22"/>
          <w:szCs w:val="22"/>
          <w:lang w:val="es-ES"/>
        </w:rPr>
        <w:t>reunión de la Conferencia de las Partes que actúa como reunión de las Partes en el Protocolo de Cartagena adopt</w:t>
      </w:r>
      <w:r w:rsidR="00D13E6B">
        <w:rPr>
          <w:sz w:val="22"/>
          <w:szCs w:val="22"/>
          <w:lang w:val="es-ES"/>
        </w:rPr>
        <w:t>e</w:t>
      </w:r>
      <w:r w:rsidRPr="005978DF">
        <w:rPr>
          <w:sz w:val="22"/>
          <w:szCs w:val="22"/>
          <w:lang w:val="es-ES"/>
        </w:rPr>
        <w:t xml:space="preserve">n decisiones </w:t>
      </w:r>
      <w:r w:rsidR="00D13E6B">
        <w:rPr>
          <w:sz w:val="22"/>
          <w:szCs w:val="22"/>
          <w:lang w:val="es-ES"/>
        </w:rPr>
        <w:t>con</w:t>
      </w:r>
      <w:r w:rsidRPr="005978DF">
        <w:rPr>
          <w:sz w:val="22"/>
          <w:szCs w:val="22"/>
          <w:lang w:val="es-ES"/>
        </w:rPr>
        <w:t xml:space="preserve"> elementos específicos que dependan de un CIISB plenamente dotado de personal y operativo, </w:t>
      </w:r>
      <w:r w:rsidR="00D13E6B">
        <w:rPr>
          <w:sz w:val="22"/>
          <w:szCs w:val="22"/>
          <w:lang w:val="es-ES"/>
        </w:rPr>
        <w:t>que incluya</w:t>
      </w:r>
      <w:r w:rsidRPr="005978DF">
        <w:rPr>
          <w:sz w:val="22"/>
          <w:szCs w:val="22"/>
          <w:lang w:val="es-ES"/>
        </w:rPr>
        <w:t xml:space="preserve"> plataformas en línea para la participación y consolidación de los programas de trabajo para la biología sintética, </w:t>
      </w:r>
      <w:r w:rsidR="00D13E6B">
        <w:rPr>
          <w:sz w:val="22"/>
          <w:szCs w:val="22"/>
          <w:lang w:val="es-ES"/>
        </w:rPr>
        <w:t xml:space="preserve">la </w:t>
      </w:r>
      <w:r w:rsidRPr="005978DF">
        <w:rPr>
          <w:sz w:val="22"/>
          <w:szCs w:val="22"/>
          <w:lang w:val="es-ES"/>
        </w:rPr>
        <w:t>evaluación y gestión de riesgos, consideraciones socioeconómicas y detección e identificación de organismos vivos modificados (OVM).</w:t>
      </w:r>
      <w:r w:rsidRPr="005978DF">
        <w:rPr>
          <w:color w:val="000000" w:themeColor="text1"/>
          <w:sz w:val="22"/>
          <w:szCs w:val="22"/>
          <w:lang w:val="es-ES"/>
        </w:rPr>
        <w:t xml:space="preserve"> </w:t>
      </w:r>
      <w:r w:rsidRPr="005978DF">
        <w:rPr>
          <w:rStyle w:val="normaltextrun"/>
          <w:color w:val="000000" w:themeColor="text1"/>
          <w:sz w:val="22"/>
          <w:szCs w:val="22"/>
          <w:lang w:val="es-ES"/>
        </w:rPr>
        <w:t xml:space="preserve">La integración de los temas y procesos pertinentes del Convenio y sus Protocolos continúa siendo una prioridad estratégica para las Partes y la Secretaría. </w:t>
      </w:r>
      <w:r w:rsidRPr="005978DF">
        <w:rPr>
          <w:sz w:val="22"/>
          <w:szCs w:val="22"/>
          <w:lang w:val="es-ES"/>
        </w:rPr>
        <w:t xml:space="preserve">Esto se enfatizó aún más en la decisión CP-9/7, donde la Conferencia de las Partes que actúa como reunión de las Partes en el Protocolo de Cartagena sobre Seguridad de la Biotecnología adoptó un proceso integral para el desarrollo de un plan de aplicación del Protocolo posterior a 2020 que se base en el marco mundial de la diversidad biológica posterior a 2020 y lo complemente. </w:t>
      </w:r>
      <w:r w:rsidR="00D13E6B">
        <w:rPr>
          <w:sz w:val="22"/>
          <w:szCs w:val="22"/>
          <w:lang w:val="es-ES"/>
        </w:rPr>
        <w:t>Por consiguiente</w:t>
      </w:r>
      <w:r w:rsidRPr="005978DF">
        <w:rPr>
          <w:sz w:val="22"/>
          <w:szCs w:val="22"/>
          <w:lang w:val="es-ES"/>
        </w:rPr>
        <w:t>, se prevé que el CIISB desempeñará un papel importante en los mecanismos mejorados de planificación, seguimiento, presentación de informes y revisión, y requerirá la capacidad y habilidad necesarias para ser incluido en las asignaciones de personal para el Protocolo de Cartagena sobre Seguridad de la Biotecnología.</w:t>
      </w:r>
      <w:r w:rsidRPr="005978DF">
        <w:rPr>
          <w:rStyle w:val="normaltextrun"/>
          <w:color w:val="000000" w:themeColor="text1"/>
          <w:sz w:val="22"/>
          <w:szCs w:val="22"/>
          <w:lang w:val="es-ES"/>
        </w:rPr>
        <w:t xml:space="preserve"> Por lo tanto, se requiere una función de información y seguimiento del Protocolo de Cartagena para abordar estos elementos adicionales y alinearlos con los procesos del Convenio utilizando el Centro de Intercambio de Información sobre Seguridad de la Biotecnología como herramienta principal para gestionar la información y los informes.</w:t>
      </w:r>
    </w:p>
    <w:p w14:paraId="4041144F" w14:textId="77777777" w:rsidR="002809FB" w:rsidRPr="005978DF" w:rsidRDefault="002809FB" w:rsidP="002F293B">
      <w:pPr>
        <w:pStyle w:val="H1"/>
        <w:spacing w:before="0" w:line="240" w:lineRule="auto"/>
        <w:ind w:left="1264" w:right="0" w:hanging="1264"/>
        <w:outlineLvl w:val="3"/>
        <w:rPr>
          <w:sz w:val="22"/>
          <w:szCs w:val="22"/>
          <w:lang w:val="es-ES"/>
        </w:rPr>
      </w:pPr>
      <w:r w:rsidRPr="005978DF">
        <w:rPr>
          <w:sz w:val="22"/>
          <w:szCs w:val="22"/>
          <w:lang w:val="es-ES"/>
        </w:rPr>
        <w:t>Cuadro 16. Asignaciones de recursos: Protocolos de APB y Seguridad de la Biotecnología</w:t>
      </w:r>
    </w:p>
    <w:tbl>
      <w:tblPr>
        <w:tblW w:w="9397" w:type="dxa"/>
        <w:jc w:val="center"/>
        <w:tblLayout w:type="fixed"/>
        <w:tblLook w:val="04A0" w:firstRow="1" w:lastRow="0" w:firstColumn="1" w:lastColumn="0" w:noHBand="0" w:noVBand="1"/>
      </w:tblPr>
      <w:tblGrid>
        <w:gridCol w:w="1819"/>
        <w:gridCol w:w="1170"/>
        <w:gridCol w:w="1080"/>
        <w:gridCol w:w="1170"/>
        <w:gridCol w:w="184"/>
        <w:gridCol w:w="626"/>
        <w:gridCol w:w="782"/>
        <w:gridCol w:w="118"/>
        <w:gridCol w:w="165"/>
        <w:gridCol w:w="105"/>
        <w:gridCol w:w="870"/>
        <w:gridCol w:w="411"/>
        <w:gridCol w:w="897"/>
      </w:tblGrid>
      <w:tr w:rsidR="002809FB" w:rsidRPr="005978DF" w14:paraId="40411454" w14:textId="77777777" w:rsidTr="002F293B">
        <w:trPr>
          <w:jc w:val="center"/>
        </w:trPr>
        <w:tc>
          <w:tcPr>
            <w:tcW w:w="1819" w:type="dxa"/>
            <w:tcBorders>
              <w:top w:val="single" w:sz="8" w:space="0" w:color="auto"/>
              <w:left w:val="nil"/>
              <w:bottom w:val="nil"/>
              <w:right w:val="nil"/>
            </w:tcBorders>
            <w:shd w:val="clear" w:color="auto" w:fill="auto"/>
            <w:vAlign w:val="center"/>
            <w:hideMark/>
          </w:tcPr>
          <w:p w14:paraId="40411450" w14:textId="77777777" w:rsidR="002809FB" w:rsidRPr="005978DF" w:rsidRDefault="002809FB" w:rsidP="0049064A">
            <w:pPr>
              <w:keepNext/>
              <w:keepLines/>
              <w:rPr>
                <w:rFonts w:asciiTheme="majorHAnsi" w:hAnsiTheme="majorHAnsi" w:cstheme="majorHAnsi"/>
                <w:i/>
                <w:iCs/>
                <w:color w:val="000000"/>
                <w:sz w:val="18"/>
                <w:szCs w:val="18"/>
                <w:lang w:val="es-ES"/>
              </w:rPr>
            </w:pPr>
            <w:r w:rsidRPr="005978DF">
              <w:rPr>
                <w:rFonts w:asciiTheme="majorHAnsi" w:hAnsiTheme="majorHAnsi"/>
                <w:i/>
                <w:iCs/>
                <w:color w:val="000000"/>
                <w:sz w:val="18"/>
                <w:szCs w:val="18"/>
                <w:lang w:val="es-ES"/>
              </w:rPr>
              <w:t> </w:t>
            </w:r>
          </w:p>
        </w:tc>
        <w:tc>
          <w:tcPr>
            <w:tcW w:w="3604" w:type="dxa"/>
            <w:gridSpan w:val="4"/>
            <w:tcBorders>
              <w:top w:val="single" w:sz="8" w:space="0" w:color="auto"/>
              <w:left w:val="nil"/>
              <w:bottom w:val="single" w:sz="8" w:space="0" w:color="auto"/>
              <w:right w:val="nil"/>
            </w:tcBorders>
            <w:shd w:val="clear" w:color="auto" w:fill="auto"/>
            <w:vAlign w:val="center"/>
            <w:hideMark/>
          </w:tcPr>
          <w:p w14:paraId="40411451" w14:textId="77777777" w:rsidR="002809FB" w:rsidRPr="002F293B" w:rsidRDefault="002809FB" w:rsidP="002C3B9C">
            <w:pPr>
              <w:keepNext/>
              <w:keepLines/>
              <w:jc w:val="center"/>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 xml:space="preserve">Recursos (miles de dólares </w:t>
            </w:r>
            <w:proofErr w:type="gramStart"/>
            <w:r w:rsidRPr="002F293B">
              <w:rPr>
                <w:rFonts w:asciiTheme="minorHAnsi" w:hAnsiTheme="minorHAnsi" w:cstheme="minorHAnsi"/>
                <w:i/>
                <w:iCs/>
                <w:color w:val="000000"/>
                <w:sz w:val="18"/>
                <w:szCs w:val="18"/>
                <w:lang w:val="es-ES"/>
              </w:rPr>
              <w:t>EE.UU.</w:t>
            </w:r>
            <w:proofErr w:type="gramEnd"/>
            <w:r w:rsidRPr="002F293B">
              <w:rPr>
                <w:rFonts w:asciiTheme="minorHAnsi" w:hAnsiTheme="minorHAnsi" w:cstheme="minorHAnsi"/>
                <w:i/>
                <w:iCs/>
                <w:color w:val="000000"/>
                <w:sz w:val="18"/>
                <w:szCs w:val="18"/>
                <w:lang w:val="es-ES"/>
              </w:rPr>
              <w:t>)</w:t>
            </w:r>
          </w:p>
        </w:tc>
        <w:tc>
          <w:tcPr>
            <w:tcW w:w="626" w:type="dxa"/>
            <w:tcBorders>
              <w:top w:val="single" w:sz="8" w:space="0" w:color="auto"/>
              <w:left w:val="nil"/>
              <w:bottom w:val="nil"/>
              <w:right w:val="nil"/>
            </w:tcBorders>
            <w:shd w:val="clear" w:color="auto" w:fill="auto"/>
            <w:vAlign w:val="center"/>
            <w:hideMark/>
          </w:tcPr>
          <w:p w14:paraId="40411452" w14:textId="77777777" w:rsidR="002809FB" w:rsidRPr="005978DF" w:rsidRDefault="002809FB" w:rsidP="0049064A">
            <w:pPr>
              <w:keepNext/>
              <w:keepLines/>
              <w:jc w:val="right"/>
              <w:rPr>
                <w:rFonts w:asciiTheme="majorHAnsi" w:hAnsiTheme="majorHAnsi" w:cstheme="majorHAnsi"/>
                <w:i/>
                <w:iCs/>
                <w:color w:val="000000"/>
                <w:sz w:val="18"/>
                <w:szCs w:val="18"/>
                <w:lang w:val="es-ES"/>
              </w:rPr>
            </w:pPr>
            <w:r w:rsidRPr="005978DF">
              <w:rPr>
                <w:rFonts w:asciiTheme="majorHAnsi" w:hAnsiTheme="majorHAnsi"/>
                <w:i/>
                <w:iCs/>
                <w:color w:val="000000"/>
                <w:sz w:val="18"/>
                <w:szCs w:val="18"/>
                <w:lang w:val="es-ES"/>
              </w:rPr>
              <w:t> </w:t>
            </w:r>
          </w:p>
        </w:tc>
        <w:tc>
          <w:tcPr>
            <w:tcW w:w="3348" w:type="dxa"/>
            <w:gridSpan w:val="7"/>
            <w:tcBorders>
              <w:top w:val="single" w:sz="8" w:space="0" w:color="auto"/>
              <w:left w:val="nil"/>
              <w:bottom w:val="single" w:sz="8" w:space="0" w:color="auto"/>
              <w:right w:val="nil"/>
            </w:tcBorders>
            <w:shd w:val="clear" w:color="auto" w:fill="auto"/>
            <w:vAlign w:val="center"/>
            <w:hideMark/>
          </w:tcPr>
          <w:p w14:paraId="40411453" w14:textId="77777777" w:rsidR="002809FB" w:rsidRPr="002F293B" w:rsidRDefault="002809FB" w:rsidP="0049064A">
            <w:pPr>
              <w:keepNext/>
              <w:keepLines/>
              <w:jc w:val="center"/>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Puestos</w:t>
            </w:r>
          </w:p>
        </w:tc>
      </w:tr>
      <w:tr w:rsidR="002809FB" w:rsidRPr="005978DF" w14:paraId="4041145F" w14:textId="77777777" w:rsidTr="002F293B">
        <w:trPr>
          <w:jc w:val="center"/>
        </w:trPr>
        <w:tc>
          <w:tcPr>
            <w:tcW w:w="1819" w:type="dxa"/>
            <w:vMerge w:val="restart"/>
            <w:tcBorders>
              <w:top w:val="nil"/>
              <w:left w:val="nil"/>
              <w:bottom w:val="single" w:sz="8" w:space="0" w:color="000000"/>
              <w:right w:val="nil"/>
            </w:tcBorders>
            <w:shd w:val="clear" w:color="auto" w:fill="auto"/>
            <w:vAlign w:val="center"/>
            <w:hideMark/>
          </w:tcPr>
          <w:p w14:paraId="40411455" w14:textId="77777777" w:rsidR="002809FB" w:rsidRPr="005978DF" w:rsidRDefault="002809FB" w:rsidP="0049064A">
            <w:pPr>
              <w:keepNext/>
              <w:keepLines/>
              <w:jc w:val="center"/>
              <w:rPr>
                <w:rFonts w:asciiTheme="majorHAnsi" w:hAnsiTheme="majorHAnsi" w:cstheme="majorHAnsi"/>
                <w:i/>
                <w:iCs/>
                <w:color w:val="000000"/>
                <w:sz w:val="18"/>
                <w:szCs w:val="18"/>
                <w:lang w:val="es-ES" w:eastAsia="zh-CN"/>
              </w:rPr>
            </w:pPr>
          </w:p>
        </w:tc>
        <w:tc>
          <w:tcPr>
            <w:tcW w:w="1170" w:type="dxa"/>
            <w:vMerge w:val="restart"/>
            <w:tcBorders>
              <w:top w:val="nil"/>
              <w:left w:val="nil"/>
              <w:bottom w:val="single" w:sz="8" w:space="0" w:color="000000"/>
              <w:right w:val="nil"/>
            </w:tcBorders>
            <w:shd w:val="clear" w:color="auto" w:fill="auto"/>
            <w:vAlign w:val="center"/>
            <w:hideMark/>
          </w:tcPr>
          <w:p w14:paraId="40411456" w14:textId="77777777" w:rsidR="002809FB" w:rsidRPr="002F293B" w:rsidRDefault="002809FB" w:rsidP="0049064A">
            <w:pPr>
              <w:keepNext/>
              <w:keepLines/>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2019-2020</w:t>
            </w:r>
          </w:p>
        </w:tc>
        <w:tc>
          <w:tcPr>
            <w:tcW w:w="1080" w:type="dxa"/>
            <w:vMerge w:val="restart"/>
            <w:tcBorders>
              <w:top w:val="nil"/>
              <w:left w:val="nil"/>
              <w:bottom w:val="single" w:sz="8" w:space="0" w:color="000000"/>
              <w:right w:val="nil"/>
            </w:tcBorders>
            <w:shd w:val="clear" w:color="auto" w:fill="auto"/>
            <w:vAlign w:val="center"/>
            <w:hideMark/>
          </w:tcPr>
          <w:p w14:paraId="40411457" w14:textId="77777777" w:rsidR="002809FB" w:rsidRPr="002F293B" w:rsidRDefault="002809FB" w:rsidP="0049064A">
            <w:pPr>
              <w:keepNext/>
              <w:keepLines/>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 xml:space="preserve">CRN </w:t>
            </w:r>
            <w:r w:rsidRPr="002F293B">
              <w:rPr>
                <w:rFonts w:asciiTheme="minorHAnsi" w:hAnsiTheme="minorHAnsi" w:cstheme="minorHAnsi"/>
                <w:i/>
                <w:iCs/>
                <w:color w:val="000000"/>
                <w:sz w:val="18"/>
                <w:szCs w:val="18"/>
                <w:lang w:val="es-ES"/>
              </w:rPr>
              <w:br/>
              <w:t xml:space="preserve">2023-2024 </w:t>
            </w:r>
          </w:p>
        </w:tc>
        <w:tc>
          <w:tcPr>
            <w:tcW w:w="1170" w:type="dxa"/>
            <w:vMerge w:val="restart"/>
            <w:tcBorders>
              <w:top w:val="nil"/>
              <w:left w:val="nil"/>
              <w:bottom w:val="single" w:sz="8" w:space="0" w:color="000000"/>
              <w:right w:val="nil"/>
            </w:tcBorders>
            <w:shd w:val="clear" w:color="auto" w:fill="auto"/>
            <w:vAlign w:val="center"/>
            <w:hideMark/>
          </w:tcPr>
          <w:p w14:paraId="40411458" w14:textId="77777777" w:rsidR="002809FB" w:rsidRPr="002F293B" w:rsidRDefault="002809FB" w:rsidP="0049064A">
            <w:pPr>
              <w:keepNext/>
              <w:keepLines/>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CNN</w:t>
            </w:r>
            <w:r w:rsidRPr="002F293B">
              <w:rPr>
                <w:rFonts w:asciiTheme="minorHAnsi" w:hAnsiTheme="minorHAnsi" w:cstheme="minorHAnsi"/>
                <w:i/>
                <w:iCs/>
                <w:color w:val="000000"/>
                <w:sz w:val="18"/>
                <w:szCs w:val="18"/>
                <w:lang w:val="es-ES"/>
              </w:rPr>
              <w:br/>
              <w:t xml:space="preserve">2023-2024 </w:t>
            </w:r>
          </w:p>
        </w:tc>
        <w:tc>
          <w:tcPr>
            <w:tcW w:w="810" w:type="dxa"/>
            <w:gridSpan w:val="2"/>
            <w:vMerge w:val="restart"/>
            <w:tcBorders>
              <w:top w:val="nil"/>
              <w:left w:val="nil"/>
              <w:bottom w:val="single" w:sz="8" w:space="0" w:color="000000"/>
              <w:right w:val="nil"/>
            </w:tcBorders>
            <w:shd w:val="clear" w:color="auto" w:fill="auto"/>
            <w:vAlign w:val="center"/>
            <w:hideMark/>
          </w:tcPr>
          <w:p w14:paraId="40411459" w14:textId="77777777" w:rsidR="002809FB" w:rsidRPr="002F293B" w:rsidRDefault="002809FB" w:rsidP="0049064A">
            <w:pPr>
              <w:keepNext/>
              <w:keepLines/>
              <w:jc w:val="center"/>
              <w:rPr>
                <w:rFonts w:asciiTheme="minorHAnsi" w:hAnsiTheme="minorHAnsi" w:cstheme="minorHAnsi"/>
                <w:i/>
                <w:iCs/>
                <w:color w:val="000000"/>
                <w:sz w:val="18"/>
                <w:szCs w:val="18"/>
                <w:lang w:val="es-ES" w:eastAsia="zh-CN"/>
              </w:rPr>
            </w:pPr>
          </w:p>
        </w:tc>
        <w:tc>
          <w:tcPr>
            <w:tcW w:w="900" w:type="dxa"/>
            <w:gridSpan w:val="2"/>
            <w:vMerge w:val="restart"/>
            <w:tcBorders>
              <w:top w:val="nil"/>
              <w:left w:val="nil"/>
              <w:bottom w:val="single" w:sz="8" w:space="0" w:color="000000"/>
              <w:right w:val="nil"/>
            </w:tcBorders>
            <w:shd w:val="clear" w:color="auto" w:fill="auto"/>
            <w:vAlign w:val="center"/>
            <w:hideMark/>
          </w:tcPr>
          <w:p w14:paraId="4041145A" w14:textId="77777777" w:rsidR="002809FB" w:rsidRPr="002F293B" w:rsidRDefault="002809FB" w:rsidP="0049064A">
            <w:pPr>
              <w:keepNext/>
              <w:keepLines/>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2019-20</w:t>
            </w:r>
          </w:p>
        </w:tc>
        <w:tc>
          <w:tcPr>
            <w:tcW w:w="270" w:type="dxa"/>
            <w:gridSpan w:val="2"/>
            <w:tcBorders>
              <w:top w:val="nil"/>
              <w:left w:val="nil"/>
              <w:bottom w:val="nil"/>
              <w:right w:val="nil"/>
            </w:tcBorders>
            <w:shd w:val="clear" w:color="auto" w:fill="auto"/>
            <w:vAlign w:val="center"/>
            <w:hideMark/>
          </w:tcPr>
          <w:p w14:paraId="4041145B" w14:textId="77777777" w:rsidR="002809FB" w:rsidRPr="002F293B" w:rsidRDefault="002809FB" w:rsidP="0049064A">
            <w:pPr>
              <w:keepNext/>
              <w:keepLines/>
              <w:jc w:val="right"/>
              <w:rPr>
                <w:rFonts w:asciiTheme="minorHAnsi" w:hAnsiTheme="minorHAnsi" w:cstheme="minorHAnsi"/>
                <w:i/>
                <w:iCs/>
                <w:color w:val="000000"/>
                <w:sz w:val="18"/>
                <w:szCs w:val="18"/>
                <w:lang w:val="es-ES" w:eastAsia="zh-CN"/>
              </w:rPr>
            </w:pPr>
          </w:p>
        </w:tc>
        <w:tc>
          <w:tcPr>
            <w:tcW w:w="870" w:type="dxa"/>
            <w:vMerge w:val="restart"/>
            <w:tcBorders>
              <w:top w:val="nil"/>
              <w:left w:val="nil"/>
              <w:bottom w:val="single" w:sz="8" w:space="0" w:color="000000"/>
              <w:right w:val="nil"/>
            </w:tcBorders>
            <w:shd w:val="clear" w:color="auto" w:fill="auto"/>
            <w:vAlign w:val="center"/>
            <w:hideMark/>
          </w:tcPr>
          <w:p w14:paraId="4041145C" w14:textId="77777777" w:rsidR="002809FB" w:rsidRPr="002F293B" w:rsidRDefault="002809FB" w:rsidP="0049064A">
            <w:pPr>
              <w:keepNext/>
              <w:keepLines/>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2021-22</w:t>
            </w:r>
          </w:p>
        </w:tc>
        <w:tc>
          <w:tcPr>
            <w:tcW w:w="411" w:type="dxa"/>
            <w:tcBorders>
              <w:top w:val="nil"/>
              <w:left w:val="nil"/>
              <w:bottom w:val="nil"/>
              <w:right w:val="nil"/>
            </w:tcBorders>
            <w:shd w:val="clear" w:color="auto" w:fill="auto"/>
            <w:vAlign w:val="center"/>
            <w:hideMark/>
          </w:tcPr>
          <w:p w14:paraId="4041145D" w14:textId="77777777" w:rsidR="002809FB" w:rsidRPr="002F293B" w:rsidRDefault="002809FB" w:rsidP="0049064A">
            <w:pPr>
              <w:keepNext/>
              <w:keepLines/>
              <w:jc w:val="right"/>
              <w:rPr>
                <w:rFonts w:asciiTheme="minorHAnsi" w:hAnsiTheme="minorHAnsi" w:cstheme="minorHAnsi"/>
                <w:i/>
                <w:iCs/>
                <w:color w:val="000000"/>
                <w:sz w:val="18"/>
                <w:szCs w:val="18"/>
                <w:lang w:val="es-ES" w:eastAsia="zh-CN"/>
              </w:rPr>
            </w:pPr>
          </w:p>
        </w:tc>
        <w:tc>
          <w:tcPr>
            <w:tcW w:w="897" w:type="dxa"/>
            <w:vMerge w:val="restart"/>
            <w:tcBorders>
              <w:top w:val="nil"/>
              <w:left w:val="nil"/>
              <w:bottom w:val="single" w:sz="8" w:space="0" w:color="000000"/>
              <w:right w:val="nil"/>
            </w:tcBorders>
            <w:shd w:val="clear" w:color="auto" w:fill="auto"/>
            <w:vAlign w:val="center"/>
            <w:hideMark/>
          </w:tcPr>
          <w:p w14:paraId="4041145E" w14:textId="77777777" w:rsidR="002809FB" w:rsidRPr="002F293B" w:rsidRDefault="002809FB" w:rsidP="0049064A">
            <w:pPr>
              <w:keepNext/>
              <w:keepLines/>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2023-24</w:t>
            </w:r>
          </w:p>
        </w:tc>
      </w:tr>
      <w:tr w:rsidR="002809FB" w:rsidRPr="005978DF" w14:paraId="4041146A" w14:textId="77777777" w:rsidTr="002F293B">
        <w:trPr>
          <w:trHeight w:val="30"/>
          <w:jc w:val="center"/>
        </w:trPr>
        <w:tc>
          <w:tcPr>
            <w:tcW w:w="1819" w:type="dxa"/>
            <w:vMerge/>
            <w:tcBorders>
              <w:top w:val="nil"/>
              <w:left w:val="nil"/>
              <w:bottom w:val="single" w:sz="8" w:space="0" w:color="000000"/>
              <w:right w:val="nil"/>
            </w:tcBorders>
            <w:vAlign w:val="center"/>
          </w:tcPr>
          <w:p w14:paraId="40411460" w14:textId="77777777" w:rsidR="002809FB" w:rsidRPr="005978DF" w:rsidRDefault="002809FB" w:rsidP="0049064A">
            <w:pPr>
              <w:keepNext/>
              <w:keepLines/>
              <w:rPr>
                <w:rFonts w:asciiTheme="majorHAnsi" w:hAnsiTheme="majorHAnsi" w:cstheme="majorHAnsi"/>
                <w:i/>
                <w:iCs/>
                <w:color w:val="000000"/>
                <w:sz w:val="18"/>
                <w:szCs w:val="18"/>
                <w:lang w:val="es-ES" w:eastAsia="zh-CN"/>
              </w:rPr>
            </w:pPr>
          </w:p>
        </w:tc>
        <w:tc>
          <w:tcPr>
            <w:tcW w:w="1170" w:type="dxa"/>
            <w:vMerge/>
            <w:tcBorders>
              <w:top w:val="nil"/>
              <w:left w:val="nil"/>
              <w:bottom w:val="single" w:sz="8" w:space="0" w:color="000000"/>
              <w:right w:val="nil"/>
            </w:tcBorders>
            <w:vAlign w:val="center"/>
          </w:tcPr>
          <w:p w14:paraId="40411461"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c>
          <w:tcPr>
            <w:tcW w:w="1080" w:type="dxa"/>
            <w:vMerge/>
            <w:tcBorders>
              <w:top w:val="nil"/>
              <w:left w:val="nil"/>
              <w:bottom w:val="single" w:sz="8" w:space="0" w:color="000000"/>
              <w:right w:val="nil"/>
            </w:tcBorders>
            <w:vAlign w:val="center"/>
          </w:tcPr>
          <w:p w14:paraId="40411462"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c>
          <w:tcPr>
            <w:tcW w:w="1170" w:type="dxa"/>
            <w:vMerge/>
            <w:tcBorders>
              <w:top w:val="nil"/>
              <w:left w:val="nil"/>
              <w:bottom w:val="single" w:sz="8" w:space="0" w:color="000000"/>
              <w:right w:val="nil"/>
            </w:tcBorders>
            <w:vAlign w:val="center"/>
          </w:tcPr>
          <w:p w14:paraId="40411463"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c>
          <w:tcPr>
            <w:tcW w:w="810" w:type="dxa"/>
            <w:gridSpan w:val="2"/>
            <w:vMerge/>
            <w:tcBorders>
              <w:top w:val="nil"/>
              <w:left w:val="nil"/>
              <w:bottom w:val="single" w:sz="8" w:space="0" w:color="000000"/>
              <w:right w:val="nil"/>
            </w:tcBorders>
            <w:vAlign w:val="center"/>
          </w:tcPr>
          <w:p w14:paraId="40411464"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c>
          <w:tcPr>
            <w:tcW w:w="900" w:type="dxa"/>
            <w:gridSpan w:val="2"/>
            <w:vMerge/>
            <w:tcBorders>
              <w:top w:val="nil"/>
              <w:left w:val="nil"/>
              <w:bottom w:val="single" w:sz="8" w:space="0" w:color="000000"/>
              <w:right w:val="nil"/>
            </w:tcBorders>
            <w:vAlign w:val="center"/>
          </w:tcPr>
          <w:p w14:paraId="40411465"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c>
          <w:tcPr>
            <w:tcW w:w="270" w:type="dxa"/>
            <w:gridSpan w:val="2"/>
            <w:tcBorders>
              <w:top w:val="nil"/>
              <w:left w:val="nil"/>
              <w:bottom w:val="single" w:sz="8" w:space="0" w:color="auto"/>
              <w:right w:val="nil"/>
            </w:tcBorders>
            <w:shd w:val="clear" w:color="auto" w:fill="auto"/>
            <w:vAlign w:val="center"/>
          </w:tcPr>
          <w:p w14:paraId="40411466" w14:textId="77777777" w:rsidR="002809FB" w:rsidRPr="002F293B" w:rsidRDefault="002809FB" w:rsidP="0049064A">
            <w:pPr>
              <w:keepNext/>
              <w:keepLines/>
              <w:jc w:val="right"/>
              <w:rPr>
                <w:rFonts w:asciiTheme="minorHAnsi" w:hAnsiTheme="minorHAnsi" w:cstheme="minorHAnsi"/>
                <w:i/>
                <w:iCs/>
                <w:color w:val="000000"/>
                <w:sz w:val="18"/>
                <w:szCs w:val="18"/>
                <w:lang w:val="es-ES"/>
              </w:rPr>
            </w:pPr>
          </w:p>
        </w:tc>
        <w:tc>
          <w:tcPr>
            <w:tcW w:w="870" w:type="dxa"/>
            <w:vMerge/>
            <w:tcBorders>
              <w:top w:val="nil"/>
              <w:left w:val="nil"/>
              <w:bottom w:val="single" w:sz="8" w:space="0" w:color="000000"/>
              <w:right w:val="nil"/>
            </w:tcBorders>
            <w:vAlign w:val="center"/>
          </w:tcPr>
          <w:p w14:paraId="40411467"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c>
          <w:tcPr>
            <w:tcW w:w="411" w:type="dxa"/>
            <w:tcBorders>
              <w:top w:val="nil"/>
              <w:left w:val="nil"/>
              <w:bottom w:val="single" w:sz="8" w:space="0" w:color="auto"/>
              <w:right w:val="nil"/>
            </w:tcBorders>
            <w:shd w:val="clear" w:color="auto" w:fill="auto"/>
            <w:vAlign w:val="center"/>
          </w:tcPr>
          <w:p w14:paraId="40411468" w14:textId="77777777" w:rsidR="002809FB" w:rsidRPr="002F293B" w:rsidRDefault="002809FB" w:rsidP="0049064A">
            <w:pPr>
              <w:keepNext/>
              <w:keepLines/>
              <w:rPr>
                <w:rFonts w:asciiTheme="minorHAnsi" w:hAnsiTheme="minorHAnsi" w:cstheme="minorHAnsi"/>
                <w:i/>
                <w:iCs/>
                <w:color w:val="000000"/>
                <w:sz w:val="18"/>
                <w:szCs w:val="18"/>
                <w:lang w:val="es-ES"/>
              </w:rPr>
            </w:pPr>
          </w:p>
        </w:tc>
        <w:tc>
          <w:tcPr>
            <w:tcW w:w="897" w:type="dxa"/>
            <w:vMerge/>
            <w:tcBorders>
              <w:top w:val="nil"/>
              <w:left w:val="nil"/>
              <w:bottom w:val="single" w:sz="8" w:space="0" w:color="000000"/>
              <w:right w:val="nil"/>
            </w:tcBorders>
            <w:vAlign w:val="center"/>
          </w:tcPr>
          <w:p w14:paraId="40411469"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r>
      <w:tr w:rsidR="002809FB" w:rsidRPr="005978DF" w14:paraId="40411475" w14:textId="77777777" w:rsidTr="002F293B">
        <w:trPr>
          <w:jc w:val="center"/>
        </w:trPr>
        <w:tc>
          <w:tcPr>
            <w:tcW w:w="1819" w:type="dxa"/>
            <w:tcBorders>
              <w:top w:val="nil"/>
              <w:left w:val="nil"/>
              <w:bottom w:val="nil"/>
              <w:right w:val="nil"/>
            </w:tcBorders>
            <w:shd w:val="clear" w:color="auto" w:fill="auto"/>
            <w:vAlign w:val="center"/>
            <w:hideMark/>
          </w:tcPr>
          <w:p w14:paraId="4041146B" w14:textId="77777777" w:rsidR="002809FB" w:rsidRPr="002F293B" w:rsidRDefault="002809FB" w:rsidP="0049064A">
            <w:pPr>
              <w:keepNext/>
              <w:keepLines/>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Presupuesto básico</w:t>
            </w:r>
          </w:p>
        </w:tc>
        <w:tc>
          <w:tcPr>
            <w:tcW w:w="1170" w:type="dxa"/>
            <w:tcBorders>
              <w:top w:val="nil"/>
              <w:left w:val="nil"/>
              <w:bottom w:val="nil"/>
              <w:right w:val="nil"/>
            </w:tcBorders>
            <w:shd w:val="clear" w:color="auto" w:fill="auto"/>
            <w:vAlign w:val="center"/>
            <w:hideMark/>
          </w:tcPr>
          <w:p w14:paraId="4041146C" w14:textId="77777777" w:rsidR="002809FB" w:rsidRPr="002F293B" w:rsidRDefault="002809FB" w:rsidP="0049064A">
            <w:pPr>
              <w:keepNext/>
              <w:keepLines/>
              <w:rPr>
                <w:rFonts w:asciiTheme="minorHAnsi" w:hAnsiTheme="minorHAnsi" w:cstheme="minorHAnsi"/>
                <w:i/>
                <w:iCs/>
                <w:color w:val="000000"/>
                <w:sz w:val="18"/>
                <w:szCs w:val="18"/>
                <w:lang w:val="es-ES" w:eastAsia="zh-CN"/>
              </w:rPr>
            </w:pPr>
          </w:p>
        </w:tc>
        <w:tc>
          <w:tcPr>
            <w:tcW w:w="1080" w:type="dxa"/>
            <w:tcBorders>
              <w:top w:val="nil"/>
              <w:left w:val="nil"/>
              <w:bottom w:val="nil"/>
              <w:right w:val="nil"/>
            </w:tcBorders>
            <w:shd w:val="clear" w:color="auto" w:fill="auto"/>
            <w:vAlign w:val="center"/>
            <w:hideMark/>
          </w:tcPr>
          <w:p w14:paraId="4041146D" w14:textId="77777777" w:rsidR="002809FB" w:rsidRPr="002F293B" w:rsidRDefault="002809FB" w:rsidP="0049064A">
            <w:pPr>
              <w:keepNext/>
              <w:keepLines/>
              <w:rPr>
                <w:rFonts w:asciiTheme="minorHAnsi" w:hAnsiTheme="minorHAnsi" w:cstheme="minorHAnsi"/>
                <w:sz w:val="18"/>
                <w:szCs w:val="18"/>
                <w:lang w:val="es-ES" w:eastAsia="zh-CN"/>
              </w:rPr>
            </w:pPr>
          </w:p>
        </w:tc>
        <w:tc>
          <w:tcPr>
            <w:tcW w:w="1170" w:type="dxa"/>
            <w:tcBorders>
              <w:top w:val="nil"/>
              <w:left w:val="nil"/>
              <w:bottom w:val="nil"/>
              <w:right w:val="nil"/>
            </w:tcBorders>
            <w:shd w:val="clear" w:color="auto" w:fill="auto"/>
            <w:vAlign w:val="center"/>
            <w:hideMark/>
          </w:tcPr>
          <w:p w14:paraId="4041146E" w14:textId="77777777" w:rsidR="002809FB" w:rsidRPr="002F293B" w:rsidRDefault="002809FB" w:rsidP="0049064A">
            <w:pPr>
              <w:keepNext/>
              <w:keepLines/>
              <w:rPr>
                <w:rFonts w:asciiTheme="minorHAnsi" w:hAnsiTheme="minorHAnsi" w:cstheme="minorHAnsi"/>
                <w:sz w:val="18"/>
                <w:szCs w:val="18"/>
                <w:lang w:val="es-ES" w:eastAsia="zh-CN"/>
              </w:rPr>
            </w:pPr>
          </w:p>
        </w:tc>
        <w:tc>
          <w:tcPr>
            <w:tcW w:w="810" w:type="dxa"/>
            <w:gridSpan w:val="2"/>
            <w:tcBorders>
              <w:top w:val="nil"/>
              <w:left w:val="nil"/>
              <w:bottom w:val="nil"/>
              <w:right w:val="nil"/>
            </w:tcBorders>
            <w:shd w:val="clear" w:color="auto" w:fill="auto"/>
            <w:noWrap/>
            <w:vAlign w:val="bottom"/>
            <w:hideMark/>
          </w:tcPr>
          <w:p w14:paraId="4041146F" w14:textId="77777777" w:rsidR="002809FB" w:rsidRPr="002F293B" w:rsidRDefault="002809FB" w:rsidP="0049064A">
            <w:pPr>
              <w:keepNext/>
              <w:keepLines/>
              <w:rPr>
                <w:rFonts w:asciiTheme="minorHAnsi" w:hAnsiTheme="minorHAnsi" w:cstheme="minorHAnsi"/>
                <w:sz w:val="18"/>
                <w:szCs w:val="18"/>
                <w:lang w:val="es-ES" w:eastAsia="zh-CN"/>
              </w:rPr>
            </w:pPr>
          </w:p>
        </w:tc>
        <w:tc>
          <w:tcPr>
            <w:tcW w:w="900" w:type="dxa"/>
            <w:gridSpan w:val="2"/>
            <w:tcBorders>
              <w:top w:val="nil"/>
              <w:left w:val="nil"/>
              <w:bottom w:val="nil"/>
              <w:right w:val="nil"/>
            </w:tcBorders>
            <w:shd w:val="clear" w:color="auto" w:fill="auto"/>
            <w:noWrap/>
            <w:vAlign w:val="bottom"/>
            <w:hideMark/>
          </w:tcPr>
          <w:p w14:paraId="40411470" w14:textId="77777777" w:rsidR="002809FB" w:rsidRPr="002F293B" w:rsidRDefault="002809FB" w:rsidP="0049064A">
            <w:pPr>
              <w:keepNext/>
              <w:keepLines/>
              <w:rPr>
                <w:rFonts w:asciiTheme="minorHAnsi" w:hAnsiTheme="minorHAnsi" w:cstheme="minorHAnsi"/>
                <w:sz w:val="18"/>
                <w:szCs w:val="18"/>
                <w:lang w:val="es-ES" w:eastAsia="zh-CN"/>
              </w:rPr>
            </w:pPr>
          </w:p>
        </w:tc>
        <w:tc>
          <w:tcPr>
            <w:tcW w:w="270" w:type="dxa"/>
            <w:gridSpan w:val="2"/>
            <w:tcBorders>
              <w:top w:val="nil"/>
              <w:left w:val="nil"/>
              <w:bottom w:val="nil"/>
              <w:right w:val="nil"/>
            </w:tcBorders>
            <w:shd w:val="clear" w:color="auto" w:fill="auto"/>
            <w:noWrap/>
            <w:vAlign w:val="bottom"/>
            <w:hideMark/>
          </w:tcPr>
          <w:p w14:paraId="40411471" w14:textId="77777777" w:rsidR="002809FB" w:rsidRPr="002F293B" w:rsidRDefault="002809FB" w:rsidP="0049064A">
            <w:pPr>
              <w:keepNext/>
              <w:keepLines/>
              <w:rPr>
                <w:rFonts w:asciiTheme="minorHAnsi" w:hAnsiTheme="minorHAnsi" w:cstheme="minorHAnsi"/>
                <w:sz w:val="18"/>
                <w:szCs w:val="18"/>
                <w:lang w:val="es-ES" w:eastAsia="zh-CN"/>
              </w:rPr>
            </w:pPr>
          </w:p>
        </w:tc>
        <w:tc>
          <w:tcPr>
            <w:tcW w:w="870" w:type="dxa"/>
            <w:tcBorders>
              <w:top w:val="nil"/>
              <w:left w:val="nil"/>
              <w:bottom w:val="nil"/>
              <w:right w:val="nil"/>
            </w:tcBorders>
            <w:shd w:val="clear" w:color="auto" w:fill="auto"/>
            <w:noWrap/>
            <w:vAlign w:val="bottom"/>
            <w:hideMark/>
          </w:tcPr>
          <w:p w14:paraId="40411472" w14:textId="77777777" w:rsidR="002809FB" w:rsidRPr="002F293B" w:rsidRDefault="002809FB" w:rsidP="0049064A">
            <w:pPr>
              <w:keepNext/>
              <w:keepLines/>
              <w:rPr>
                <w:rFonts w:asciiTheme="minorHAnsi" w:hAnsiTheme="minorHAnsi" w:cstheme="minorHAnsi"/>
                <w:sz w:val="18"/>
                <w:szCs w:val="18"/>
                <w:lang w:val="es-ES" w:eastAsia="zh-CN"/>
              </w:rPr>
            </w:pPr>
          </w:p>
        </w:tc>
        <w:tc>
          <w:tcPr>
            <w:tcW w:w="411" w:type="dxa"/>
            <w:tcBorders>
              <w:top w:val="nil"/>
              <w:left w:val="nil"/>
              <w:bottom w:val="nil"/>
              <w:right w:val="nil"/>
            </w:tcBorders>
            <w:shd w:val="clear" w:color="auto" w:fill="auto"/>
            <w:noWrap/>
            <w:vAlign w:val="bottom"/>
            <w:hideMark/>
          </w:tcPr>
          <w:p w14:paraId="40411473" w14:textId="77777777" w:rsidR="002809FB" w:rsidRPr="002F293B" w:rsidRDefault="002809FB" w:rsidP="0049064A">
            <w:pPr>
              <w:keepNext/>
              <w:keepLines/>
              <w:rPr>
                <w:rFonts w:asciiTheme="minorHAnsi" w:hAnsiTheme="minorHAnsi" w:cstheme="minorHAnsi"/>
                <w:sz w:val="18"/>
                <w:szCs w:val="18"/>
                <w:lang w:val="es-ES" w:eastAsia="zh-CN"/>
              </w:rPr>
            </w:pPr>
          </w:p>
        </w:tc>
        <w:tc>
          <w:tcPr>
            <w:tcW w:w="897" w:type="dxa"/>
            <w:tcBorders>
              <w:top w:val="nil"/>
              <w:left w:val="nil"/>
              <w:bottom w:val="nil"/>
              <w:right w:val="nil"/>
            </w:tcBorders>
            <w:shd w:val="clear" w:color="auto" w:fill="auto"/>
            <w:noWrap/>
            <w:vAlign w:val="bottom"/>
            <w:hideMark/>
          </w:tcPr>
          <w:p w14:paraId="40411474" w14:textId="77777777" w:rsidR="002809FB" w:rsidRPr="002F293B" w:rsidRDefault="002809FB" w:rsidP="0049064A">
            <w:pPr>
              <w:keepNext/>
              <w:keepLines/>
              <w:rPr>
                <w:rFonts w:asciiTheme="minorHAnsi" w:hAnsiTheme="minorHAnsi" w:cstheme="minorHAnsi"/>
                <w:sz w:val="18"/>
                <w:szCs w:val="18"/>
                <w:lang w:val="es-ES" w:eastAsia="zh-CN"/>
              </w:rPr>
            </w:pPr>
          </w:p>
        </w:tc>
      </w:tr>
      <w:tr w:rsidR="002809FB" w:rsidRPr="005978DF" w14:paraId="40411480" w14:textId="77777777" w:rsidTr="002F293B">
        <w:trPr>
          <w:jc w:val="center"/>
        </w:trPr>
        <w:tc>
          <w:tcPr>
            <w:tcW w:w="1819" w:type="dxa"/>
            <w:tcBorders>
              <w:top w:val="nil"/>
              <w:left w:val="nil"/>
              <w:bottom w:val="nil"/>
              <w:right w:val="nil"/>
            </w:tcBorders>
            <w:shd w:val="clear" w:color="auto" w:fill="auto"/>
            <w:vAlign w:val="center"/>
            <w:hideMark/>
          </w:tcPr>
          <w:p w14:paraId="40411476" w14:textId="77777777" w:rsidR="002809FB" w:rsidRPr="002F293B" w:rsidRDefault="002809FB" w:rsidP="0049064A">
            <w:pPr>
              <w:keepNext/>
              <w:keepLines/>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Relativos a Puestos</w:t>
            </w:r>
          </w:p>
        </w:tc>
        <w:tc>
          <w:tcPr>
            <w:tcW w:w="1170" w:type="dxa"/>
            <w:tcBorders>
              <w:top w:val="nil"/>
              <w:left w:val="nil"/>
              <w:bottom w:val="nil"/>
              <w:right w:val="nil"/>
            </w:tcBorders>
            <w:shd w:val="clear" w:color="auto" w:fill="auto"/>
            <w:vAlign w:val="center"/>
            <w:hideMark/>
          </w:tcPr>
          <w:p w14:paraId="40411477"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4 255,3</w:t>
            </w:r>
          </w:p>
        </w:tc>
        <w:tc>
          <w:tcPr>
            <w:tcW w:w="1080" w:type="dxa"/>
            <w:tcBorders>
              <w:top w:val="nil"/>
              <w:left w:val="nil"/>
              <w:bottom w:val="nil"/>
              <w:right w:val="nil"/>
            </w:tcBorders>
            <w:shd w:val="clear" w:color="auto" w:fill="auto"/>
            <w:vAlign w:val="center"/>
            <w:hideMark/>
          </w:tcPr>
          <w:p w14:paraId="40411478"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4 827,8</w:t>
            </w:r>
          </w:p>
        </w:tc>
        <w:tc>
          <w:tcPr>
            <w:tcW w:w="1170" w:type="dxa"/>
            <w:tcBorders>
              <w:top w:val="nil"/>
              <w:left w:val="nil"/>
              <w:bottom w:val="nil"/>
              <w:right w:val="nil"/>
            </w:tcBorders>
            <w:shd w:val="clear" w:color="auto" w:fill="auto"/>
            <w:vAlign w:val="center"/>
            <w:hideMark/>
          </w:tcPr>
          <w:p w14:paraId="40411479"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4 178,1</w:t>
            </w:r>
          </w:p>
        </w:tc>
        <w:tc>
          <w:tcPr>
            <w:tcW w:w="810" w:type="dxa"/>
            <w:gridSpan w:val="2"/>
            <w:tcBorders>
              <w:top w:val="nil"/>
              <w:left w:val="nil"/>
              <w:bottom w:val="nil"/>
              <w:right w:val="nil"/>
            </w:tcBorders>
            <w:shd w:val="clear" w:color="auto" w:fill="auto"/>
            <w:vAlign w:val="bottom"/>
            <w:hideMark/>
          </w:tcPr>
          <w:p w14:paraId="4041147A" w14:textId="77777777" w:rsidR="002809FB" w:rsidRPr="002F293B" w:rsidRDefault="002809FB" w:rsidP="0049064A">
            <w:pPr>
              <w:keepNext/>
              <w:keepLines/>
              <w:jc w:val="right"/>
              <w:rPr>
                <w:rFonts w:asciiTheme="minorHAnsi" w:hAnsiTheme="minorHAnsi" w:cstheme="minorHAnsi"/>
                <w:color w:val="000000"/>
                <w:sz w:val="18"/>
                <w:szCs w:val="18"/>
                <w:lang w:val="es-ES" w:eastAsia="zh-CN"/>
              </w:rPr>
            </w:pPr>
          </w:p>
        </w:tc>
        <w:tc>
          <w:tcPr>
            <w:tcW w:w="900" w:type="dxa"/>
            <w:gridSpan w:val="2"/>
            <w:tcBorders>
              <w:top w:val="nil"/>
              <w:left w:val="nil"/>
              <w:bottom w:val="nil"/>
              <w:right w:val="nil"/>
            </w:tcBorders>
            <w:shd w:val="clear" w:color="auto" w:fill="auto"/>
            <w:vAlign w:val="center"/>
            <w:hideMark/>
          </w:tcPr>
          <w:p w14:paraId="4041147B"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15,5</w:t>
            </w:r>
          </w:p>
        </w:tc>
        <w:tc>
          <w:tcPr>
            <w:tcW w:w="270" w:type="dxa"/>
            <w:gridSpan w:val="2"/>
            <w:tcBorders>
              <w:top w:val="nil"/>
              <w:left w:val="nil"/>
              <w:bottom w:val="nil"/>
              <w:right w:val="nil"/>
            </w:tcBorders>
            <w:shd w:val="clear" w:color="auto" w:fill="auto"/>
            <w:vAlign w:val="bottom"/>
            <w:hideMark/>
          </w:tcPr>
          <w:p w14:paraId="4041147C" w14:textId="77777777" w:rsidR="002809FB" w:rsidRPr="002F293B" w:rsidRDefault="002809FB" w:rsidP="0049064A">
            <w:pPr>
              <w:keepNext/>
              <w:keepLines/>
              <w:jc w:val="right"/>
              <w:rPr>
                <w:rFonts w:asciiTheme="minorHAnsi" w:hAnsiTheme="minorHAnsi" w:cstheme="minorHAnsi"/>
                <w:color w:val="000000"/>
                <w:sz w:val="18"/>
                <w:szCs w:val="18"/>
                <w:lang w:val="es-ES" w:eastAsia="zh-CN"/>
              </w:rPr>
            </w:pPr>
          </w:p>
        </w:tc>
        <w:tc>
          <w:tcPr>
            <w:tcW w:w="870" w:type="dxa"/>
            <w:tcBorders>
              <w:top w:val="nil"/>
              <w:left w:val="nil"/>
              <w:bottom w:val="nil"/>
              <w:right w:val="nil"/>
            </w:tcBorders>
            <w:shd w:val="clear" w:color="auto" w:fill="auto"/>
            <w:vAlign w:val="center"/>
            <w:hideMark/>
          </w:tcPr>
          <w:p w14:paraId="4041147D"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15,5</w:t>
            </w:r>
          </w:p>
        </w:tc>
        <w:tc>
          <w:tcPr>
            <w:tcW w:w="411" w:type="dxa"/>
            <w:tcBorders>
              <w:top w:val="nil"/>
              <w:left w:val="nil"/>
              <w:bottom w:val="nil"/>
              <w:right w:val="nil"/>
            </w:tcBorders>
            <w:shd w:val="clear" w:color="auto" w:fill="auto"/>
            <w:vAlign w:val="bottom"/>
            <w:hideMark/>
          </w:tcPr>
          <w:p w14:paraId="4041147E" w14:textId="77777777" w:rsidR="002809FB" w:rsidRPr="002F293B" w:rsidRDefault="002809FB" w:rsidP="0049064A">
            <w:pPr>
              <w:keepNext/>
              <w:keepLines/>
              <w:jc w:val="right"/>
              <w:rPr>
                <w:rFonts w:asciiTheme="minorHAnsi" w:hAnsiTheme="minorHAnsi" w:cstheme="minorHAnsi"/>
                <w:color w:val="000000"/>
                <w:sz w:val="18"/>
                <w:szCs w:val="18"/>
                <w:lang w:val="es-ES" w:eastAsia="zh-CN"/>
              </w:rPr>
            </w:pPr>
          </w:p>
        </w:tc>
        <w:tc>
          <w:tcPr>
            <w:tcW w:w="897" w:type="dxa"/>
            <w:tcBorders>
              <w:top w:val="nil"/>
              <w:left w:val="nil"/>
              <w:bottom w:val="nil"/>
              <w:right w:val="nil"/>
            </w:tcBorders>
            <w:shd w:val="clear" w:color="auto" w:fill="auto"/>
            <w:vAlign w:val="center"/>
            <w:hideMark/>
          </w:tcPr>
          <w:p w14:paraId="4041147F"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17,5</w:t>
            </w:r>
          </w:p>
        </w:tc>
      </w:tr>
      <w:tr w:rsidR="002809FB" w:rsidRPr="005978DF" w14:paraId="4041148B" w14:textId="77777777" w:rsidTr="002F293B">
        <w:trPr>
          <w:jc w:val="center"/>
        </w:trPr>
        <w:tc>
          <w:tcPr>
            <w:tcW w:w="1819" w:type="dxa"/>
            <w:tcBorders>
              <w:top w:val="nil"/>
              <w:left w:val="nil"/>
              <w:bottom w:val="nil"/>
              <w:right w:val="nil"/>
            </w:tcBorders>
            <w:shd w:val="clear" w:color="auto" w:fill="auto"/>
            <w:vAlign w:val="center"/>
            <w:hideMark/>
          </w:tcPr>
          <w:p w14:paraId="40411481" w14:textId="77777777" w:rsidR="002809FB" w:rsidRPr="002F293B" w:rsidRDefault="002809FB" w:rsidP="0049064A">
            <w:pPr>
              <w:keepNext/>
              <w:keepLines/>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No relativos a puestos</w:t>
            </w:r>
          </w:p>
        </w:tc>
        <w:tc>
          <w:tcPr>
            <w:tcW w:w="1170" w:type="dxa"/>
            <w:tcBorders>
              <w:top w:val="nil"/>
              <w:left w:val="nil"/>
              <w:bottom w:val="nil"/>
              <w:right w:val="nil"/>
            </w:tcBorders>
            <w:shd w:val="clear" w:color="auto" w:fill="auto"/>
            <w:vAlign w:val="center"/>
            <w:hideMark/>
          </w:tcPr>
          <w:p w14:paraId="40411482"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0,0</w:t>
            </w:r>
          </w:p>
        </w:tc>
        <w:tc>
          <w:tcPr>
            <w:tcW w:w="1080" w:type="dxa"/>
            <w:tcBorders>
              <w:top w:val="nil"/>
              <w:left w:val="nil"/>
              <w:bottom w:val="nil"/>
              <w:right w:val="nil"/>
            </w:tcBorders>
            <w:shd w:val="clear" w:color="auto" w:fill="auto"/>
            <w:vAlign w:val="center"/>
            <w:hideMark/>
          </w:tcPr>
          <w:p w14:paraId="40411483"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100,0</w:t>
            </w:r>
          </w:p>
        </w:tc>
        <w:tc>
          <w:tcPr>
            <w:tcW w:w="1170" w:type="dxa"/>
            <w:tcBorders>
              <w:top w:val="nil"/>
              <w:left w:val="nil"/>
              <w:bottom w:val="nil"/>
              <w:right w:val="nil"/>
            </w:tcBorders>
            <w:shd w:val="clear" w:color="auto" w:fill="auto"/>
            <w:vAlign w:val="center"/>
            <w:hideMark/>
          </w:tcPr>
          <w:p w14:paraId="40411484"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100,0</w:t>
            </w:r>
          </w:p>
        </w:tc>
        <w:tc>
          <w:tcPr>
            <w:tcW w:w="810" w:type="dxa"/>
            <w:gridSpan w:val="2"/>
            <w:tcBorders>
              <w:top w:val="nil"/>
              <w:left w:val="nil"/>
              <w:bottom w:val="nil"/>
              <w:right w:val="nil"/>
            </w:tcBorders>
            <w:shd w:val="clear" w:color="auto" w:fill="auto"/>
            <w:vAlign w:val="center"/>
            <w:hideMark/>
          </w:tcPr>
          <w:p w14:paraId="40411485" w14:textId="77777777" w:rsidR="002809FB" w:rsidRPr="002F293B" w:rsidRDefault="002809FB" w:rsidP="0049064A">
            <w:pPr>
              <w:keepNext/>
              <w:keepLines/>
              <w:rPr>
                <w:rFonts w:asciiTheme="minorHAnsi" w:hAnsiTheme="minorHAnsi" w:cstheme="minorHAnsi"/>
                <w:color w:val="000000"/>
                <w:sz w:val="16"/>
                <w:szCs w:val="16"/>
                <w:lang w:val="es-ES"/>
              </w:rPr>
            </w:pPr>
            <w:r w:rsidRPr="002F293B">
              <w:rPr>
                <w:rFonts w:asciiTheme="minorHAnsi" w:hAnsiTheme="minorHAnsi" w:cstheme="minorHAnsi"/>
                <w:color w:val="000000"/>
                <w:sz w:val="16"/>
                <w:szCs w:val="16"/>
                <w:lang w:val="es-ES"/>
              </w:rPr>
              <w:t>a/</w:t>
            </w:r>
          </w:p>
        </w:tc>
        <w:tc>
          <w:tcPr>
            <w:tcW w:w="900" w:type="dxa"/>
            <w:gridSpan w:val="2"/>
            <w:tcBorders>
              <w:top w:val="nil"/>
              <w:left w:val="nil"/>
              <w:bottom w:val="nil"/>
              <w:right w:val="nil"/>
            </w:tcBorders>
            <w:shd w:val="clear" w:color="auto" w:fill="auto"/>
            <w:vAlign w:val="bottom"/>
            <w:hideMark/>
          </w:tcPr>
          <w:p w14:paraId="40411486" w14:textId="77777777" w:rsidR="002809FB" w:rsidRPr="002F293B" w:rsidRDefault="002809FB" w:rsidP="0049064A">
            <w:pPr>
              <w:keepNext/>
              <w:keepLines/>
              <w:rPr>
                <w:rFonts w:asciiTheme="minorHAnsi" w:hAnsiTheme="minorHAnsi" w:cstheme="minorHAnsi"/>
                <w:color w:val="000000"/>
                <w:sz w:val="18"/>
                <w:szCs w:val="18"/>
                <w:lang w:val="es-ES" w:eastAsia="zh-CN"/>
              </w:rPr>
            </w:pPr>
          </w:p>
        </w:tc>
        <w:tc>
          <w:tcPr>
            <w:tcW w:w="270" w:type="dxa"/>
            <w:gridSpan w:val="2"/>
            <w:tcBorders>
              <w:top w:val="nil"/>
              <w:left w:val="nil"/>
              <w:bottom w:val="nil"/>
              <w:right w:val="nil"/>
            </w:tcBorders>
            <w:shd w:val="clear" w:color="auto" w:fill="auto"/>
            <w:vAlign w:val="bottom"/>
            <w:hideMark/>
          </w:tcPr>
          <w:p w14:paraId="40411487" w14:textId="77777777" w:rsidR="002809FB" w:rsidRPr="002F293B" w:rsidRDefault="002809FB" w:rsidP="0049064A">
            <w:pPr>
              <w:keepNext/>
              <w:keepLines/>
              <w:rPr>
                <w:rFonts w:asciiTheme="minorHAnsi" w:hAnsiTheme="minorHAnsi" w:cstheme="minorHAnsi"/>
                <w:sz w:val="18"/>
                <w:szCs w:val="18"/>
                <w:lang w:val="es-ES" w:eastAsia="zh-CN"/>
              </w:rPr>
            </w:pPr>
          </w:p>
        </w:tc>
        <w:tc>
          <w:tcPr>
            <w:tcW w:w="870" w:type="dxa"/>
            <w:tcBorders>
              <w:top w:val="nil"/>
              <w:left w:val="nil"/>
              <w:bottom w:val="nil"/>
              <w:right w:val="nil"/>
            </w:tcBorders>
            <w:shd w:val="clear" w:color="auto" w:fill="auto"/>
            <w:vAlign w:val="bottom"/>
            <w:hideMark/>
          </w:tcPr>
          <w:p w14:paraId="40411488" w14:textId="77777777" w:rsidR="002809FB" w:rsidRPr="002F293B" w:rsidRDefault="002809FB" w:rsidP="0049064A">
            <w:pPr>
              <w:keepNext/>
              <w:keepLines/>
              <w:rPr>
                <w:rFonts w:asciiTheme="minorHAnsi" w:hAnsiTheme="minorHAnsi" w:cstheme="minorHAnsi"/>
                <w:sz w:val="18"/>
                <w:szCs w:val="18"/>
                <w:lang w:val="es-ES" w:eastAsia="zh-CN"/>
              </w:rPr>
            </w:pPr>
          </w:p>
        </w:tc>
        <w:tc>
          <w:tcPr>
            <w:tcW w:w="411" w:type="dxa"/>
            <w:tcBorders>
              <w:top w:val="nil"/>
              <w:left w:val="nil"/>
              <w:bottom w:val="nil"/>
              <w:right w:val="nil"/>
            </w:tcBorders>
            <w:shd w:val="clear" w:color="auto" w:fill="auto"/>
            <w:vAlign w:val="bottom"/>
            <w:hideMark/>
          </w:tcPr>
          <w:p w14:paraId="40411489" w14:textId="77777777" w:rsidR="002809FB" w:rsidRPr="002F293B" w:rsidRDefault="002809FB" w:rsidP="0049064A">
            <w:pPr>
              <w:keepNext/>
              <w:keepLines/>
              <w:rPr>
                <w:rFonts w:asciiTheme="minorHAnsi" w:hAnsiTheme="minorHAnsi" w:cstheme="minorHAnsi"/>
                <w:sz w:val="18"/>
                <w:szCs w:val="18"/>
                <w:lang w:val="es-ES" w:eastAsia="zh-CN"/>
              </w:rPr>
            </w:pPr>
          </w:p>
        </w:tc>
        <w:tc>
          <w:tcPr>
            <w:tcW w:w="897" w:type="dxa"/>
            <w:tcBorders>
              <w:top w:val="nil"/>
              <w:left w:val="nil"/>
              <w:bottom w:val="nil"/>
              <w:right w:val="nil"/>
            </w:tcBorders>
            <w:shd w:val="clear" w:color="auto" w:fill="auto"/>
            <w:vAlign w:val="bottom"/>
            <w:hideMark/>
          </w:tcPr>
          <w:p w14:paraId="4041148A" w14:textId="77777777" w:rsidR="002809FB" w:rsidRPr="002F293B" w:rsidRDefault="002809FB" w:rsidP="0049064A">
            <w:pPr>
              <w:keepNext/>
              <w:keepLines/>
              <w:rPr>
                <w:rFonts w:asciiTheme="minorHAnsi" w:hAnsiTheme="minorHAnsi" w:cstheme="minorHAnsi"/>
                <w:sz w:val="18"/>
                <w:szCs w:val="18"/>
                <w:lang w:val="es-ES" w:eastAsia="zh-CN"/>
              </w:rPr>
            </w:pPr>
          </w:p>
        </w:tc>
      </w:tr>
      <w:tr w:rsidR="002809FB" w:rsidRPr="005978DF" w14:paraId="40411496" w14:textId="77777777" w:rsidTr="002F293B">
        <w:trPr>
          <w:jc w:val="center"/>
        </w:trPr>
        <w:tc>
          <w:tcPr>
            <w:tcW w:w="1819" w:type="dxa"/>
            <w:tcBorders>
              <w:top w:val="single" w:sz="8" w:space="0" w:color="auto"/>
              <w:left w:val="nil"/>
              <w:bottom w:val="single" w:sz="8" w:space="0" w:color="auto"/>
              <w:right w:val="nil"/>
            </w:tcBorders>
            <w:shd w:val="clear" w:color="auto" w:fill="auto"/>
            <w:vAlign w:val="center"/>
            <w:hideMark/>
          </w:tcPr>
          <w:p w14:paraId="4041148C" w14:textId="77777777" w:rsidR="002809FB" w:rsidRPr="002F293B" w:rsidRDefault="002809FB" w:rsidP="0049064A">
            <w:pPr>
              <w:keepNext/>
              <w:keepLines/>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Subtotal</w:t>
            </w:r>
          </w:p>
        </w:tc>
        <w:tc>
          <w:tcPr>
            <w:tcW w:w="1170" w:type="dxa"/>
            <w:tcBorders>
              <w:top w:val="single" w:sz="8" w:space="0" w:color="auto"/>
              <w:left w:val="nil"/>
              <w:bottom w:val="single" w:sz="8" w:space="0" w:color="auto"/>
              <w:right w:val="nil"/>
            </w:tcBorders>
            <w:shd w:val="clear" w:color="auto" w:fill="auto"/>
            <w:vAlign w:val="center"/>
            <w:hideMark/>
          </w:tcPr>
          <w:p w14:paraId="4041148D"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4 255,3</w:t>
            </w:r>
          </w:p>
        </w:tc>
        <w:tc>
          <w:tcPr>
            <w:tcW w:w="1080" w:type="dxa"/>
            <w:tcBorders>
              <w:top w:val="single" w:sz="8" w:space="0" w:color="auto"/>
              <w:left w:val="nil"/>
              <w:bottom w:val="single" w:sz="8" w:space="0" w:color="auto"/>
              <w:right w:val="nil"/>
            </w:tcBorders>
            <w:shd w:val="clear" w:color="auto" w:fill="auto"/>
            <w:vAlign w:val="center"/>
            <w:hideMark/>
          </w:tcPr>
          <w:p w14:paraId="4041148E"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4 927,8</w:t>
            </w:r>
          </w:p>
        </w:tc>
        <w:tc>
          <w:tcPr>
            <w:tcW w:w="1170" w:type="dxa"/>
            <w:tcBorders>
              <w:top w:val="single" w:sz="8" w:space="0" w:color="auto"/>
              <w:left w:val="nil"/>
              <w:bottom w:val="single" w:sz="8" w:space="0" w:color="auto"/>
              <w:right w:val="nil"/>
            </w:tcBorders>
            <w:shd w:val="clear" w:color="auto" w:fill="auto"/>
            <w:vAlign w:val="center"/>
            <w:hideMark/>
          </w:tcPr>
          <w:p w14:paraId="4041148F"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4 278,1</w:t>
            </w:r>
          </w:p>
        </w:tc>
        <w:tc>
          <w:tcPr>
            <w:tcW w:w="810" w:type="dxa"/>
            <w:gridSpan w:val="2"/>
            <w:tcBorders>
              <w:top w:val="single" w:sz="8" w:space="0" w:color="auto"/>
              <w:left w:val="nil"/>
              <w:bottom w:val="single" w:sz="8" w:space="0" w:color="auto"/>
              <w:right w:val="nil"/>
            </w:tcBorders>
            <w:shd w:val="clear" w:color="auto" w:fill="auto"/>
            <w:vAlign w:val="center"/>
            <w:hideMark/>
          </w:tcPr>
          <w:p w14:paraId="40411490" w14:textId="77777777" w:rsidR="002809FB" w:rsidRPr="002F293B" w:rsidRDefault="002809FB" w:rsidP="0049064A">
            <w:pPr>
              <w:keepNext/>
              <w:keepLines/>
              <w:jc w:val="center"/>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900" w:type="dxa"/>
            <w:gridSpan w:val="2"/>
            <w:tcBorders>
              <w:top w:val="single" w:sz="8" w:space="0" w:color="auto"/>
              <w:left w:val="nil"/>
              <w:bottom w:val="single" w:sz="8" w:space="0" w:color="auto"/>
              <w:right w:val="nil"/>
            </w:tcBorders>
            <w:shd w:val="clear" w:color="auto" w:fill="auto"/>
            <w:vAlign w:val="center"/>
            <w:hideMark/>
          </w:tcPr>
          <w:p w14:paraId="40411491"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15,5</w:t>
            </w:r>
          </w:p>
        </w:tc>
        <w:tc>
          <w:tcPr>
            <w:tcW w:w="270" w:type="dxa"/>
            <w:gridSpan w:val="2"/>
            <w:tcBorders>
              <w:top w:val="single" w:sz="8" w:space="0" w:color="auto"/>
              <w:left w:val="nil"/>
              <w:bottom w:val="single" w:sz="8" w:space="0" w:color="auto"/>
              <w:right w:val="nil"/>
            </w:tcBorders>
            <w:shd w:val="clear" w:color="auto" w:fill="auto"/>
            <w:vAlign w:val="center"/>
            <w:hideMark/>
          </w:tcPr>
          <w:p w14:paraId="40411492" w14:textId="77777777" w:rsidR="002809FB" w:rsidRPr="002F293B" w:rsidRDefault="002809FB" w:rsidP="0049064A">
            <w:pPr>
              <w:keepNext/>
              <w:keepLines/>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870" w:type="dxa"/>
            <w:tcBorders>
              <w:top w:val="single" w:sz="8" w:space="0" w:color="auto"/>
              <w:left w:val="nil"/>
              <w:bottom w:val="single" w:sz="8" w:space="0" w:color="auto"/>
              <w:right w:val="nil"/>
            </w:tcBorders>
            <w:shd w:val="clear" w:color="auto" w:fill="auto"/>
            <w:vAlign w:val="center"/>
            <w:hideMark/>
          </w:tcPr>
          <w:p w14:paraId="40411493"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15,5</w:t>
            </w:r>
          </w:p>
        </w:tc>
        <w:tc>
          <w:tcPr>
            <w:tcW w:w="411" w:type="dxa"/>
            <w:tcBorders>
              <w:top w:val="single" w:sz="8" w:space="0" w:color="auto"/>
              <w:left w:val="nil"/>
              <w:bottom w:val="single" w:sz="8" w:space="0" w:color="auto"/>
              <w:right w:val="nil"/>
            </w:tcBorders>
            <w:shd w:val="clear" w:color="auto" w:fill="auto"/>
            <w:vAlign w:val="center"/>
            <w:hideMark/>
          </w:tcPr>
          <w:p w14:paraId="40411494"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897" w:type="dxa"/>
            <w:tcBorders>
              <w:top w:val="single" w:sz="8" w:space="0" w:color="auto"/>
              <w:left w:val="nil"/>
              <w:bottom w:val="single" w:sz="8" w:space="0" w:color="auto"/>
              <w:right w:val="nil"/>
            </w:tcBorders>
            <w:shd w:val="clear" w:color="auto" w:fill="auto"/>
            <w:vAlign w:val="center"/>
            <w:hideMark/>
          </w:tcPr>
          <w:p w14:paraId="40411495"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17,5</w:t>
            </w:r>
          </w:p>
        </w:tc>
      </w:tr>
      <w:tr w:rsidR="002809FB" w:rsidRPr="006A6E89" w14:paraId="404114A1" w14:textId="77777777" w:rsidTr="002F293B">
        <w:trPr>
          <w:jc w:val="center"/>
        </w:trPr>
        <w:tc>
          <w:tcPr>
            <w:tcW w:w="1819" w:type="dxa"/>
            <w:tcBorders>
              <w:top w:val="nil"/>
              <w:left w:val="nil"/>
              <w:bottom w:val="nil"/>
              <w:right w:val="nil"/>
            </w:tcBorders>
            <w:shd w:val="clear" w:color="auto" w:fill="auto"/>
            <w:vAlign w:val="center"/>
            <w:hideMark/>
          </w:tcPr>
          <w:p w14:paraId="40411497" w14:textId="77777777" w:rsidR="002809FB" w:rsidRPr="002F293B" w:rsidRDefault="002809FB" w:rsidP="0049064A">
            <w:pPr>
              <w:keepNext/>
              <w:keepLines/>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Gastos de apoyo a los programas (OTA)</w:t>
            </w:r>
          </w:p>
        </w:tc>
        <w:tc>
          <w:tcPr>
            <w:tcW w:w="1170" w:type="dxa"/>
            <w:tcBorders>
              <w:top w:val="nil"/>
              <w:left w:val="nil"/>
              <w:bottom w:val="nil"/>
              <w:right w:val="nil"/>
            </w:tcBorders>
            <w:shd w:val="clear" w:color="auto" w:fill="auto"/>
            <w:vAlign w:val="center"/>
            <w:hideMark/>
          </w:tcPr>
          <w:p w14:paraId="40411498" w14:textId="77777777" w:rsidR="002809FB" w:rsidRPr="002F293B" w:rsidRDefault="002809FB" w:rsidP="0049064A">
            <w:pPr>
              <w:keepNext/>
              <w:keepLines/>
              <w:rPr>
                <w:rFonts w:asciiTheme="minorHAnsi" w:hAnsiTheme="minorHAnsi" w:cstheme="minorHAnsi"/>
                <w:color w:val="000000"/>
                <w:sz w:val="18"/>
                <w:szCs w:val="18"/>
                <w:lang w:val="es-ES" w:eastAsia="zh-CN"/>
              </w:rPr>
            </w:pPr>
          </w:p>
        </w:tc>
        <w:tc>
          <w:tcPr>
            <w:tcW w:w="1080" w:type="dxa"/>
            <w:tcBorders>
              <w:top w:val="nil"/>
              <w:left w:val="nil"/>
              <w:bottom w:val="nil"/>
              <w:right w:val="nil"/>
            </w:tcBorders>
            <w:shd w:val="clear" w:color="auto" w:fill="auto"/>
            <w:vAlign w:val="center"/>
            <w:hideMark/>
          </w:tcPr>
          <w:p w14:paraId="40411499"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1170" w:type="dxa"/>
            <w:tcBorders>
              <w:top w:val="nil"/>
              <w:left w:val="nil"/>
              <w:bottom w:val="nil"/>
              <w:right w:val="nil"/>
            </w:tcBorders>
            <w:shd w:val="clear" w:color="auto" w:fill="auto"/>
            <w:vAlign w:val="center"/>
            <w:hideMark/>
          </w:tcPr>
          <w:p w14:paraId="4041149A"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810" w:type="dxa"/>
            <w:gridSpan w:val="2"/>
            <w:tcBorders>
              <w:top w:val="nil"/>
              <w:left w:val="nil"/>
              <w:bottom w:val="nil"/>
              <w:right w:val="nil"/>
            </w:tcBorders>
            <w:shd w:val="clear" w:color="auto" w:fill="auto"/>
            <w:vAlign w:val="bottom"/>
            <w:hideMark/>
          </w:tcPr>
          <w:p w14:paraId="4041149B"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900" w:type="dxa"/>
            <w:gridSpan w:val="2"/>
            <w:tcBorders>
              <w:top w:val="nil"/>
              <w:left w:val="nil"/>
              <w:bottom w:val="nil"/>
              <w:right w:val="nil"/>
            </w:tcBorders>
            <w:shd w:val="clear" w:color="auto" w:fill="auto"/>
            <w:vAlign w:val="center"/>
            <w:hideMark/>
          </w:tcPr>
          <w:p w14:paraId="4041149C" w14:textId="77777777" w:rsidR="002809FB" w:rsidRPr="002F293B" w:rsidRDefault="002809FB" w:rsidP="0049064A">
            <w:pPr>
              <w:keepNext/>
              <w:keepLines/>
              <w:rPr>
                <w:rFonts w:asciiTheme="minorHAnsi" w:hAnsiTheme="minorHAnsi" w:cstheme="minorHAnsi"/>
                <w:sz w:val="18"/>
                <w:szCs w:val="18"/>
                <w:lang w:val="es-ES" w:eastAsia="zh-CN"/>
              </w:rPr>
            </w:pPr>
          </w:p>
        </w:tc>
        <w:tc>
          <w:tcPr>
            <w:tcW w:w="270" w:type="dxa"/>
            <w:gridSpan w:val="2"/>
            <w:tcBorders>
              <w:top w:val="nil"/>
              <w:left w:val="nil"/>
              <w:bottom w:val="nil"/>
              <w:right w:val="nil"/>
            </w:tcBorders>
            <w:shd w:val="clear" w:color="auto" w:fill="auto"/>
            <w:vAlign w:val="center"/>
            <w:hideMark/>
          </w:tcPr>
          <w:p w14:paraId="4041149D"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870" w:type="dxa"/>
            <w:tcBorders>
              <w:top w:val="nil"/>
              <w:left w:val="nil"/>
              <w:bottom w:val="nil"/>
              <w:right w:val="nil"/>
            </w:tcBorders>
            <w:shd w:val="clear" w:color="auto" w:fill="auto"/>
            <w:vAlign w:val="center"/>
            <w:hideMark/>
          </w:tcPr>
          <w:p w14:paraId="4041149E" w14:textId="77777777" w:rsidR="002809FB" w:rsidRPr="002F293B" w:rsidRDefault="002809FB" w:rsidP="0049064A">
            <w:pPr>
              <w:keepNext/>
              <w:keepLines/>
              <w:rPr>
                <w:rFonts w:asciiTheme="minorHAnsi" w:hAnsiTheme="minorHAnsi" w:cstheme="minorHAnsi"/>
                <w:sz w:val="18"/>
                <w:szCs w:val="18"/>
                <w:lang w:val="es-ES" w:eastAsia="zh-CN"/>
              </w:rPr>
            </w:pPr>
          </w:p>
        </w:tc>
        <w:tc>
          <w:tcPr>
            <w:tcW w:w="411" w:type="dxa"/>
            <w:tcBorders>
              <w:top w:val="nil"/>
              <w:left w:val="nil"/>
              <w:bottom w:val="nil"/>
              <w:right w:val="nil"/>
            </w:tcBorders>
            <w:shd w:val="clear" w:color="auto" w:fill="auto"/>
            <w:vAlign w:val="center"/>
            <w:hideMark/>
          </w:tcPr>
          <w:p w14:paraId="4041149F"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897" w:type="dxa"/>
            <w:tcBorders>
              <w:top w:val="nil"/>
              <w:left w:val="nil"/>
              <w:bottom w:val="nil"/>
              <w:right w:val="nil"/>
            </w:tcBorders>
            <w:shd w:val="clear" w:color="auto" w:fill="auto"/>
            <w:vAlign w:val="center"/>
            <w:hideMark/>
          </w:tcPr>
          <w:p w14:paraId="404114A0" w14:textId="77777777" w:rsidR="002809FB" w:rsidRPr="002F293B" w:rsidRDefault="002809FB" w:rsidP="0049064A">
            <w:pPr>
              <w:keepNext/>
              <w:keepLines/>
              <w:jc w:val="right"/>
              <w:rPr>
                <w:rFonts w:asciiTheme="minorHAnsi" w:hAnsiTheme="minorHAnsi" w:cstheme="minorHAnsi"/>
                <w:sz w:val="18"/>
                <w:szCs w:val="18"/>
                <w:lang w:val="es-ES" w:eastAsia="zh-CN"/>
              </w:rPr>
            </w:pPr>
          </w:p>
        </w:tc>
      </w:tr>
      <w:tr w:rsidR="002809FB" w:rsidRPr="005978DF" w14:paraId="404114AC" w14:textId="77777777" w:rsidTr="002F293B">
        <w:trPr>
          <w:jc w:val="center"/>
        </w:trPr>
        <w:tc>
          <w:tcPr>
            <w:tcW w:w="1819" w:type="dxa"/>
            <w:tcBorders>
              <w:top w:val="nil"/>
              <w:left w:val="nil"/>
              <w:bottom w:val="nil"/>
              <w:right w:val="nil"/>
            </w:tcBorders>
            <w:shd w:val="clear" w:color="auto" w:fill="auto"/>
            <w:vAlign w:val="center"/>
            <w:hideMark/>
          </w:tcPr>
          <w:p w14:paraId="404114A2" w14:textId="77777777" w:rsidR="002809FB" w:rsidRPr="002F293B" w:rsidRDefault="002809FB" w:rsidP="002C3B9C">
            <w:pPr>
              <w:keepNext/>
              <w:keepLines/>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RE</w:t>
            </w:r>
          </w:p>
        </w:tc>
        <w:tc>
          <w:tcPr>
            <w:tcW w:w="1170" w:type="dxa"/>
            <w:tcBorders>
              <w:top w:val="nil"/>
              <w:left w:val="nil"/>
              <w:bottom w:val="nil"/>
              <w:right w:val="nil"/>
            </w:tcBorders>
            <w:shd w:val="clear" w:color="auto" w:fill="auto"/>
            <w:vAlign w:val="center"/>
            <w:hideMark/>
          </w:tcPr>
          <w:p w14:paraId="404114A3" w14:textId="77777777" w:rsidR="002809FB" w:rsidRPr="002F293B" w:rsidRDefault="002809FB" w:rsidP="0049064A">
            <w:pPr>
              <w:keepNext/>
              <w:keepLines/>
              <w:rPr>
                <w:rFonts w:asciiTheme="minorHAnsi" w:hAnsiTheme="minorHAnsi" w:cstheme="minorHAnsi"/>
                <w:color w:val="000000"/>
                <w:sz w:val="18"/>
                <w:szCs w:val="18"/>
                <w:lang w:val="es-ES" w:eastAsia="zh-CN"/>
              </w:rPr>
            </w:pPr>
          </w:p>
        </w:tc>
        <w:tc>
          <w:tcPr>
            <w:tcW w:w="1080" w:type="dxa"/>
            <w:tcBorders>
              <w:top w:val="nil"/>
              <w:left w:val="nil"/>
              <w:bottom w:val="nil"/>
              <w:right w:val="nil"/>
            </w:tcBorders>
            <w:shd w:val="clear" w:color="auto" w:fill="auto"/>
            <w:vAlign w:val="center"/>
            <w:hideMark/>
          </w:tcPr>
          <w:p w14:paraId="404114A4"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1170" w:type="dxa"/>
            <w:tcBorders>
              <w:top w:val="nil"/>
              <w:left w:val="nil"/>
              <w:bottom w:val="nil"/>
              <w:right w:val="nil"/>
            </w:tcBorders>
            <w:shd w:val="clear" w:color="auto" w:fill="auto"/>
            <w:vAlign w:val="center"/>
            <w:hideMark/>
          </w:tcPr>
          <w:p w14:paraId="404114A5"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810" w:type="dxa"/>
            <w:gridSpan w:val="2"/>
            <w:tcBorders>
              <w:top w:val="nil"/>
              <w:left w:val="nil"/>
              <w:bottom w:val="nil"/>
              <w:right w:val="nil"/>
            </w:tcBorders>
            <w:shd w:val="clear" w:color="auto" w:fill="auto"/>
            <w:vAlign w:val="bottom"/>
            <w:hideMark/>
          </w:tcPr>
          <w:p w14:paraId="404114A6"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900" w:type="dxa"/>
            <w:gridSpan w:val="2"/>
            <w:tcBorders>
              <w:top w:val="nil"/>
              <w:left w:val="nil"/>
              <w:bottom w:val="nil"/>
              <w:right w:val="nil"/>
            </w:tcBorders>
            <w:shd w:val="clear" w:color="auto" w:fill="auto"/>
            <w:vAlign w:val="center"/>
            <w:hideMark/>
          </w:tcPr>
          <w:p w14:paraId="404114A7" w14:textId="77777777" w:rsidR="002809FB" w:rsidRPr="002F293B" w:rsidRDefault="002809FB" w:rsidP="0049064A">
            <w:pPr>
              <w:keepNext/>
              <w:keepLines/>
              <w:rPr>
                <w:rFonts w:asciiTheme="minorHAnsi" w:hAnsiTheme="minorHAnsi" w:cstheme="minorHAnsi"/>
                <w:sz w:val="18"/>
                <w:szCs w:val="18"/>
                <w:lang w:val="es-ES" w:eastAsia="zh-CN"/>
              </w:rPr>
            </w:pPr>
          </w:p>
        </w:tc>
        <w:tc>
          <w:tcPr>
            <w:tcW w:w="270" w:type="dxa"/>
            <w:gridSpan w:val="2"/>
            <w:tcBorders>
              <w:top w:val="nil"/>
              <w:left w:val="nil"/>
              <w:bottom w:val="nil"/>
              <w:right w:val="nil"/>
            </w:tcBorders>
            <w:shd w:val="clear" w:color="auto" w:fill="auto"/>
            <w:vAlign w:val="center"/>
            <w:hideMark/>
          </w:tcPr>
          <w:p w14:paraId="404114A8" w14:textId="77777777" w:rsidR="002809FB" w:rsidRPr="002F293B" w:rsidRDefault="002809FB" w:rsidP="0049064A">
            <w:pPr>
              <w:keepNext/>
              <w:keepLines/>
              <w:jc w:val="right"/>
              <w:rPr>
                <w:rFonts w:asciiTheme="minorHAnsi" w:hAnsiTheme="minorHAnsi" w:cstheme="minorHAnsi"/>
                <w:sz w:val="18"/>
                <w:szCs w:val="18"/>
                <w:lang w:val="es-ES" w:eastAsia="zh-CN"/>
              </w:rPr>
            </w:pPr>
          </w:p>
        </w:tc>
        <w:tc>
          <w:tcPr>
            <w:tcW w:w="870" w:type="dxa"/>
            <w:tcBorders>
              <w:top w:val="nil"/>
              <w:left w:val="nil"/>
              <w:bottom w:val="nil"/>
              <w:right w:val="nil"/>
            </w:tcBorders>
            <w:shd w:val="clear" w:color="auto" w:fill="auto"/>
            <w:vAlign w:val="center"/>
            <w:hideMark/>
          </w:tcPr>
          <w:p w14:paraId="404114A9" w14:textId="77777777" w:rsidR="002809FB" w:rsidRPr="002F293B" w:rsidRDefault="002809FB" w:rsidP="0049064A">
            <w:pPr>
              <w:keepNext/>
              <w:keepLines/>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2</w:t>
            </w:r>
          </w:p>
        </w:tc>
        <w:tc>
          <w:tcPr>
            <w:tcW w:w="411" w:type="dxa"/>
            <w:tcBorders>
              <w:top w:val="nil"/>
              <w:left w:val="nil"/>
              <w:bottom w:val="nil"/>
              <w:right w:val="nil"/>
            </w:tcBorders>
            <w:shd w:val="clear" w:color="auto" w:fill="auto"/>
            <w:vAlign w:val="center"/>
            <w:hideMark/>
          </w:tcPr>
          <w:p w14:paraId="404114AA" w14:textId="77777777" w:rsidR="002809FB" w:rsidRPr="002F293B" w:rsidRDefault="002809FB" w:rsidP="0049064A">
            <w:pPr>
              <w:keepNext/>
              <w:keepLines/>
              <w:jc w:val="right"/>
              <w:rPr>
                <w:rFonts w:asciiTheme="minorHAnsi" w:hAnsiTheme="minorHAnsi" w:cstheme="minorHAnsi"/>
                <w:color w:val="000000"/>
                <w:sz w:val="16"/>
                <w:szCs w:val="16"/>
                <w:lang w:val="es-ES"/>
              </w:rPr>
            </w:pPr>
            <w:proofErr w:type="spellStart"/>
            <w:r w:rsidRPr="002F293B">
              <w:rPr>
                <w:rFonts w:asciiTheme="minorHAnsi" w:hAnsiTheme="minorHAnsi" w:cstheme="minorHAnsi"/>
                <w:color w:val="000000"/>
                <w:sz w:val="16"/>
                <w:szCs w:val="16"/>
                <w:lang w:val="es-ES"/>
              </w:rPr>
              <w:t>b/</w:t>
            </w:r>
            <w:proofErr w:type="spellEnd"/>
          </w:p>
        </w:tc>
        <w:tc>
          <w:tcPr>
            <w:tcW w:w="897" w:type="dxa"/>
            <w:tcBorders>
              <w:top w:val="nil"/>
              <w:left w:val="nil"/>
              <w:bottom w:val="nil"/>
              <w:right w:val="nil"/>
            </w:tcBorders>
            <w:shd w:val="clear" w:color="auto" w:fill="auto"/>
            <w:vAlign w:val="center"/>
            <w:hideMark/>
          </w:tcPr>
          <w:p w14:paraId="404114AB" w14:textId="77777777" w:rsidR="002809FB" w:rsidRPr="002F293B" w:rsidRDefault="002809FB" w:rsidP="0049064A">
            <w:pPr>
              <w:keepNext/>
              <w:keepLines/>
              <w:jc w:val="right"/>
              <w:rPr>
                <w:rFonts w:asciiTheme="minorHAnsi" w:hAnsiTheme="minorHAnsi" w:cstheme="minorHAnsi"/>
                <w:color w:val="000000"/>
                <w:sz w:val="18"/>
                <w:szCs w:val="18"/>
                <w:lang w:val="es-ES" w:eastAsia="zh-CN"/>
              </w:rPr>
            </w:pPr>
          </w:p>
        </w:tc>
      </w:tr>
      <w:tr w:rsidR="002809FB" w:rsidRPr="005978DF" w14:paraId="404114B7" w14:textId="77777777" w:rsidTr="002F293B">
        <w:trPr>
          <w:jc w:val="center"/>
        </w:trPr>
        <w:tc>
          <w:tcPr>
            <w:tcW w:w="1819" w:type="dxa"/>
            <w:tcBorders>
              <w:top w:val="single" w:sz="8" w:space="0" w:color="auto"/>
              <w:left w:val="nil"/>
              <w:bottom w:val="single" w:sz="8" w:space="0" w:color="auto"/>
              <w:right w:val="nil"/>
            </w:tcBorders>
            <w:shd w:val="clear" w:color="auto" w:fill="auto"/>
            <w:vAlign w:val="center"/>
            <w:hideMark/>
          </w:tcPr>
          <w:p w14:paraId="404114AD" w14:textId="77777777" w:rsidR="002809FB" w:rsidRPr="005978DF" w:rsidRDefault="002809FB" w:rsidP="0049064A">
            <w:pPr>
              <w:keepNext/>
              <w:keepLines/>
              <w:rPr>
                <w:rFonts w:asciiTheme="majorHAnsi" w:hAnsiTheme="majorHAnsi" w:cstheme="majorHAnsi"/>
                <w:b/>
                <w:bCs/>
                <w:color w:val="000000"/>
                <w:sz w:val="18"/>
                <w:szCs w:val="18"/>
                <w:lang w:val="es-ES"/>
              </w:rPr>
            </w:pPr>
            <w:r w:rsidRPr="005978DF">
              <w:rPr>
                <w:rFonts w:asciiTheme="majorHAnsi" w:hAnsiTheme="majorHAnsi"/>
                <w:b/>
                <w:bCs/>
                <w:color w:val="000000"/>
                <w:sz w:val="18"/>
                <w:szCs w:val="18"/>
                <w:lang w:val="es-ES"/>
              </w:rPr>
              <w:t xml:space="preserve">Total </w:t>
            </w:r>
          </w:p>
        </w:tc>
        <w:tc>
          <w:tcPr>
            <w:tcW w:w="1170" w:type="dxa"/>
            <w:tcBorders>
              <w:top w:val="single" w:sz="8" w:space="0" w:color="auto"/>
              <w:left w:val="nil"/>
              <w:bottom w:val="single" w:sz="8" w:space="0" w:color="auto"/>
              <w:right w:val="nil"/>
            </w:tcBorders>
            <w:shd w:val="clear" w:color="auto" w:fill="auto"/>
            <w:vAlign w:val="center"/>
            <w:hideMark/>
          </w:tcPr>
          <w:p w14:paraId="404114AE"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4 255,3</w:t>
            </w:r>
          </w:p>
        </w:tc>
        <w:tc>
          <w:tcPr>
            <w:tcW w:w="1080" w:type="dxa"/>
            <w:tcBorders>
              <w:top w:val="single" w:sz="8" w:space="0" w:color="auto"/>
              <w:left w:val="nil"/>
              <w:bottom w:val="single" w:sz="8" w:space="0" w:color="auto"/>
              <w:right w:val="nil"/>
            </w:tcBorders>
            <w:shd w:val="clear" w:color="auto" w:fill="auto"/>
            <w:vAlign w:val="center"/>
            <w:hideMark/>
          </w:tcPr>
          <w:p w14:paraId="404114AF"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4 927,8</w:t>
            </w:r>
          </w:p>
        </w:tc>
        <w:tc>
          <w:tcPr>
            <w:tcW w:w="1170" w:type="dxa"/>
            <w:tcBorders>
              <w:top w:val="single" w:sz="8" w:space="0" w:color="auto"/>
              <w:left w:val="nil"/>
              <w:bottom w:val="single" w:sz="8" w:space="0" w:color="auto"/>
              <w:right w:val="nil"/>
            </w:tcBorders>
            <w:shd w:val="clear" w:color="auto" w:fill="auto"/>
            <w:vAlign w:val="center"/>
            <w:hideMark/>
          </w:tcPr>
          <w:p w14:paraId="404114B0"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4 278,1</w:t>
            </w:r>
          </w:p>
        </w:tc>
        <w:tc>
          <w:tcPr>
            <w:tcW w:w="810" w:type="dxa"/>
            <w:gridSpan w:val="2"/>
            <w:tcBorders>
              <w:top w:val="single" w:sz="8" w:space="0" w:color="auto"/>
              <w:left w:val="nil"/>
              <w:bottom w:val="single" w:sz="8" w:space="0" w:color="auto"/>
              <w:right w:val="nil"/>
            </w:tcBorders>
            <w:shd w:val="clear" w:color="auto" w:fill="auto"/>
            <w:vAlign w:val="center"/>
            <w:hideMark/>
          </w:tcPr>
          <w:p w14:paraId="404114B1" w14:textId="77777777" w:rsidR="002809FB" w:rsidRPr="002F293B" w:rsidRDefault="002809FB" w:rsidP="0049064A">
            <w:pPr>
              <w:keepNext/>
              <w:keepLines/>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782" w:type="dxa"/>
            <w:tcBorders>
              <w:top w:val="single" w:sz="8" w:space="0" w:color="auto"/>
              <w:left w:val="nil"/>
              <w:bottom w:val="single" w:sz="8" w:space="0" w:color="auto"/>
              <w:right w:val="nil"/>
            </w:tcBorders>
            <w:shd w:val="clear" w:color="auto" w:fill="auto"/>
            <w:vAlign w:val="center"/>
            <w:hideMark/>
          </w:tcPr>
          <w:p w14:paraId="404114B2"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15,5</w:t>
            </w:r>
          </w:p>
        </w:tc>
        <w:tc>
          <w:tcPr>
            <w:tcW w:w="283" w:type="dxa"/>
            <w:gridSpan w:val="2"/>
            <w:tcBorders>
              <w:top w:val="single" w:sz="8" w:space="0" w:color="auto"/>
              <w:left w:val="nil"/>
              <w:bottom w:val="single" w:sz="8" w:space="0" w:color="auto"/>
              <w:right w:val="nil"/>
            </w:tcBorders>
            <w:shd w:val="clear" w:color="auto" w:fill="auto"/>
            <w:vAlign w:val="center"/>
            <w:hideMark/>
          </w:tcPr>
          <w:p w14:paraId="404114B3" w14:textId="77777777" w:rsidR="002809FB" w:rsidRPr="002F293B" w:rsidRDefault="002809FB" w:rsidP="0049064A">
            <w:pPr>
              <w:keepNext/>
              <w:keepLines/>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975" w:type="dxa"/>
            <w:gridSpan w:val="2"/>
            <w:tcBorders>
              <w:top w:val="single" w:sz="8" w:space="0" w:color="auto"/>
              <w:left w:val="nil"/>
              <w:bottom w:val="single" w:sz="8" w:space="0" w:color="auto"/>
              <w:right w:val="nil"/>
            </w:tcBorders>
            <w:shd w:val="clear" w:color="auto" w:fill="auto"/>
            <w:vAlign w:val="center"/>
            <w:hideMark/>
          </w:tcPr>
          <w:p w14:paraId="404114B4"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17,5</w:t>
            </w:r>
          </w:p>
        </w:tc>
        <w:tc>
          <w:tcPr>
            <w:tcW w:w="411" w:type="dxa"/>
            <w:tcBorders>
              <w:top w:val="single" w:sz="8" w:space="0" w:color="auto"/>
              <w:left w:val="nil"/>
              <w:bottom w:val="single" w:sz="8" w:space="0" w:color="auto"/>
              <w:right w:val="nil"/>
            </w:tcBorders>
            <w:shd w:val="clear" w:color="auto" w:fill="auto"/>
            <w:vAlign w:val="center"/>
            <w:hideMark/>
          </w:tcPr>
          <w:p w14:paraId="404114B5"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897" w:type="dxa"/>
            <w:tcBorders>
              <w:top w:val="single" w:sz="8" w:space="0" w:color="auto"/>
              <w:left w:val="nil"/>
              <w:bottom w:val="single" w:sz="8" w:space="0" w:color="auto"/>
              <w:right w:val="nil"/>
            </w:tcBorders>
            <w:shd w:val="clear" w:color="auto" w:fill="auto"/>
            <w:vAlign w:val="center"/>
            <w:hideMark/>
          </w:tcPr>
          <w:p w14:paraId="404114B6" w14:textId="77777777" w:rsidR="002809FB" w:rsidRPr="002F293B" w:rsidRDefault="002809FB" w:rsidP="0049064A">
            <w:pPr>
              <w:keepNext/>
              <w:keepLines/>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17,5</w:t>
            </w:r>
          </w:p>
        </w:tc>
      </w:tr>
      <w:tr w:rsidR="002809FB" w:rsidRPr="005978DF" w14:paraId="404114B9" w14:textId="77777777" w:rsidTr="0049064A">
        <w:trPr>
          <w:jc w:val="center"/>
        </w:trPr>
        <w:tc>
          <w:tcPr>
            <w:tcW w:w="9397" w:type="dxa"/>
            <w:gridSpan w:val="13"/>
            <w:tcBorders>
              <w:top w:val="nil"/>
              <w:left w:val="nil"/>
              <w:bottom w:val="nil"/>
              <w:right w:val="nil"/>
            </w:tcBorders>
            <w:shd w:val="clear" w:color="auto" w:fill="auto"/>
            <w:vAlign w:val="center"/>
            <w:hideMark/>
          </w:tcPr>
          <w:p w14:paraId="404114B8" w14:textId="77777777" w:rsidR="002809FB" w:rsidRPr="002F293B" w:rsidRDefault="002809FB" w:rsidP="00D13E6B">
            <w:pPr>
              <w:keepNext/>
              <w:keepLines/>
              <w:rPr>
                <w:rFonts w:asciiTheme="minorHAnsi" w:hAnsiTheme="minorHAnsi" w:cstheme="minorHAnsi"/>
                <w:color w:val="000000"/>
                <w:sz w:val="16"/>
                <w:szCs w:val="16"/>
                <w:lang w:val="es-ES"/>
              </w:rPr>
            </w:pPr>
            <w:r w:rsidRPr="002F293B">
              <w:rPr>
                <w:rFonts w:asciiTheme="minorHAnsi" w:hAnsiTheme="minorHAnsi" w:cstheme="minorHAnsi"/>
                <w:color w:val="000000"/>
                <w:sz w:val="16"/>
                <w:szCs w:val="16"/>
                <w:lang w:val="es-ES"/>
              </w:rPr>
              <w:t>a/</w:t>
            </w:r>
            <w:r w:rsidR="002F293B">
              <w:rPr>
                <w:rFonts w:asciiTheme="minorHAnsi" w:hAnsiTheme="minorHAnsi" w:cstheme="minorHAnsi"/>
                <w:color w:val="000000"/>
                <w:sz w:val="16"/>
                <w:szCs w:val="16"/>
                <w:lang w:val="es-ES"/>
              </w:rPr>
              <w:t xml:space="preserve"> </w:t>
            </w:r>
            <w:r w:rsidR="00D13E6B">
              <w:rPr>
                <w:rFonts w:asciiTheme="minorHAnsi" w:hAnsiTheme="minorHAnsi" w:cstheme="minorHAnsi"/>
                <w:color w:val="000000"/>
                <w:sz w:val="16"/>
                <w:szCs w:val="16"/>
                <w:lang w:val="es-ES"/>
              </w:rPr>
              <w:t>I</w:t>
            </w:r>
            <w:r w:rsidR="002F293B">
              <w:rPr>
                <w:rFonts w:asciiTheme="minorHAnsi" w:hAnsiTheme="minorHAnsi" w:cstheme="minorHAnsi"/>
                <w:color w:val="000000"/>
                <w:sz w:val="16"/>
                <w:szCs w:val="16"/>
                <w:lang w:val="es-ES"/>
              </w:rPr>
              <w:t>ncluye viajes (100 000 dólares</w:t>
            </w:r>
            <w:r w:rsidRPr="002F293B">
              <w:rPr>
                <w:rFonts w:asciiTheme="minorHAnsi" w:hAnsiTheme="minorHAnsi" w:cstheme="minorHAnsi"/>
                <w:color w:val="000000"/>
                <w:sz w:val="16"/>
                <w:szCs w:val="16"/>
                <w:lang w:val="es-ES"/>
              </w:rPr>
              <w:t>)</w:t>
            </w:r>
          </w:p>
        </w:tc>
      </w:tr>
      <w:tr w:rsidR="002809FB" w:rsidRPr="006A6E89" w14:paraId="404114BB" w14:textId="77777777" w:rsidTr="0049064A">
        <w:trPr>
          <w:jc w:val="center"/>
        </w:trPr>
        <w:tc>
          <w:tcPr>
            <w:tcW w:w="9397" w:type="dxa"/>
            <w:gridSpan w:val="13"/>
            <w:tcBorders>
              <w:top w:val="nil"/>
              <w:left w:val="nil"/>
              <w:bottom w:val="nil"/>
              <w:right w:val="nil"/>
            </w:tcBorders>
            <w:shd w:val="clear" w:color="auto" w:fill="auto"/>
            <w:vAlign w:val="center"/>
            <w:hideMark/>
          </w:tcPr>
          <w:p w14:paraId="404114BA" w14:textId="77777777" w:rsidR="002809FB" w:rsidRPr="002F293B" w:rsidRDefault="002809FB" w:rsidP="00D13E6B">
            <w:pPr>
              <w:keepNext/>
              <w:keepLines/>
              <w:rPr>
                <w:rFonts w:asciiTheme="minorHAnsi" w:hAnsiTheme="minorHAnsi" w:cstheme="minorHAnsi"/>
                <w:color w:val="000000"/>
                <w:sz w:val="16"/>
                <w:szCs w:val="16"/>
                <w:lang w:val="es-ES"/>
              </w:rPr>
            </w:pPr>
            <w:proofErr w:type="spellStart"/>
            <w:r w:rsidRPr="002F293B">
              <w:rPr>
                <w:rFonts w:asciiTheme="minorHAnsi" w:hAnsiTheme="minorHAnsi" w:cstheme="minorHAnsi"/>
                <w:color w:val="000000"/>
                <w:sz w:val="16"/>
                <w:szCs w:val="16"/>
                <w:lang w:val="es-ES"/>
              </w:rPr>
              <w:t>b/</w:t>
            </w:r>
            <w:proofErr w:type="spellEnd"/>
            <w:r w:rsidRPr="002F293B">
              <w:rPr>
                <w:rFonts w:asciiTheme="minorHAnsi" w:hAnsiTheme="minorHAnsi" w:cstheme="minorHAnsi"/>
                <w:color w:val="000000"/>
                <w:sz w:val="16"/>
                <w:szCs w:val="16"/>
                <w:lang w:val="es-ES"/>
              </w:rPr>
              <w:t xml:space="preserve"> </w:t>
            </w:r>
            <w:r w:rsidR="00D13E6B">
              <w:rPr>
                <w:rFonts w:asciiTheme="minorHAnsi" w:hAnsiTheme="minorHAnsi" w:cstheme="minorHAnsi"/>
                <w:color w:val="000000"/>
                <w:sz w:val="16"/>
                <w:szCs w:val="16"/>
                <w:lang w:val="es-ES"/>
              </w:rPr>
              <w:t>R</w:t>
            </w:r>
            <w:r w:rsidRPr="002F293B">
              <w:rPr>
                <w:rFonts w:asciiTheme="minorHAnsi" w:hAnsiTheme="minorHAnsi" w:cstheme="minorHAnsi"/>
                <w:color w:val="000000"/>
                <w:sz w:val="16"/>
                <w:szCs w:val="16"/>
                <w:lang w:val="es-ES"/>
              </w:rPr>
              <w:t xml:space="preserve">epresenta 1 P-4 para DSI y 1 P-3 para el CIISB </w:t>
            </w:r>
          </w:p>
        </w:tc>
      </w:tr>
    </w:tbl>
    <w:p w14:paraId="404114BC" w14:textId="77777777" w:rsidR="002809FB" w:rsidRPr="005978DF" w:rsidRDefault="002809FB" w:rsidP="002809FB">
      <w:pPr>
        <w:pStyle w:val="SingleTxt"/>
        <w:rPr>
          <w:lang w:val="es-ES"/>
        </w:rPr>
      </w:pPr>
    </w:p>
    <w:p w14:paraId="404114BD"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Los recursos no relacionados con puestos prevén los viajes del personal (100</w:t>
      </w:r>
      <w:r w:rsidR="00D13E6B">
        <w:rPr>
          <w:sz w:val="22"/>
          <w:szCs w:val="22"/>
          <w:lang w:val="es-ES"/>
        </w:rPr>
        <w:t> </w:t>
      </w:r>
      <w:r w:rsidRPr="005978DF">
        <w:rPr>
          <w:sz w:val="22"/>
          <w:szCs w:val="22"/>
          <w:lang w:val="es-ES"/>
        </w:rPr>
        <w:t>000</w:t>
      </w:r>
      <w:r w:rsidR="003753E4">
        <w:rPr>
          <w:sz w:val="22"/>
          <w:szCs w:val="22"/>
          <w:lang w:val="es-ES"/>
        </w:rPr>
        <w:t> </w:t>
      </w:r>
      <w:r w:rsidRPr="005978DF">
        <w:rPr>
          <w:sz w:val="22"/>
          <w:szCs w:val="22"/>
          <w:lang w:val="es-ES"/>
        </w:rPr>
        <w:t>dólares), teniendo en cuenta que en el futuro algunos viajes se sustituirán por una participación virtual e híbrida en la medida de lo posible. Por tanto, la estimación de los costos se basa en el patrón de gasto real para el bienio 2019-2020.</w:t>
      </w:r>
    </w:p>
    <w:p w14:paraId="404114BE"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lastRenderedPageBreak/>
        <w:t>En la hipótesis de crecimiento nominal nulo (aumento del 0</w:t>
      </w:r>
      <w:r w:rsidR="00D13E6B">
        <w:rPr>
          <w:sz w:val="22"/>
          <w:szCs w:val="22"/>
          <w:lang w:val="es-ES"/>
        </w:rPr>
        <w:t> </w:t>
      </w:r>
      <w:r w:rsidRPr="005978DF">
        <w:rPr>
          <w:sz w:val="22"/>
          <w:szCs w:val="22"/>
          <w:lang w:val="es-ES"/>
        </w:rPr>
        <w:t xml:space="preserve">% en términos nominales), manteniendo el presupuesto del programa en el nivel de 2023-2024 en términos nominales, la Secretaría propondría la continuación de todos los puestos existentes y una cantidad de </w:t>
      </w:r>
      <w:r w:rsidRPr="005978DF">
        <w:rPr>
          <w:i/>
          <w:iCs/>
          <w:sz w:val="22"/>
          <w:szCs w:val="22"/>
          <w:lang w:val="es-ES"/>
        </w:rPr>
        <w:t>100</w:t>
      </w:r>
      <w:r w:rsidR="003753E4">
        <w:rPr>
          <w:i/>
          <w:iCs/>
          <w:sz w:val="22"/>
          <w:szCs w:val="22"/>
          <w:lang w:val="es-ES"/>
        </w:rPr>
        <w:t> </w:t>
      </w:r>
      <w:r w:rsidRPr="005978DF">
        <w:rPr>
          <w:i/>
          <w:iCs/>
          <w:sz w:val="22"/>
          <w:szCs w:val="22"/>
          <w:lang w:val="es-ES"/>
        </w:rPr>
        <w:t>000</w:t>
      </w:r>
      <w:r w:rsidR="003753E4">
        <w:rPr>
          <w:i/>
          <w:iCs/>
          <w:sz w:val="22"/>
          <w:szCs w:val="22"/>
          <w:lang w:val="es-ES"/>
        </w:rPr>
        <w:t> </w:t>
      </w:r>
      <w:r w:rsidRPr="005978DF">
        <w:rPr>
          <w:i/>
          <w:iCs/>
          <w:sz w:val="22"/>
          <w:szCs w:val="22"/>
          <w:lang w:val="es-ES"/>
        </w:rPr>
        <w:t xml:space="preserve">dólares </w:t>
      </w:r>
      <w:r w:rsidRPr="005978DF">
        <w:rPr>
          <w:sz w:val="22"/>
          <w:szCs w:val="22"/>
          <w:lang w:val="es-ES"/>
        </w:rPr>
        <w:t>con cargo a los recursos no relacionados con puestos para sufragar los viajes del personal en apoyo de la ejecución de los mandatos del programa.</w:t>
      </w:r>
    </w:p>
    <w:p w14:paraId="404114BF" w14:textId="77777777" w:rsidR="002809FB" w:rsidRPr="005978DF" w:rsidRDefault="002809FB" w:rsidP="002809FB">
      <w:pPr>
        <w:pStyle w:val="H1"/>
        <w:spacing w:before="240" w:line="240" w:lineRule="auto"/>
        <w:ind w:left="0" w:right="-11" w:firstLine="0"/>
        <w:jc w:val="center"/>
        <w:outlineLvl w:val="2"/>
        <w:rPr>
          <w:rFonts w:asciiTheme="majorBidi" w:eastAsiaTheme="majorBidi" w:hAnsiTheme="majorBidi" w:cstheme="majorBidi"/>
          <w:sz w:val="22"/>
          <w:szCs w:val="22"/>
          <w:lang w:val="es-ES"/>
        </w:rPr>
      </w:pPr>
      <w:r w:rsidRPr="005978DF">
        <w:rPr>
          <w:rFonts w:asciiTheme="majorBidi" w:hAnsiTheme="majorBidi"/>
          <w:sz w:val="22"/>
          <w:szCs w:val="22"/>
          <w:lang w:val="es-ES"/>
        </w:rPr>
        <w:t>2. División de Ciencia, Sociedad y Futuros Sostenibles</w:t>
      </w:r>
    </w:p>
    <w:p w14:paraId="404114C0" w14:textId="77777777" w:rsidR="002809FB" w:rsidRPr="005978DF" w:rsidRDefault="002809FB" w:rsidP="002809F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 w:val="22"/>
          <w:szCs w:val="22"/>
          <w:lang w:val="es-ES"/>
        </w:rPr>
      </w:pPr>
      <w:r w:rsidRPr="005978DF">
        <w:rPr>
          <w:rFonts w:asciiTheme="majorBidi" w:hAnsiTheme="majorBidi"/>
          <w:i/>
          <w:iCs/>
          <w:sz w:val="22"/>
          <w:szCs w:val="22"/>
          <w:lang w:val="es-ES"/>
        </w:rPr>
        <w:t>Asignación de recursos (presupuesto básico): 6</w:t>
      </w:r>
      <w:r w:rsidR="003753E4">
        <w:rPr>
          <w:rFonts w:asciiTheme="majorBidi" w:hAnsiTheme="majorBidi"/>
          <w:i/>
          <w:iCs/>
          <w:sz w:val="22"/>
          <w:szCs w:val="22"/>
          <w:lang w:val="es-ES"/>
        </w:rPr>
        <w:t> </w:t>
      </w:r>
      <w:r w:rsidRPr="005978DF">
        <w:rPr>
          <w:rFonts w:asciiTheme="majorBidi" w:hAnsiTheme="majorBidi"/>
          <w:i/>
          <w:iCs/>
          <w:sz w:val="22"/>
          <w:szCs w:val="22"/>
          <w:lang w:val="es-ES"/>
        </w:rPr>
        <w:t>761</w:t>
      </w:r>
      <w:r w:rsidR="003753E4">
        <w:rPr>
          <w:rFonts w:asciiTheme="majorBidi" w:hAnsiTheme="majorBidi"/>
          <w:i/>
          <w:iCs/>
          <w:sz w:val="22"/>
          <w:szCs w:val="22"/>
          <w:lang w:val="es-ES"/>
        </w:rPr>
        <w:t> </w:t>
      </w:r>
      <w:r w:rsidRPr="005978DF">
        <w:rPr>
          <w:rFonts w:asciiTheme="majorBidi" w:hAnsiTheme="majorBidi"/>
          <w:i/>
          <w:iCs/>
          <w:sz w:val="22"/>
          <w:szCs w:val="22"/>
          <w:lang w:val="es-ES"/>
        </w:rPr>
        <w:t>300 dólares (hipótesis</w:t>
      </w:r>
      <w:r w:rsidR="003753E4">
        <w:rPr>
          <w:rFonts w:asciiTheme="majorBidi" w:hAnsiTheme="majorBidi"/>
          <w:i/>
          <w:iCs/>
          <w:sz w:val="22"/>
          <w:szCs w:val="22"/>
          <w:lang w:val="es-ES"/>
        </w:rPr>
        <w:t> </w:t>
      </w:r>
      <w:r w:rsidRPr="005978DF">
        <w:rPr>
          <w:rFonts w:asciiTheme="majorBidi" w:hAnsiTheme="majorBidi"/>
          <w:i/>
          <w:iCs/>
          <w:sz w:val="22"/>
          <w:szCs w:val="22"/>
          <w:lang w:val="es-ES"/>
        </w:rPr>
        <w:t>1)</w:t>
      </w:r>
    </w:p>
    <w:p w14:paraId="404114C1"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La División de Ciencia, Sociedad y Futuros Sostenibles (SSSF) actúa como Secretaría del Órgano Subsidiario de Asesoramiento Científico, Técnico y Tecnológico (OSACTT) del Convenio sobre la Diversidad Biológica y presta apoyo científico y técnico al Grupo de Trabajo de Composición Abierta sobre el Marco Mundial de la Diversidad Biológica posterior a 2020. La División de Ciencia, Sociedad y Futuros Sostenibles consta de tres dependencias:</w:t>
      </w:r>
    </w:p>
    <w:p w14:paraId="404114C2" w14:textId="77777777" w:rsidR="002809FB" w:rsidRPr="005978DF" w:rsidRDefault="002809FB" w:rsidP="00431C4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La Dependencia de Ciencia, Política y Gobernanza de la Diversidad Biológica cubre los siguientes programas:</w:t>
      </w:r>
    </w:p>
    <w:p w14:paraId="404114C3" w14:textId="77777777" w:rsidR="002809FB" w:rsidRPr="005978DF" w:rsidRDefault="002809FB" w:rsidP="002809FB">
      <w:pPr>
        <w:pStyle w:val="ListParagraph"/>
        <w:numPr>
          <w:ilvl w:val="2"/>
          <w:numId w:val="45"/>
        </w:numPr>
        <w:spacing w:before="120" w:after="120"/>
        <w:rPr>
          <w:rFonts w:eastAsiaTheme="minorEastAsia"/>
          <w:lang w:val="es-ES"/>
        </w:rPr>
      </w:pPr>
      <w:r w:rsidRPr="005978DF">
        <w:rPr>
          <w:lang w:val="es-ES"/>
        </w:rPr>
        <w:t>Conservación basada en áreas;</w:t>
      </w:r>
    </w:p>
    <w:p w14:paraId="404114C4" w14:textId="77777777" w:rsidR="002809FB" w:rsidRPr="005978DF" w:rsidRDefault="002809FB" w:rsidP="002809FB">
      <w:pPr>
        <w:pStyle w:val="ListParagraph"/>
        <w:numPr>
          <w:ilvl w:val="2"/>
          <w:numId w:val="45"/>
        </w:numPr>
        <w:spacing w:before="120" w:after="120"/>
        <w:rPr>
          <w:rFonts w:eastAsiaTheme="minorEastAsia"/>
          <w:lang w:val="es-ES"/>
        </w:rPr>
      </w:pPr>
      <w:r w:rsidRPr="005978DF">
        <w:rPr>
          <w:lang w:val="es-ES"/>
        </w:rPr>
        <w:t>Uso de los bosques y de la tierra y restauración de los ecosistemas;</w:t>
      </w:r>
    </w:p>
    <w:p w14:paraId="404114C5" w14:textId="77777777" w:rsidR="002809FB" w:rsidRPr="005978DF" w:rsidRDefault="002809FB" w:rsidP="002809FB">
      <w:pPr>
        <w:pStyle w:val="ListParagraph"/>
        <w:numPr>
          <w:ilvl w:val="2"/>
          <w:numId w:val="45"/>
        </w:numPr>
        <w:spacing w:before="120" w:after="120"/>
        <w:rPr>
          <w:rFonts w:eastAsiaTheme="minorEastAsia"/>
          <w:lang w:val="es-ES"/>
        </w:rPr>
      </w:pPr>
      <w:r w:rsidRPr="005978DF">
        <w:rPr>
          <w:lang w:val="es-ES"/>
        </w:rPr>
        <w:t>Diversidad biológica marina, costera e insular;</w:t>
      </w:r>
    </w:p>
    <w:p w14:paraId="404114C6" w14:textId="77777777" w:rsidR="002809FB" w:rsidRPr="005978DF" w:rsidRDefault="002809FB" w:rsidP="002809FB">
      <w:pPr>
        <w:pStyle w:val="ListParagraph"/>
        <w:numPr>
          <w:ilvl w:val="2"/>
          <w:numId w:val="45"/>
        </w:numPr>
        <w:spacing w:before="120" w:after="120"/>
        <w:rPr>
          <w:rFonts w:eastAsiaTheme="minorEastAsia"/>
          <w:lang w:val="es-ES"/>
        </w:rPr>
      </w:pPr>
      <w:r w:rsidRPr="005978DF">
        <w:rPr>
          <w:lang w:val="es-ES"/>
        </w:rPr>
        <w:t>Cambio climático y enfoque por ecosistemas;</w:t>
      </w:r>
    </w:p>
    <w:p w14:paraId="404114C7" w14:textId="77777777" w:rsidR="002809FB" w:rsidRPr="005978DF" w:rsidRDefault="002809FB" w:rsidP="002809FB">
      <w:pPr>
        <w:pStyle w:val="ListParagraph"/>
        <w:numPr>
          <w:ilvl w:val="2"/>
          <w:numId w:val="45"/>
        </w:numPr>
        <w:spacing w:before="120" w:after="120"/>
        <w:rPr>
          <w:rFonts w:eastAsiaTheme="minorEastAsia"/>
          <w:lang w:val="es-ES"/>
        </w:rPr>
      </w:pPr>
      <w:r w:rsidRPr="005978DF">
        <w:rPr>
          <w:lang w:val="es-ES"/>
        </w:rPr>
        <w:t>Agricultura y aguas interiores;</w:t>
      </w:r>
    </w:p>
    <w:p w14:paraId="404114C8" w14:textId="77777777" w:rsidR="002809FB" w:rsidRPr="005978DF" w:rsidRDefault="002809FB" w:rsidP="002809FB">
      <w:pPr>
        <w:pStyle w:val="ListParagraph"/>
        <w:numPr>
          <w:ilvl w:val="2"/>
          <w:numId w:val="45"/>
        </w:numPr>
        <w:spacing w:before="120" w:after="120"/>
        <w:rPr>
          <w:rFonts w:eastAsiaTheme="minorEastAsia"/>
          <w:lang w:val="es-ES"/>
        </w:rPr>
      </w:pPr>
      <w:r w:rsidRPr="005978DF">
        <w:rPr>
          <w:lang w:val="es-ES"/>
        </w:rPr>
        <w:t xml:space="preserve">Iniciativa Global </w:t>
      </w:r>
      <w:r w:rsidR="00215156">
        <w:rPr>
          <w:lang w:val="es-ES"/>
        </w:rPr>
        <w:t>sobr</w:t>
      </w:r>
      <w:r w:rsidRPr="005978DF">
        <w:rPr>
          <w:lang w:val="es-ES"/>
        </w:rPr>
        <w:t>e Taxonomía y especies exóticas invasoras;</w:t>
      </w:r>
    </w:p>
    <w:p w14:paraId="404114C9" w14:textId="77777777" w:rsidR="002809FB" w:rsidRPr="005978DF" w:rsidRDefault="002809FB" w:rsidP="002809FB">
      <w:pPr>
        <w:pStyle w:val="ListParagraph"/>
        <w:numPr>
          <w:ilvl w:val="2"/>
          <w:numId w:val="45"/>
        </w:numPr>
        <w:spacing w:before="120" w:after="120"/>
        <w:rPr>
          <w:rFonts w:eastAsiaTheme="minorEastAsia"/>
          <w:lang w:val="es-ES"/>
        </w:rPr>
      </w:pPr>
      <w:r w:rsidRPr="005978DF">
        <w:rPr>
          <w:lang w:val="es-ES"/>
        </w:rPr>
        <w:t>Diversidad biológica y salud.</w:t>
      </w:r>
    </w:p>
    <w:p w14:paraId="404114CA"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 xml:space="preserve">La Dependencia de Ciencia, Política y Gobernanza de la Diversidad Biológica presta apoyo a las Partes, a los interesados y a las organizaciones asociadas para impulsar la comprensión y los conocimientos científicos sobre </w:t>
      </w:r>
      <w:r w:rsidR="00215156">
        <w:rPr>
          <w:sz w:val="22"/>
          <w:szCs w:val="22"/>
          <w:lang w:val="es-ES"/>
        </w:rPr>
        <w:t>el estado</w:t>
      </w:r>
      <w:r w:rsidRPr="005978DF">
        <w:rPr>
          <w:sz w:val="22"/>
          <w:szCs w:val="22"/>
          <w:lang w:val="es-ES"/>
        </w:rPr>
        <w:t xml:space="preserve"> y las tendencias de la diversidad biológica y los ecosistemas, y para mejorar las herramientas y directrices científicas y técnicas para la conservación y la utilización sostenible de la diversidad biológica en apoyo de la adopción de decisiones basadas en datos empíricos. Es responsable de la coordinación del trabajo científico en áreas que incluyen las metas 5 a 13, 17 y 19 del Plan Estratégico para la Diversidad Biológica 2011-2020, y las metas sucesoras previstas del nuevo marco que se adoptará en la 15ª</w:t>
      </w:r>
      <w:r w:rsidR="00215156">
        <w:rPr>
          <w:sz w:val="22"/>
          <w:szCs w:val="22"/>
          <w:lang w:val="es-ES"/>
        </w:rPr>
        <w:t> </w:t>
      </w:r>
      <w:r w:rsidRPr="005978DF">
        <w:rPr>
          <w:sz w:val="22"/>
          <w:szCs w:val="22"/>
          <w:lang w:val="es-ES"/>
        </w:rPr>
        <w:t>reunión de la Conferencia de las Partes, por ejemplo mediante el apoyo a la implementación de las siguientes cuestiones temáticas y transversales: diversidad biológica marina y costera, diversidad biológica de los bosques, diversidad biológica de las tierras secas y subhúmedas, diversidad biológica de las montañas, diversidad biológica agrícola, diversidad biológica de las aguas interiores, diversidad biológica de las islas; el enfoque por ecosistemas, las evaluaciones de impacto, la restauración de ecosistemas; el cambio climático y la diversidad biológica, la Estrategia Mundial para la Conservación de las Especies Vegetales; la Iniciativa Mundial sobre Taxonomía, las áreas protegidas y otras medidas de conservación basadas en áreas, la utilización sostenible y la gestión sostenible de la vida silvestre, la cooperación técnica y científica, y cuestiones nuevas y emergentes, entre otras, en consonancia con los artículos 7, 8, 9, 10, 12, 14, 18 y 25 del Convenio.</w:t>
      </w:r>
    </w:p>
    <w:p w14:paraId="404114CB"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La Dependencia de Transformación e Innovación de la Economía de la Diversidad Biológica abarca los siguientes programas:</w:t>
      </w:r>
    </w:p>
    <w:p w14:paraId="404114CC" w14:textId="77777777" w:rsidR="002809FB" w:rsidRPr="005978DF" w:rsidRDefault="002809FB" w:rsidP="002C3B9C">
      <w:pPr>
        <w:pStyle w:val="NoSpacing"/>
        <w:numPr>
          <w:ilvl w:val="0"/>
          <w:numId w:val="48"/>
        </w:numPr>
        <w:spacing w:before="120" w:after="120"/>
        <w:rPr>
          <w:lang w:val="es-ES"/>
        </w:rPr>
      </w:pPr>
      <w:r w:rsidRPr="005978DF">
        <w:rPr>
          <w:lang w:val="es-ES"/>
        </w:rPr>
        <w:t>Diversidad biológica y desarrollo sostenible;</w:t>
      </w:r>
    </w:p>
    <w:p w14:paraId="404114CD" w14:textId="77777777" w:rsidR="002809FB" w:rsidRPr="005978DF" w:rsidRDefault="002809FB" w:rsidP="002C3B9C">
      <w:pPr>
        <w:pStyle w:val="NoSpacing"/>
        <w:numPr>
          <w:ilvl w:val="0"/>
          <w:numId w:val="48"/>
        </w:numPr>
        <w:spacing w:before="120" w:after="120"/>
        <w:rPr>
          <w:lang w:val="es-ES"/>
        </w:rPr>
      </w:pPr>
      <w:r w:rsidRPr="005978DF">
        <w:rPr>
          <w:lang w:val="es-ES"/>
        </w:rPr>
        <w:t>Negocios, finanzas y diversidad biológica;</w:t>
      </w:r>
    </w:p>
    <w:p w14:paraId="404114CE" w14:textId="77777777" w:rsidR="002809FB" w:rsidRPr="005978DF" w:rsidRDefault="002809FB" w:rsidP="002C3B9C">
      <w:pPr>
        <w:pStyle w:val="NoSpacing"/>
        <w:numPr>
          <w:ilvl w:val="0"/>
          <w:numId w:val="48"/>
        </w:numPr>
        <w:spacing w:before="120" w:after="120"/>
        <w:rPr>
          <w:lang w:val="es-ES"/>
        </w:rPr>
      </w:pPr>
      <w:r w:rsidRPr="005978DF">
        <w:rPr>
          <w:lang w:val="es-ES"/>
        </w:rPr>
        <w:t>Incorporación de la diversidad biológica.</w:t>
      </w:r>
    </w:p>
    <w:p w14:paraId="404114CF"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lastRenderedPageBreak/>
        <w:t xml:space="preserve">La Dependencia de Transformación e Innovación de la Economía de la Diversidad Biológica proporciona análisis programáticos, técnicos y de políticas para facilitar la adopción de decisiones y el apoyo a la implementación en cuestiones relacionadas con la integración de la diversidad biológica en todos los sectores económicos y niveles de gobernanza, </w:t>
      </w:r>
      <w:r w:rsidR="00215156">
        <w:rPr>
          <w:sz w:val="22"/>
          <w:szCs w:val="22"/>
          <w:lang w:val="es-ES"/>
        </w:rPr>
        <w:t>la orientación</w:t>
      </w:r>
      <w:r w:rsidRPr="005978DF">
        <w:rPr>
          <w:sz w:val="22"/>
          <w:szCs w:val="22"/>
          <w:lang w:val="es-ES"/>
        </w:rPr>
        <w:t xml:space="preserve"> en economía y comercio, finanzas y movilización de recursos, compromiso empresarial, </w:t>
      </w:r>
      <w:r w:rsidR="00215156">
        <w:rPr>
          <w:sz w:val="22"/>
          <w:szCs w:val="22"/>
          <w:lang w:val="es-ES"/>
        </w:rPr>
        <w:t xml:space="preserve">la </w:t>
      </w:r>
      <w:r w:rsidRPr="005978DF">
        <w:rPr>
          <w:sz w:val="22"/>
          <w:szCs w:val="22"/>
          <w:lang w:val="es-ES"/>
        </w:rPr>
        <w:t xml:space="preserve">colaboración con el sector financiero, </w:t>
      </w:r>
      <w:r w:rsidR="00215156">
        <w:rPr>
          <w:sz w:val="22"/>
          <w:szCs w:val="22"/>
          <w:lang w:val="es-ES"/>
        </w:rPr>
        <w:t xml:space="preserve">la </w:t>
      </w:r>
      <w:r w:rsidRPr="005978DF">
        <w:rPr>
          <w:sz w:val="22"/>
          <w:szCs w:val="22"/>
          <w:lang w:val="es-ES"/>
        </w:rPr>
        <w:t xml:space="preserve">diversidad biológica para el desarrollo, </w:t>
      </w:r>
      <w:r w:rsidR="00215156">
        <w:rPr>
          <w:sz w:val="22"/>
          <w:szCs w:val="22"/>
          <w:lang w:val="es-ES"/>
        </w:rPr>
        <w:t>el abordaje</w:t>
      </w:r>
      <w:r w:rsidRPr="005978DF">
        <w:rPr>
          <w:sz w:val="22"/>
          <w:szCs w:val="22"/>
          <w:lang w:val="es-ES"/>
        </w:rPr>
        <w:t xml:space="preserve"> de l</w:t>
      </w:r>
      <w:r w:rsidR="00215156">
        <w:rPr>
          <w:sz w:val="22"/>
          <w:szCs w:val="22"/>
          <w:lang w:val="es-ES"/>
        </w:rPr>
        <w:t>o</w:t>
      </w:r>
      <w:r w:rsidRPr="005978DF">
        <w:rPr>
          <w:sz w:val="22"/>
          <w:szCs w:val="22"/>
          <w:lang w:val="es-ES"/>
        </w:rPr>
        <w:t>s sub</w:t>
      </w:r>
      <w:r w:rsidR="00215156">
        <w:rPr>
          <w:sz w:val="22"/>
          <w:szCs w:val="22"/>
          <w:lang w:val="es-ES"/>
        </w:rPr>
        <w:t>s</w:t>
      </w:r>
      <w:r w:rsidRPr="005978DF">
        <w:rPr>
          <w:sz w:val="22"/>
          <w:szCs w:val="22"/>
          <w:lang w:val="es-ES"/>
        </w:rPr>
        <w:t>i</w:t>
      </w:r>
      <w:r w:rsidR="00215156">
        <w:rPr>
          <w:sz w:val="22"/>
          <w:szCs w:val="22"/>
          <w:lang w:val="es-ES"/>
        </w:rPr>
        <w:t>di</w:t>
      </w:r>
      <w:r w:rsidRPr="005978DF">
        <w:rPr>
          <w:sz w:val="22"/>
          <w:szCs w:val="22"/>
          <w:lang w:val="es-ES"/>
        </w:rPr>
        <w:t xml:space="preserve">os perjudiciales para la diversidad biológica y </w:t>
      </w:r>
      <w:r w:rsidR="00215156">
        <w:rPr>
          <w:sz w:val="22"/>
          <w:szCs w:val="22"/>
          <w:lang w:val="es-ES"/>
        </w:rPr>
        <w:t xml:space="preserve">la </w:t>
      </w:r>
      <w:r w:rsidRPr="005978DF">
        <w:rPr>
          <w:sz w:val="22"/>
          <w:szCs w:val="22"/>
          <w:lang w:val="es-ES"/>
        </w:rPr>
        <w:t>erradicación de la pobreza como parte de un enfoque integrado previsto en el artículo 6 b) del Convenio. Esta Dependencia coopera con los asociados pertinentes para promover el desarrollo, la evaluación y la implementación de herramientas, medidas y mecanismos para integrar los valores de la diversidad biológica en los planes, políticas y programas de los sectores público y privado.</w:t>
      </w:r>
    </w:p>
    <w:p w14:paraId="404114D0"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lang w:val="es-ES"/>
        </w:rPr>
      </w:pPr>
      <w:r w:rsidRPr="005978DF">
        <w:rPr>
          <w:sz w:val="22"/>
          <w:szCs w:val="22"/>
          <w:lang w:val="es-ES"/>
        </w:rPr>
        <w:t>La Dependencia de Personas y Diversidad Biológica abarca los siguientes programas:</w:t>
      </w:r>
    </w:p>
    <w:p w14:paraId="404114D1" w14:textId="77777777" w:rsidR="002809FB" w:rsidRPr="005978DF" w:rsidRDefault="002809FB" w:rsidP="002C3B9C">
      <w:pPr>
        <w:pStyle w:val="NoSpacing"/>
        <w:numPr>
          <w:ilvl w:val="0"/>
          <w:numId w:val="47"/>
        </w:numPr>
        <w:spacing w:before="120" w:after="120"/>
        <w:rPr>
          <w:lang w:val="es-ES"/>
        </w:rPr>
      </w:pPr>
      <w:r w:rsidRPr="005978DF">
        <w:rPr>
          <w:lang w:val="es-ES"/>
        </w:rPr>
        <w:t>Pueblos indígenas, comunidades locales y conocimientos tradicionales;</w:t>
      </w:r>
    </w:p>
    <w:p w14:paraId="404114D2" w14:textId="77777777" w:rsidR="002809FB" w:rsidRPr="005978DF" w:rsidRDefault="002809FB" w:rsidP="002C3B9C">
      <w:pPr>
        <w:pStyle w:val="NoSpacing"/>
        <w:numPr>
          <w:ilvl w:val="0"/>
          <w:numId w:val="47"/>
        </w:numPr>
        <w:spacing w:before="120" w:after="120"/>
        <w:rPr>
          <w:lang w:val="es-ES"/>
        </w:rPr>
      </w:pPr>
      <w:r w:rsidRPr="005978DF">
        <w:rPr>
          <w:lang w:val="es-ES"/>
        </w:rPr>
        <w:t>Naturaleza y cultura;</w:t>
      </w:r>
    </w:p>
    <w:p w14:paraId="404114D3" w14:textId="77777777" w:rsidR="002809FB" w:rsidRPr="005978DF" w:rsidRDefault="002809FB" w:rsidP="002C3B9C">
      <w:pPr>
        <w:pStyle w:val="NoSpacing"/>
        <w:numPr>
          <w:ilvl w:val="0"/>
          <w:numId w:val="47"/>
        </w:numPr>
        <w:spacing w:before="120" w:after="120"/>
        <w:rPr>
          <w:lang w:val="es-ES"/>
        </w:rPr>
      </w:pPr>
      <w:r w:rsidRPr="005978DF">
        <w:rPr>
          <w:lang w:val="es-ES"/>
        </w:rPr>
        <w:t>Género.</w:t>
      </w:r>
    </w:p>
    <w:p w14:paraId="404114D4"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La Dependencia de Personas y Diversidad Biológica proporciona análisis científicos, técnicos y de políticas para facilitar la adopción de decisiones y el apoyo a la implementación de cuestiones relacionadas con los pueblos indígenas, las comunidades locales y los conocimientos tradicionales (artículo 8 j) y disposiciones conexas), la cultura y la diversidad biológica (Naturaleza y cultura), la incorporación de la perspectiva de género, la dimensión humana de los vínculos entre la salud y la diversidad biológica, y los enfoques basados en los derechos humanos para la conservación y la utilización sostenible de la diversidad biológica. La Dependencia asume la dirección general para facilitar y prestar servicios a las reuniones relacionadas con el artículo 8 j) y otras disposiciones del Convenio relativas a los pueblos indígenas y las comunidades locales, y apoya la prestación de servicios a las reuniones del Órgano Subsidiario de Asesoramiento Científico, Técnico y Tecnológico, el Órgano Subsidiario sobre la Aplicación y la Conferencia de las Partes sobre cuestiones de su competencia. La función principal de la Dependencia es fortalecer el pilar social del Convenio y responder a las solicitudes de las Partes para mejorar y comunicar la importancia de la diversidad biológica para las personas.</w:t>
      </w:r>
    </w:p>
    <w:p w14:paraId="404114D5"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La División de Ciencia, Sociedad y Futuros Sostenibles contribuye a los cuatro resultados sustantivos de la Secretaría. El siguiente cuadro muestra los productos y subproductos de los que la División es directamente responsable.</w:t>
      </w:r>
    </w:p>
    <w:p w14:paraId="404114D6" w14:textId="77777777" w:rsidR="002809FB" w:rsidRPr="005978DF" w:rsidRDefault="002809FB" w:rsidP="002809FB">
      <w:pPr>
        <w:pStyle w:val="SingleTxt"/>
        <w:keepNext/>
        <w:keepLines/>
        <w:ind w:left="0" w:right="6"/>
        <w:jc w:val="left"/>
        <w:outlineLvl w:val="3"/>
        <w:rPr>
          <w:rFonts w:asciiTheme="majorBidi" w:hAnsiTheme="majorBidi" w:cstheme="majorBidi"/>
          <w:spacing w:val="0"/>
          <w:w w:val="100"/>
          <w:kern w:val="0"/>
          <w:sz w:val="22"/>
          <w:szCs w:val="22"/>
          <w:lang w:val="es-ES"/>
        </w:rPr>
      </w:pPr>
      <w:r w:rsidRPr="005978DF">
        <w:rPr>
          <w:b/>
          <w:bCs/>
          <w:sz w:val="22"/>
          <w:szCs w:val="22"/>
          <w:lang w:val="es-ES"/>
        </w:rPr>
        <w:t>Cuadro 17. Productos y subproductos elaborados por la División de Ciencia, Sociedad y Futuros Sostenibles</w:t>
      </w:r>
    </w:p>
    <w:tbl>
      <w:tblPr>
        <w:tblStyle w:val="TableGrid"/>
        <w:tblW w:w="0" w:type="auto"/>
        <w:jc w:val="center"/>
        <w:tblLayout w:type="fixed"/>
        <w:tblLook w:val="04A0" w:firstRow="1" w:lastRow="0" w:firstColumn="1" w:lastColumn="0" w:noHBand="0" w:noVBand="1"/>
      </w:tblPr>
      <w:tblGrid>
        <w:gridCol w:w="9062"/>
      </w:tblGrid>
      <w:tr w:rsidR="002809FB" w:rsidRPr="006A6E89" w14:paraId="404114D8"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D7" w14:textId="77777777" w:rsidR="002809FB" w:rsidRPr="002F293B" w:rsidRDefault="002809FB" w:rsidP="0049064A">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rFonts w:ascii="Times New Roman" w:hAnsi="Times New Roman"/>
                <w:sz w:val="18"/>
                <w:szCs w:val="18"/>
                <w:lang w:val="es-ES"/>
              </w:rPr>
            </w:pPr>
            <w:r w:rsidRPr="002F293B">
              <w:rPr>
                <w:rFonts w:ascii="Times New Roman" w:hAnsi="Times New Roman"/>
                <w:i/>
                <w:iCs/>
                <w:sz w:val="18"/>
                <w:szCs w:val="18"/>
                <w:lang w:val="es-ES"/>
              </w:rPr>
              <w:t>Productos y subproductos por resultado</w:t>
            </w:r>
          </w:p>
        </w:tc>
      </w:tr>
      <w:tr w:rsidR="002809FB" w:rsidRPr="006A6E89" w14:paraId="404114DA"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D9" w14:textId="77777777" w:rsidR="002809FB" w:rsidRPr="002F293B" w:rsidRDefault="002809FB" w:rsidP="00CD43C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rFonts w:ascii="Times New Roman" w:hAnsi="Times New Roman"/>
                <w:sz w:val="18"/>
                <w:szCs w:val="18"/>
                <w:lang w:val="es-ES"/>
              </w:rPr>
            </w:pPr>
            <w:r w:rsidRPr="002F293B">
              <w:rPr>
                <w:rFonts w:ascii="Times New Roman" w:hAnsi="Times New Roman"/>
                <w:b/>
                <w:bCs/>
                <w:sz w:val="18"/>
                <w:szCs w:val="18"/>
                <w:lang w:val="es-ES"/>
              </w:rPr>
              <w:t xml:space="preserve">Productos previstos para el bienio en </w:t>
            </w:r>
            <w:proofErr w:type="spellStart"/>
            <w:r w:rsidRPr="002F293B">
              <w:rPr>
                <w:rFonts w:ascii="Times New Roman" w:hAnsi="Times New Roman"/>
                <w:b/>
                <w:bCs/>
                <w:sz w:val="18"/>
                <w:szCs w:val="18"/>
                <w:lang w:val="es-ES"/>
              </w:rPr>
              <w:t>pos</w:t>
            </w:r>
            <w:proofErr w:type="spellEnd"/>
            <w:r w:rsidRPr="002F293B">
              <w:rPr>
                <w:rFonts w:ascii="Times New Roman" w:hAnsi="Times New Roman"/>
                <w:b/>
                <w:bCs/>
                <w:sz w:val="18"/>
                <w:szCs w:val="18"/>
                <w:lang w:val="es-ES"/>
              </w:rPr>
              <w:t xml:space="preserve"> de lograr el resultado 1):</w:t>
            </w:r>
            <w:r w:rsidRPr="002F293B">
              <w:rPr>
                <w:rFonts w:ascii="Times New Roman" w:hAnsi="Times New Roman"/>
                <w:sz w:val="18"/>
                <w:szCs w:val="18"/>
                <w:lang w:val="es-ES"/>
              </w:rPr>
              <w:t xml:space="preserve"> A través del Convenio y sus Protocolos, la comunidad internacional converge c</w:t>
            </w:r>
            <w:r w:rsidR="00CD43C6">
              <w:rPr>
                <w:rFonts w:ascii="Times New Roman" w:hAnsi="Times New Roman"/>
                <w:sz w:val="18"/>
                <w:szCs w:val="18"/>
                <w:lang w:val="es-ES"/>
              </w:rPr>
              <w:t xml:space="preserve">ada vez más en enfoques comunes, </w:t>
            </w:r>
            <w:r w:rsidRPr="002F293B">
              <w:rPr>
                <w:rFonts w:ascii="Times New Roman" w:hAnsi="Times New Roman"/>
                <w:sz w:val="18"/>
                <w:szCs w:val="18"/>
                <w:lang w:val="es-ES"/>
              </w:rPr>
              <w:t xml:space="preserve">integrados </w:t>
            </w:r>
            <w:r w:rsidR="00CD43C6">
              <w:rPr>
                <w:rFonts w:ascii="Times New Roman" w:hAnsi="Times New Roman"/>
                <w:sz w:val="18"/>
                <w:szCs w:val="18"/>
                <w:lang w:val="es-ES"/>
              </w:rPr>
              <w:t>y con perspectiva d</w:t>
            </w:r>
            <w:r w:rsidRPr="002F293B">
              <w:rPr>
                <w:rFonts w:ascii="Times New Roman" w:hAnsi="Times New Roman"/>
                <w:sz w:val="18"/>
                <w:szCs w:val="18"/>
                <w:lang w:val="es-ES"/>
              </w:rPr>
              <w:t>e género para la conservación y la utilización sostenible de la diversidad biológica</w:t>
            </w:r>
          </w:p>
        </w:tc>
      </w:tr>
      <w:tr w:rsidR="002809FB" w:rsidRPr="006A6E89" w14:paraId="404114DC"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DB"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1.1 Análisis/trabajos técnicos con base empírica aportan información a los procesos de adopción de decisiones de las Partes durante las principales reuniones</w:t>
            </w:r>
          </w:p>
        </w:tc>
      </w:tr>
      <w:tr w:rsidR="002809FB" w:rsidRPr="006A6E89" w14:paraId="404114DE"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DD"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1.1.1 Se elaboran documentos de orientación técnica (incluidos estudios)</w:t>
            </w:r>
          </w:p>
        </w:tc>
      </w:tr>
      <w:tr w:rsidR="002809FB" w:rsidRPr="006A6E89" w14:paraId="404114E0"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DF" w14:textId="77777777" w:rsidR="002809FB" w:rsidRPr="002F293B" w:rsidRDefault="002809FB" w:rsidP="00CD43C6">
            <w:pPr>
              <w:spacing w:after="60"/>
              <w:rPr>
                <w:rFonts w:ascii="Times New Roman" w:hAnsi="Times New Roman"/>
                <w:sz w:val="18"/>
                <w:szCs w:val="18"/>
                <w:lang w:val="es-ES"/>
              </w:rPr>
            </w:pPr>
            <w:r w:rsidRPr="002F293B">
              <w:rPr>
                <w:rFonts w:ascii="Times New Roman" w:hAnsi="Times New Roman"/>
                <w:sz w:val="18"/>
                <w:szCs w:val="18"/>
                <w:lang w:val="es-ES"/>
              </w:rPr>
              <w:t>1.1.2 Se celebran reuniones técnicas (</w:t>
            </w:r>
            <w:r w:rsidR="00CD43C6">
              <w:rPr>
                <w:rFonts w:ascii="Times New Roman" w:hAnsi="Times New Roman"/>
                <w:sz w:val="18"/>
                <w:szCs w:val="18"/>
                <w:lang w:val="es-ES"/>
              </w:rPr>
              <w:t>g</w:t>
            </w:r>
            <w:r w:rsidRPr="002F293B">
              <w:rPr>
                <w:rFonts w:ascii="Times New Roman" w:hAnsi="Times New Roman"/>
                <w:sz w:val="18"/>
                <w:szCs w:val="18"/>
                <w:lang w:val="es-ES"/>
              </w:rPr>
              <w:t xml:space="preserve">rupos especiales de expertos técnicos, </w:t>
            </w:r>
            <w:r w:rsidR="00CD43C6">
              <w:rPr>
                <w:rFonts w:ascii="Times New Roman" w:hAnsi="Times New Roman"/>
                <w:sz w:val="18"/>
                <w:szCs w:val="18"/>
                <w:lang w:val="es-ES"/>
              </w:rPr>
              <w:t>c</w:t>
            </w:r>
            <w:r w:rsidRPr="002F293B">
              <w:rPr>
                <w:rFonts w:ascii="Times New Roman" w:hAnsi="Times New Roman"/>
                <w:sz w:val="18"/>
                <w:szCs w:val="18"/>
                <w:lang w:val="es-ES"/>
              </w:rPr>
              <w:t xml:space="preserve">omités asesores oficiosos, </w:t>
            </w:r>
            <w:r w:rsidR="00CD43C6">
              <w:rPr>
                <w:rFonts w:ascii="Times New Roman" w:hAnsi="Times New Roman"/>
                <w:sz w:val="18"/>
                <w:szCs w:val="18"/>
                <w:lang w:val="es-ES"/>
              </w:rPr>
              <w:t>g</w:t>
            </w:r>
            <w:r w:rsidRPr="002F293B">
              <w:rPr>
                <w:rFonts w:ascii="Times New Roman" w:hAnsi="Times New Roman"/>
                <w:sz w:val="18"/>
                <w:szCs w:val="18"/>
                <w:lang w:val="es-ES"/>
              </w:rPr>
              <w:t>rupos asesores oficiosos, etc.)</w:t>
            </w:r>
          </w:p>
        </w:tc>
      </w:tr>
      <w:tr w:rsidR="002809FB" w:rsidRPr="006A6E89" w14:paraId="404114E2"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1"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1.1.3 Se elaboran proyectos de decisión y recomendaciones</w:t>
            </w:r>
          </w:p>
        </w:tc>
      </w:tr>
      <w:tr w:rsidR="002809FB" w:rsidRPr="006A6E89" w14:paraId="404114E4"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3" w14:textId="77777777" w:rsidR="002809FB" w:rsidRPr="002F293B" w:rsidRDefault="002809FB" w:rsidP="00FB51D0">
            <w:pPr>
              <w:spacing w:after="60"/>
              <w:rPr>
                <w:rFonts w:ascii="Times New Roman" w:hAnsi="Times New Roman"/>
                <w:sz w:val="18"/>
                <w:szCs w:val="18"/>
                <w:lang w:val="es-ES"/>
              </w:rPr>
            </w:pPr>
            <w:r w:rsidRPr="002F293B">
              <w:rPr>
                <w:rFonts w:ascii="Times New Roman" w:hAnsi="Times New Roman"/>
                <w:sz w:val="18"/>
                <w:szCs w:val="18"/>
                <w:lang w:val="es-ES"/>
              </w:rPr>
              <w:t>1. 2 Se organizan y celebran reuniones importantes con la participación plena y efectiva de las Partes, los pueblos indígenas y</w:t>
            </w:r>
            <w:r w:rsidR="00CD43C6">
              <w:rPr>
                <w:rFonts w:ascii="Times New Roman" w:hAnsi="Times New Roman"/>
                <w:sz w:val="18"/>
                <w:szCs w:val="18"/>
                <w:lang w:val="es-ES"/>
              </w:rPr>
              <w:t xml:space="preserve"> las</w:t>
            </w:r>
            <w:r w:rsidRPr="002F293B">
              <w:rPr>
                <w:rFonts w:ascii="Times New Roman" w:hAnsi="Times New Roman"/>
                <w:sz w:val="18"/>
                <w:szCs w:val="18"/>
                <w:lang w:val="es-ES"/>
              </w:rPr>
              <w:t xml:space="preserve"> comunidades locales y otros interesados</w:t>
            </w:r>
          </w:p>
        </w:tc>
      </w:tr>
      <w:tr w:rsidR="002809FB" w:rsidRPr="005978DF" w14:paraId="404114E6"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5" w14:textId="77777777" w:rsidR="002809FB" w:rsidRPr="002F293B" w:rsidRDefault="002809FB" w:rsidP="00CD43C6">
            <w:pPr>
              <w:spacing w:after="60"/>
              <w:rPr>
                <w:rFonts w:ascii="Times New Roman" w:hAnsi="Times New Roman"/>
                <w:sz w:val="18"/>
                <w:szCs w:val="18"/>
                <w:lang w:val="es-ES"/>
              </w:rPr>
            </w:pPr>
            <w:r w:rsidRPr="002F293B">
              <w:rPr>
                <w:rFonts w:ascii="Times New Roman" w:hAnsi="Times New Roman"/>
                <w:sz w:val="18"/>
                <w:szCs w:val="18"/>
                <w:lang w:val="es-ES"/>
              </w:rPr>
              <w:t xml:space="preserve">1.2.1 Reuniones </w:t>
            </w:r>
            <w:r w:rsidR="00CD43C6">
              <w:rPr>
                <w:rFonts w:ascii="Times New Roman" w:hAnsi="Times New Roman"/>
                <w:sz w:val="18"/>
                <w:szCs w:val="18"/>
                <w:lang w:val="es-ES"/>
              </w:rPr>
              <w:t>OSAC</w:t>
            </w:r>
            <w:r w:rsidRPr="002F293B">
              <w:rPr>
                <w:rFonts w:ascii="Times New Roman" w:hAnsi="Times New Roman"/>
                <w:sz w:val="18"/>
                <w:szCs w:val="18"/>
                <w:lang w:val="es-ES"/>
              </w:rPr>
              <w:t>T</w:t>
            </w:r>
            <w:r w:rsidR="00CD43C6">
              <w:rPr>
                <w:rFonts w:ascii="Times New Roman" w:hAnsi="Times New Roman"/>
                <w:sz w:val="18"/>
                <w:szCs w:val="18"/>
                <w:lang w:val="es-ES"/>
              </w:rPr>
              <w:t>T</w:t>
            </w:r>
            <w:r w:rsidRPr="002F293B">
              <w:rPr>
                <w:rFonts w:ascii="Times New Roman" w:hAnsi="Times New Roman"/>
                <w:sz w:val="18"/>
                <w:szCs w:val="18"/>
                <w:lang w:val="es-ES"/>
              </w:rPr>
              <w:t>-25 y 26, WG8J-12</w:t>
            </w:r>
          </w:p>
        </w:tc>
      </w:tr>
      <w:tr w:rsidR="002809FB" w:rsidRPr="006A6E89" w14:paraId="404114E8"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7"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1. 3 Se promueve la integración de las metas de diversidad biológica en las políticas, estrategias y planes de trabajo del sistema de las Naciones Unidas y otras organizaciones internacionales</w:t>
            </w:r>
          </w:p>
        </w:tc>
      </w:tr>
      <w:tr w:rsidR="002809FB" w:rsidRPr="006A6E89" w14:paraId="404114EA" w14:textId="77777777" w:rsidTr="00F2055F">
        <w:trPr>
          <w:cantSplit/>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9"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lastRenderedPageBreak/>
              <w:t>1.3.1 Se fomentan los intercambios de información entre el CDB y sus Protocolos, acuerdos ambientales multilaterales, otras entidades de las Naciones Unidas y organizaciones internacionales para fundamentar las decisiones y mejorar la coherencia de las políticas</w:t>
            </w:r>
          </w:p>
        </w:tc>
      </w:tr>
      <w:tr w:rsidR="002809FB" w:rsidRPr="006A6E89" w14:paraId="404114EC"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B"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1.3.2. Se desarrollan programas de trabajo/directrices/estrategias conjuntas con otros acuerdos ambientales multilaterales y organizaciones internacionales</w:t>
            </w:r>
          </w:p>
        </w:tc>
      </w:tr>
      <w:tr w:rsidR="002809FB" w:rsidRPr="006A6E89" w14:paraId="404114EE"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D" w14:textId="77777777" w:rsidR="002809FB" w:rsidRPr="002F293B" w:rsidRDefault="002809FB" w:rsidP="00CD43C6">
            <w:pPr>
              <w:spacing w:after="60"/>
              <w:rPr>
                <w:rFonts w:ascii="Times New Roman" w:hAnsi="Times New Roman"/>
                <w:sz w:val="18"/>
                <w:szCs w:val="18"/>
                <w:lang w:val="es-ES"/>
              </w:rPr>
            </w:pPr>
            <w:r w:rsidRPr="002F293B">
              <w:rPr>
                <w:rFonts w:ascii="Times New Roman" w:hAnsi="Times New Roman"/>
                <w:b/>
                <w:bCs/>
                <w:sz w:val="18"/>
                <w:szCs w:val="18"/>
                <w:lang w:val="es-ES"/>
              </w:rPr>
              <w:t xml:space="preserve">Productos previstos para el bienio en </w:t>
            </w:r>
            <w:proofErr w:type="spellStart"/>
            <w:r w:rsidRPr="002F293B">
              <w:rPr>
                <w:rFonts w:ascii="Times New Roman" w:hAnsi="Times New Roman"/>
                <w:b/>
                <w:bCs/>
                <w:sz w:val="18"/>
                <w:szCs w:val="18"/>
                <w:lang w:val="es-ES"/>
              </w:rPr>
              <w:t>pos</w:t>
            </w:r>
            <w:proofErr w:type="spellEnd"/>
            <w:r w:rsidRPr="002F293B">
              <w:rPr>
                <w:rFonts w:ascii="Times New Roman" w:hAnsi="Times New Roman"/>
                <w:b/>
                <w:bCs/>
                <w:sz w:val="18"/>
                <w:szCs w:val="18"/>
                <w:lang w:val="es-ES"/>
              </w:rPr>
              <w:t xml:space="preserve"> de lograr el resultado 2):</w:t>
            </w:r>
            <w:r w:rsidRPr="002F293B">
              <w:rPr>
                <w:rFonts w:ascii="Times New Roman" w:hAnsi="Times New Roman"/>
                <w:sz w:val="18"/>
                <w:szCs w:val="18"/>
                <w:lang w:val="es-ES"/>
              </w:rPr>
              <w:t xml:space="preserve"> A través de la implementación del marco mundial de la diversidad biológica, se refuerza la aplicación nacional del Convenio y sus Protocolos para mejorar </w:t>
            </w:r>
            <w:r w:rsidR="00CD43C6">
              <w:rPr>
                <w:rFonts w:ascii="Times New Roman" w:hAnsi="Times New Roman"/>
                <w:sz w:val="18"/>
                <w:szCs w:val="18"/>
                <w:lang w:val="es-ES"/>
              </w:rPr>
              <w:t>el estado</w:t>
            </w:r>
            <w:r w:rsidRPr="002F293B">
              <w:rPr>
                <w:rFonts w:ascii="Times New Roman" w:hAnsi="Times New Roman"/>
                <w:sz w:val="18"/>
                <w:szCs w:val="18"/>
                <w:lang w:val="es-ES"/>
              </w:rPr>
              <w:t xml:space="preserve"> de la diversidad biológica</w:t>
            </w:r>
          </w:p>
        </w:tc>
      </w:tr>
      <w:tr w:rsidR="002809FB" w:rsidRPr="006A6E89" w14:paraId="404114F0"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EF"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2.1 Se promueve la movilización de recursos para apoyar la aplicación</w:t>
            </w:r>
          </w:p>
        </w:tc>
      </w:tr>
      <w:tr w:rsidR="002809FB" w:rsidRPr="006A6E89" w14:paraId="404114F2"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1"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2.1.1 Se fortalecen aún más las asociaciones existentes y se desarrollan otras nuevas</w:t>
            </w:r>
          </w:p>
        </w:tc>
      </w:tr>
      <w:tr w:rsidR="002809FB" w:rsidRPr="006A6E89" w14:paraId="404114F4"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3" w14:textId="77777777" w:rsidR="002809FB" w:rsidRPr="00F01D03" w:rsidRDefault="002809FB" w:rsidP="00F01D03">
            <w:pPr>
              <w:spacing w:after="60"/>
              <w:rPr>
                <w:rFonts w:ascii="Times New Roman" w:hAnsi="Times New Roman"/>
                <w:spacing w:val="-3"/>
                <w:sz w:val="18"/>
                <w:szCs w:val="18"/>
                <w:lang w:val="es-ES"/>
              </w:rPr>
            </w:pPr>
            <w:r w:rsidRPr="00F01D03">
              <w:rPr>
                <w:rFonts w:ascii="Times New Roman" w:hAnsi="Times New Roman"/>
                <w:spacing w:val="-3"/>
                <w:sz w:val="18"/>
                <w:szCs w:val="18"/>
                <w:lang w:val="es-ES"/>
              </w:rPr>
              <w:t xml:space="preserve">2.2 Se fortalecen las capacidades institucionales y técnicas de gobiernos </w:t>
            </w:r>
            <w:r w:rsidR="00F01D03" w:rsidRPr="00F01D03">
              <w:rPr>
                <w:rFonts w:ascii="Times New Roman" w:hAnsi="Times New Roman"/>
                <w:spacing w:val="-3"/>
                <w:sz w:val="18"/>
                <w:szCs w:val="18"/>
                <w:lang w:val="es-ES"/>
              </w:rPr>
              <w:t>e</w:t>
            </w:r>
            <w:r w:rsidRPr="00F01D03">
              <w:rPr>
                <w:rFonts w:ascii="Times New Roman" w:hAnsi="Times New Roman"/>
                <w:spacing w:val="-3"/>
                <w:sz w:val="18"/>
                <w:szCs w:val="18"/>
                <w:lang w:val="es-ES"/>
              </w:rPr>
              <w:t xml:space="preserve"> interesados para aplicar el Convenio y sus Protocolos</w:t>
            </w:r>
          </w:p>
        </w:tc>
      </w:tr>
      <w:tr w:rsidR="002809FB" w:rsidRPr="006A6E89" w14:paraId="404114F6"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5"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 xml:space="preserve">2.2.2 Se ponen en marcha programas e iniciativas de desarrollo de capacidades específicas para cada programa y tema </w:t>
            </w:r>
          </w:p>
        </w:tc>
      </w:tr>
      <w:tr w:rsidR="002809FB" w:rsidRPr="006A6E89" w14:paraId="404114F8"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7"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2.2.3 Se promueven y facilitan actividades de cooperación científica y técnica</w:t>
            </w:r>
          </w:p>
        </w:tc>
      </w:tr>
      <w:tr w:rsidR="002809FB" w:rsidRPr="006A6E89" w14:paraId="404114FA"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9"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2.4 Se movilizan asociaciones a nivel mundial y regional para apoyar la aplicación por las Partes a nivel nacional</w:t>
            </w:r>
          </w:p>
        </w:tc>
      </w:tr>
      <w:tr w:rsidR="002809FB" w:rsidRPr="006A6E89" w14:paraId="404114FC"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B"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 xml:space="preserve">2.5 Se facilita la implementación del marco mundial de la diversidad biológica a través de </w:t>
            </w:r>
            <w:r w:rsidR="00CD43C6">
              <w:rPr>
                <w:rFonts w:ascii="Times New Roman" w:hAnsi="Times New Roman"/>
                <w:sz w:val="18"/>
                <w:szCs w:val="18"/>
                <w:lang w:val="es-ES"/>
              </w:rPr>
              <w:t>a</w:t>
            </w:r>
            <w:r w:rsidRPr="002F293B">
              <w:rPr>
                <w:rFonts w:ascii="Times New Roman" w:hAnsi="Times New Roman"/>
                <w:sz w:val="18"/>
                <w:szCs w:val="18"/>
                <w:lang w:val="es-ES"/>
              </w:rPr>
              <w:t>soci</w:t>
            </w:r>
            <w:r w:rsidR="00CD43C6">
              <w:rPr>
                <w:rFonts w:ascii="Times New Roman" w:hAnsi="Times New Roman"/>
                <w:sz w:val="18"/>
                <w:szCs w:val="18"/>
                <w:lang w:val="es-ES"/>
              </w:rPr>
              <w:t>ad</w:t>
            </w:r>
            <w:r w:rsidRPr="002F293B">
              <w:rPr>
                <w:rFonts w:ascii="Times New Roman" w:hAnsi="Times New Roman"/>
                <w:sz w:val="18"/>
                <w:szCs w:val="18"/>
                <w:lang w:val="es-ES"/>
              </w:rPr>
              <w:t>os externos</w:t>
            </w:r>
          </w:p>
        </w:tc>
      </w:tr>
      <w:tr w:rsidR="002809FB" w:rsidRPr="006A6E89" w14:paraId="404114FE"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D" w14:textId="77777777" w:rsidR="002809FB" w:rsidRPr="00F01D03" w:rsidRDefault="002809FB" w:rsidP="00654971">
            <w:pPr>
              <w:spacing w:after="60"/>
              <w:rPr>
                <w:rFonts w:ascii="Times New Roman" w:hAnsi="Times New Roman"/>
                <w:spacing w:val="-4"/>
                <w:sz w:val="18"/>
                <w:szCs w:val="18"/>
                <w:lang w:val="es-ES"/>
              </w:rPr>
            </w:pPr>
            <w:r w:rsidRPr="00F01D03">
              <w:rPr>
                <w:rFonts w:ascii="Times New Roman" w:hAnsi="Times New Roman"/>
                <w:b/>
                <w:bCs/>
                <w:spacing w:val="-4"/>
                <w:sz w:val="18"/>
                <w:szCs w:val="18"/>
                <w:lang w:val="es-ES"/>
              </w:rPr>
              <w:t xml:space="preserve">Productos previstos para el bienio en </w:t>
            </w:r>
            <w:proofErr w:type="spellStart"/>
            <w:r w:rsidRPr="00F01D03">
              <w:rPr>
                <w:rFonts w:ascii="Times New Roman" w:hAnsi="Times New Roman"/>
                <w:b/>
                <w:bCs/>
                <w:spacing w:val="-4"/>
                <w:sz w:val="18"/>
                <w:szCs w:val="18"/>
                <w:lang w:val="es-ES"/>
              </w:rPr>
              <w:t>pos</w:t>
            </w:r>
            <w:proofErr w:type="spellEnd"/>
            <w:r w:rsidRPr="00F01D03">
              <w:rPr>
                <w:rFonts w:ascii="Times New Roman" w:hAnsi="Times New Roman"/>
                <w:b/>
                <w:bCs/>
                <w:spacing w:val="-4"/>
                <w:sz w:val="18"/>
                <w:szCs w:val="18"/>
                <w:lang w:val="es-ES"/>
              </w:rPr>
              <w:t xml:space="preserve"> de lograr el resultado 4):</w:t>
            </w:r>
            <w:r w:rsidRPr="00F01D03">
              <w:rPr>
                <w:rFonts w:ascii="Times New Roman" w:hAnsi="Times New Roman"/>
                <w:spacing w:val="-4"/>
                <w:sz w:val="18"/>
                <w:szCs w:val="18"/>
                <w:lang w:val="es-ES"/>
              </w:rPr>
              <w:t xml:space="preserve"> El seguimiento, </w:t>
            </w:r>
            <w:r w:rsidR="00654971">
              <w:rPr>
                <w:rFonts w:ascii="Times New Roman" w:hAnsi="Times New Roman"/>
                <w:spacing w:val="-4"/>
                <w:sz w:val="18"/>
                <w:szCs w:val="18"/>
                <w:lang w:val="es-ES"/>
              </w:rPr>
              <w:t>la revisión</w:t>
            </w:r>
            <w:r w:rsidRPr="00F01D03">
              <w:rPr>
                <w:rFonts w:ascii="Times New Roman" w:hAnsi="Times New Roman"/>
                <w:spacing w:val="-4"/>
                <w:sz w:val="18"/>
                <w:szCs w:val="18"/>
                <w:lang w:val="es-ES"/>
              </w:rPr>
              <w:t xml:space="preserve"> y la evaluación periódic</w:t>
            </w:r>
            <w:r w:rsidR="00CD43C6" w:rsidRPr="00F01D03">
              <w:rPr>
                <w:rFonts w:ascii="Times New Roman" w:hAnsi="Times New Roman"/>
                <w:spacing w:val="-4"/>
                <w:sz w:val="18"/>
                <w:szCs w:val="18"/>
                <w:lang w:val="es-ES"/>
              </w:rPr>
              <w:t>o</w:t>
            </w:r>
            <w:r w:rsidRPr="00F01D03">
              <w:rPr>
                <w:rFonts w:ascii="Times New Roman" w:hAnsi="Times New Roman"/>
                <w:spacing w:val="-4"/>
                <w:sz w:val="18"/>
                <w:szCs w:val="18"/>
                <w:lang w:val="es-ES"/>
              </w:rPr>
              <w:t xml:space="preserve">s contribuyen a la planificación y la adopción de decisiones informadas en todos los niveles, lo que resulta en una mejora progresiva de la </w:t>
            </w:r>
            <w:r w:rsidR="00CD43C6" w:rsidRPr="00F01D03">
              <w:rPr>
                <w:rFonts w:ascii="Times New Roman" w:hAnsi="Times New Roman"/>
                <w:spacing w:val="-4"/>
                <w:sz w:val="18"/>
                <w:szCs w:val="18"/>
                <w:lang w:val="es-ES"/>
              </w:rPr>
              <w:t>im</w:t>
            </w:r>
            <w:r w:rsidRPr="00F01D03">
              <w:rPr>
                <w:rFonts w:ascii="Times New Roman" w:hAnsi="Times New Roman"/>
                <w:spacing w:val="-4"/>
                <w:sz w:val="18"/>
                <w:szCs w:val="18"/>
                <w:lang w:val="es-ES"/>
              </w:rPr>
              <w:t>pl</w:t>
            </w:r>
            <w:r w:rsidR="00CD43C6" w:rsidRPr="00F01D03">
              <w:rPr>
                <w:rFonts w:ascii="Times New Roman" w:hAnsi="Times New Roman"/>
                <w:spacing w:val="-4"/>
                <w:sz w:val="18"/>
                <w:szCs w:val="18"/>
                <w:lang w:val="es-ES"/>
              </w:rPr>
              <w:t>ement</w:t>
            </w:r>
            <w:r w:rsidRPr="00F01D03">
              <w:rPr>
                <w:rFonts w:ascii="Times New Roman" w:hAnsi="Times New Roman"/>
                <w:spacing w:val="-4"/>
                <w:sz w:val="18"/>
                <w:szCs w:val="18"/>
                <w:lang w:val="es-ES"/>
              </w:rPr>
              <w:t>ación del marco mundial de la diversidad biológica</w:t>
            </w:r>
            <w:r w:rsidR="00CD43C6" w:rsidRPr="00F01D03">
              <w:rPr>
                <w:rFonts w:ascii="Times New Roman" w:hAnsi="Times New Roman"/>
                <w:spacing w:val="-4"/>
                <w:sz w:val="18"/>
                <w:szCs w:val="18"/>
                <w:lang w:val="es-ES"/>
              </w:rPr>
              <w:t xml:space="preserve"> y la aplicación</w:t>
            </w:r>
            <w:r w:rsidRPr="00F01D03">
              <w:rPr>
                <w:rFonts w:ascii="Times New Roman" w:hAnsi="Times New Roman"/>
                <w:spacing w:val="-4"/>
                <w:sz w:val="18"/>
                <w:szCs w:val="18"/>
                <w:lang w:val="es-ES"/>
              </w:rPr>
              <w:t xml:space="preserve"> </w:t>
            </w:r>
            <w:r w:rsidR="00CD43C6" w:rsidRPr="00F01D03">
              <w:rPr>
                <w:rFonts w:ascii="Times New Roman" w:hAnsi="Times New Roman"/>
                <w:spacing w:val="-4"/>
                <w:sz w:val="18"/>
                <w:szCs w:val="18"/>
                <w:lang w:val="es-ES"/>
              </w:rPr>
              <w:t>d</w:t>
            </w:r>
            <w:r w:rsidRPr="00F01D03">
              <w:rPr>
                <w:rFonts w:ascii="Times New Roman" w:hAnsi="Times New Roman"/>
                <w:spacing w:val="-4"/>
                <w:sz w:val="18"/>
                <w:szCs w:val="18"/>
                <w:lang w:val="es-ES"/>
              </w:rPr>
              <w:t>el Convenio y sus Protocolos</w:t>
            </w:r>
          </w:p>
        </w:tc>
      </w:tr>
      <w:tr w:rsidR="002809FB" w:rsidRPr="006A6E89" w14:paraId="40411500"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4FF"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4.3 Se evalúa la situación de la aplicación y se divulgan los resultados a fin de aportar información para la adopción de decisiones (para el Convenio y los Protocolos)</w:t>
            </w:r>
          </w:p>
        </w:tc>
      </w:tr>
      <w:tr w:rsidR="002809FB" w:rsidRPr="006A6E89" w14:paraId="40411502"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501" w14:textId="77777777" w:rsidR="002809FB" w:rsidRPr="002F293B" w:rsidRDefault="002809FB" w:rsidP="0049064A">
            <w:pPr>
              <w:spacing w:after="60"/>
              <w:rPr>
                <w:rFonts w:ascii="Times New Roman" w:hAnsi="Times New Roman"/>
                <w:sz w:val="18"/>
                <w:szCs w:val="18"/>
                <w:lang w:val="es-ES"/>
              </w:rPr>
            </w:pPr>
            <w:r w:rsidRPr="002F293B">
              <w:rPr>
                <w:rFonts w:ascii="Times New Roman" w:hAnsi="Times New Roman"/>
                <w:sz w:val="18"/>
                <w:szCs w:val="18"/>
                <w:lang w:val="es-ES"/>
              </w:rPr>
              <w:t>4.3.1 Se implementan y/o coordinan evaluaciones y balances</w:t>
            </w:r>
          </w:p>
        </w:tc>
      </w:tr>
      <w:tr w:rsidR="002809FB" w:rsidRPr="006A6E89" w14:paraId="40411504"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503" w14:textId="77777777" w:rsidR="002809FB" w:rsidRPr="002F293B" w:rsidRDefault="002809FB" w:rsidP="00CD43C6">
            <w:pPr>
              <w:spacing w:after="60"/>
              <w:rPr>
                <w:rFonts w:ascii="Times New Roman" w:hAnsi="Times New Roman"/>
                <w:sz w:val="18"/>
                <w:szCs w:val="18"/>
                <w:lang w:val="es-ES"/>
              </w:rPr>
            </w:pPr>
            <w:r w:rsidRPr="002F293B">
              <w:rPr>
                <w:rFonts w:ascii="Times New Roman" w:hAnsi="Times New Roman"/>
                <w:sz w:val="18"/>
                <w:szCs w:val="18"/>
                <w:lang w:val="es-ES"/>
              </w:rPr>
              <w:t xml:space="preserve">4.4 Se evalúa </w:t>
            </w:r>
            <w:r w:rsidR="00CD43C6">
              <w:rPr>
                <w:rFonts w:ascii="Times New Roman" w:hAnsi="Times New Roman"/>
                <w:sz w:val="18"/>
                <w:szCs w:val="18"/>
                <w:lang w:val="es-ES"/>
              </w:rPr>
              <w:t>el estado</w:t>
            </w:r>
            <w:r w:rsidRPr="002F293B">
              <w:rPr>
                <w:rFonts w:ascii="Times New Roman" w:hAnsi="Times New Roman"/>
                <w:sz w:val="18"/>
                <w:szCs w:val="18"/>
                <w:lang w:val="es-ES"/>
              </w:rPr>
              <w:t xml:space="preserve"> de la diversidad biológica y se divulgan los resultados a fin de aportar información para la adopción de decisiones</w:t>
            </w:r>
          </w:p>
        </w:tc>
      </w:tr>
      <w:tr w:rsidR="002809FB" w:rsidRPr="006A6E89" w14:paraId="40411506" w14:textId="77777777" w:rsidTr="0049064A">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411505" w14:textId="77777777" w:rsidR="002809FB" w:rsidRPr="002F293B" w:rsidRDefault="002809FB" w:rsidP="00F01D03">
            <w:pPr>
              <w:spacing w:after="60"/>
              <w:rPr>
                <w:rFonts w:ascii="Times New Roman" w:hAnsi="Times New Roman"/>
                <w:sz w:val="18"/>
                <w:szCs w:val="18"/>
                <w:lang w:val="es-ES"/>
              </w:rPr>
            </w:pPr>
            <w:r w:rsidRPr="002F293B">
              <w:rPr>
                <w:rFonts w:ascii="Times New Roman" w:hAnsi="Times New Roman"/>
                <w:sz w:val="18"/>
                <w:szCs w:val="18"/>
                <w:lang w:val="es-ES"/>
              </w:rPr>
              <w:t xml:space="preserve">4.4.1 Se hace un seguimiento y se evalúa </w:t>
            </w:r>
            <w:r w:rsidR="00CD43C6">
              <w:rPr>
                <w:rFonts w:ascii="Times New Roman" w:hAnsi="Times New Roman"/>
                <w:sz w:val="18"/>
                <w:szCs w:val="18"/>
                <w:lang w:val="es-ES"/>
              </w:rPr>
              <w:t>el estado</w:t>
            </w:r>
            <w:r w:rsidRPr="002F293B">
              <w:rPr>
                <w:rFonts w:ascii="Times New Roman" w:hAnsi="Times New Roman"/>
                <w:sz w:val="18"/>
                <w:szCs w:val="18"/>
                <w:lang w:val="es-ES"/>
              </w:rPr>
              <w:t xml:space="preserve"> de la diversidad biológica en base a información pertinente, incluidos los indicadores </w:t>
            </w:r>
            <w:r w:rsidR="00F01D03">
              <w:rPr>
                <w:rFonts w:ascii="Times New Roman" w:hAnsi="Times New Roman"/>
                <w:sz w:val="18"/>
                <w:szCs w:val="18"/>
                <w:lang w:val="es-ES"/>
              </w:rPr>
              <w:t>definidos</w:t>
            </w:r>
          </w:p>
        </w:tc>
      </w:tr>
    </w:tbl>
    <w:p w14:paraId="40411507"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La suma de 6</w:t>
      </w:r>
      <w:r w:rsidR="00CD43C6">
        <w:rPr>
          <w:sz w:val="22"/>
          <w:szCs w:val="22"/>
          <w:lang w:val="es-ES"/>
        </w:rPr>
        <w:t> </w:t>
      </w:r>
      <w:r w:rsidRPr="005978DF">
        <w:rPr>
          <w:sz w:val="22"/>
          <w:szCs w:val="22"/>
          <w:lang w:val="es-ES"/>
        </w:rPr>
        <w:t>661</w:t>
      </w:r>
      <w:r w:rsidR="00CD43C6">
        <w:rPr>
          <w:sz w:val="22"/>
          <w:szCs w:val="22"/>
          <w:lang w:val="es-ES"/>
        </w:rPr>
        <w:t> </w:t>
      </w:r>
      <w:r w:rsidRPr="005978DF">
        <w:rPr>
          <w:sz w:val="22"/>
          <w:szCs w:val="22"/>
          <w:lang w:val="es-ES"/>
        </w:rPr>
        <w:t>300</w:t>
      </w:r>
      <w:r w:rsidR="003753E4">
        <w:rPr>
          <w:sz w:val="22"/>
          <w:szCs w:val="22"/>
          <w:lang w:val="es-ES"/>
        </w:rPr>
        <w:t> </w:t>
      </w:r>
      <w:r w:rsidRPr="005978DF">
        <w:rPr>
          <w:sz w:val="22"/>
          <w:szCs w:val="22"/>
          <w:lang w:val="es-ES"/>
        </w:rPr>
        <w:t xml:space="preserve">dólares de recursos relacionados con puestos se destinaría a sufragar el mantenimiento de 18,5 puestos (1 D-1, 3 P-5, 4,5 P-4, 2 P-3, 2 P-2 </w:t>
      </w:r>
      <w:r w:rsidR="00CD43C6">
        <w:rPr>
          <w:sz w:val="22"/>
          <w:szCs w:val="22"/>
          <w:lang w:val="es-ES"/>
        </w:rPr>
        <w:t>y</w:t>
      </w:r>
      <w:r w:rsidRPr="005978DF">
        <w:rPr>
          <w:sz w:val="22"/>
          <w:szCs w:val="22"/>
          <w:lang w:val="es-ES"/>
        </w:rPr>
        <w:t xml:space="preserve"> 6 SG) y la conversión de dos puestos P-3 financiados con fondos extrapresupuestarios. Estos se describen a continuación.</w:t>
      </w:r>
    </w:p>
    <w:p w14:paraId="40411508" w14:textId="77777777" w:rsidR="002809FB" w:rsidRPr="002F293B"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pacing w:val="-2"/>
          <w:sz w:val="22"/>
          <w:szCs w:val="22"/>
          <w:lang w:val="es-ES"/>
        </w:rPr>
      </w:pPr>
      <w:r w:rsidRPr="002F293B">
        <w:rPr>
          <w:spacing w:val="-2"/>
          <w:sz w:val="22"/>
          <w:szCs w:val="22"/>
          <w:lang w:val="es-ES"/>
        </w:rPr>
        <w:t xml:space="preserve">La Secretaría propone la conversión de un puesto de Oficial de Programas de categoría P-3 sobre </w:t>
      </w:r>
      <w:r w:rsidRPr="002F293B">
        <w:rPr>
          <w:i/>
          <w:iCs/>
          <w:spacing w:val="-2"/>
          <w:sz w:val="22"/>
          <w:szCs w:val="22"/>
          <w:lang w:val="es-ES"/>
        </w:rPr>
        <w:t>Diversidad Biológica y Empresas</w:t>
      </w:r>
      <w:r w:rsidRPr="002F293B">
        <w:rPr>
          <w:spacing w:val="-2"/>
          <w:sz w:val="22"/>
          <w:szCs w:val="22"/>
          <w:lang w:val="es-ES"/>
        </w:rPr>
        <w:t>, que actualmente se financia con recursos extrapresupuestarios, a una financiación con cargo al presupuesto básico. Desde que la Conferencia de las Partes adoptó la primera decisión sobre la participación del sector privado en su octava reunión celebrada en 2006 (decisión</w:t>
      </w:r>
      <w:r w:rsidR="002F293B" w:rsidRPr="002F293B">
        <w:rPr>
          <w:spacing w:val="-2"/>
          <w:sz w:val="22"/>
          <w:szCs w:val="22"/>
          <w:lang w:val="es-ES"/>
        </w:rPr>
        <w:t> </w:t>
      </w:r>
      <w:r w:rsidRPr="002F293B">
        <w:rPr>
          <w:spacing w:val="-2"/>
          <w:sz w:val="22"/>
          <w:szCs w:val="22"/>
          <w:lang w:val="es-ES"/>
        </w:rPr>
        <w:t>VIII/17), se han logrado avances significativos en relación con la participación del sector empresarial en la consecución de los objetivos del Convenio, tales como: el crecimiento de las asociaciones nacionales o regionales en materia de sector empresarial y diversidad biológica y el establecimiento de la Asociación Mundial como una red de redes, que cuenta actualmente con c</w:t>
      </w:r>
      <w:r w:rsidR="00CD43C6">
        <w:rPr>
          <w:spacing w:val="-2"/>
          <w:sz w:val="22"/>
          <w:szCs w:val="22"/>
          <w:lang w:val="es-ES"/>
        </w:rPr>
        <w:t>erca de</w:t>
      </w:r>
      <w:r w:rsidRPr="002F293B">
        <w:rPr>
          <w:spacing w:val="-2"/>
          <w:sz w:val="22"/>
          <w:szCs w:val="22"/>
          <w:lang w:val="es-ES"/>
        </w:rPr>
        <w:t xml:space="preserve"> 25</w:t>
      </w:r>
      <w:r w:rsidR="00CD43C6">
        <w:rPr>
          <w:spacing w:val="-2"/>
          <w:sz w:val="22"/>
          <w:szCs w:val="22"/>
          <w:lang w:val="es-ES"/>
        </w:rPr>
        <w:t> </w:t>
      </w:r>
      <w:r w:rsidRPr="002F293B">
        <w:rPr>
          <w:spacing w:val="-2"/>
          <w:sz w:val="22"/>
          <w:szCs w:val="22"/>
          <w:lang w:val="es-ES"/>
        </w:rPr>
        <w:t>iniciativas; la celebración periódica del Foro Mundial de Negocios y Diversidad Biológica en forma consecutiva a las reuniones de la Conferencia de las Partes; y la creación de una red mundial de colaboración de organizaciones e iniciativas internacionales asociadas, que ha sido decisiva para la elaboración de diversos productos de divulgación y orientación, como, por ejemplo, sobre la presentación de informes de las empresas. Por lo tanto, el trabajo sobre el compromiso de las empresas debe continuar y es probable que su importancia siga aumentando, también en el contexto de una mayor participación del sector financiero (que incluye a las empresas privadas). Por consiguiente, es fundamental garantizar la sostenibilidad de las actividades de trabajo en curso mediante la conversión de este puesto a una financiación con cargo al presupuesto básico.</w:t>
      </w:r>
    </w:p>
    <w:p w14:paraId="40411509"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 xml:space="preserve">Del mismo modo, es necesario seguir reforzando el apoyo del personal, que actualmente se gestiona como un puesto temporario de categoría P-3, para abordar el enfoque de “Una </w:t>
      </w:r>
      <w:r w:rsidR="00F01D03">
        <w:rPr>
          <w:sz w:val="22"/>
          <w:szCs w:val="22"/>
          <w:lang w:val="es-ES"/>
        </w:rPr>
        <w:t xml:space="preserve">sola </w:t>
      </w:r>
      <w:r w:rsidRPr="005978DF">
        <w:rPr>
          <w:sz w:val="22"/>
          <w:szCs w:val="22"/>
          <w:lang w:val="es-ES"/>
        </w:rPr>
        <w:t xml:space="preserve">salud” a través de todo el programa de trabajo y las cuestiones transversales pertinentes, basándose en el fortalecimiento de los vínculos sociales con diversos sectores, </w:t>
      </w:r>
      <w:r w:rsidR="00F01D03">
        <w:rPr>
          <w:sz w:val="22"/>
          <w:szCs w:val="22"/>
          <w:lang w:val="es-ES"/>
        </w:rPr>
        <w:t>a</w:t>
      </w:r>
      <w:r w:rsidRPr="005978DF">
        <w:rPr>
          <w:sz w:val="22"/>
          <w:szCs w:val="22"/>
          <w:lang w:val="es-ES"/>
        </w:rPr>
        <w:t>soci</w:t>
      </w:r>
      <w:r w:rsidR="00F01D03">
        <w:rPr>
          <w:sz w:val="22"/>
          <w:szCs w:val="22"/>
          <w:lang w:val="es-ES"/>
        </w:rPr>
        <w:t>ad</w:t>
      </w:r>
      <w:r w:rsidRPr="005978DF">
        <w:rPr>
          <w:sz w:val="22"/>
          <w:szCs w:val="22"/>
          <w:lang w:val="es-ES"/>
        </w:rPr>
        <w:t xml:space="preserve">os mundiales, grupos de la sociedad civil, fondos de asociación múltiple y otros donantes, lo que complementará los enfoques científicos y técnicos que estarán a cargo del puesto fusionado de categoría P-4 sobre especies exóticas invasoras y salud. Para aprovechar eficazmente las </w:t>
      </w:r>
      <w:r w:rsidRPr="005978DF">
        <w:rPr>
          <w:sz w:val="22"/>
          <w:szCs w:val="22"/>
          <w:lang w:val="es-ES"/>
        </w:rPr>
        <w:lastRenderedPageBreak/>
        <w:t xml:space="preserve">oportunidades de asociación e inversión financiera en este tema, la Secretaría </w:t>
      </w:r>
      <w:r w:rsidR="00F01D03">
        <w:rPr>
          <w:sz w:val="22"/>
          <w:szCs w:val="22"/>
          <w:lang w:val="es-ES"/>
        </w:rPr>
        <w:t>desea</w:t>
      </w:r>
      <w:r w:rsidRPr="005978DF">
        <w:rPr>
          <w:sz w:val="22"/>
          <w:szCs w:val="22"/>
          <w:lang w:val="es-ES"/>
        </w:rPr>
        <w:t xml:space="preserve"> proponer que el actual puesto temporario se convierta en un puesto financiado con cargo al presupuesto básico en la categoría P-3.</w:t>
      </w:r>
    </w:p>
    <w:p w14:paraId="4041150A"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En vista de la creciente necesidad de integrar distintos sectores económicos para la implementación del marco mundial de la diversidad biológica posterior a 2020, la Secretaría desea proponer que el trabajo en esta esfera, que actualmente se cubre con el 50</w:t>
      </w:r>
      <w:r w:rsidR="00F01D03">
        <w:rPr>
          <w:sz w:val="22"/>
          <w:szCs w:val="22"/>
          <w:lang w:val="es-ES"/>
        </w:rPr>
        <w:t> </w:t>
      </w:r>
      <w:r w:rsidRPr="005978DF">
        <w:rPr>
          <w:sz w:val="22"/>
          <w:szCs w:val="22"/>
          <w:lang w:val="es-ES"/>
        </w:rPr>
        <w:t xml:space="preserve">% de un puesto de categoría P-4, se financie totalmente mediante la provisión de un puesto de </w:t>
      </w:r>
      <w:r w:rsidRPr="005978DF">
        <w:rPr>
          <w:i/>
          <w:iCs/>
          <w:sz w:val="22"/>
          <w:szCs w:val="22"/>
          <w:lang w:val="es-ES"/>
        </w:rPr>
        <w:t>Oficial de Programas en materia de in</w:t>
      </w:r>
      <w:r w:rsidR="00F01D03">
        <w:rPr>
          <w:i/>
          <w:iCs/>
          <w:sz w:val="22"/>
          <w:szCs w:val="22"/>
          <w:lang w:val="es-ES"/>
        </w:rPr>
        <w:t>teg</w:t>
      </w:r>
      <w:r w:rsidRPr="005978DF">
        <w:rPr>
          <w:i/>
          <w:iCs/>
          <w:sz w:val="22"/>
          <w:szCs w:val="22"/>
          <w:lang w:val="es-ES"/>
        </w:rPr>
        <w:t>ración de la diversidad biológica (P-4)</w:t>
      </w:r>
      <w:r w:rsidRPr="005978DF">
        <w:rPr>
          <w:sz w:val="22"/>
          <w:szCs w:val="22"/>
          <w:lang w:val="es-ES"/>
        </w:rPr>
        <w:t>. La labor de integración de consideraciones relativas a la diversidad biológica dentro de los sectores económicos y entre ellos (“in</w:t>
      </w:r>
      <w:r w:rsidR="00F01D03">
        <w:rPr>
          <w:sz w:val="22"/>
          <w:szCs w:val="22"/>
          <w:lang w:val="es-ES"/>
        </w:rPr>
        <w:t>teg</w:t>
      </w:r>
      <w:r w:rsidRPr="005978DF">
        <w:rPr>
          <w:sz w:val="22"/>
          <w:szCs w:val="22"/>
          <w:lang w:val="es-ES"/>
        </w:rPr>
        <w:t>ración de la diversidad biológica”) se ha intensificado considerablemente desde la adopción de la histórica decisión</w:t>
      </w:r>
      <w:r w:rsidR="002F293B">
        <w:rPr>
          <w:lang w:val="es-ES"/>
        </w:rPr>
        <w:t> </w:t>
      </w:r>
      <w:hyperlink r:id="rId17" w:history="1">
        <w:r w:rsidRPr="005978DF">
          <w:rPr>
            <w:rStyle w:val="Hyperlink"/>
            <w:sz w:val="22"/>
            <w:szCs w:val="22"/>
            <w:lang w:val="es-ES"/>
          </w:rPr>
          <w:t>XIII/3</w:t>
        </w:r>
      </w:hyperlink>
      <w:r w:rsidRPr="005978DF">
        <w:rPr>
          <w:sz w:val="22"/>
          <w:szCs w:val="22"/>
          <w:lang w:val="es-ES"/>
        </w:rPr>
        <w:t>, agrupando la labor anterior sobre sectores económicos en el marco de programas de trabajo temáticos y de la labor intersectorial sobre incentivos y sobre desarrollo sostenible. Con la decisión</w:t>
      </w:r>
      <w:r w:rsidR="002F293B">
        <w:rPr>
          <w:sz w:val="22"/>
          <w:szCs w:val="22"/>
          <w:lang w:val="es-ES"/>
        </w:rPr>
        <w:t> </w:t>
      </w:r>
      <w:hyperlink r:id="rId18" w:history="1">
        <w:r w:rsidRPr="005978DF">
          <w:rPr>
            <w:rStyle w:val="Hyperlink"/>
            <w:sz w:val="22"/>
            <w:szCs w:val="22"/>
            <w:lang w:val="es-ES"/>
          </w:rPr>
          <w:t>14/3</w:t>
        </w:r>
      </w:hyperlink>
      <w:r w:rsidRPr="005978DF">
        <w:rPr>
          <w:sz w:val="22"/>
          <w:szCs w:val="22"/>
          <w:lang w:val="es-ES"/>
        </w:rPr>
        <w:t xml:space="preserve"> y su enfoque en sectores clave no contemplados en los programas de trabajo existentes, la decisión de la Conferencia de las Partes de establecer un enfoque estratégico a largo plazo para la in</w:t>
      </w:r>
      <w:r w:rsidR="00F01D03">
        <w:rPr>
          <w:sz w:val="22"/>
          <w:szCs w:val="22"/>
          <w:lang w:val="es-ES"/>
        </w:rPr>
        <w:t>teg</w:t>
      </w:r>
      <w:r w:rsidRPr="005978DF">
        <w:rPr>
          <w:sz w:val="22"/>
          <w:szCs w:val="22"/>
          <w:lang w:val="es-ES"/>
        </w:rPr>
        <w:t>ración, y el trabajo de seguimiento ya previsto en el proyecto de decisión recomendado por el Órgano Subsidiario sobre la Aplicación en su tercera reunión, es probable que el trabajo de in</w:t>
      </w:r>
      <w:r w:rsidR="00F01D03">
        <w:rPr>
          <w:sz w:val="22"/>
          <w:szCs w:val="22"/>
          <w:lang w:val="es-ES"/>
        </w:rPr>
        <w:t>teg</w:t>
      </w:r>
      <w:r w:rsidRPr="005978DF">
        <w:rPr>
          <w:sz w:val="22"/>
          <w:szCs w:val="22"/>
          <w:lang w:val="es-ES"/>
        </w:rPr>
        <w:t>ración continúe y se intensifique aún más y, por lo tanto, requiere una dotación de personal adecuada</w:t>
      </w:r>
      <w:r w:rsidR="00F01D03">
        <w:rPr>
          <w:sz w:val="22"/>
          <w:szCs w:val="22"/>
          <w:lang w:val="es-ES"/>
        </w:rPr>
        <w:t>.</w:t>
      </w:r>
      <w:r w:rsidRPr="005978DF">
        <w:rPr>
          <w:sz w:val="22"/>
          <w:szCs w:val="22"/>
          <w:lang w:val="es-ES"/>
        </w:rPr>
        <w:t xml:space="preserve"> con un oficial de programas a tiempo completo en la categoría P-4.</w:t>
      </w:r>
    </w:p>
    <w:p w14:paraId="4041150B" w14:textId="77777777" w:rsidR="002809FB" w:rsidRPr="005978DF" w:rsidRDefault="002809FB" w:rsidP="002809FB">
      <w:pPr>
        <w:pStyle w:val="H1"/>
        <w:spacing w:before="0" w:after="240" w:line="240" w:lineRule="auto"/>
        <w:ind w:left="1264" w:right="6" w:hanging="1264"/>
        <w:outlineLvl w:val="3"/>
        <w:rPr>
          <w:lang w:val="es-ES"/>
        </w:rPr>
      </w:pPr>
      <w:r w:rsidRPr="005978DF">
        <w:rPr>
          <w:sz w:val="22"/>
          <w:szCs w:val="22"/>
          <w:lang w:val="es-ES"/>
        </w:rPr>
        <w:t xml:space="preserve">Cuadro 18. Asignaciones de recursos: </w:t>
      </w:r>
      <w:r w:rsidRPr="005978DF">
        <w:rPr>
          <w:rFonts w:asciiTheme="majorBidi" w:hAnsiTheme="majorBidi"/>
          <w:sz w:val="22"/>
          <w:szCs w:val="22"/>
          <w:lang w:val="es-ES"/>
        </w:rPr>
        <w:t>División de Ciencia, Sociedad y Futuros Sostenibles</w:t>
      </w:r>
    </w:p>
    <w:tbl>
      <w:tblPr>
        <w:tblW w:w="0" w:type="auto"/>
        <w:jc w:val="center"/>
        <w:tblLayout w:type="fixed"/>
        <w:tblLook w:val="04A0" w:firstRow="1" w:lastRow="0" w:firstColumn="1" w:lastColumn="0" w:noHBand="0" w:noVBand="1"/>
      </w:tblPr>
      <w:tblGrid>
        <w:gridCol w:w="1386"/>
        <w:gridCol w:w="234"/>
        <w:gridCol w:w="90"/>
        <w:gridCol w:w="984"/>
        <w:gridCol w:w="1322"/>
        <w:gridCol w:w="1251"/>
        <w:gridCol w:w="403"/>
        <w:gridCol w:w="426"/>
        <w:gridCol w:w="711"/>
        <w:gridCol w:w="423"/>
        <w:gridCol w:w="850"/>
        <w:gridCol w:w="425"/>
        <w:gridCol w:w="855"/>
      </w:tblGrid>
      <w:tr w:rsidR="002809FB" w:rsidRPr="005978DF" w14:paraId="40411510" w14:textId="77777777" w:rsidTr="002F293B">
        <w:trPr>
          <w:jc w:val="center"/>
        </w:trPr>
        <w:tc>
          <w:tcPr>
            <w:tcW w:w="1710" w:type="dxa"/>
            <w:gridSpan w:val="3"/>
            <w:tcBorders>
              <w:top w:val="single" w:sz="8" w:space="0" w:color="auto"/>
              <w:left w:val="nil"/>
              <w:bottom w:val="nil"/>
              <w:right w:val="nil"/>
            </w:tcBorders>
            <w:shd w:val="clear" w:color="auto" w:fill="auto"/>
            <w:tcMar>
              <w:left w:w="29" w:type="dxa"/>
              <w:right w:w="29" w:type="dxa"/>
            </w:tcMar>
            <w:vAlign w:val="center"/>
            <w:hideMark/>
          </w:tcPr>
          <w:p w14:paraId="4041150C" w14:textId="77777777" w:rsidR="002809FB" w:rsidRPr="002F293B" w:rsidRDefault="002809FB" w:rsidP="0049064A">
            <w:pPr>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 </w:t>
            </w:r>
          </w:p>
        </w:tc>
        <w:tc>
          <w:tcPr>
            <w:tcW w:w="3960" w:type="dxa"/>
            <w:gridSpan w:val="4"/>
            <w:tcBorders>
              <w:top w:val="single" w:sz="8" w:space="0" w:color="auto"/>
              <w:left w:val="nil"/>
              <w:bottom w:val="single" w:sz="8" w:space="0" w:color="auto"/>
              <w:right w:val="nil"/>
            </w:tcBorders>
            <w:shd w:val="clear" w:color="auto" w:fill="auto"/>
            <w:tcMar>
              <w:left w:w="29" w:type="dxa"/>
              <w:right w:w="29" w:type="dxa"/>
            </w:tcMar>
            <w:vAlign w:val="center"/>
            <w:hideMark/>
          </w:tcPr>
          <w:p w14:paraId="4041150D" w14:textId="77777777" w:rsidR="002809FB" w:rsidRPr="002F293B" w:rsidRDefault="002809FB" w:rsidP="002C3B9C">
            <w:pPr>
              <w:jc w:val="center"/>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 xml:space="preserve">Recursos (miles de dólares </w:t>
            </w:r>
            <w:proofErr w:type="gramStart"/>
            <w:r w:rsidRPr="002F293B">
              <w:rPr>
                <w:rFonts w:asciiTheme="minorHAnsi" w:hAnsiTheme="minorHAnsi" w:cstheme="minorHAnsi"/>
                <w:i/>
                <w:iCs/>
                <w:color w:val="000000"/>
                <w:sz w:val="18"/>
                <w:szCs w:val="18"/>
                <w:lang w:val="es-ES"/>
              </w:rPr>
              <w:t>EE.UU.</w:t>
            </w:r>
            <w:proofErr w:type="gramEnd"/>
            <w:r w:rsidRPr="002F293B">
              <w:rPr>
                <w:rFonts w:asciiTheme="minorHAnsi" w:hAnsiTheme="minorHAnsi" w:cstheme="minorHAnsi"/>
                <w:i/>
                <w:iCs/>
                <w:color w:val="000000"/>
                <w:sz w:val="18"/>
                <w:szCs w:val="18"/>
                <w:lang w:val="es-ES"/>
              </w:rPr>
              <w:t>)</w:t>
            </w:r>
          </w:p>
        </w:tc>
        <w:tc>
          <w:tcPr>
            <w:tcW w:w="426" w:type="dxa"/>
            <w:tcBorders>
              <w:top w:val="single" w:sz="8" w:space="0" w:color="auto"/>
              <w:left w:val="nil"/>
              <w:bottom w:val="nil"/>
              <w:right w:val="nil"/>
            </w:tcBorders>
            <w:shd w:val="clear" w:color="auto" w:fill="auto"/>
            <w:tcMar>
              <w:left w:w="29" w:type="dxa"/>
              <w:right w:w="29" w:type="dxa"/>
            </w:tcMar>
            <w:vAlign w:val="center"/>
            <w:hideMark/>
          </w:tcPr>
          <w:p w14:paraId="4041150E"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 </w:t>
            </w:r>
          </w:p>
        </w:tc>
        <w:tc>
          <w:tcPr>
            <w:tcW w:w="3264" w:type="dxa"/>
            <w:gridSpan w:val="5"/>
            <w:tcBorders>
              <w:top w:val="single" w:sz="8" w:space="0" w:color="auto"/>
              <w:left w:val="nil"/>
              <w:bottom w:val="single" w:sz="8" w:space="0" w:color="auto"/>
              <w:right w:val="nil"/>
            </w:tcBorders>
            <w:shd w:val="clear" w:color="auto" w:fill="auto"/>
            <w:tcMar>
              <w:left w:w="29" w:type="dxa"/>
              <w:right w:w="29" w:type="dxa"/>
            </w:tcMar>
            <w:vAlign w:val="center"/>
            <w:hideMark/>
          </w:tcPr>
          <w:p w14:paraId="4041150F" w14:textId="77777777" w:rsidR="002809FB" w:rsidRPr="002F293B" w:rsidRDefault="002809FB" w:rsidP="0049064A">
            <w:pPr>
              <w:jc w:val="center"/>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Puestos</w:t>
            </w:r>
          </w:p>
        </w:tc>
      </w:tr>
      <w:tr w:rsidR="002809FB" w:rsidRPr="005978DF" w14:paraId="4041151B" w14:textId="77777777" w:rsidTr="002F293B">
        <w:trPr>
          <w:jc w:val="center"/>
        </w:trPr>
        <w:tc>
          <w:tcPr>
            <w:tcW w:w="1386" w:type="dxa"/>
            <w:vMerge w:val="restart"/>
            <w:tcBorders>
              <w:top w:val="nil"/>
              <w:left w:val="nil"/>
              <w:bottom w:val="single" w:sz="8" w:space="0" w:color="000000"/>
              <w:right w:val="nil"/>
            </w:tcBorders>
            <w:shd w:val="clear" w:color="auto" w:fill="auto"/>
            <w:tcMar>
              <w:left w:w="29" w:type="dxa"/>
              <w:right w:w="29" w:type="dxa"/>
            </w:tcMar>
            <w:vAlign w:val="center"/>
            <w:hideMark/>
          </w:tcPr>
          <w:p w14:paraId="40411511" w14:textId="77777777" w:rsidR="002809FB" w:rsidRPr="002F293B" w:rsidRDefault="002809FB" w:rsidP="0049064A">
            <w:pPr>
              <w:jc w:val="center"/>
              <w:rPr>
                <w:rFonts w:asciiTheme="minorHAnsi" w:hAnsiTheme="minorHAnsi" w:cstheme="minorHAnsi"/>
                <w:i/>
                <w:iCs/>
                <w:color w:val="000000"/>
                <w:sz w:val="18"/>
                <w:szCs w:val="18"/>
                <w:lang w:val="es-ES" w:eastAsia="zh-CN"/>
              </w:rPr>
            </w:pPr>
          </w:p>
        </w:tc>
        <w:tc>
          <w:tcPr>
            <w:tcW w:w="1308" w:type="dxa"/>
            <w:gridSpan w:val="3"/>
            <w:vMerge w:val="restart"/>
            <w:tcBorders>
              <w:top w:val="nil"/>
              <w:left w:val="nil"/>
              <w:bottom w:val="single" w:sz="8" w:space="0" w:color="000000"/>
              <w:right w:val="nil"/>
            </w:tcBorders>
            <w:shd w:val="clear" w:color="auto" w:fill="auto"/>
            <w:tcMar>
              <w:left w:w="29" w:type="dxa"/>
              <w:right w:w="29" w:type="dxa"/>
            </w:tcMar>
            <w:vAlign w:val="center"/>
            <w:hideMark/>
          </w:tcPr>
          <w:p w14:paraId="40411512"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2019-2020</w:t>
            </w:r>
          </w:p>
        </w:tc>
        <w:tc>
          <w:tcPr>
            <w:tcW w:w="1322" w:type="dxa"/>
            <w:vMerge w:val="restart"/>
            <w:tcBorders>
              <w:top w:val="nil"/>
              <w:left w:val="nil"/>
              <w:bottom w:val="single" w:sz="8" w:space="0" w:color="000000"/>
              <w:right w:val="nil"/>
            </w:tcBorders>
            <w:shd w:val="clear" w:color="auto" w:fill="auto"/>
            <w:tcMar>
              <w:left w:w="29" w:type="dxa"/>
              <w:right w:w="29" w:type="dxa"/>
            </w:tcMar>
            <w:vAlign w:val="center"/>
            <w:hideMark/>
          </w:tcPr>
          <w:p w14:paraId="40411513" w14:textId="77777777" w:rsidR="002809FB" w:rsidRPr="002F293B" w:rsidRDefault="005515AE" w:rsidP="0049064A">
            <w:pPr>
              <w:jc w:val="right"/>
              <w:rPr>
                <w:rFonts w:asciiTheme="minorHAnsi" w:hAnsiTheme="minorHAnsi" w:cstheme="minorHAnsi"/>
                <w:i/>
                <w:iCs/>
                <w:color w:val="000000"/>
                <w:sz w:val="18"/>
                <w:szCs w:val="18"/>
                <w:lang w:val="es-ES"/>
              </w:rPr>
            </w:pPr>
            <w:r>
              <w:rPr>
                <w:rFonts w:asciiTheme="minorHAnsi" w:hAnsiTheme="minorHAnsi" w:cstheme="minorHAnsi"/>
                <w:i/>
                <w:iCs/>
                <w:color w:val="000000"/>
                <w:sz w:val="18"/>
                <w:szCs w:val="18"/>
                <w:lang w:val="es-ES"/>
              </w:rPr>
              <w:t>CRN</w:t>
            </w:r>
            <w:r>
              <w:rPr>
                <w:rFonts w:asciiTheme="minorHAnsi" w:hAnsiTheme="minorHAnsi" w:cstheme="minorHAnsi"/>
                <w:i/>
                <w:iCs/>
                <w:color w:val="000000"/>
                <w:sz w:val="18"/>
                <w:szCs w:val="18"/>
                <w:lang w:val="es-ES"/>
              </w:rPr>
              <w:br/>
              <w:t>2023-2024</w:t>
            </w:r>
          </w:p>
        </w:tc>
        <w:tc>
          <w:tcPr>
            <w:tcW w:w="1251" w:type="dxa"/>
            <w:vMerge w:val="restart"/>
            <w:tcBorders>
              <w:top w:val="nil"/>
              <w:left w:val="nil"/>
              <w:bottom w:val="single" w:sz="8" w:space="0" w:color="000000"/>
              <w:right w:val="nil"/>
            </w:tcBorders>
            <w:shd w:val="clear" w:color="auto" w:fill="auto"/>
            <w:tcMar>
              <w:left w:w="29" w:type="dxa"/>
              <w:right w:w="29" w:type="dxa"/>
            </w:tcMar>
            <w:vAlign w:val="center"/>
            <w:hideMark/>
          </w:tcPr>
          <w:p w14:paraId="40411514"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CNN</w:t>
            </w:r>
            <w:r w:rsidRPr="002F293B">
              <w:rPr>
                <w:rFonts w:asciiTheme="minorHAnsi" w:hAnsiTheme="minorHAnsi" w:cstheme="minorHAnsi"/>
                <w:i/>
                <w:iCs/>
                <w:color w:val="000000"/>
                <w:sz w:val="18"/>
                <w:szCs w:val="18"/>
                <w:lang w:val="es-ES"/>
              </w:rPr>
              <w:br/>
              <w:t>2023-2024</w:t>
            </w:r>
          </w:p>
        </w:tc>
        <w:tc>
          <w:tcPr>
            <w:tcW w:w="403" w:type="dxa"/>
            <w:vMerge w:val="restart"/>
            <w:tcBorders>
              <w:top w:val="nil"/>
              <w:left w:val="nil"/>
              <w:bottom w:val="single" w:sz="8" w:space="0" w:color="000000"/>
              <w:right w:val="nil"/>
            </w:tcBorders>
            <w:shd w:val="clear" w:color="auto" w:fill="auto"/>
            <w:tcMar>
              <w:left w:w="29" w:type="dxa"/>
              <w:right w:w="29" w:type="dxa"/>
            </w:tcMar>
            <w:vAlign w:val="center"/>
            <w:hideMark/>
          </w:tcPr>
          <w:p w14:paraId="40411515" w14:textId="77777777" w:rsidR="002809FB" w:rsidRPr="002F293B" w:rsidRDefault="002809FB" w:rsidP="0049064A">
            <w:pPr>
              <w:jc w:val="center"/>
              <w:rPr>
                <w:rFonts w:asciiTheme="minorHAnsi" w:hAnsiTheme="minorHAnsi" w:cstheme="minorHAnsi"/>
                <w:i/>
                <w:iCs/>
                <w:color w:val="000000"/>
                <w:sz w:val="18"/>
                <w:szCs w:val="18"/>
                <w:lang w:val="es-ES" w:eastAsia="zh-CN"/>
              </w:rPr>
            </w:pPr>
          </w:p>
        </w:tc>
        <w:tc>
          <w:tcPr>
            <w:tcW w:w="1137" w:type="dxa"/>
            <w:gridSpan w:val="2"/>
            <w:vMerge w:val="restart"/>
            <w:tcBorders>
              <w:top w:val="nil"/>
              <w:left w:val="nil"/>
              <w:bottom w:val="single" w:sz="8" w:space="0" w:color="000000"/>
              <w:right w:val="nil"/>
            </w:tcBorders>
            <w:shd w:val="clear" w:color="auto" w:fill="auto"/>
            <w:tcMar>
              <w:left w:w="29" w:type="dxa"/>
              <w:right w:w="29" w:type="dxa"/>
            </w:tcMar>
            <w:vAlign w:val="center"/>
            <w:hideMark/>
          </w:tcPr>
          <w:p w14:paraId="40411516"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2019-20</w:t>
            </w:r>
          </w:p>
        </w:tc>
        <w:tc>
          <w:tcPr>
            <w:tcW w:w="423" w:type="dxa"/>
            <w:tcBorders>
              <w:top w:val="nil"/>
              <w:left w:val="nil"/>
              <w:bottom w:val="nil"/>
              <w:right w:val="nil"/>
            </w:tcBorders>
            <w:shd w:val="clear" w:color="auto" w:fill="auto"/>
            <w:tcMar>
              <w:left w:w="29" w:type="dxa"/>
              <w:right w:w="29" w:type="dxa"/>
            </w:tcMar>
            <w:vAlign w:val="center"/>
            <w:hideMark/>
          </w:tcPr>
          <w:p w14:paraId="40411517" w14:textId="77777777" w:rsidR="002809FB" w:rsidRPr="002F293B" w:rsidRDefault="002809FB" w:rsidP="0049064A">
            <w:pPr>
              <w:jc w:val="right"/>
              <w:rPr>
                <w:rFonts w:asciiTheme="minorHAnsi" w:hAnsiTheme="minorHAnsi" w:cstheme="minorHAnsi"/>
                <w:i/>
                <w:iCs/>
                <w:color w:val="000000"/>
                <w:sz w:val="18"/>
                <w:szCs w:val="18"/>
                <w:lang w:val="es-ES" w:eastAsia="zh-CN"/>
              </w:rPr>
            </w:pPr>
          </w:p>
        </w:tc>
        <w:tc>
          <w:tcPr>
            <w:tcW w:w="850" w:type="dxa"/>
            <w:vMerge w:val="restart"/>
            <w:tcBorders>
              <w:top w:val="nil"/>
              <w:left w:val="nil"/>
              <w:bottom w:val="single" w:sz="8" w:space="0" w:color="000000"/>
              <w:right w:val="nil"/>
            </w:tcBorders>
            <w:shd w:val="clear" w:color="auto" w:fill="auto"/>
            <w:tcMar>
              <w:left w:w="29" w:type="dxa"/>
              <w:right w:w="29" w:type="dxa"/>
            </w:tcMar>
            <w:vAlign w:val="center"/>
            <w:hideMark/>
          </w:tcPr>
          <w:p w14:paraId="40411518"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2021-22</w:t>
            </w:r>
          </w:p>
        </w:tc>
        <w:tc>
          <w:tcPr>
            <w:tcW w:w="425" w:type="dxa"/>
            <w:tcBorders>
              <w:top w:val="nil"/>
              <w:left w:val="nil"/>
              <w:bottom w:val="nil"/>
              <w:right w:val="nil"/>
            </w:tcBorders>
            <w:shd w:val="clear" w:color="auto" w:fill="auto"/>
            <w:tcMar>
              <w:left w:w="29" w:type="dxa"/>
              <w:right w:w="29" w:type="dxa"/>
            </w:tcMar>
            <w:vAlign w:val="center"/>
            <w:hideMark/>
          </w:tcPr>
          <w:p w14:paraId="40411519" w14:textId="77777777" w:rsidR="002809FB" w:rsidRPr="002F293B" w:rsidRDefault="002809FB" w:rsidP="0049064A">
            <w:pPr>
              <w:jc w:val="right"/>
              <w:rPr>
                <w:rFonts w:asciiTheme="minorHAnsi" w:hAnsiTheme="minorHAnsi" w:cstheme="minorHAnsi"/>
                <w:i/>
                <w:iCs/>
                <w:color w:val="000000"/>
                <w:sz w:val="18"/>
                <w:szCs w:val="18"/>
                <w:lang w:val="es-ES" w:eastAsia="zh-CN"/>
              </w:rPr>
            </w:pPr>
          </w:p>
        </w:tc>
        <w:tc>
          <w:tcPr>
            <w:tcW w:w="855" w:type="dxa"/>
            <w:vMerge w:val="restart"/>
            <w:tcBorders>
              <w:top w:val="nil"/>
              <w:left w:val="nil"/>
              <w:bottom w:val="single" w:sz="8" w:space="0" w:color="000000"/>
              <w:right w:val="nil"/>
            </w:tcBorders>
            <w:shd w:val="clear" w:color="auto" w:fill="auto"/>
            <w:tcMar>
              <w:left w:w="29" w:type="dxa"/>
              <w:right w:w="29" w:type="dxa"/>
            </w:tcMar>
            <w:vAlign w:val="center"/>
            <w:hideMark/>
          </w:tcPr>
          <w:p w14:paraId="4041151A"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2023-24</w:t>
            </w:r>
          </w:p>
        </w:tc>
      </w:tr>
      <w:tr w:rsidR="002809FB" w:rsidRPr="005978DF" w14:paraId="40411526" w14:textId="77777777" w:rsidTr="002F293B">
        <w:trPr>
          <w:jc w:val="center"/>
        </w:trPr>
        <w:tc>
          <w:tcPr>
            <w:tcW w:w="1386" w:type="dxa"/>
            <w:vMerge/>
            <w:tcBorders>
              <w:top w:val="nil"/>
              <w:left w:val="nil"/>
              <w:bottom w:val="single" w:sz="8" w:space="0" w:color="000000"/>
              <w:right w:val="nil"/>
            </w:tcBorders>
            <w:tcMar>
              <w:left w:w="29" w:type="dxa"/>
              <w:right w:w="29" w:type="dxa"/>
            </w:tcMar>
            <w:vAlign w:val="center"/>
            <w:hideMark/>
          </w:tcPr>
          <w:p w14:paraId="4041151C"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1308" w:type="dxa"/>
            <w:gridSpan w:val="3"/>
            <w:vMerge/>
            <w:tcBorders>
              <w:top w:val="nil"/>
              <w:left w:val="nil"/>
              <w:bottom w:val="single" w:sz="8" w:space="0" w:color="000000"/>
              <w:right w:val="nil"/>
            </w:tcBorders>
            <w:tcMar>
              <w:left w:w="29" w:type="dxa"/>
              <w:right w:w="29" w:type="dxa"/>
            </w:tcMar>
            <w:vAlign w:val="center"/>
            <w:hideMark/>
          </w:tcPr>
          <w:p w14:paraId="4041151D"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1322" w:type="dxa"/>
            <w:vMerge/>
            <w:tcBorders>
              <w:top w:val="nil"/>
              <w:left w:val="nil"/>
              <w:bottom w:val="single" w:sz="8" w:space="0" w:color="000000"/>
              <w:right w:val="nil"/>
            </w:tcBorders>
            <w:tcMar>
              <w:left w:w="29" w:type="dxa"/>
              <w:right w:w="29" w:type="dxa"/>
            </w:tcMar>
            <w:vAlign w:val="center"/>
            <w:hideMark/>
          </w:tcPr>
          <w:p w14:paraId="4041151E"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1251" w:type="dxa"/>
            <w:vMerge/>
            <w:tcBorders>
              <w:top w:val="nil"/>
              <w:left w:val="nil"/>
              <w:bottom w:val="single" w:sz="8" w:space="0" w:color="000000"/>
              <w:right w:val="nil"/>
            </w:tcBorders>
            <w:tcMar>
              <w:left w:w="29" w:type="dxa"/>
              <w:right w:w="29" w:type="dxa"/>
            </w:tcMar>
            <w:vAlign w:val="center"/>
            <w:hideMark/>
          </w:tcPr>
          <w:p w14:paraId="4041151F"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403" w:type="dxa"/>
            <w:vMerge/>
            <w:tcBorders>
              <w:top w:val="nil"/>
              <w:left w:val="nil"/>
              <w:bottom w:val="single" w:sz="8" w:space="0" w:color="000000"/>
              <w:right w:val="nil"/>
            </w:tcBorders>
            <w:tcMar>
              <w:left w:w="29" w:type="dxa"/>
              <w:right w:w="29" w:type="dxa"/>
            </w:tcMar>
            <w:vAlign w:val="center"/>
            <w:hideMark/>
          </w:tcPr>
          <w:p w14:paraId="40411520"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1137" w:type="dxa"/>
            <w:gridSpan w:val="2"/>
            <w:vMerge/>
            <w:tcBorders>
              <w:top w:val="nil"/>
              <w:left w:val="nil"/>
              <w:bottom w:val="single" w:sz="8" w:space="0" w:color="000000"/>
              <w:right w:val="nil"/>
            </w:tcBorders>
            <w:tcMar>
              <w:left w:w="29" w:type="dxa"/>
              <w:right w:w="29" w:type="dxa"/>
            </w:tcMar>
            <w:vAlign w:val="center"/>
            <w:hideMark/>
          </w:tcPr>
          <w:p w14:paraId="40411521"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423" w:type="dxa"/>
            <w:tcBorders>
              <w:top w:val="nil"/>
              <w:left w:val="nil"/>
              <w:bottom w:val="single" w:sz="8" w:space="0" w:color="auto"/>
              <w:right w:val="nil"/>
            </w:tcBorders>
            <w:shd w:val="clear" w:color="auto" w:fill="auto"/>
            <w:tcMar>
              <w:left w:w="29" w:type="dxa"/>
              <w:right w:w="29" w:type="dxa"/>
            </w:tcMar>
            <w:vAlign w:val="center"/>
            <w:hideMark/>
          </w:tcPr>
          <w:p w14:paraId="40411522"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 </w:t>
            </w:r>
          </w:p>
        </w:tc>
        <w:tc>
          <w:tcPr>
            <w:tcW w:w="850" w:type="dxa"/>
            <w:vMerge/>
            <w:tcBorders>
              <w:top w:val="nil"/>
              <w:left w:val="nil"/>
              <w:bottom w:val="single" w:sz="8" w:space="0" w:color="000000"/>
              <w:right w:val="nil"/>
            </w:tcBorders>
            <w:tcMar>
              <w:left w:w="29" w:type="dxa"/>
              <w:right w:w="29" w:type="dxa"/>
            </w:tcMar>
            <w:vAlign w:val="center"/>
            <w:hideMark/>
          </w:tcPr>
          <w:p w14:paraId="40411523"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425" w:type="dxa"/>
            <w:tcBorders>
              <w:top w:val="nil"/>
              <w:left w:val="nil"/>
              <w:bottom w:val="single" w:sz="8" w:space="0" w:color="auto"/>
              <w:right w:val="nil"/>
            </w:tcBorders>
            <w:shd w:val="clear" w:color="auto" w:fill="auto"/>
            <w:tcMar>
              <w:left w:w="29" w:type="dxa"/>
              <w:right w:w="29" w:type="dxa"/>
            </w:tcMar>
            <w:vAlign w:val="center"/>
            <w:hideMark/>
          </w:tcPr>
          <w:p w14:paraId="40411524" w14:textId="77777777" w:rsidR="002809FB" w:rsidRPr="002F293B" w:rsidRDefault="002809FB" w:rsidP="0049064A">
            <w:pPr>
              <w:jc w:val="right"/>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 </w:t>
            </w:r>
          </w:p>
        </w:tc>
        <w:tc>
          <w:tcPr>
            <w:tcW w:w="855" w:type="dxa"/>
            <w:vMerge/>
            <w:tcBorders>
              <w:top w:val="nil"/>
              <w:left w:val="nil"/>
              <w:bottom w:val="single" w:sz="8" w:space="0" w:color="000000"/>
              <w:right w:val="nil"/>
            </w:tcBorders>
            <w:tcMar>
              <w:left w:w="29" w:type="dxa"/>
              <w:right w:w="29" w:type="dxa"/>
            </w:tcMar>
            <w:vAlign w:val="center"/>
            <w:hideMark/>
          </w:tcPr>
          <w:p w14:paraId="40411525" w14:textId="77777777" w:rsidR="002809FB" w:rsidRPr="002F293B" w:rsidRDefault="002809FB" w:rsidP="0049064A">
            <w:pPr>
              <w:rPr>
                <w:rFonts w:asciiTheme="minorHAnsi" w:hAnsiTheme="minorHAnsi" w:cstheme="minorHAnsi"/>
                <w:i/>
                <w:iCs/>
                <w:color w:val="000000"/>
                <w:sz w:val="18"/>
                <w:szCs w:val="18"/>
                <w:lang w:val="es-ES" w:eastAsia="zh-CN"/>
              </w:rPr>
            </w:pPr>
          </w:p>
        </w:tc>
      </w:tr>
      <w:tr w:rsidR="002809FB" w:rsidRPr="005978DF" w14:paraId="40411531" w14:textId="77777777" w:rsidTr="002F293B">
        <w:trPr>
          <w:jc w:val="center"/>
        </w:trPr>
        <w:tc>
          <w:tcPr>
            <w:tcW w:w="1620" w:type="dxa"/>
            <w:gridSpan w:val="2"/>
            <w:tcBorders>
              <w:top w:val="nil"/>
              <w:left w:val="nil"/>
              <w:bottom w:val="nil"/>
              <w:right w:val="nil"/>
            </w:tcBorders>
            <w:shd w:val="clear" w:color="auto" w:fill="auto"/>
            <w:tcMar>
              <w:left w:w="29" w:type="dxa"/>
              <w:right w:w="29" w:type="dxa"/>
            </w:tcMar>
            <w:vAlign w:val="center"/>
            <w:hideMark/>
          </w:tcPr>
          <w:p w14:paraId="40411527" w14:textId="77777777" w:rsidR="002809FB" w:rsidRPr="002F293B" w:rsidRDefault="002809FB" w:rsidP="0049064A">
            <w:pPr>
              <w:rPr>
                <w:rFonts w:asciiTheme="minorHAnsi" w:hAnsiTheme="minorHAnsi" w:cstheme="minorHAnsi"/>
                <w:i/>
                <w:iCs/>
                <w:color w:val="000000"/>
                <w:sz w:val="18"/>
                <w:szCs w:val="18"/>
                <w:lang w:val="es-ES"/>
              </w:rPr>
            </w:pPr>
            <w:r w:rsidRPr="002F293B">
              <w:rPr>
                <w:rFonts w:asciiTheme="minorHAnsi" w:hAnsiTheme="minorHAnsi" w:cstheme="minorHAnsi"/>
                <w:i/>
                <w:iCs/>
                <w:color w:val="000000"/>
                <w:sz w:val="18"/>
                <w:szCs w:val="18"/>
                <w:lang w:val="es-ES"/>
              </w:rPr>
              <w:t>Presupuesto básico</w:t>
            </w:r>
          </w:p>
        </w:tc>
        <w:tc>
          <w:tcPr>
            <w:tcW w:w="1074" w:type="dxa"/>
            <w:gridSpan w:val="2"/>
            <w:tcBorders>
              <w:top w:val="nil"/>
              <w:left w:val="nil"/>
              <w:bottom w:val="nil"/>
              <w:right w:val="nil"/>
            </w:tcBorders>
            <w:shd w:val="clear" w:color="auto" w:fill="auto"/>
            <w:tcMar>
              <w:left w:w="29" w:type="dxa"/>
              <w:right w:w="29" w:type="dxa"/>
            </w:tcMar>
            <w:vAlign w:val="center"/>
            <w:hideMark/>
          </w:tcPr>
          <w:p w14:paraId="40411528" w14:textId="77777777" w:rsidR="002809FB" w:rsidRPr="002F293B" w:rsidRDefault="002809FB" w:rsidP="0049064A">
            <w:pPr>
              <w:rPr>
                <w:rFonts w:asciiTheme="minorHAnsi" w:hAnsiTheme="minorHAnsi" w:cstheme="minorHAnsi"/>
                <w:i/>
                <w:iCs/>
                <w:color w:val="000000"/>
                <w:sz w:val="18"/>
                <w:szCs w:val="18"/>
                <w:lang w:val="es-ES" w:eastAsia="zh-CN"/>
              </w:rPr>
            </w:pPr>
          </w:p>
        </w:tc>
        <w:tc>
          <w:tcPr>
            <w:tcW w:w="1322" w:type="dxa"/>
            <w:tcBorders>
              <w:top w:val="nil"/>
              <w:left w:val="nil"/>
              <w:bottom w:val="nil"/>
              <w:right w:val="nil"/>
            </w:tcBorders>
            <w:shd w:val="clear" w:color="auto" w:fill="auto"/>
            <w:tcMar>
              <w:left w:w="29" w:type="dxa"/>
              <w:right w:w="29" w:type="dxa"/>
            </w:tcMar>
            <w:vAlign w:val="center"/>
            <w:hideMark/>
          </w:tcPr>
          <w:p w14:paraId="40411529" w14:textId="77777777" w:rsidR="002809FB" w:rsidRPr="002F293B" w:rsidRDefault="002809FB" w:rsidP="0049064A">
            <w:pPr>
              <w:rPr>
                <w:rFonts w:asciiTheme="minorHAnsi" w:hAnsiTheme="minorHAnsi" w:cstheme="minorHAnsi"/>
                <w:sz w:val="18"/>
                <w:szCs w:val="18"/>
                <w:lang w:val="es-ES" w:eastAsia="zh-CN"/>
              </w:rPr>
            </w:pPr>
          </w:p>
        </w:tc>
        <w:tc>
          <w:tcPr>
            <w:tcW w:w="1251" w:type="dxa"/>
            <w:tcBorders>
              <w:top w:val="nil"/>
              <w:left w:val="nil"/>
              <w:bottom w:val="nil"/>
              <w:right w:val="nil"/>
            </w:tcBorders>
            <w:shd w:val="clear" w:color="auto" w:fill="auto"/>
            <w:tcMar>
              <w:left w:w="29" w:type="dxa"/>
              <w:right w:w="29" w:type="dxa"/>
            </w:tcMar>
            <w:vAlign w:val="center"/>
            <w:hideMark/>
          </w:tcPr>
          <w:p w14:paraId="4041152A" w14:textId="77777777" w:rsidR="002809FB" w:rsidRPr="002F293B" w:rsidRDefault="002809FB" w:rsidP="0049064A">
            <w:pPr>
              <w:rPr>
                <w:rFonts w:asciiTheme="minorHAnsi" w:hAnsiTheme="minorHAnsi" w:cstheme="minorHAnsi"/>
                <w:sz w:val="18"/>
                <w:szCs w:val="18"/>
                <w:lang w:val="es-ES" w:eastAsia="zh-CN"/>
              </w:rPr>
            </w:pPr>
          </w:p>
        </w:tc>
        <w:tc>
          <w:tcPr>
            <w:tcW w:w="403" w:type="dxa"/>
            <w:tcBorders>
              <w:top w:val="nil"/>
              <w:left w:val="nil"/>
              <w:bottom w:val="nil"/>
              <w:right w:val="nil"/>
            </w:tcBorders>
            <w:shd w:val="clear" w:color="auto" w:fill="auto"/>
            <w:noWrap/>
            <w:tcMar>
              <w:left w:w="29" w:type="dxa"/>
              <w:right w:w="29" w:type="dxa"/>
            </w:tcMar>
            <w:vAlign w:val="bottom"/>
            <w:hideMark/>
          </w:tcPr>
          <w:p w14:paraId="4041152B" w14:textId="77777777" w:rsidR="002809FB" w:rsidRPr="002F293B" w:rsidRDefault="002809FB" w:rsidP="0049064A">
            <w:pPr>
              <w:rPr>
                <w:rFonts w:asciiTheme="minorHAnsi" w:hAnsiTheme="minorHAnsi" w:cstheme="minorHAnsi"/>
                <w:sz w:val="18"/>
                <w:szCs w:val="18"/>
                <w:lang w:val="es-ES" w:eastAsia="zh-CN"/>
              </w:rPr>
            </w:pPr>
          </w:p>
        </w:tc>
        <w:tc>
          <w:tcPr>
            <w:tcW w:w="1137" w:type="dxa"/>
            <w:gridSpan w:val="2"/>
            <w:tcBorders>
              <w:top w:val="nil"/>
              <w:left w:val="nil"/>
              <w:bottom w:val="nil"/>
              <w:right w:val="nil"/>
            </w:tcBorders>
            <w:shd w:val="clear" w:color="auto" w:fill="auto"/>
            <w:noWrap/>
            <w:tcMar>
              <w:left w:w="29" w:type="dxa"/>
              <w:right w:w="29" w:type="dxa"/>
            </w:tcMar>
            <w:vAlign w:val="bottom"/>
            <w:hideMark/>
          </w:tcPr>
          <w:p w14:paraId="4041152C" w14:textId="77777777" w:rsidR="002809FB" w:rsidRPr="002F293B" w:rsidRDefault="002809FB" w:rsidP="0049064A">
            <w:pPr>
              <w:rPr>
                <w:rFonts w:asciiTheme="minorHAnsi" w:hAnsiTheme="minorHAnsi" w:cstheme="minorHAnsi"/>
                <w:sz w:val="18"/>
                <w:szCs w:val="18"/>
                <w:lang w:val="es-ES" w:eastAsia="zh-CN"/>
              </w:rPr>
            </w:pPr>
          </w:p>
        </w:tc>
        <w:tc>
          <w:tcPr>
            <w:tcW w:w="423" w:type="dxa"/>
            <w:tcBorders>
              <w:top w:val="nil"/>
              <w:left w:val="nil"/>
              <w:bottom w:val="nil"/>
              <w:right w:val="nil"/>
            </w:tcBorders>
            <w:shd w:val="clear" w:color="auto" w:fill="auto"/>
            <w:noWrap/>
            <w:tcMar>
              <w:left w:w="29" w:type="dxa"/>
              <w:right w:w="29" w:type="dxa"/>
            </w:tcMar>
            <w:vAlign w:val="bottom"/>
            <w:hideMark/>
          </w:tcPr>
          <w:p w14:paraId="4041152D" w14:textId="77777777" w:rsidR="002809FB" w:rsidRPr="002F293B" w:rsidRDefault="002809FB" w:rsidP="0049064A">
            <w:pPr>
              <w:rPr>
                <w:rFonts w:asciiTheme="minorHAnsi" w:hAnsiTheme="minorHAnsi" w:cstheme="minorHAnsi"/>
                <w:sz w:val="18"/>
                <w:szCs w:val="18"/>
                <w:lang w:val="es-ES" w:eastAsia="zh-CN"/>
              </w:rPr>
            </w:pPr>
          </w:p>
        </w:tc>
        <w:tc>
          <w:tcPr>
            <w:tcW w:w="850" w:type="dxa"/>
            <w:tcBorders>
              <w:top w:val="nil"/>
              <w:left w:val="nil"/>
              <w:bottom w:val="nil"/>
              <w:right w:val="nil"/>
            </w:tcBorders>
            <w:shd w:val="clear" w:color="auto" w:fill="auto"/>
            <w:noWrap/>
            <w:tcMar>
              <w:left w:w="29" w:type="dxa"/>
              <w:right w:w="29" w:type="dxa"/>
            </w:tcMar>
            <w:vAlign w:val="bottom"/>
            <w:hideMark/>
          </w:tcPr>
          <w:p w14:paraId="4041152E" w14:textId="77777777" w:rsidR="002809FB" w:rsidRPr="002F293B" w:rsidRDefault="002809FB" w:rsidP="0049064A">
            <w:pPr>
              <w:rPr>
                <w:rFonts w:asciiTheme="minorHAnsi" w:hAnsiTheme="minorHAnsi" w:cstheme="minorHAnsi"/>
                <w:sz w:val="18"/>
                <w:szCs w:val="18"/>
                <w:lang w:val="es-ES" w:eastAsia="zh-CN"/>
              </w:rPr>
            </w:pPr>
          </w:p>
        </w:tc>
        <w:tc>
          <w:tcPr>
            <w:tcW w:w="425" w:type="dxa"/>
            <w:tcBorders>
              <w:top w:val="nil"/>
              <w:left w:val="nil"/>
              <w:bottom w:val="nil"/>
              <w:right w:val="nil"/>
            </w:tcBorders>
            <w:shd w:val="clear" w:color="auto" w:fill="auto"/>
            <w:noWrap/>
            <w:tcMar>
              <w:left w:w="29" w:type="dxa"/>
              <w:right w:w="29" w:type="dxa"/>
            </w:tcMar>
            <w:vAlign w:val="bottom"/>
            <w:hideMark/>
          </w:tcPr>
          <w:p w14:paraId="4041152F" w14:textId="77777777" w:rsidR="002809FB" w:rsidRPr="002F293B" w:rsidRDefault="002809FB" w:rsidP="0049064A">
            <w:pPr>
              <w:rPr>
                <w:rFonts w:asciiTheme="minorHAnsi" w:hAnsiTheme="minorHAnsi" w:cstheme="minorHAnsi"/>
                <w:sz w:val="18"/>
                <w:szCs w:val="18"/>
                <w:lang w:val="es-ES" w:eastAsia="zh-CN"/>
              </w:rPr>
            </w:pPr>
          </w:p>
        </w:tc>
        <w:tc>
          <w:tcPr>
            <w:tcW w:w="855" w:type="dxa"/>
            <w:tcBorders>
              <w:top w:val="nil"/>
              <w:left w:val="nil"/>
              <w:bottom w:val="nil"/>
              <w:right w:val="nil"/>
            </w:tcBorders>
            <w:shd w:val="clear" w:color="auto" w:fill="auto"/>
            <w:noWrap/>
            <w:tcMar>
              <w:left w:w="29" w:type="dxa"/>
              <w:right w:w="29" w:type="dxa"/>
            </w:tcMar>
            <w:vAlign w:val="bottom"/>
            <w:hideMark/>
          </w:tcPr>
          <w:p w14:paraId="40411530" w14:textId="77777777" w:rsidR="002809FB" w:rsidRPr="002F293B" w:rsidRDefault="002809FB" w:rsidP="0049064A">
            <w:pPr>
              <w:rPr>
                <w:rFonts w:asciiTheme="minorHAnsi" w:hAnsiTheme="minorHAnsi" w:cstheme="minorHAnsi"/>
                <w:sz w:val="18"/>
                <w:szCs w:val="18"/>
                <w:lang w:val="es-ES" w:eastAsia="zh-CN"/>
              </w:rPr>
            </w:pPr>
          </w:p>
        </w:tc>
      </w:tr>
      <w:tr w:rsidR="002809FB" w:rsidRPr="005978DF" w14:paraId="4041153C" w14:textId="77777777" w:rsidTr="002F293B">
        <w:trPr>
          <w:jc w:val="center"/>
        </w:trPr>
        <w:tc>
          <w:tcPr>
            <w:tcW w:w="1620" w:type="dxa"/>
            <w:gridSpan w:val="2"/>
            <w:tcBorders>
              <w:top w:val="nil"/>
              <w:left w:val="nil"/>
              <w:bottom w:val="nil"/>
              <w:right w:val="nil"/>
            </w:tcBorders>
            <w:shd w:val="clear" w:color="auto" w:fill="auto"/>
            <w:tcMar>
              <w:left w:w="29" w:type="dxa"/>
              <w:right w:w="29" w:type="dxa"/>
            </w:tcMar>
            <w:vAlign w:val="center"/>
            <w:hideMark/>
          </w:tcPr>
          <w:p w14:paraId="40411532" w14:textId="77777777" w:rsidR="002809FB" w:rsidRPr="002F293B" w:rsidRDefault="002809FB" w:rsidP="0049064A">
            <w:pPr>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Relativos a puestos</w:t>
            </w:r>
          </w:p>
        </w:tc>
        <w:tc>
          <w:tcPr>
            <w:tcW w:w="1074" w:type="dxa"/>
            <w:gridSpan w:val="2"/>
            <w:tcBorders>
              <w:top w:val="nil"/>
              <w:left w:val="nil"/>
              <w:bottom w:val="nil"/>
              <w:right w:val="nil"/>
            </w:tcBorders>
            <w:shd w:val="clear" w:color="auto" w:fill="auto"/>
            <w:tcMar>
              <w:left w:w="29" w:type="dxa"/>
              <w:right w:w="29" w:type="dxa"/>
            </w:tcMar>
            <w:vAlign w:val="center"/>
            <w:hideMark/>
          </w:tcPr>
          <w:p w14:paraId="40411533"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5 842,1</w:t>
            </w:r>
          </w:p>
        </w:tc>
        <w:tc>
          <w:tcPr>
            <w:tcW w:w="1322" w:type="dxa"/>
            <w:tcBorders>
              <w:top w:val="nil"/>
              <w:left w:val="nil"/>
              <w:bottom w:val="nil"/>
              <w:right w:val="nil"/>
            </w:tcBorders>
            <w:shd w:val="clear" w:color="auto" w:fill="auto"/>
            <w:tcMar>
              <w:left w:w="29" w:type="dxa"/>
              <w:right w:w="29" w:type="dxa"/>
            </w:tcMar>
            <w:vAlign w:val="center"/>
            <w:hideMark/>
          </w:tcPr>
          <w:p w14:paraId="40411534"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6 661,3</w:t>
            </w:r>
          </w:p>
        </w:tc>
        <w:tc>
          <w:tcPr>
            <w:tcW w:w="1251" w:type="dxa"/>
            <w:tcBorders>
              <w:top w:val="nil"/>
              <w:left w:val="nil"/>
              <w:bottom w:val="nil"/>
              <w:right w:val="nil"/>
            </w:tcBorders>
            <w:shd w:val="clear" w:color="auto" w:fill="auto"/>
            <w:tcMar>
              <w:left w:w="29" w:type="dxa"/>
              <w:right w:w="29" w:type="dxa"/>
            </w:tcMar>
            <w:vAlign w:val="center"/>
            <w:hideMark/>
          </w:tcPr>
          <w:p w14:paraId="40411535"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5 718,7</w:t>
            </w:r>
          </w:p>
        </w:tc>
        <w:tc>
          <w:tcPr>
            <w:tcW w:w="403" w:type="dxa"/>
            <w:tcBorders>
              <w:top w:val="nil"/>
              <w:left w:val="nil"/>
              <w:bottom w:val="nil"/>
              <w:right w:val="nil"/>
            </w:tcBorders>
            <w:shd w:val="clear" w:color="auto" w:fill="auto"/>
            <w:tcMar>
              <w:left w:w="29" w:type="dxa"/>
              <w:right w:w="29" w:type="dxa"/>
            </w:tcMar>
            <w:vAlign w:val="bottom"/>
            <w:hideMark/>
          </w:tcPr>
          <w:p w14:paraId="40411536" w14:textId="77777777" w:rsidR="002809FB" w:rsidRPr="002F293B" w:rsidRDefault="002809FB" w:rsidP="0049064A">
            <w:pPr>
              <w:jc w:val="right"/>
              <w:rPr>
                <w:rFonts w:asciiTheme="minorHAnsi" w:hAnsiTheme="minorHAnsi" w:cstheme="minorHAnsi"/>
                <w:color w:val="000000"/>
                <w:sz w:val="18"/>
                <w:szCs w:val="18"/>
                <w:lang w:val="es-ES" w:eastAsia="zh-CN"/>
              </w:rPr>
            </w:pPr>
          </w:p>
        </w:tc>
        <w:tc>
          <w:tcPr>
            <w:tcW w:w="1137" w:type="dxa"/>
            <w:gridSpan w:val="2"/>
            <w:tcBorders>
              <w:top w:val="nil"/>
              <w:left w:val="nil"/>
              <w:bottom w:val="nil"/>
              <w:right w:val="nil"/>
            </w:tcBorders>
            <w:shd w:val="clear" w:color="auto" w:fill="auto"/>
            <w:tcMar>
              <w:left w:w="29" w:type="dxa"/>
              <w:right w:w="29" w:type="dxa"/>
            </w:tcMar>
            <w:vAlign w:val="center"/>
            <w:hideMark/>
          </w:tcPr>
          <w:p w14:paraId="40411537"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18,5</w:t>
            </w:r>
          </w:p>
        </w:tc>
        <w:tc>
          <w:tcPr>
            <w:tcW w:w="423" w:type="dxa"/>
            <w:tcBorders>
              <w:top w:val="nil"/>
              <w:left w:val="nil"/>
              <w:bottom w:val="nil"/>
              <w:right w:val="nil"/>
            </w:tcBorders>
            <w:shd w:val="clear" w:color="auto" w:fill="auto"/>
            <w:tcMar>
              <w:left w:w="29" w:type="dxa"/>
              <w:right w:w="29" w:type="dxa"/>
            </w:tcMar>
            <w:vAlign w:val="bottom"/>
            <w:hideMark/>
          </w:tcPr>
          <w:p w14:paraId="40411538" w14:textId="77777777" w:rsidR="002809FB" w:rsidRPr="002F293B" w:rsidRDefault="002809FB" w:rsidP="0049064A">
            <w:pPr>
              <w:jc w:val="right"/>
              <w:rPr>
                <w:rFonts w:asciiTheme="minorHAnsi" w:hAnsiTheme="minorHAnsi" w:cstheme="minorHAnsi"/>
                <w:color w:val="000000"/>
                <w:sz w:val="18"/>
                <w:szCs w:val="18"/>
                <w:lang w:val="es-ES" w:eastAsia="zh-CN"/>
              </w:rPr>
            </w:pPr>
          </w:p>
        </w:tc>
        <w:tc>
          <w:tcPr>
            <w:tcW w:w="850" w:type="dxa"/>
            <w:tcBorders>
              <w:top w:val="nil"/>
              <w:left w:val="nil"/>
              <w:bottom w:val="nil"/>
              <w:right w:val="nil"/>
            </w:tcBorders>
            <w:shd w:val="clear" w:color="auto" w:fill="auto"/>
            <w:tcMar>
              <w:left w:w="29" w:type="dxa"/>
              <w:right w:w="29" w:type="dxa"/>
            </w:tcMar>
            <w:vAlign w:val="center"/>
            <w:hideMark/>
          </w:tcPr>
          <w:p w14:paraId="40411539"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18,5</w:t>
            </w:r>
          </w:p>
        </w:tc>
        <w:tc>
          <w:tcPr>
            <w:tcW w:w="425" w:type="dxa"/>
            <w:tcBorders>
              <w:top w:val="nil"/>
              <w:left w:val="nil"/>
              <w:bottom w:val="nil"/>
              <w:right w:val="nil"/>
            </w:tcBorders>
            <w:shd w:val="clear" w:color="auto" w:fill="auto"/>
            <w:tcMar>
              <w:left w:w="29" w:type="dxa"/>
              <w:right w:w="29" w:type="dxa"/>
            </w:tcMar>
            <w:vAlign w:val="bottom"/>
            <w:hideMark/>
          </w:tcPr>
          <w:p w14:paraId="4041153A" w14:textId="77777777" w:rsidR="002809FB" w:rsidRPr="002F293B" w:rsidRDefault="002809FB" w:rsidP="0049064A">
            <w:pPr>
              <w:jc w:val="right"/>
              <w:rPr>
                <w:rFonts w:asciiTheme="minorHAnsi" w:hAnsiTheme="minorHAnsi" w:cstheme="minorHAnsi"/>
                <w:color w:val="000000"/>
                <w:sz w:val="18"/>
                <w:szCs w:val="18"/>
                <w:lang w:val="es-ES" w:eastAsia="zh-CN"/>
              </w:rPr>
            </w:pPr>
          </w:p>
        </w:tc>
        <w:tc>
          <w:tcPr>
            <w:tcW w:w="855" w:type="dxa"/>
            <w:tcBorders>
              <w:top w:val="nil"/>
              <w:left w:val="nil"/>
              <w:bottom w:val="nil"/>
              <w:right w:val="nil"/>
            </w:tcBorders>
            <w:shd w:val="clear" w:color="auto" w:fill="auto"/>
            <w:tcMar>
              <w:left w:w="29" w:type="dxa"/>
              <w:right w:w="29" w:type="dxa"/>
            </w:tcMar>
            <w:vAlign w:val="center"/>
            <w:hideMark/>
          </w:tcPr>
          <w:p w14:paraId="4041153B"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21</w:t>
            </w:r>
          </w:p>
        </w:tc>
      </w:tr>
      <w:tr w:rsidR="002809FB" w:rsidRPr="005978DF" w14:paraId="40411547" w14:textId="77777777" w:rsidTr="002F293B">
        <w:trPr>
          <w:jc w:val="center"/>
        </w:trPr>
        <w:tc>
          <w:tcPr>
            <w:tcW w:w="1620" w:type="dxa"/>
            <w:gridSpan w:val="2"/>
            <w:tcBorders>
              <w:top w:val="nil"/>
              <w:left w:val="nil"/>
              <w:bottom w:val="nil"/>
              <w:right w:val="nil"/>
            </w:tcBorders>
            <w:shd w:val="clear" w:color="auto" w:fill="auto"/>
            <w:tcMar>
              <w:left w:w="29" w:type="dxa"/>
              <w:right w:w="29" w:type="dxa"/>
            </w:tcMar>
            <w:vAlign w:val="center"/>
            <w:hideMark/>
          </w:tcPr>
          <w:p w14:paraId="4041153D" w14:textId="77777777" w:rsidR="002809FB" w:rsidRPr="002F293B" w:rsidRDefault="002809FB" w:rsidP="0049064A">
            <w:pPr>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No relativos a puestos</w:t>
            </w:r>
          </w:p>
        </w:tc>
        <w:tc>
          <w:tcPr>
            <w:tcW w:w="1074" w:type="dxa"/>
            <w:gridSpan w:val="2"/>
            <w:tcBorders>
              <w:top w:val="nil"/>
              <w:left w:val="nil"/>
              <w:bottom w:val="nil"/>
              <w:right w:val="nil"/>
            </w:tcBorders>
            <w:shd w:val="clear" w:color="auto" w:fill="auto"/>
            <w:tcMar>
              <w:left w:w="29" w:type="dxa"/>
              <w:right w:w="29" w:type="dxa"/>
            </w:tcMar>
            <w:vAlign w:val="center"/>
            <w:hideMark/>
          </w:tcPr>
          <w:p w14:paraId="4041153E" w14:textId="77777777" w:rsidR="002809FB" w:rsidRPr="002F293B" w:rsidRDefault="002809FB" w:rsidP="0049064A">
            <w:pPr>
              <w:rPr>
                <w:rFonts w:asciiTheme="minorHAnsi" w:hAnsiTheme="minorHAnsi" w:cstheme="minorHAnsi"/>
                <w:color w:val="000000"/>
                <w:sz w:val="18"/>
                <w:szCs w:val="18"/>
                <w:lang w:val="es-ES" w:eastAsia="zh-CN"/>
              </w:rPr>
            </w:pPr>
          </w:p>
        </w:tc>
        <w:tc>
          <w:tcPr>
            <w:tcW w:w="1322" w:type="dxa"/>
            <w:tcBorders>
              <w:top w:val="nil"/>
              <w:left w:val="nil"/>
              <w:bottom w:val="nil"/>
              <w:right w:val="nil"/>
            </w:tcBorders>
            <w:shd w:val="clear" w:color="auto" w:fill="auto"/>
            <w:tcMar>
              <w:left w:w="29" w:type="dxa"/>
              <w:right w:w="29" w:type="dxa"/>
            </w:tcMar>
            <w:vAlign w:val="center"/>
            <w:hideMark/>
          </w:tcPr>
          <w:p w14:paraId="4041153F"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100,0</w:t>
            </w:r>
          </w:p>
        </w:tc>
        <w:tc>
          <w:tcPr>
            <w:tcW w:w="1251" w:type="dxa"/>
            <w:tcBorders>
              <w:top w:val="nil"/>
              <w:left w:val="nil"/>
              <w:bottom w:val="nil"/>
              <w:right w:val="nil"/>
            </w:tcBorders>
            <w:shd w:val="clear" w:color="auto" w:fill="auto"/>
            <w:tcMar>
              <w:left w:w="29" w:type="dxa"/>
              <w:right w:w="29" w:type="dxa"/>
            </w:tcMar>
            <w:vAlign w:val="center"/>
            <w:hideMark/>
          </w:tcPr>
          <w:p w14:paraId="40411540"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100,0</w:t>
            </w:r>
          </w:p>
        </w:tc>
        <w:tc>
          <w:tcPr>
            <w:tcW w:w="403" w:type="dxa"/>
            <w:tcBorders>
              <w:top w:val="nil"/>
              <w:left w:val="nil"/>
              <w:bottom w:val="nil"/>
              <w:right w:val="nil"/>
            </w:tcBorders>
            <w:shd w:val="clear" w:color="auto" w:fill="auto"/>
            <w:tcMar>
              <w:left w:w="29" w:type="dxa"/>
              <w:right w:w="29" w:type="dxa"/>
            </w:tcMar>
            <w:vAlign w:val="center"/>
            <w:hideMark/>
          </w:tcPr>
          <w:p w14:paraId="40411541" w14:textId="77777777" w:rsidR="002809FB" w:rsidRPr="002F293B" w:rsidRDefault="002809FB" w:rsidP="0049064A">
            <w:pPr>
              <w:rPr>
                <w:rFonts w:asciiTheme="minorHAnsi" w:hAnsiTheme="minorHAnsi" w:cstheme="minorHAnsi"/>
                <w:color w:val="000000"/>
                <w:sz w:val="16"/>
                <w:szCs w:val="16"/>
                <w:lang w:val="es-ES"/>
              </w:rPr>
            </w:pPr>
            <w:r w:rsidRPr="002F293B">
              <w:rPr>
                <w:rFonts w:asciiTheme="minorHAnsi" w:hAnsiTheme="minorHAnsi" w:cstheme="minorHAnsi"/>
                <w:color w:val="000000"/>
                <w:sz w:val="16"/>
                <w:szCs w:val="16"/>
                <w:lang w:val="es-ES"/>
              </w:rPr>
              <w:t>a/</w:t>
            </w:r>
          </w:p>
        </w:tc>
        <w:tc>
          <w:tcPr>
            <w:tcW w:w="1137" w:type="dxa"/>
            <w:gridSpan w:val="2"/>
            <w:tcBorders>
              <w:top w:val="nil"/>
              <w:left w:val="nil"/>
              <w:bottom w:val="nil"/>
              <w:right w:val="nil"/>
            </w:tcBorders>
            <w:shd w:val="clear" w:color="auto" w:fill="auto"/>
            <w:tcMar>
              <w:left w:w="29" w:type="dxa"/>
              <w:right w:w="29" w:type="dxa"/>
            </w:tcMar>
            <w:vAlign w:val="bottom"/>
            <w:hideMark/>
          </w:tcPr>
          <w:p w14:paraId="40411542" w14:textId="77777777" w:rsidR="002809FB" w:rsidRPr="002F293B" w:rsidRDefault="002809FB" w:rsidP="0049064A">
            <w:pPr>
              <w:rPr>
                <w:rFonts w:asciiTheme="minorHAnsi" w:hAnsiTheme="minorHAnsi" w:cstheme="minorHAnsi"/>
                <w:color w:val="000000"/>
                <w:sz w:val="18"/>
                <w:szCs w:val="18"/>
                <w:lang w:val="es-ES" w:eastAsia="zh-CN"/>
              </w:rPr>
            </w:pPr>
          </w:p>
        </w:tc>
        <w:tc>
          <w:tcPr>
            <w:tcW w:w="423" w:type="dxa"/>
            <w:tcBorders>
              <w:top w:val="nil"/>
              <w:left w:val="nil"/>
              <w:bottom w:val="nil"/>
              <w:right w:val="nil"/>
            </w:tcBorders>
            <w:shd w:val="clear" w:color="auto" w:fill="auto"/>
            <w:tcMar>
              <w:left w:w="29" w:type="dxa"/>
              <w:right w:w="29" w:type="dxa"/>
            </w:tcMar>
            <w:vAlign w:val="bottom"/>
            <w:hideMark/>
          </w:tcPr>
          <w:p w14:paraId="40411543" w14:textId="77777777" w:rsidR="002809FB" w:rsidRPr="002F293B" w:rsidRDefault="002809FB" w:rsidP="0049064A">
            <w:pPr>
              <w:rPr>
                <w:rFonts w:asciiTheme="minorHAnsi" w:hAnsiTheme="minorHAnsi" w:cstheme="minorHAnsi"/>
                <w:sz w:val="18"/>
                <w:szCs w:val="18"/>
                <w:lang w:val="es-ES" w:eastAsia="zh-CN"/>
              </w:rPr>
            </w:pPr>
          </w:p>
        </w:tc>
        <w:tc>
          <w:tcPr>
            <w:tcW w:w="850" w:type="dxa"/>
            <w:tcBorders>
              <w:top w:val="nil"/>
              <w:left w:val="nil"/>
              <w:bottom w:val="nil"/>
              <w:right w:val="nil"/>
            </w:tcBorders>
            <w:shd w:val="clear" w:color="auto" w:fill="auto"/>
            <w:tcMar>
              <w:left w:w="29" w:type="dxa"/>
              <w:right w:w="29" w:type="dxa"/>
            </w:tcMar>
            <w:vAlign w:val="bottom"/>
            <w:hideMark/>
          </w:tcPr>
          <w:p w14:paraId="40411544" w14:textId="77777777" w:rsidR="002809FB" w:rsidRPr="002F293B" w:rsidRDefault="002809FB" w:rsidP="0049064A">
            <w:pPr>
              <w:rPr>
                <w:rFonts w:asciiTheme="minorHAnsi" w:hAnsiTheme="minorHAnsi" w:cstheme="minorHAnsi"/>
                <w:sz w:val="18"/>
                <w:szCs w:val="18"/>
                <w:lang w:val="es-ES" w:eastAsia="zh-CN"/>
              </w:rPr>
            </w:pPr>
          </w:p>
        </w:tc>
        <w:tc>
          <w:tcPr>
            <w:tcW w:w="425" w:type="dxa"/>
            <w:tcBorders>
              <w:top w:val="nil"/>
              <w:left w:val="nil"/>
              <w:bottom w:val="nil"/>
              <w:right w:val="nil"/>
            </w:tcBorders>
            <w:shd w:val="clear" w:color="auto" w:fill="auto"/>
            <w:tcMar>
              <w:left w:w="29" w:type="dxa"/>
              <w:right w:w="29" w:type="dxa"/>
            </w:tcMar>
            <w:vAlign w:val="bottom"/>
            <w:hideMark/>
          </w:tcPr>
          <w:p w14:paraId="40411545" w14:textId="77777777" w:rsidR="002809FB" w:rsidRPr="002F293B" w:rsidRDefault="002809FB" w:rsidP="0049064A">
            <w:pPr>
              <w:rPr>
                <w:rFonts w:asciiTheme="minorHAnsi" w:hAnsiTheme="minorHAnsi" w:cstheme="minorHAnsi"/>
                <w:sz w:val="18"/>
                <w:szCs w:val="18"/>
                <w:lang w:val="es-ES" w:eastAsia="zh-CN"/>
              </w:rPr>
            </w:pPr>
          </w:p>
        </w:tc>
        <w:tc>
          <w:tcPr>
            <w:tcW w:w="855" w:type="dxa"/>
            <w:tcBorders>
              <w:top w:val="nil"/>
              <w:left w:val="nil"/>
              <w:bottom w:val="nil"/>
              <w:right w:val="nil"/>
            </w:tcBorders>
            <w:shd w:val="clear" w:color="auto" w:fill="auto"/>
            <w:tcMar>
              <w:left w:w="29" w:type="dxa"/>
              <w:right w:w="29" w:type="dxa"/>
            </w:tcMar>
            <w:vAlign w:val="bottom"/>
            <w:hideMark/>
          </w:tcPr>
          <w:p w14:paraId="40411546" w14:textId="77777777" w:rsidR="002809FB" w:rsidRPr="002F293B" w:rsidRDefault="002809FB" w:rsidP="0049064A">
            <w:pPr>
              <w:rPr>
                <w:rFonts w:asciiTheme="minorHAnsi" w:hAnsiTheme="minorHAnsi" w:cstheme="minorHAnsi"/>
                <w:sz w:val="18"/>
                <w:szCs w:val="18"/>
                <w:lang w:val="es-ES" w:eastAsia="zh-CN"/>
              </w:rPr>
            </w:pPr>
          </w:p>
        </w:tc>
      </w:tr>
      <w:tr w:rsidR="002809FB" w:rsidRPr="005978DF" w14:paraId="40411552" w14:textId="77777777" w:rsidTr="002F293B">
        <w:trPr>
          <w:jc w:val="center"/>
        </w:trPr>
        <w:tc>
          <w:tcPr>
            <w:tcW w:w="1620" w:type="dxa"/>
            <w:gridSpan w:val="2"/>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8" w14:textId="77777777" w:rsidR="002809FB" w:rsidRPr="002F293B" w:rsidRDefault="002809FB" w:rsidP="0049064A">
            <w:pPr>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Subtotal</w:t>
            </w:r>
          </w:p>
        </w:tc>
        <w:tc>
          <w:tcPr>
            <w:tcW w:w="1074" w:type="dxa"/>
            <w:gridSpan w:val="2"/>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9"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5 842,1</w:t>
            </w:r>
          </w:p>
        </w:tc>
        <w:tc>
          <w:tcPr>
            <w:tcW w:w="1322"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A"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6 761,3</w:t>
            </w:r>
          </w:p>
        </w:tc>
        <w:tc>
          <w:tcPr>
            <w:tcW w:w="1251"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B"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5 818,7</w:t>
            </w:r>
          </w:p>
        </w:tc>
        <w:tc>
          <w:tcPr>
            <w:tcW w:w="403"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C" w14:textId="77777777" w:rsidR="002809FB" w:rsidRPr="002F293B" w:rsidRDefault="002809FB" w:rsidP="0049064A">
            <w:pPr>
              <w:jc w:val="center"/>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1137" w:type="dxa"/>
            <w:gridSpan w:val="2"/>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D"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18,5</w:t>
            </w:r>
          </w:p>
        </w:tc>
        <w:tc>
          <w:tcPr>
            <w:tcW w:w="423"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E" w14:textId="77777777" w:rsidR="002809FB" w:rsidRPr="002F293B" w:rsidRDefault="002809FB" w:rsidP="0049064A">
            <w:pPr>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850"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4F"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18,5</w:t>
            </w:r>
          </w:p>
        </w:tc>
        <w:tc>
          <w:tcPr>
            <w:tcW w:w="425"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50"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855"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51"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21</w:t>
            </w:r>
          </w:p>
        </w:tc>
      </w:tr>
      <w:tr w:rsidR="002809FB" w:rsidRPr="005978DF" w14:paraId="4041155D" w14:textId="77777777" w:rsidTr="002F293B">
        <w:trPr>
          <w:jc w:val="center"/>
        </w:trPr>
        <w:tc>
          <w:tcPr>
            <w:tcW w:w="1620" w:type="dxa"/>
            <w:gridSpan w:val="2"/>
            <w:tcBorders>
              <w:top w:val="nil"/>
              <w:left w:val="nil"/>
              <w:bottom w:val="nil"/>
              <w:right w:val="nil"/>
            </w:tcBorders>
            <w:shd w:val="clear" w:color="auto" w:fill="auto"/>
            <w:tcMar>
              <w:left w:w="29" w:type="dxa"/>
              <w:right w:w="29" w:type="dxa"/>
            </w:tcMar>
            <w:vAlign w:val="center"/>
            <w:hideMark/>
          </w:tcPr>
          <w:p w14:paraId="40411553" w14:textId="77777777" w:rsidR="002809FB" w:rsidRPr="002F293B" w:rsidRDefault="002809FB" w:rsidP="0049064A">
            <w:pPr>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Gastos de apoyo a los programas (OTA)</w:t>
            </w:r>
          </w:p>
        </w:tc>
        <w:tc>
          <w:tcPr>
            <w:tcW w:w="1074" w:type="dxa"/>
            <w:gridSpan w:val="2"/>
            <w:tcBorders>
              <w:top w:val="nil"/>
              <w:left w:val="nil"/>
              <w:bottom w:val="nil"/>
              <w:right w:val="nil"/>
            </w:tcBorders>
            <w:shd w:val="clear" w:color="auto" w:fill="auto"/>
            <w:tcMar>
              <w:left w:w="29" w:type="dxa"/>
              <w:right w:w="29" w:type="dxa"/>
            </w:tcMar>
            <w:vAlign w:val="center"/>
            <w:hideMark/>
          </w:tcPr>
          <w:p w14:paraId="40411554" w14:textId="77777777" w:rsidR="002809FB" w:rsidRPr="002F293B" w:rsidRDefault="002809FB" w:rsidP="0049064A">
            <w:pPr>
              <w:rPr>
                <w:rFonts w:asciiTheme="minorHAnsi" w:hAnsiTheme="minorHAnsi" w:cstheme="minorHAnsi"/>
                <w:color w:val="000000"/>
                <w:sz w:val="18"/>
                <w:szCs w:val="18"/>
                <w:lang w:val="es-ES" w:eastAsia="zh-CN"/>
              </w:rPr>
            </w:pPr>
          </w:p>
        </w:tc>
        <w:tc>
          <w:tcPr>
            <w:tcW w:w="1322" w:type="dxa"/>
            <w:tcBorders>
              <w:top w:val="nil"/>
              <w:left w:val="nil"/>
              <w:bottom w:val="nil"/>
              <w:right w:val="nil"/>
            </w:tcBorders>
            <w:shd w:val="clear" w:color="auto" w:fill="auto"/>
            <w:tcMar>
              <w:left w:w="29" w:type="dxa"/>
              <w:right w:w="29" w:type="dxa"/>
            </w:tcMar>
            <w:vAlign w:val="center"/>
            <w:hideMark/>
          </w:tcPr>
          <w:p w14:paraId="40411555" w14:textId="77777777" w:rsidR="002809FB" w:rsidRPr="002F293B" w:rsidRDefault="002809FB" w:rsidP="0049064A">
            <w:pPr>
              <w:jc w:val="right"/>
              <w:rPr>
                <w:rFonts w:asciiTheme="minorHAnsi" w:hAnsiTheme="minorHAnsi" w:cstheme="minorHAnsi"/>
                <w:sz w:val="18"/>
                <w:szCs w:val="18"/>
                <w:lang w:val="es-ES" w:eastAsia="zh-CN"/>
              </w:rPr>
            </w:pPr>
          </w:p>
        </w:tc>
        <w:tc>
          <w:tcPr>
            <w:tcW w:w="1251" w:type="dxa"/>
            <w:tcBorders>
              <w:top w:val="nil"/>
              <w:left w:val="nil"/>
              <w:bottom w:val="nil"/>
              <w:right w:val="nil"/>
            </w:tcBorders>
            <w:shd w:val="clear" w:color="auto" w:fill="auto"/>
            <w:tcMar>
              <w:left w:w="29" w:type="dxa"/>
              <w:right w:w="29" w:type="dxa"/>
            </w:tcMar>
            <w:vAlign w:val="center"/>
            <w:hideMark/>
          </w:tcPr>
          <w:p w14:paraId="40411556" w14:textId="77777777" w:rsidR="002809FB" w:rsidRPr="002F293B" w:rsidRDefault="002809FB" w:rsidP="0049064A">
            <w:pPr>
              <w:jc w:val="right"/>
              <w:rPr>
                <w:rFonts w:asciiTheme="minorHAnsi" w:hAnsiTheme="minorHAnsi" w:cstheme="minorHAnsi"/>
                <w:sz w:val="18"/>
                <w:szCs w:val="18"/>
                <w:lang w:val="es-ES" w:eastAsia="zh-CN"/>
              </w:rPr>
            </w:pPr>
          </w:p>
        </w:tc>
        <w:tc>
          <w:tcPr>
            <w:tcW w:w="403" w:type="dxa"/>
            <w:tcBorders>
              <w:top w:val="nil"/>
              <w:left w:val="nil"/>
              <w:bottom w:val="nil"/>
              <w:right w:val="nil"/>
            </w:tcBorders>
            <w:shd w:val="clear" w:color="auto" w:fill="auto"/>
            <w:tcMar>
              <w:left w:w="29" w:type="dxa"/>
              <w:right w:w="29" w:type="dxa"/>
            </w:tcMar>
            <w:vAlign w:val="bottom"/>
            <w:hideMark/>
          </w:tcPr>
          <w:p w14:paraId="40411557" w14:textId="77777777" w:rsidR="002809FB" w:rsidRPr="002F293B" w:rsidRDefault="002809FB" w:rsidP="0049064A">
            <w:pPr>
              <w:jc w:val="right"/>
              <w:rPr>
                <w:rFonts w:asciiTheme="minorHAnsi" w:hAnsiTheme="minorHAnsi" w:cstheme="minorHAnsi"/>
                <w:sz w:val="18"/>
                <w:szCs w:val="18"/>
                <w:lang w:val="es-ES" w:eastAsia="zh-CN"/>
              </w:rPr>
            </w:pPr>
          </w:p>
        </w:tc>
        <w:tc>
          <w:tcPr>
            <w:tcW w:w="1137" w:type="dxa"/>
            <w:gridSpan w:val="2"/>
            <w:tcBorders>
              <w:top w:val="nil"/>
              <w:left w:val="nil"/>
              <w:bottom w:val="nil"/>
              <w:right w:val="nil"/>
            </w:tcBorders>
            <w:shd w:val="clear" w:color="auto" w:fill="auto"/>
            <w:tcMar>
              <w:left w:w="29" w:type="dxa"/>
              <w:right w:w="29" w:type="dxa"/>
            </w:tcMar>
            <w:vAlign w:val="center"/>
            <w:hideMark/>
          </w:tcPr>
          <w:p w14:paraId="40411558"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w:t>
            </w:r>
          </w:p>
        </w:tc>
        <w:tc>
          <w:tcPr>
            <w:tcW w:w="423" w:type="dxa"/>
            <w:tcBorders>
              <w:top w:val="nil"/>
              <w:left w:val="nil"/>
              <w:bottom w:val="nil"/>
              <w:right w:val="nil"/>
            </w:tcBorders>
            <w:shd w:val="clear" w:color="auto" w:fill="auto"/>
            <w:tcMar>
              <w:left w:w="29" w:type="dxa"/>
              <w:right w:w="29" w:type="dxa"/>
            </w:tcMar>
            <w:vAlign w:val="center"/>
            <w:hideMark/>
          </w:tcPr>
          <w:p w14:paraId="40411559" w14:textId="77777777" w:rsidR="002809FB" w:rsidRPr="002F293B" w:rsidRDefault="002809FB" w:rsidP="0049064A">
            <w:pPr>
              <w:rPr>
                <w:rFonts w:asciiTheme="minorHAnsi" w:hAnsiTheme="minorHAnsi" w:cstheme="minorHAnsi"/>
                <w:color w:val="000000"/>
                <w:sz w:val="16"/>
                <w:szCs w:val="16"/>
                <w:lang w:val="es-ES"/>
              </w:rPr>
            </w:pPr>
            <w:proofErr w:type="spellStart"/>
            <w:r w:rsidRPr="002F293B">
              <w:rPr>
                <w:rFonts w:asciiTheme="minorHAnsi" w:hAnsiTheme="minorHAnsi" w:cstheme="minorHAnsi"/>
                <w:color w:val="000000"/>
                <w:sz w:val="16"/>
                <w:szCs w:val="16"/>
                <w:lang w:val="es-ES"/>
              </w:rPr>
              <w:t>b/</w:t>
            </w:r>
            <w:proofErr w:type="spellEnd"/>
          </w:p>
        </w:tc>
        <w:tc>
          <w:tcPr>
            <w:tcW w:w="850" w:type="dxa"/>
            <w:tcBorders>
              <w:top w:val="nil"/>
              <w:left w:val="nil"/>
              <w:bottom w:val="nil"/>
              <w:right w:val="nil"/>
            </w:tcBorders>
            <w:shd w:val="clear" w:color="auto" w:fill="auto"/>
            <w:tcMar>
              <w:left w:w="29" w:type="dxa"/>
              <w:right w:w="29" w:type="dxa"/>
            </w:tcMar>
            <w:vAlign w:val="center"/>
            <w:hideMark/>
          </w:tcPr>
          <w:p w14:paraId="4041155A"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w:t>
            </w:r>
          </w:p>
        </w:tc>
        <w:tc>
          <w:tcPr>
            <w:tcW w:w="425" w:type="dxa"/>
            <w:tcBorders>
              <w:top w:val="nil"/>
              <w:left w:val="nil"/>
              <w:bottom w:val="nil"/>
              <w:right w:val="nil"/>
            </w:tcBorders>
            <w:shd w:val="clear" w:color="auto" w:fill="auto"/>
            <w:tcMar>
              <w:left w:w="29" w:type="dxa"/>
              <w:right w:w="29" w:type="dxa"/>
            </w:tcMar>
            <w:vAlign w:val="center"/>
            <w:hideMark/>
          </w:tcPr>
          <w:p w14:paraId="4041155B" w14:textId="77777777" w:rsidR="002809FB" w:rsidRPr="002F293B" w:rsidRDefault="002809FB" w:rsidP="0049064A">
            <w:pPr>
              <w:rPr>
                <w:rFonts w:asciiTheme="minorHAnsi" w:hAnsiTheme="minorHAnsi" w:cstheme="minorHAnsi"/>
                <w:color w:val="000000"/>
                <w:sz w:val="16"/>
                <w:szCs w:val="16"/>
                <w:lang w:val="es-ES"/>
              </w:rPr>
            </w:pPr>
            <w:proofErr w:type="spellStart"/>
            <w:r w:rsidRPr="002F293B">
              <w:rPr>
                <w:rFonts w:asciiTheme="minorHAnsi" w:hAnsiTheme="minorHAnsi" w:cstheme="minorHAnsi"/>
                <w:color w:val="000000"/>
                <w:sz w:val="16"/>
                <w:szCs w:val="16"/>
                <w:lang w:val="es-ES"/>
              </w:rPr>
              <w:t>b/</w:t>
            </w:r>
            <w:proofErr w:type="spellEnd"/>
          </w:p>
        </w:tc>
        <w:tc>
          <w:tcPr>
            <w:tcW w:w="855" w:type="dxa"/>
            <w:tcBorders>
              <w:top w:val="nil"/>
              <w:left w:val="nil"/>
              <w:bottom w:val="nil"/>
              <w:right w:val="nil"/>
            </w:tcBorders>
            <w:shd w:val="clear" w:color="auto" w:fill="auto"/>
            <w:tcMar>
              <w:left w:w="29" w:type="dxa"/>
              <w:right w:w="29" w:type="dxa"/>
            </w:tcMar>
            <w:vAlign w:val="center"/>
            <w:hideMark/>
          </w:tcPr>
          <w:p w14:paraId="4041155C"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1</w:t>
            </w:r>
          </w:p>
        </w:tc>
      </w:tr>
      <w:tr w:rsidR="002809FB" w:rsidRPr="005978DF" w14:paraId="40411568" w14:textId="77777777" w:rsidTr="002F293B">
        <w:trPr>
          <w:jc w:val="center"/>
        </w:trPr>
        <w:tc>
          <w:tcPr>
            <w:tcW w:w="1620" w:type="dxa"/>
            <w:gridSpan w:val="2"/>
            <w:tcBorders>
              <w:top w:val="nil"/>
              <w:left w:val="nil"/>
              <w:bottom w:val="nil"/>
              <w:right w:val="nil"/>
            </w:tcBorders>
            <w:shd w:val="clear" w:color="auto" w:fill="auto"/>
            <w:tcMar>
              <w:left w:w="29" w:type="dxa"/>
              <w:right w:w="29" w:type="dxa"/>
            </w:tcMar>
            <w:vAlign w:val="center"/>
            <w:hideMark/>
          </w:tcPr>
          <w:p w14:paraId="4041155E" w14:textId="77777777" w:rsidR="002809FB" w:rsidRPr="002F293B" w:rsidRDefault="002809FB" w:rsidP="002C3B9C">
            <w:pPr>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RE</w:t>
            </w:r>
          </w:p>
        </w:tc>
        <w:tc>
          <w:tcPr>
            <w:tcW w:w="1074" w:type="dxa"/>
            <w:gridSpan w:val="2"/>
            <w:tcBorders>
              <w:top w:val="nil"/>
              <w:left w:val="nil"/>
              <w:bottom w:val="nil"/>
              <w:right w:val="nil"/>
            </w:tcBorders>
            <w:shd w:val="clear" w:color="auto" w:fill="auto"/>
            <w:tcMar>
              <w:left w:w="29" w:type="dxa"/>
              <w:right w:w="29" w:type="dxa"/>
            </w:tcMar>
            <w:vAlign w:val="center"/>
            <w:hideMark/>
          </w:tcPr>
          <w:p w14:paraId="4041155F" w14:textId="77777777" w:rsidR="002809FB" w:rsidRPr="002F293B" w:rsidRDefault="002809FB" w:rsidP="0049064A">
            <w:pPr>
              <w:rPr>
                <w:rFonts w:asciiTheme="minorHAnsi" w:hAnsiTheme="minorHAnsi" w:cstheme="minorHAnsi"/>
                <w:color w:val="000000"/>
                <w:sz w:val="18"/>
                <w:szCs w:val="18"/>
                <w:lang w:val="es-ES" w:eastAsia="zh-CN"/>
              </w:rPr>
            </w:pPr>
          </w:p>
        </w:tc>
        <w:tc>
          <w:tcPr>
            <w:tcW w:w="1322" w:type="dxa"/>
            <w:tcBorders>
              <w:top w:val="nil"/>
              <w:left w:val="nil"/>
              <w:bottom w:val="nil"/>
              <w:right w:val="nil"/>
            </w:tcBorders>
            <w:shd w:val="clear" w:color="auto" w:fill="auto"/>
            <w:tcMar>
              <w:left w:w="29" w:type="dxa"/>
              <w:right w:w="29" w:type="dxa"/>
            </w:tcMar>
            <w:vAlign w:val="center"/>
            <w:hideMark/>
          </w:tcPr>
          <w:p w14:paraId="40411560" w14:textId="77777777" w:rsidR="002809FB" w:rsidRPr="002F293B" w:rsidRDefault="002809FB" w:rsidP="0049064A">
            <w:pPr>
              <w:jc w:val="right"/>
              <w:rPr>
                <w:rFonts w:asciiTheme="minorHAnsi" w:hAnsiTheme="minorHAnsi" w:cstheme="minorHAnsi"/>
                <w:sz w:val="18"/>
                <w:szCs w:val="18"/>
                <w:lang w:val="es-ES" w:eastAsia="zh-CN"/>
              </w:rPr>
            </w:pPr>
          </w:p>
        </w:tc>
        <w:tc>
          <w:tcPr>
            <w:tcW w:w="1251" w:type="dxa"/>
            <w:tcBorders>
              <w:top w:val="nil"/>
              <w:left w:val="nil"/>
              <w:bottom w:val="nil"/>
              <w:right w:val="nil"/>
            </w:tcBorders>
            <w:shd w:val="clear" w:color="auto" w:fill="auto"/>
            <w:tcMar>
              <w:left w:w="29" w:type="dxa"/>
              <w:right w:w="29" w:type="dxa"/>
            </w:tcMar>
            <w:vAlign w:val="center"/>
            <w:hideMark/>
          </w:tcPr>
          <w:p w14:paraId="40411561" w14:textId="77777777" w:rsidR="002809FB" w:rsidRPr="002F293B" w:rsidRDefault="002809FB" w:rsidP="0049064A">
            <w:pPr>
              <w:jc w:val="right"/>
              <w:rPr>
                <w:rFonts w:asciiTheme="minorHAnsi" w:hAnsiTheme="minorHAnsi" w:cstheme="minorHAnsi"/>
                <w:sz w:val="18"/>
                <w:szCs w:val="18"/>
                <w:lang w:val="es-ES" w:eastAsia="zh-CN"/>
              </w:rPr>
            </w:pPr>
          </w:p>
        </w:tc>
        <w:tc>
          <w:tcPr>
            <w:tcW w:w="403" w:type="dxa"/>
            <w:tcBorders>
              <w:top w:val="nil"/>
              <w:left w:val="nil"/>
              <w:bottom w:val="nil"/>
              <w:right w:val="nil"/>
            </w:tcBorders>
            <w:shd w:val="clear" w:color="auto" w:fill="auto"/>
            <w:tcMar>
              <w:left w:w="29" w:type="dxa"/>
              <w:right w:w="29" w:type="dxa"/>
            </w:tcMar>
            <w:vAlign w:val="bottom"/>
            <w:hideMark/>
          </w:tcPr>
          <w:p w14:paraId="40411562" w14:textId="77777777" w:rsidR="002809FB" w:rsidRPr="002F293B" w:rsidRDefault="002809FB" w:rsidP="0049064A">
            <w:pPr>
              <w:jc w:val="right"/>
              <w:rPr>
                <w:rFonts w:asciiTheme="minorHAnsi" w:hAnsiTheme="minorHAnsi" w:cstheme="minorHAnsi"/>
                <w:sz w:val="18"/>
                <w:szCs w:val="18"/>
                <w:lang w:val="es-ES" w:eastAsia="zh-CN"/>
              </w:rPr>
            </w:pPr>
          </w:p>
        </w:tc>
        <w:tc>
          <w:tcPr>
            <w:tcW w:w="1137" w:type="dxa"/>
            <w:gridSpan w:val="2"/>
            <w:tcBorders>
              <w:top w:val="nil"/>
              <w:left w:val="nil"/>
              <w:bottom w:val="nil"/>
              <w:right w:val="nil"/>
            </w:tcBorders>
            <w:shd w:val="clear" w:color="auto" w:fill="auto"/>
            <w:tcMar>
              <w:left w:w="29" w:type="dxa"/>
              <w:right w:w="29" w:type="dxa"/>
            </w:tcMar>
            <w:vAlign w:val="center"/>
            <w:hideMark/>
          </w:tcPr>
          <w:p w14:paraId="40411563"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2</w:t>
            </w:r>
          </w:p>
        </w:tc>
        <w:tc>
          <w:tcPr>
            <w:tcW w:w="423" w:type="dxa"/>
            <w:tcBorders>
              <w:top w:val="nil"/>
              <w:left w:val="nil"/>
              <w:bottom w:val="nil"/>
              <w:right w:val="nil"/>
            </w:tcBorders>
            <w:shd w:val="clear" w:color="auto" w:fill="auto"/>
            <w:tcMar>
              <w:left w:w="29" w:type="dxa"/>
              <w:right w:w="29" w:type="dxa"/>
            </w:tcMar>
            <w:vAlign w:val="center"/>
            <w:hideMark/>
          </w:tcPr>
          <w:p w14:paraId="40411564" w14:textId="77777777" w:rsidR="002809FB" w:rsidRPr="002F293B" w:rsidRDefault="002809FB" w:rsidP="0049064A">
            <w:pPr>
              <w:rPr>
                <w:rFonts w:asciiTheme="minorHAnsi" w:hAnsiTheme="minorHAnsi" w:cstheme="minorHAnsi"/>
                <w:color w:val="000000"/>
                <w:sz w:val="16"/>
                <w:szCs w:val="16"/>
                <w:lang w:val="es-ES"/>
              </w:rPr>
            </w:pPr>
            <w:r w:rsidRPr="002F293B">
              <w:rPr>
                <w:rFonts w:asciiTheme="minorHAnsi" w:hAnsiTheme="minorHAnsi" w:cstheme="minorHAnsi"/>
                <w:color w:val="000000"/>
                <w:sz w:val="16"/>
                <w:szCs w:val="16"/>
                <w:lang w:val="es-ES"/>
              </w:rPr>
              <w:t>c/</w:t>
            </w:r>
          </w:p>
        </w:tc>
        <w:tc>
          <w:tcPr>
            <w:tcW w:w="850" w:type="dxa"/>
            <w:tcBorders>
              <w:top w:val="nil"/>
              <w:left w:val="nil"/>
              <w:bottom w:val="nil"/>
              <w:right w:val="nil"/>
            </w:tcBorders>
            <w:shd w:val="clear" w:color="auto" w:fill="auto"/>
            <w:tcMar>
              <w:left w:w="29" w:type="dxa"/>
              <w:right w:w="29" w:type="dxa"/>
            </w:tcMar>
            <w:vAlign w:val="center"/>
            <w:hideMark/>
          </w:tcPr>
          <w:p w14:paraId="40411565" w14:textId="77777777" w:rsidR="002809FB" w:rsidRPr="002F293B" w:rsidRDefault="002809FB" w:rsidP="0049064A">
            <w:pPr>
              <w:jc w:val="right"/>
              <w:rPr>
                <w:rFonts w:asciiTheme="minorHAnsi" w:hAnsiTheme="minorHAnsi" w:cstheme="minorHAnsi"/>
                <w:color w:val="000000"/>
                <w:sz w:val="18"/>
                <w:szCs w:val="18"/>
                <w:lang w:val="es-ES"/>
              </w:rPr>
            </w:pPr>
            <w:r w:rsidRPr="002F293B">
              <w:rPr>
                <w:rFonts w:asciiTheme="minorHAnsi" w:hAnsiTheme="minorHAnsi" w:cstheme="minorHAnsi"/>
                <w:color w:val="000000"/>
                <w:sz w:val="18"/>
                <w:szCs w:val="18"/>
                <w:lang w:val="es-ES"/>
              </w:rPr>
              <w:t>2</w:t>
            </w:r>
          </w:p>
        </w:tc>
        <w:tc>
          <w:tcPr>
            <w:tcW w:w="425" w:type="dxa"/>
            <w:tcBorders>
              <w:top w:val="nil"/>
              <w:left w:val="nil"/>
              <w:bottom w:val="nil"/>
              <w:right w:val="nil"/>
            </w:tcBorders>
            <w:shd w:val="clear" w:color="auto" w:fill="auto"/>
            <w:tcMar>
              <w:left w:w="29" w:type="dxa"/>
              <w:right w:w="29" w:type="dxa"/>
            </w:tcMar>
            <w:vAlign w:val="center"/>
            <w:hideMark/>
          </w:tcPr>
          <w:p w14:paraId="40411566" w14:textId="77777777" w:rsidR="002809FB" w:rsidRPr="002F293B" w:rsidRDefault="002809FB" w:rsidP="0049064A">
            <w:pPr>
              <w:rPr>
                <w:rFonts w:asciiTheme="minorHAnsi" w:hAnsiTheme="minorHAnsi" w:cstheme="minorHAnsi"/>
                <w:color w:val="000000"/>
                <w:sz w:val="16"/>
                <w:szCs w:val="16"/>
                <w:lang w:val="es-ES"/>
              </w:rPr>
            </w:pPr>
            <w:r w:rsidRPr="002F293B">
              <w:rPr>
                <w:rFonts w:asciiTheme="minorHAnsi" w:hAnsiTheme="minorHAnsi" w:cstheme="minorHAnsi"/>
                <w:color w:val="000000"/>
                <w:sz w:val="16"/>
                <w:szCs w:val="16"/>
                <w:lang w:val="es-ES"/>
              </w:rPr>
              <w:t>c/</w:t>
            </w:r>
          </w:p>
        </w:tc>
        <w:tc>
          <w:tcPr>
            <w:tcW w:w="855" w:type="dxa"/>
            <w:tcBorders>
              <w:top w:val="nil"/>
              <w:left w:val="nil"/>
              <w:bottom w:val="nil"/>
              <w:right w:val="nil"/>
            </w:tcBorders>
            <w:shd w:val="clear" w:color="auto" w:fill="auto"/>
            <w:tcMar>
              <w:left w:w="29" w:type="dxa"/>
              <w:right w:w="29" w:type="dxa"/>
            </w:tcMar>
            <w:vAlign w:val="center"/>
            <w:hideMark/>
          </w:tcPr>
          <w:p w14:paraId="40411567" w14:textId="77777777" w:rsidR="002809FB" w:rsidRPr="002F293B" w:rsidRDefault="002809FB" w:rsidP="0049064A">
            <w:pPr>
              <w:rPr>
                <w:rFonts w:asciiTheme="minorHAnsi" w:hAnsiTheme="minorHAnsi" w:cstheme="minorHAnsi"/>
                <w:color w:val="000000"/>
                <w:sz w:val="18"/>
                <w:szCs w:val="18"/>
                <w:lang w:val="es-ES" w:eastAsia="zh-CN"/>
              </w:rPr>
            </w:pPr>
          </w:p>
        </w:tc>
      </w:tr>
      <w:tr w:rsidR="002809FB" w:rsidRPr="005978DF" w14:paraId="40411573" w14:textId="77777777" w:rsidTr="002F293B">
        <w:trPr>
          <w:jc w:val="center"/>
        </w:trPr>
        <w:tc>
          <w:tcPr>
            <w:tcW w:w="1386"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69" w14:textId="77777777" w:rsidR="002809FB" w:rsidRPr="002F293B" w:rsidRDefault="002809FB" w:rsidP="0049064A">
            <w:pPr>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xml:space="preserve">Total </w:t>
            </w:r>
          </w:p>
        </w:tc>
        <w:tc>
          <w:tcPr>
            <w:tcW w:w="1308" w:type="dxa"/>
            <w:gridSpan w:val="3"/>
            <w:tcBorders>
              <w:top w:val="single" w:sz="8" w:space="0" w:color="auto"/>
              <w:left w:val="nil"/>
              <w:bottom w:val="single" w:sz="8" w:space="0" w:color="auto"/>
              <w:right w:val="nil"/>
            </w:tcBorders>
            <w:shd w:val="clear" w:color="auto" w:fill="auto"/>
            <w:tcMar>
              <w:left w:w="29" w:type="dxa"/>
              <w:right w:w="29" w:type="dxa"/>
            </w:tcMar>
            <w:vAlign w:val="center"/>
            <w:hideMark/>
          </w:tcPr>
          <w:p w14:paraId="4041156A"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5 842,1</w:t>
            </w:r>
          </w:p>
        </w:tc>
        <w:tc>
          <w:tcPr>
            <w:tcW w:w="1322"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6B"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6 761,3</w:t>
            </w:r>
          </w:p>
        </w:tc>
        <w:tc>
          <w:tcPr>
            <w:tcW w:w="1251"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6C"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5 818,7</w:t>
            </w:r>
          </w:p>
        </w:tc>
        <w:tc>
          <w:tcPr>
            <w:tcW w:w="403"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6D" w14:textId="77777777" w:rsidR="002809FB" w:rsidRPr="002F293B" w:rsidRDefault="002809FB" w:rsidP="0049064A">
            <w:pPr>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1137" w:type="dxa"/>
            <w:gridSpan w:val="2"/>
            <w:tcBorders>
              <w:top w:val="single" w:sz="8" w:space="0" w:color="auto"/>
              <w:left w:val="nil"/>
              <w:bottom w:val="single" w:sz="8" w:space="0" w:color="auto"/>
              <w:right w:val="nil"/>
            </w:tcBorders>
            <w:shd w:val="clear" w:color="auto" w:fill="auto"/>
            <w:tcMar>
              <w:left w:w="29" w:type="dxa"/>
              <w:right w:w="29" w:type="dxa"/>
            </w:tcMar>
            <w:vAlign w:val="center"/>
            <w:hideMark/>
          </w:tcPr>
          <w:p w14:paraId="4041156E"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21,5</w:t>
            </w:r>
          </w:p>
        </w:tc>
        <w:tc>
          <w:tcPr>
            <w:tcW w:w="423"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6F" w14:textId="77777777" w:rsidR="002809FB" w:rsidRPr="002F293B" w:rsidRDefault="002809FB" w:rsidP="0049064A">
            <w:pPr>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850"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70"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21,5</w:t>
            </w:r>
          </w:p>
        </w:tc>
        <w:tc>
          <w:tcPr>
            <w:tcW w:w="425"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71"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 </w:t>
            </w:r>
          </w:p>
        </w:tc>
        <w:tc>
          <w:tcPr>
            <w:tcW w:w="855" w:type="dxa"/>
            <w:tcBorders>
              <w:top w:val="single" w:sz="8" w:space="0" w:color="auto"/>
              <w:left w:val="nil"/>
              <w:bottom w:val="single" w:sz="8" w:space="0" w:color="auto"/>
              <w:right w:val="nil"/>
            </w:tcBorders>
            <w:shd w:val="clear" w:color="auto" w:fill="auto"/>
            <w:tcMar>
              <w:left w:w="29" w:type="dxa"/>
              <w:right w:w="29" w:type="dxa"/>
            </w:tcMar>
            <w:vAlign w:val="center"/>
            <w:hideMark/>
          </w:tcPr>
          <w:p w14:paraId="40411572" w14:textId="77777777" w:rsidR="002809FB" w:rsidRPr="002F293B" w:rsidRDefault="002809FB" w:rsidP="0049064A">
            <w:pPr>
              <w:jc w:val="right"/>
              <w:rPr>
                <w:rFonts w:asciiTheme="minorHAnsi" w:hAnsiTheme="minorHAnsi" w:cstheme="minorHAnsi"/>
                <w:b/>
                <w:bCs/>
                <w:color w:val="000000"/>
                <w:sz w:val="18"/>
                <w:szCs w:val="18"/>
                <w:lang w:val="es-ES"/>
              </w:rPr>
            </w:pPr>
            <w:r w:rsidRPr="002F293B">
              <w:rPr>
                <w:rFonts w:asciiTheme="minorHAnsi" w:hAnsiTheme="minorHAnsi" w:cstheme="minorHAnsi"/>
                <w:b/>
                <w:bCs/>
                <w:color w:val="000000"/>
                <w:sz w:val="18"/>
                <w:szCs w:val="18"/>
                <w:lang w:val="es-ES"/>
              </w:rPr>
              <w:t>22</w:t>
            </w:r>
          </w:p>
        </w:tc>
      </w:tr>
      <w:tr w:rsidR="002809FB" w:rsidRPr="005978DF" w14:paraId="40411575" w14:textId="77777777" w:rsidTr="002F293B">
        <w:trPr>
          <w:jc w:val="center"/>
        </w:trPr>
        <w:tc>
          <w:tcPr>
            <w:tcW w:w="9360" w:type="dxa"/>
            <w:gridSpan w:val="13"/>
            <w:tcBorders>
              <w:top w:val="nil"/>
              <w:left w:val="nil"/>
              <w:bottom w:val="nil"/>
              <w:right w:val="nil"/>
            </w:tcBorders>
            <w:shd w:val="clear" w:color="auto" w:fill="auto"/>
            <w:tcMar>
              <w:left w:w="29" w:type="dxa"/>
              <w:right w:w="29" w:type="dxa"/>
            </w:tcMar>
            <w:vAlign w:val="center"/>
            <w:hideMark/>
          </w:tcPr>
          <w:p w14:paraId="40411574" w14:textId="77777777" w:rsidR="002809FB" w:rsidRPr="002F293B" w:rsidRDefault="002809FB" w:rsidP="00F01D03">
            <w:pPr>
              <w:rPr>
                <w:rFonts w:asciiTheme="minorHAnsi" w:hAnsiTheme="minorHAnsi" w:cstheme="minorHAnsi"/>
                <w:color w:val="000000"/>
                <w:sz w:val="16"/>
                <w:szCs w:val="16"/>
                <w:lang w:val="es-ES"/>
              </w:rPr>
            </w:pPr>
            <w:r w:rsidRPr="002F293B">
              <w:rPr>
                <w:rFonts w:asciiTheme="minorHAnsi" w:hAnsiTheme="minorHAnsi" w:cstheme="minorHAnsi"/>
                <w:color w:val="000000"/>
                <w:sz w:val="16"/>
                <w:szCs w:val="16"/>
                <w:lang w:val="es-ES"/>
              </w:rPr>
              <w:t xml:space="preserve">a/ </w:t>
            </w:r>
            <w:r w:rsidR="00F01D03">
              <w:rPr>
                <w:rFonts w:asciiTheme="minorHAnsi" w:hAnsiTheme="minorHAnsi" w:cstheme="minorHAnsi"/>
                <w:color w:val="000000"/>
                <w:sz w:val="16"/>
                <w:szCs w:val="16"/>
                <w:lang w:val="es-ES"/>
              </w:rPr>
              <w:t>I</w:t>
            </w:r>
            <w:r w:rsidRPr="002F293B">
              <w:rPr>
                <w:rFonts w:asciiTheme="minorHAnsi" w:hAnsiTheme="minorHAnsi" w:cstheme="minorHAnsi"/>
                <w:color w:val="000000"/>
                <w:sz w:val="16"/>
                <w:szCs w:val="16"/>
                <w:lang w:val="es-ES"/>
              </w:rPr>
              <w:t>ncluye viajes (100</w:t>
            </w:r>
            <w:r w:rsidR="003753E4">
              <w:rPr>
                <w:rFonts w:asciiTheme="minorHAnsi" w:hAnsiTheme="minorHAnsi" w:cstheme="minorHAnsi"/>
                <w:color w:val="000000"/>
                <w:sz w:val="16"/>
                <w:szCs w:val="16"/>
                <w:lang w:val="es-ES"/>
              </w:rPr>
              <w:t> </w:t>
            </w:r>
            <w:r w:rsidRPr="002F293B">
              <w:rPr>
                <w:rFonts w:asciiTheme="minorHAnsi" w:hAnsiTheme="minorHAnsi" w:cstheme="minorHAnsi"/>
                <w:color w:val="000000"/>
                <w:sz w:val="16"/>
                <w:szCs w:val="16"/>
                <w:lang w:val="es-ES"/>
              </w:rPr>
              <w:t>000 dólares)</w:t>
            </w:r>
          </w:p>
        </w:tc>
      </w:tr>
      <w:tr w:rsidR="002809FB" w:rsidRPr="006A6E89" w14:paraId="40411577" w14:textId="77777777" w:rsidTr="002F293B">
        <w:trPr>
          <w:jc w:val="center"/>
        </w:trPr>
        <w:tc>
          <w:tcPr>
            <w:tcW w:w="9360" w:type="dxa"/>
            <w:gridSpan w:val="13"/>
            <w:tcBorders>
              <w:top w:val="nil"/>
              <w:left w:val="nil"/>
              <w:bottom w:val="nil"/>
              <w:right w:val="nil"/>
            </w:tcBorders>
            <w:shd w:val="clear" w:color="auto" w:fill="auto"/>
            <w:tcMar>
              <w:left w:w="29" w:type="dxa"/>
              <w:right w:w="29" w:type="dxa"/>
            </w:tcMar>
            <w:vAlign w:val="center"/>
            <w:hideMark/>
          </w:tcPr>
          <w:p w14:paraId="40411576" w14:textId="77777777" w:rsidR="002809FB" w:rsidRPr="002F293B" w:rsidRDefault="002809FB" w:rsidP="00F01D03">
            <w:pPr>
              <w:rPr>
                <w:rFonts w:asciiTheme="minorHAnsi" w:hAnsiTheme="minorHAnsi" w:cstheme="minorHAnsi"/>
                <w:color w:val="000000"/>
                <w:sz w:val="16"/>
                <w:szCs w:val="16"/>
                <w:lang w:val="es-ES"/>
              </w:rPr>
            </w:pPr>
            <w:proofErr w:type="spellStart"/>
            <w:r w:rsidRPr="002F293B">
              <w:rPr>
                <w:rFonts w:asciiTheme="minorHAnsi" w:hAnsiTheme="minorHAnsi" w:cstheme="minorHAnsi"/>
                <w:color w:val="000000"/>
                <w:sz w:val="16"/>
                <w:szCs w:val="16"/>
                <w:lang w:val="es-ES"/>
              </w:rPr>
              <w:t>b/</w:t>
            </w:r>
            <w:proofErr w:type="spellEnd"/>
            <w:r w:rsidRPr="002F293B">
              <w:rPr>
                <w:rFonts w:asciiTheme="minorHAnsi" w:hAnsiTheme="minorHAnsi" w:cstheme="minorHAnsi"/>
                <w:color w:val="000000"/>
                <w:sz w:val="16"/>
                <w:szCs w:val="16"/>
                <w:lang w:val="es-ES"/>
              </w:rPr>
              <w:t xml:space="preserve"> </w:t>
            </w:r>
            <w:r w:rsidR="00F01D03">
              <w:rPr>
                <w:rFonts w:asciiTheme="minorHAnsi" w:hAnsiTheme="minorHAnsi" w:cstheme="minorHAnsi"/>
                <w:color w:val="000000"/>
                <w:sz w:val="16"/>
                <w:szCs w:val="16"/>
                <w:lang w:val="es-ES"/>
              </w:rPr>
              <w:t>R</w:t>
            </w:r>
            <w:r w:rsidRPr="002F293B">
              <w:rPr>
                <w:rFonts w:asciiTheme="minorHAnsi" w:hAnsiTheme="minorHAnsi" w:cstheme="minorHAnsi"/>
                <w:color w:val="000000"/>
                <w:sz w:val="16"/>
                <w:szCs w:val="16"/>
                <w:lang w:val="es-ES"/>
              </w:rPr>
              <w:t xml:space="preserve">epresenta 1 Asistente de Programas G-6 en la Dependencia de Personas y Diversidad Biológica </w:t>
            </w:r>
          </w:p>
        </w:tc>
      </w:tr>
      <w:tr w:rsidR="002809FB" w:rsidRPr="006A6E89" w14:paraId="40411579" w14:textId="77777777" w:rsidTr="002F293B">
        <w:trPr>
          <w:jc w:val="center"/>
        </w:trPr>
        <w:tc>
          <w:tcPr>
            <w:tcW w:w="9360" w:type="dxa"/>
            <w:gridSpan w:val="13"/>
            <w:tcBorders>
              <w:top w:val="nil"/>
              <w:left w:val="nil"/>
              <w:bottom w:val="nil"/>
              <w:right w:val="nil"/>
            </w:tcBorders>
            <w:shd w:val="clear" w:color="auto" w:fill="auto"/>
            <w:tcMar>
              <w:left w:w="29" w:type="dxa"/>
              <w:right w:w="29" w:type="dxa"/>
            </w:tcMar>
            <w:vAlign w:val="center"/>
            <w:hideMark/>
          </w:tcPr>
          <w:p w14:paraId="40411578" w14:textId="77777777" w:rsidR="002809FB" w:rsidRPr="002F293B" w:rsidRDefault="002809FB" w:rsidP="00F01D03">
            <w:pPr>
              <w:rPr>
                <w:rFonts w:asciiTheme="minorHAnsi" w:hAnsiTheme="minorHAnsi" w:cstheme="minorHAnsi"/>
                <w:color w:val="000000"/>
                <w:sz w:val="16"/>
                <w:szCs w:val="16"/>
                <w:lang w:val="es-ES"/>
              </w:rPr>
            </w:pPr>
            <w:r w:rsidRPr="002F293B">
              <w:rPr>
                <w:rFonts w:asciiTheme="minorHAnsi" w:hAnsiTheme="minorHAnsi" w:cstheme="minorHAnsi"/>
                <w:color w:val="000000"/>
                <w:sz w:val="16"/>
                <w:szCs w:val="16"/>
                <w:lang w:val="es-ES"/>
              </w:rPr>
              <w:t xml:space="preserve">c/ </w:t>
            </w:r>
            <w:r w:rsidR="00F01D03">
              <w:rPr>
                <w:rFonts w:asciiTheme="minorHAnsi" w:hAnsiTheme="minorHAnsi" w:cstheme="minorHAnsi"/>
                <w:color w:val="000000"/>
                <w:sz w:val="16"/>
                <w:szCs w:val="16"/>
                <w:lang w:val="es-ES"/>
              </w:rPr>
              <w:t>R</w:t>
            </w:r>
            <w:r w:rsidRPr="002F293B">
              <w:rPr>
                <w:rFonts w:asciiTheme="minorHAnsi" w:hAnsiTheme="minorHAnsi" w:cstheme="minorHAnsi"/>
                <w:color w:val="000000"/>
                <w:sz w:val="16"/>
                <w:szCs w:val="16"/>
                <w:lang w:val="es-ES"/>
              </w:rPr>
              <w:t>epresenta 2 puestos P-3 financiados por la UE</w:t>
            </w:r>
          </w:p>
        </w:tc>
      </w:tr>
    </w:tbl>
    <w:p w14:paraId="4041157A"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Los recursos no relacionados con puestos prevén los viajes del personal (100</w:t>
      </w:r>
      <w:r w:rsidR="003753E4">
        <w:rPr>
          <w:sz w:val="22"/>
          <w:szCs w:val="22"/>
          <w:lang w:val="es-ES"/>
        </w:rPr>
        <w:t> </w:t>
      </w:r>
      <w:r w:rsidRPr="005978DF">
        <w:rPr>
          <w:sz w:val="22"/>
          <w:szCs w:val="22"/>
          <w:lang w:val="es-ES"/>
        </w:rPr>
        <w:t>000</w:t>
      </w:r>
      <w:r w:rsidR="003753E4">
        <w:rPr>
          <w:sz w:val="22"/>
          <w:szCs w:val="22"/>
          <w:lang w:val="es-ES"/>
        </w:rPr>
        <w:t> </w:t>
      </w:r>
      <w:r w:rsidRPr="005978DF">
        <w:rPr>
          <w:sz w:val="22"/>
          <w:szCs w:val="22"/>
          <w:lang w:val="es-ES"/>
        </w:rPr>
        <w:t xml:space="preserve">dólares), teniendo en cuenta que en el futuro algunos viajes se sustituirán por una participación virtual e híbrida en la medida de lo posible. Por tanto, la estimación de los </w:t>
      </w:r>
      <w:r w:rsidR="007B005C">
        <w:rPr>
          <w:sz w:val="22"/>
          <w:szCs w:val="22"/>
          <w:lang w:val="es-ES"/>
        </w:rPr>
        <w:t>ga</w:t>
      </w:r>
      <w:r w:rsidRPr="005978DF">
        <w:rPr>
          <w:sz w:val="22"/>
          <w:szCs w:val="22"/>
          <w:lang w:val="es-ES"/>
        </w:rPr>
        <w:t>stos se basa en el patrón de gasto real para el bienio 2019-2020.</w:t>
      </w:r>
    </w:p>
    <w:p w14:paraId="4041157B"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lang w:val="es-ES"/>
        </w:rPr>
      </w:pPr>
      <w:r w:rsidRPr="005978DF">
        <w:rPr>
          <w:sz w:val="22"/>
          <w:szCs w:val="22"/>
          <w:lang w:val="es-ES"/>
        </w:rPr>
        <w:t>En la hipótesis de crecimiento nominal nulo (aumento del 0</w:t>
      </w:r>
      <w:r w:rsidR="007B005C">
        <w:rPr>
          <w:sz w:val="22"/>
          <w:szCs w:val="22"/>
          <w:lang w:val="es-ES"/>
        </w:rPr>
        <w:t> </w:t>
      </w:r>
      <w:r w:rsidRPr="005978DF">
        <w:rPr>
          <w:sz w:val="22"/>
          <w:szCs w:val="22"/>
          <w:lang w:val="es-ES"/>
        </w:rPr>
        <w:t xml:space="preserve">% en términos nominales), manteniendo el presupuesto de programas en el nivel de 2023-2024 en términos reales y nominales, la Secretaría propondría la continuación de todos los puestos existentes y una suma de </w:t>
      </w:r>
      <w:r w:rsidRPr="005978DF">
        <w:rPr>
          <w:i/>
          <w:sz w:val="22"/>
          <w:szCs w:val="22"/>
          <w:lang w:val="es-ES"/>
        </w:rPr>
        <w:t>100</w:t>
      </w:r>
      <w:r w:rsidR="007B005C">
        <w:rPr>
          <w:i/>
          <w:sz w:val="22"/>
          <w:szCs w:val="22"/>
          <w:lang w:val="es-ES"/>
        </w:rPr>
        <w:t> </w:t>
      </w:r>
      <w:r w:rsidRPr="005978DF">
        <w:rPr>
          <w:i/>
          <w:sz w:val="22"/>
          <w:szCs w:val="22"/>
          <w:lang w:val="es-ES"/>
        </w:rPr>
        <w:t>000</w:t>
      </w:r>
      <w:r w:rsidR="007B005C">
        <w:rPr>
          <w:i/>
          <w:sz w:val="22"/>
          <w:szCs w:val="22"/>
          <w:lang w:val="es-ES"/>
        </w:rPr>
        <w:t> </w:t>
      </w:r>
      <w:r w:rsidRPr="005978DF">
        <w:rPr>
          <w:i/>
          <w:sz w:val="22"/>
          <w:szCs w:val="22"/>
          <w:lang w:val="es-ES"/>
        </w:rPr>
        <w:t xml:space="preserve">dólares </w:t>
      </w:r>
      <w:r w:rsidRPr="005978DF">
        <w:rPr>
          <w:sz w:val="22"/>
          <w:szCs w:val="22"/>
          <w:lang w:val="es-ES"/>
        </w:rPr>
        <w:t>correspondientes a gastos no relacionados con puestos para sufragar los viajes del personal en apoyo de la ejecución de los mandatos del programa.</w:t>
      </w:r>
    </w:p>
    <w:p w14:paraId="4041157C" w14:textId="77777777" w:rsidR="002809FB" w:rsidRPr="005978DF" w:rsidRDefault="002809FB" w:rsidP="002809FB">
      <w:pPr>
        <w:pStyle w:val="H1"/>
        <w:numPr>
          <w:ilvl w:val="0"/>
          <w:numId w:val="12"/>
        </w:numPr>
        <w:spacing w:before="240" w:line="240" w:lineRule="auto"/>
        <w:ind w:left="0" w:right="-11" w:hanging="6"/>
        <w:jc w:val="center"/>
        <w:outlineLvl w:val="2"/>
        <w:rPr>
          <w:rFonts w:asciiTheme="majorBidi" w:hAnsiTheme="majorBidi" w:cstheme="majorBidi"/>
          <w:sz w:val="22"/>
          <w:szCs w:val="22"/>
          <w:lang w:val="es-ES"/>
        </w:rPr>
      </w:pPr>
      <w:r w:rsidRPr="005978DF">
        <w:rPr>
          <w:rFonts w:asciiTheme="majorBidi" w:hAnsiTheme="majorBidi"/>
          <w:sz w:val="22"/>
          <w:szCs w:val="22"/>
          <w:lang w:val="es-ES"/>
        </w:rPr>
        <w:t>División de Apoyo a la Aplicación</w:t>
      </w:r>
    </w:p>
    <w:p w14:paraId="4041157D" w14:textId="77777777" w:rsidR="002809FB" w:rsidRPr="002C3B9C" w:rsidRDefault="002809FB" w:rsidP="002809FB">
      <w:pPr>
        <w:pStyle w:val="ListParagraph"/>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es-ES"/>
        </w:rPr>
      </w:pPr>
      <w:r w:rsidRPr="002C3B9C">
        <w:rPr>
          <w:rFonts w:asciiTheme="majorBidi" w:hAnsiTheme="majorBidi"/>
          <w:i/>
          <w:iCs/>
          <w:lang w:val="es-ES"/>
        </w:rPr>
        <w:t>Asignación de recursos (presupuesto básico): 7 048 800 dólares (hipótesis 1)</w:t>
      </w:r>
    </w:p>
    <w:p w14:paraId="4041157E" w14:textId="77777777" w:rsidR="002809FB" w:rsidRPr="005978DF" w:rsidRDefault="002809FB" w:rsidP="002809FB">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s-ES"/>
        </w:rPr>
      </w:pPr>
      <w:r w:rsidRPr="005978DF">
        <w:rPr>
          <w:rFonts w:asciiTheme="majorBidi" w:hAnsiTheme="majorBidi"/>
          <w:sz w:val="22"/>
          <w:szCs w:val="22"/>
          <w:lang w:val="es-ES"/>
        </w:rPr>
        <w:t>La División de Apoyo a la Aplicación presta apoyo a la aplicación, la presentación de informes y la revisión del Convenio y sus Protocolos mediante: a)</w:t>
      </w:r>
      <w:r w:rsidR="00F12E21">
        <w:rPr>
          <w:rFonts w:asciiTheme="majorBidi" w:hAnsiTheme="majorBidi"/>
          <w:sz w:val="22"/>
          <w:szCs w:val="22"/>
          <w:lang w:val="es-ES"/>
        </w:rPr>
        <w:t> </w:t>
      </w:r>
      <w:r w:rsidRPr="005978DF">
        <w:rPr>
          <w:rFonts w:asciiTheme="majorBidi" w:hAnsiTheme="majorBidi"/>
          <w:sz w:val="22"/>
          <w:szCs w:val="22"/>
          <w:lang w:val="es-ES"/>
        </w:rPr>
        <w:t>la coordinación de la implementación, el seguimiento y la evaluación de las actividades de creación y desarrollo de capacidad en toda la Secretaría; b)</w:t>
      </w:r>
      <w:r w:rsidR="00F12E21">
        <w:rPr>
          <w:rFonts w:asciiTheme="majorBidi" w:hAnsiTheme="majorBidi"/>
          <w:sz w:val="22"/>
          <w:szCs w:val="22"/>
          <w:lang w:val="es-ES"/>
        </w:rPr>
        <w:t> </w:t>
      </w:r>
      <w:r w:rsidRPr="005978DF">
        <w:rPr>
          <w:rFonts w:asciiTheme="majorBidi" w:hAnsiTheme="majorBidi"/>
          <w:sz w:val="22"/>
          <w:szCs w:val="22"/>
          <w:lang w:val="es-ES"/>
        </w:rPr>
        <w:t>el apoyo al mecanismo de facilitación y el fomento de la gestión de los conocimientos; c)</w:t>
      </w:r>
      <w:r w:rsidR="00F12E21">
        <w:rPr>
          <w:rFonts w:asciiTheme="majorBidi" w:hAnsiTheme="majorBidi"/>
          <w:sz w:val="22"/>
          <w:szCs w:val="22"/>
          <w:lang w:val="es-ES"/>
        </w:rPr>
        <w:t> </w:t>
      </w:r>
      <w:r w:rsidRPr="005978DF">
        <w:rPr>
          <w:rFonts w:asciiTheme="majorBidi" w:hAnsiTheme="majorBidi"/>
          <w:sz w:val="22"/>
          <w:szCs w:val="22"/>
          <w:lang w:val="es-ES"/>
        </w:rPr>
        <w:t>la facilitación de la integración de la agenda de la diversidad biológica en procesos internacionales e intergubernamentales pertinentes y el desarrollo de asociaciones estratégicas; d)</w:t>
      </w:r>
      <w:r w:rsidR="00F12E21">
        <w:rPr>
          <w:rFonts w:asciiTheme="majorBidi" w:hAnsiTheme="majorBidi"/>
          <w:sz w:val="22"/>
          <w:szCs w:val="22"/>
          <w:lang w:val="es-ES"/>
        </w:rPr>
        <w:t> </w:t>
      </w:r>
      <w:r w:rsidRPr="005978DF">
        <w:rPr>
          <w:rFonts w:asciiTheme="majorBidi" w:hAnsiTheme="majorBidi"/>
          <w:sz w:val="22"/>
          <w:szCs w:val="22"/>
          <w:lang w:val="es-ES"/>
        </w:rPr>
        <w:t>la facilitación de la prestación de servicios a las reuniones del Órgano Subsidiario sobre la Aplicación y otros procesos intergubernamentales pertinentes; y e) la realización de aportes a los procesos integrados de toda la Secretaría para apoyar la aplicación del Convenio y sus Protocolos.</w:t>
      </w:r>
      <w:r w:rsidRPr="005978DF">
        <w:rPr>
          <w:rFonts w:asciiTheme="minorHAnsi" w:hAnsiTheme="minorHAnsi"/>
          <w:sz w:val="22"/>
          <w:szCs w:val="22"/>
          <w:lang w:val="es-ES"/>
        </w:rPr>
        <w:t xml:space="preserve"> </w:t>
      </w:r>
      <w:r w:rsidRPr="005978DF">
        <w:rPr>
          <w:rFonts w:asciiTheme="majorBidi" w:hAnsiTheme="majorBidi"/>
          <w:sz w:val="22"/>
          <w:szCs w:val="22"/>
          <w:lang w:val="es-ES"/>
        </w:rPr>
        <w:t xml:space="preserve">Quien </w:t>
      </w:r>
      <w:r w:rsidRPr="005978DF">
        <w:rPr>
          <w:rFonts w:asciiTheme="majorBidi" w:hAnsiTheme="majorBidi"/>
          <w:sz w:val="22"/>
          <w:szCs w:val="22"/>
          <w:lang w:val="es-ES"/>
        </w:rPr>
        <w:lastRenderedPageBreak/>
        <w:t xml:space="preserve">dirige la División ejerce funciones de </w:t>
      </w:r>
      <w:proofErr w:type="gramStart"/>
      <w:r w:rsidRPr="005978DF">
        <w:rPr>
          <w:rFonts w:asciiTheme="majorBidi" w:hAnsiTheme="majorBidi"/>
          <w:sz w:val="22"/>
          <w:szCs w:val="22"/>
          <w:lang w:val="es-ES"/>
        </w:rPr>
        <w:t>Secretario</w:t>
      </w:r>
      <w:proofErr w:type="gramEnd"/>
      <w:r w:rsidRPr="005978DF">
        <w:rPr>
          <w:rFonts w:asciiTheme="majorBidi" w:hAnsiTheme="majorBidi"/>
          <w:sz w:val="22"/>
          <w:szCs w:val="22"/>
          <w:lang w:val="es-ES"/>
        </w:rPr>
        <w:t xml:space="preserve"> del Órgano Subsidiario sobre la Aplicación y, hasta hace poco, también de Secretario del Grupo de Trabajo de Composición Abierta sobre el Marco Mundial de la Diversidad Biológica posterior a 2020.</w:t>
      </w:r>
    </w:p>
    <w:p w14:paraId="4041157F" w14:textId="77777777" w:rsidR="002809FB" w:rsidRPr="005978DF" w:rsidRDefault="002809FB" w:rsidP="002809FB">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rFonts w:asciiTheme="majorBidi" w:hAnsiTheme="majorBidi"/>
          <w:sz w:val="22"/>
          <w:szCs w:val="22"/>
          <w:lang w:val="es-ES"/>
        </w:rPr>
        <w:t>La División de Apoyo a la Aplicación se compone de las siguientes tres dependencias:</w:t>
      </w:r>
    </w:p>
    <w:p w14:paraId="40411580" w14:textId="77777777" w:rsidR="002809FB" w:rsidRPr="005978DF" w:rsidRDefault="002809FB" w:rsidP="002C3B9C">
      <w:pPr>
        <w:numPr>
          <w:ilvl w:val="1"/>
          <w:numId w:val="46"/>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6"/>
        <w:jc w:val="both"/>
        <w:rPr>
          <w:rFonts w:asciiTheme="majorBidi" w:eastAsiaTheme="majorBidi" w:hAnsiTheme="majorBidi" w:cstheme="majorBidi"/>
          <w:sz w:val="22"/>
          <w:szCs w:val="22"/>
          <w:lang w:val="es-ES"/>
        </w:rPr>
      </w:pPr>
      <w:r w:rsidRPr="005978DF">
        <w:rPr>
          <w:rFonts w:asciiTheme="majorBidi" w:hAnsiTheme="majorBidi"/>
          <w:sz w:val="22"/>
          <w:szCs w:val="22"/>
          <w:lang w:val="es-ES"/>
        </w:rPr>
        <w:t>La Dependencia de Seguimiento, Revisión y Presentación de Informes se encarga de apoyar a las Partes en el seguimiento de los progresos hacia los objetivos acordados en el marco del Convenio y de reflejar estos objetivos en la planificación, la revisión y la presentación de informes sobre la diversidad biológica. El desarrollo de un sistema de revisión holístico que abarque el Convenio y sus Protocolos es uno de los principales objetivos de la Dependencia. Esto incluye la presentación de informes nacionales como un elemento del sistema de revisión;</w:t>
      </w:r>
    </w:p>
    <w:p w14:paraId="40411581" w14:textId="77777777" w:rsidR="002809FB" w:rsidRPr="005978DF" w:rsidRDefault="002809FB" w:rsidP="002C3B9C">
      <w:pPr>
        <w:numPr>
          <w:ilvl w:val="1"/>
          <w:numId w:val="46"/>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6"/>
        <w:jc w:val="both"/>
        <w:rPr>
          <w:rFonts w:asciiTheme="majorBidi" w:hAnsiTheme="majorBidi" w:cstheme="majorBidi"/>
          <w:sz w:val="22"/>
          <w:szCs w:val="22"/>
          <w:lang w:val="es-ES"/>
        </w:rPr>
      </w:pPr>
      <w:r w:rsidRPr="005978DF">
        <w:rPr>
          <w:rFonts w:asciiTheme="majorBidi" w:hAnsiTheme="majorBidi"/>
          <w:sz w:val="22"/>
          <w:szCs w:val="22"/>
          <w:lang w:val="es-ES"/>
        </w:rPr>
        <w:t xml:space="preserve">La Dependencia de Cooperación y Participación de Interesados es responsable de la participación de los principales grupos de interesados en la labor y los procesos del Convenio, así como de la cooperación con otras organizaciones y convenciones internacionales, que son </w:t>
      </w:r>
      <w:r w:rsidR="007B005C">
        <w:rPr>
          <w:rFonts w:asciiTheme="majorBidi" w:hAnsiTheme="majorBidi"/>
          <w:sz w:val="22"/>
          <w:szCs w:val="22"/>
          <w:lang w:val="es-ES"/>
        </w:rPr>
        <w:t>a</w:t>
      </w:r>
      <w:r w:rsidRPr="005978DF">
        <w:rPr>
          <w:rFonts w:asciiTheme="majorBidi" w:hAnsiTheme="majorBidi"/>
          <w:sz w:val="22"/>
          <w:szCs w:val="22"/>
          <w:lang w:val="es-ES"/>
        </w:rPr>
        <w:t>soci</w:t>
      </w:r>
      <w:r w:rsidR="007B005C">
        <w:rPr>
          <w:rFonts w:asciiTheme="majorBidi" w:hAnsiTheme="majorBidi"/>
          <w:sz w:val="22"/>
          <w:szCs w:val="22"/>
          <w:lang w:val="es-ES"/>
        </w:rPr>
        <w:t>ad</w:t>
      </w:r>
      <w:r w:rsidRPr="005978DF">
        <w:rPr>
          <w:rFonts w:asciiTheme="majorBidi" w:hAnsiTheme="majorBidi"/>
          <w:sz w:val="22"/>
          <w:szCs w:val="22"/>
          <w:lang w:val="es-ES"/>
        </w:rPr>
        <w:t>os clave en la c</w:t>
      </w:r>
      <w:r w:rsidR="007B005C">
        <w:rPr>
          <w:rFonts w:asciiTheme="majorBidi" w:hAnsiTheme="majorBidi"/>
          <w:sz w:val="22"/>
          <w:szCs w:val="22"/>
          <w:lang w:val="es-ES"/>
        </w:rPr>
        <w:t>onsecu</w:t>
      </w:r>
      <w:r w:rsidRPr="005978DF">
        <w:rPr>
          <w:rFonts w:asciiTheme="majorBidi" w:hAnsiTheme="majorBidi"/>
          <w:sz w:val="22"/>
          <w:szCs w:val="22"/>
          <w:lang w:val="es-ES"/>
        </w:rPr>
        <w:t>ción de los objetivos del Convenio y sus Protocolos.</w:t>
      </w:r>
      <w:r w:rsidR="00FB51D0">
        <w:rPr>
          <w:rFonts w:asciiTheme="majorBidi" w:hAnsiTheme="majorBidi"/>
          <w:sz w:val="22"/>
          <w:szCs w:val="22"/>
          <w:lang w:val="es-ES"/>
        </w:rPr>
        <w:t xml:space="preserve"> Entre los grupos de interesados</w:t>
      </w:r>
      <w:r w:rsidRPr="005978DF">
        <w:rPr>
          <w:rFonts w:asciiTheme="majorBidi" w:hAnsiTheme="majorBidi"/>
          <w:sz w:val="22"/>
          <w:szCs w:val="22"/>
          <w:lang w:val="es-ES"/>
        </w:rPr>
        <w:t>, tiene una responsabilidad especial en relación con l</w:t>
      </w:r>
      <w:r w:rsidR="007B005C">
        <w:rPr>
          <w:rFonts w:asciiTheme="majorBidi" w:hAnsiTheme="majorBidi"/>
          <w:sz w:val="22"/>
          <w:szCs w:val="22"/>
          <w:lang w:val="es-ES"/>
        </w:rPr>
        <w:t>a</w:t>
      </w:r>
      <w:r w:rsidRPr="005978DF">
        <w:rPr>
          <w:rFonts w:asciiTheme="majorBidi" w:hAnsiTheme="majorBidi"/>
          <w:sz w:val="22"/>
          <w:szCs w:val="22"/>
          <w:lang w:val="es-ES"/>
        </w:rPr>
        <w:t xml:space="preserve"> j</w:t>
      </w:r>
      <w:r w:rsidR="007B005C">
        <w:rPr>
          <w:rFonts w:asciiTheme="majorBidi" w:hAnsiTheme="majorBidi"/>
          <w:sz w:val="22"/>
          <w:szCs w:val="22"/>
          <w:lang w:val="es-ES"/>
        </w:rPr>
        <w:t>u</w:t>
      </w:r>
      <w:r w:rsidRPr="005978DF">
        <w:rPr>
          <w:rFonts w:asciiTheme="majorBidi" w:hAnsiTheme="majorBidi"/>
          <w:sz w:val="22"/>
          <w:szCs w:val="22"/>
          <w:lang w:val="es-ES"/>
        </w:rPr>
        <w:t>ven</w:t>
      </w:r>
      <w:r w:rsidR="007B005C">
        <w:rPr>
          <w:rFonts w:asciiTheme="majorBidi" w:hAnsiTheme="majorBidi"/>
          <w:sz w:val="22"/>
          <w:szCs w:val="22"/>
          <w:lang w:val="es-ES"/>
        </w:rPr>
        <w:t>tud</w:t>
      </w:r>
      <w:r w:rsidRPr="005978DF">
        <w:rPr>
          <w:rFonts w:asciiTheme="majorBidi" w:hAnsiTheme="majorBidi"/>
          <w:sz w:val="22"/>
          <w:szCs w:val="22"/>
          <w:lang w:val="es-ES"/>
        </w:rPr>
        <w:t xml:space="preserve"> y las autoridades subnacionales y locales. La Dependencia facilita la integración de la agenda de la diversidad biológica en los procesos intergubernamentales pertinentes y desarrolla y mantiene asociaciones para apoyar la aplicación del Convenio y sus Protocolos. La Dependencia también es responsable de los asuntos relacionados con el mecanismo financiero del Convenio y sus Protocolos y la cooperación con el Fondo para el Medio Ambiente Mundial;</w:t>
      </w:r>
    </w:p>
    <w:p w14:paraId="40411582" w14:textId="77777777" w:rsidR="002809FB" w:rsidRPr="005978DF" w:rsidRDefault="002809FB" w:rsidP="002C3B9C">
      <w:pPr>
        <w:numPr>
          <w:ilvl w:val="1"/>
          <w:numId w:val="46"/>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6"/>
        <w:jc w:val="both"/>
        <w:rPr>
          <w:rFonts w:asciiTheme="majorBidi" w:hAnsiTheme="majorBidi" w:cstheme="majorBidi"/>
          <w:sz w:val="22"/>
          <w:szCs w:val="22"/>
          <w:lang w:val="es-ES"/>
        </w:rPr>
      </w:pPr>
      <w:r w:rsidRPr="005978DF">
        <w:rPr>
          <w:sz w:val="22"/>
          <w:szCs w:val="22"/>
          <w:lang w:val="es-ES"/>
        </w:rPr>
        <w:t xml:space="preserve">La Dependencia de Creación de Capacidad y Gestión de Conocimientos </w:t>
      </w:r>
      <w:r w:rsidRPr="005978DF">
        <w:rPr>
          <w:rFonts w:asciiTheme="majorBidi" w:hAnsiTheme="majorBidi"/>
          <w:sz w:val="22"/>
          <w:szCs w:val="22"/>
          <w:lang w:val="es-ES"/>
        </w:rPr>
        <w:t xml:space="preserve">se encarga </w:t>
      </w:r>
      <w:r w:rsidRPr="005978DF">
        <w:rPr>
          <w:sz w:val="22"/>
          <w:szCs w:val="22"/>
          <w:lang w:val="es-ES"/>
        </w:rPr>
        <w:t xml:space="preserve">de coordinar y facilitar programas de creación y desarrollo de capacidad, cooperación </w:t>
      </w:r>
      <w:r w:rsidR="007B005C" w:rsidRPr="005978DF">
        <w:rPr>
          <w:sz w:val="22"/>
          <w:szCs w:val="22"/>
          <w:lang w:val="es-ES"/>
        </w:rPr>
        <w:t xml:space="preserve">científica y </w:t>
      </w:r>
      <w:r w:rsidRPr="005978DF">
        <w:rPr>
          <w:sz w:val="22"/>
          <w:szCs w:val="22"/>
          <w:lang w:val="es-ES"/>
        </w:rPr>
        <w:t>técnica y gestión de conocimientos, además de desarrollar y gestionar las plataformas del mecanismo de facilitación y otros sistemas de tecnología de la información y soluciones digitales para apoyar la aplicación del Convenio y sus Protocolos</w:t>
      </w:r>
      <w:r w:rsidRPr="005978DF">
        <w:rPr>
          <w:rFonts w:asciiTheme="majorBidi" w:hAnsiTheme="majorBidi"/>
          <w:sz w:val="22"/>
          <w:szCs w:val="22"/>
          <w:lang w:val="es-ES"/>
        </w:rPr>
        <w:t>.</w:t>
      </w:r>
      <w:r w:rsidRPr="005978DF">
        <w:rPr>
          <w:sz w:val="22"/>
          <w:szCs w:val="22"/>
          <w:lang w:val="es-ES"/>
        </w:rPr>
        <w:t xml:space="preserve"> Consta de los siguientes programas:</w:t>
      </w:r>
    </w:p>
    <w:p w14:paraId="40411583" w14:textId="77777777" w:rsidR="002809FB" w:rsidRPr="005978DF" w:rsidRDefault="002809FB" w:rsidP="002C3B9C">
      <w:pPr>
        <w:numPr>
          <w:ilvl w:val="3"/>
          <w:numId w:val="29"/>
        </w:numPr>
        <w:spacing w:before="120" w:after="120"/>
        <w:ind w:left="2405" w:hanging="706"/>
        <w:jc w:val="both"/>
        <w:rPr>
          <w:rFonts w:asciiTheme="majorBidi" w:hAnsiTheme="majorBidi" w:cstheme="majorBidi"/>
          <w:sz w:val="22"/>
          <w:szCs w:val="22"/>
          <w:lang w:val="es-ES"/>
        </w:rPr>
      </w:pPr>
      <w:r w:rsidRPr="005978DF">
        <w:rPr>
          <w:rFonts w:asciiTheme="majorBidi" w:hAnsiTheme="majorBidi"/>
          <w:sz w:val="22"/>
          <w:szCs w:val="22"/>
          <w:lang w:val="es-ES"/>
        </w:rPr>
        <w:t>Creación y desarrollo de capacidad;</w:t>
      </w:r>
    </w:p>
    <w:p w14:paraId="40411584" w14:textId="77777777" w:rsidR="002809FB" w:rsidRPr="005978DF" w:rsidRDefault="002809FB" w:rsidP="002C3B9C">
      <w:pPr>
        <w:numPr>
          <w:ilvl w:val="3"/>
          <w:numId w:val="29"/>
        </w:numPr>
        <w:spacing w:before="120" w:after="120"/>
        <w:ind w:left="2405" w:hanging="706"/>
        <w:jc w:val="both"/>
        <w:rPr>
          <w:rFonts w:asciiTheme="majorBidi" w:eastAsiaTheme="majorBidi" w:hAnsiTheme="majorBidi" w:cstheme="majorBidi"/>
          <w:sz w:val="22"/>
          <w:szCs w:val="22"/>
          <w:lang w:val="es-ES"/>
        </w:rPr>
      </w:pPr>
      <w:r w:rsidRPr="005978DF">
        <w:rPr>
          <w:rFonts w:asciiTheme="majorBidi" w:hAnsiTheme="majorBidi"/>
          <w:sz w:val="22"/>
          <w:szCs w:val="22"/>
          <w:lang w:val="es-ES"/>
        </w:rPr>
        <w:t xml:space="preserve">Programa de cooperación </w:t>
      </w:r>
      <w:r w:rsidR="007B005C" w:rsidRPr="005978DF">
        <w:rPr>
          <w:rFonts w:asciiTheme="majorBidi" w:hAnsiTheme="majorBidi"/>
          <w:sz w:val="22"/>
          <w:szCs w:val="22"/>
          <w:lang w:val="es-ES"/>
        </w:rPr>
        <w:t xml:space="preserve">científica y </w:t>
      </w:r>
      <w:r w:rsidRPr="005978DF">
        <w:rPr>
          <w:rFonts w:asciiTheme="majorBidi" w:hAnsiTheme="majorBidi"/>
          <w:sz w:val="22"/>
          <w:szCs w:val="22"/>
          <w:lang w:val="es-ES"/>
        </w:rPr>
        <w:t>técnica (incluida la Iniciativa Bio-Bridge);</w:t>
      </w:r>
    </w:p>
    <w:p w14:paraId="40411585" w14:textId="77777777" w:rsidR="002809FB" w:rsidRPr="005978DF" w:rsidRDefault="002809FB" w:rsidP="002C3B9C">
      <w:pPr>
        <w:numPr>
          <w:ilvl w:val="3"/>
          <w:numId w:val="29"/>
        </w:numPr>
        <w:spacing w:before="120" w:after="120"/>
        <w:ind w:left="2405" w:hanging="706"/>
        <w:jc w:val="both"/>
        <w:rPr>
          <w:rFonts w:asciiTheme="majorBidi" w:eastAsiaTheme="majorBidi" w:hAnsiTheme="majorBidi" w:cstheme="majorBidi"/>
          <w:sz w:val="22"/>
          <w:szCs w:val="22"/>
          <w:lang w:val="es-ES"/>
        </w:rPr>
      </w:pPr>
      <w:r w:rsidRPr="005978DF">
        <w:rPr>
          <w:rFonts w:asciiTheme="majorBidi" w:hAnsiTheme="majorBidi"/>
          <w:sz w:val="22"/>
          <w:szCs w:val="22"/>
          <w:lang w:val="es-ES"/>
        </w:rPr>
        <w:t xml:space="preserve">Gestión de conocimientos y el mecanismo de </w:t>
      </w:r>
      <w:r w:rsidR="007B005C">
        <w:rPr>
          <w:rFonts w:asciiTheme="majorBidi" w:hAnsiTheme="majorBidi"/>
          <w:sz w:val="22"/>
          <w:szCs w:val="22"/>
          <w:lang w:val="es-ES"/>
        </w:rPr>
        <w:t>f</w:t>
      </w:r>
      <w:r w:rsidRPr="005978DF">
        <w:rPr>
          <w:rFonts w:asciiTheme="majorBidi" w:hAnsiTheme="majorBidi"/>
          <w:sz w:val="22"/>
          <w:szCs w:val="22"/>
          <w:lang w:val="es-ES"/>
        </w:rPr>
        <w:t>ac</w:t>
      </w:r>
      <w:r w:rsidR="007B005C">
        <w:rPr>
          <w:rFonts w:asciiTheme="majorBidi" w:hAnsiTheme="majorBidi"/>
          <w:sz w:val="22"/>
          <w:szCs w:val="22"/>
          <w:lang w:val="es-ES"/>
        </w:rPr>
        <w:t>ilitac</w:t>
      </w:r>
      <w:r w:rsidRPr="005978DF">
        <w:rPr>
          <w:rFonts w:asciiTheme="majorBidi" w:hAnsiTheme="majorBidi"/>
          <w:sz w:val="22"/>
          <w:szCs w:val="22"/>
          <w:lang w:val="es-ES"/>
        </w:rPr>
        <w:t>ión;</w:t>
      </w:r>
    </w:p>
    <w:p w14:paraId="40411586" w14:textId="77777777" w:rsidR="002809FB" w:rsidRPr="005978DF" w:rsidRDefault="002809FB" w:rsidP="002C3B9C">
      <w:pPr>
        <w:numPr>
          <w:ilvl w:val="3"/>
          <w:numId w:val="29"/>
        </w:numPr>
        <w:spacing w:before="120" w:after="120"/>
        <w:ind w:left="2405" w:hanging="706"/>
        <w:jc w:val="both"/>
        <w:rPr>
          <w:rFonts w:asciiTheme="majorBidi" w:hAnsiTheme="majorBidi" w:cstheme="majorBidi"/>
          <w:sz w:val="22"/>
          <w:szCs w:val="22"/>
          <w:lang w:val="es-ES"/>
        </w:rPr>
      </w:pPr>
      <w:r w:rsidRPr="005978DF">
        <w:rPr>
          <w:rFonts w:asciiTheme="majorBidi" w:hAnsiTheme="majorBidi"/>
          <w:sz w:val="22"/>
          <w:szCs w:val="22"/>
          <w:lang w:val="es-ES"/>
        </w:rPr>
        <w:t>Tecnología de la información y gobernanza digital.</w:t>
      </w:r>
    </w:p>
    <w:p w14:paraId="40411587" w14:textId="77777777" w:rsidR="002809FB" w:rsidRPr="005978DF" w:rsidRDefault="002809FB" w:rsidP="002809FB">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s-ES"/>
        </w:rPr>
      </w:pPr>
      <w:r w:rsidRPr="005978DF">
        <w:rPr>
          <w:rFonts w:asciiTheme="majorBidi" w:hAnsiTheme="majorBidi"/>
          <w:sz w:val="22"/>
          <w:szCs w:val="22"/>
          <w:lang w:val="es-ES"/>
        </w:rPr>
        <w:t>La División de Apoyo a la Aplicación contribuye a los cuatro resultados sustantivos de la Secretaría. El siguiente cuadro muestra los productos y subproductos de los que la División es directamente responsable.</w:t>
      </w:r>
    </w:p>
    <w:p w14:paraId="40411588" w14:textId="77777777" w:rsidR="002809FB" w:rsidRPr="005978DF" w:rsidRDefault="002809FB" w:rsidP="002809FB">
      <w:pPr>
        <w:keepNext/>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right="1264"/>
        <w:outlineLvl w:val="3"/>
        <w:rPr>
          <w:rFonts w:asciiTheme="majorBidi" w:hAnsiTheme="majorBidi" w:cstheme="majorBidi"/>
          <w:sz w:val="22"/>
          <w:szCs w:val="22"/>
          <w:lang w:val="es-ES"/>
        </w:rPr>
      </w:pPr>
      <w:r w:rsidRPr="005978DF">
        <w:rPr>
          <w:b/>
          <w:bCs/>
          <w:sz w:val="22"/>
          <w:szCs w:val="22"/>
          <w:lang w:val="es-ES"/>
        </w:rPr>
        <w:t>Cuadro 19. Productos y subproductos de la División de Apoyo a la Aplicación</w:t>
      </w:r>
    </w:p>
    <w:tbl>
      <w:tblPr>
        <w:tblStyle w:val="TableGrid"/>
        <w:tblW w:w="0" w:type="auto"/>
        <w:jc w:val="center"/>
        <w:tblLook w:val="04A0" w:firstRow="1" w:lastRow="0" w:firstColumn="1" w:lastColumn="0" w:noHBand="0" w:noVBand="1"/>
      </w:tblPr>
      <w:tblGrid>
        <w:gridCol w:w="8359"/>
      </w:tblGrid>
      <w:tr w:rsidR="002809FB" w:rsidRPr="006A6E89" w14:paraId="4041158A" w14:textId="77777777" w:rsidTr="0049064A">
        <w:trPr>
          <w:trHeight w:val="377"/>
          <w:jc w:val="center"/>
        </w:trPr>
        <w:tc>
          <w:tcPr>
            <w:tcW w:w="8359" w:type="dxa"/>
          </w:tcPr>
          <w:p w14:paraId="40411589" w14:textId="77777777" w:rsidR="002809FB" w:rsidRPr="005978DF" w:rsidRDefault="002809FB" w:rsidP="0049064A">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6"/>
                <w:szCs w:val="16"/>
                <w:lang w:val="es-ES"/>
              </w:rPr>
            </w:pPr>
            <w:r w:rsidRPr="005978DF">
              <w:rPr>
                <w:rFonts w:asciiTheme="majorBidi" w:hAnsiTheme="majorBidi"/>
                <w:i/>
                <w:iCs/>
                <w:sz w:val="16"/>
                <w:szCs w:val="16"/>
                <w:lang w:val="es-ES"/>
              </w:rPr>
              <w:t>Productos y subproductos por resultado</w:t>
            </w:r>
          </w:p>
        </w:tc>
      </w:tr>
      <w:tr w:rsidR="002809FB" w:rsidRPr="006A6E89" w14:paraId="4041158C" w14:textId="77777777" w:rsidTr="0049064A">
        <w:trPr>
          <w:trHeight w:val="680"/>
          <w:jc w:val="center"/>
        </w:trPr>
        <w:tc>
          <w:tcPr>
            <w:tcW w:w="8359" w:type="dxa"/>
          </w:tcPr>
          <w:p w14:paraId="4041158B" w14:textId="77777777" w:rsidR="002809FB" w:rsidRPr="005978DF" w:rsidRDefault="002809FB" w:rsidP="007B005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6"/>
                <w:szCs w:val="16"/>
                <w:lang w:val="es-ES"/>
              </w:rPr>
            </w:pPr>
            <w:r w:rsidRPr="005978DF">
              <w:rPr>
                <w:rFonts w:asciiTheme="majorBidi" w:hAnsiTheme="majorBidi"/>
                <w:b/>
                <w:bCs/>
                <w:sz w:val="16"/>
                <w:szCs w:val="16"/>
                <w:lang w:val="es-ES"/>
              </w:rPr>
              <w:t xml:space="preserve">Productos previstos para el bienio en </w:t>
            </w:r>
            <w:proofErr w:type="spellStart"/>
            <w:r w:rsidRPr="005978DF">
              <w:rPr>
                <w:rFonts w:asciiTheme="majorBidi" w:hAnsiTheme="majorBidi"/>
                <w:b/>
                <w:bCs/>
                <w:sz w:val="16"/>
                <w:szCs w:val="16"/>
                <w:lang w:val="es-ES"/>
              </w:rPr>
              <w:t>pos</w:t>
            </w:r>
            <w:proofErr w:type="spellEnd"/>
            <w:r w:rsidRPr="005978DF">
              <w:rPr>
                <w:rFonts w:asciiTheme="majorBidi" w:hAnsiTheme="majorBidi"/>
                <w:b/>
                <w:bCs/>
                <w:sz w:val="16"/>
                <w:szCs w:val="16"/>
                <w:lang w:val="es-ES"/>
              </w:rPr>
              <w:t xml:space="preserve"> de lograr el resultado 1):</w:t>
            </w:r>
            <w:r w:rsidRPr="005978DF">
              <w:rPr>
                <w:rFonts w:asciiTheme="majorBidi" w:hAnsiTheme="majorBidi"/>
                <w:sz w:val="16"/>
                <w:szCs w:val="16"/>
                <w:lang w:val="es-ES"/>
              </w:rPr>
              <w:t xml:space="preserve"> A través del Convenio y sus Protocolos, la comunidad internacional converge ca</w:t>
            </w:r>
            <w:r w:rsidR="007B005C">
              <w:rPr>
                <w:rFonts w:asciiTheme="majorBidi" w:hAnsiTheme="majorBidi"/>
                <w:sz w:val="16"/>
                <w:szCs w:val="16"/>
                <w:lang w:val="es-ES"/>
              </w:rPr>
              <w:t>da vez más en enfoques comunes,</w:t>
            </w:r>
            <w:r w:rsidRPr="005978DF">
              <w:rPr>
                <w:rFonts w:asciiTheme="majorBidi" w:hAnsiTheme="majorBidi"/>
                <w:sz w:val="16"/>
                <w:szCs w:val="16"/>
                <w:lang w:val="es-ES"/>
              </w:rPr>
              <w:t xml:space="preserve"> integrados </w:t>
            </w:r>
            <w:r w:rsidR="007B005C">
              <w:rPr>
                <w:rFonts w:asciiTheme="majorBidi" w:hAnsiTheme="majorBidi"/>
                <w:sz w:val="16"/>
                <w:szCs w:val="16"/>
                <w:lang w:val="es-ES"/>
              </w:rPr>
              <w:t xml:space="preserve">y sensibles a la perspectiva de </w:t>
            </w:r>
            <w:r w:rsidRPr="005978DF">
              <w:rPr>
                <w:rFonts w:asciiTheme="majorBidi" w:hAnsiTheme="majorBidi"/>
                <w:sz w:val="16"/>
                <w:szCs w:val="16"/>
                <w:lang w:val="es-ES"/>
              </w:rPr>
              <w:t xml:space="preserve">género para la conservación de la diversidad biológica, </w:t>
            </w:r>
            <w:r w:rsidR="007B005C">
              <w:rPr>
                <w:rFonts w:asciiTheme="majorBidi" w:hAnsiTheme="majorBidi"/>
                <w:sz w:val="16"/>
                <w:szCs w:val="16"/>
                <w:lang w:val="es-ES"/>
              </w:rPr>
              <w:t>su</w:t>
            </w:r>
            <w:r w:rsidRPr="005978DF">
              <w:rPr>
                <w:rFonts w:asciiTheme="majorBidi" w:hAnsiTheme="majorBidi"/>
                <w:sz w:val="16"/>
                <w:szCs w:val="16"/>
                <w:lang w:val="es-ES"/>
              </w:rPr>
              <w:t xml:space="preserve"> utilización sostenible y la participación justa y equitativa en los beneficios derivados de la utilización de los recursos genéticos</w:t>
            </w:r>
          </w:p>
        </w:tc>
      </w:tr>
      <w:tr w:rsidR="002809FB" w:rsidRPr="006A6E89" w14:paraId="4041158E" w14:textId="77777777" w:rsidTr="0049064A">
        <w:trPr>
          <w:trHeight w:val="377"/>
          <w:jc w:val="center"/>
        </w:trPr>
        <w:tc>
          <w:tcPr>
            <w:tcW w:w="8359" w:type="dxa"/>
          </w:tcPr>
          <w:p w14:paraId="4041158D" w14:textId="77777777" w:rsidR="002809FB" w:rsidRPr="005978DF" w:rsidRDefault="002809FB" w:rsidP="0049064A">
            <w:pPr>
              <w:pStyle w:val="ListParagraph"/>
              <w:ind w:left="0"/>
              <w:rPr>
                <w:rFonts w:asciiTheme="majorBidi" w:hAnsiTheme="majorBidi" w:cstheme="majorBidi"/>
                <w:sz w:val="16"/>
                <w:szCs w:val="16"/>
                <w:lang w:val="es-ES"/>
              </w:rPr>
            </w:pPr>
            <w:r w:rsidRPr="005978DF">
              <w:rPr>
                <w:rFonts w:asciiTheme="majorBidi" w:hAnsiTheme="majorBidi"/>
                <w:sz w:val="16"/>
                <w:szCs w:val="16"/>
                <w:lang w:val="es-ES"/>
              </w:rPr>
              <w:t>1.1 Análisis/trabajos técnicos con base empírica aportan información a los procesos de adopción de decisiones de las Partes durante las principales reuniones</w:t>
            </w:r>
          </w:p>
        </w:tc>
      </w:tr>
      <w:tr w:rsidR="002809FB" w:rsidRPr="006A6E89" w14:paraId="40411590" w14:textId="77777777" w:rsidTr="0049064A">
        <w:trPr>
          <w:trHeight w:val="160"/>
          <w:jc w:val="center"/>
        </w:trPr>
        <w:tc>
          <w:tcPr>
            <w:tcW w:w="8359" w:type="dxa"/>
          </w:tcPr>
          <w:p w14:paraId="4041158F" w14:textId="77777777" w:rsidR="002809FB" w:rsidRPr="005978DF" w:rsidRDefault="002809FB" w:rsidP="0049064A">
            <w:pPr>
              <w:pStyle w:val="ListParagraph"/>
              <w:rPr>
                <w:rFonts w:asciiTheme="majorBidi" w:hAnsiTheme="majorBidi" w:cstheme="majorBidi"/>
                <w:sz w:val="16"/>
                <w:szCs w:val="16"/>
                <w:lang w:val="es-ES"/>
              </w:rPr>
            </w:pPr>
            <w:r w:rsidRPr="005978DF">
              <w:rPr>
                <w:rFonts w:asciiTheme="majorBidi" w:hAnsiTheme="majorBidi"/>
                <w:sz w:val="16"/>
                <w:szCs w:val="16"/>
                <w:lang w:val="es-ES"/>
              </w:rPr>
              <w:t>1.1.1 Se elaboran documentos de orientación técnica (incluidos estudios)</w:t>
            </w:r>
          </w:p>
        </w:tc>
      </w:tr>
      <w:tr w:rsidR="002809FB" w:rsidRPr="006A6E89" w14:paraId="40411592" w14:textId="77777777" w:rsidTr="0049064A">
        <w:trPr>
          <w:trHeight w:val="151"/>
          <w:jc w:val="center"/>
        </w:trPr>
        <w:tc>
          <w:tcPr>
            <w:tcW w:w="8359" w:type="dxa"/>
          </w:tcPr>
          <w:p w14:paraId="40411591" w14:textId="77777777" w:rsidR="002809FB" w:rsidRPr="005978DF" w:rsidRDefault="002809FB" w:rsidP="0019541D">
            <w:pPr>
              <w:pStyle w:val="ListParagraph"/>
              <w:rPr>
                <w:rFonts w:asciiTheme="majorBidi" w:hAnsiTheme="majorBidi" w:cstheme="majorBidi"/>
                <w:sz w:val="16"/>
                <w:szCs w:val="16"/>
                <w:lang w:val="es-ES"/>
              </w:rPr>
            </w:pPr>
            <w:r w:rsidRPr="005978DF">
              <w:rPr>
                <w:rFonts w:asciiTheme="majorBidi" w:hAnsiTheme="majorBidi"/>
                <w:sz w:val="16"/>
                <w:szCs w:val="16"/>
                <w:lang w:val="es-ES"/>
              </w:rPr>
              <w:t>1.1.2 Se celebran reuniones técnicas (</w:t>
            </w:r>
            <w:r w:rsidR="0019541D">
              <w:rPr>
                <w:rFonts w:asciiTheme="majorBidi" w:hAnsiTheme="majorBidi"/>
                <w:sz w:val="16"/>
                <w:szCs w:val="16"/>
                <w:lang w:val="es-ES"/>
              </w:rPr>
              <w:t>g</w:t>
            </w:r>
            <w:r w:rsidRPr="005978DF">
              <w:rPr>
                <w:rFonts w:asciiTheme="majorBidi" w:hAnsiTheme="majorBidi"/>
                <w:sz w:val="16"/>
                <w:szCs w:val="16"/>
                <w:lang w:val="es-ES"/>
              </w:rPr>
              <w:t xml:space="preserve">rupos especiales de expertos técnicos, </w:t>
            </w:r>
            <w:r w:rsidR="0019541D">
              <w:rPr>
                <w:rFonts w:asciiTheme="majorBidi" w:hAnsiTheme="majorBidi"/>
                <w:sz w:val="16"/>
                <w:szCs w:val="16"/>
                <w:lang w:val="es-ES"/>
              </w:rPr>
              <w:t>c</w:t>
            </w:r>
            <w:r w:rsidRPr="005978DF">
              <w:rPr>
                <w:rFonts w:asciiTheme="majorBidi" w:hAnsiTheme="majorBidi"/>
                <w:sz w:val="16"/>
                <w:szCs w:val="16"/>
                <w:lang w:val="es-ES"/>
              </w:rPr>
              <w:t xml:space="preserve">omités asesores oficiosos, </w:t>
            </w:r>
            <w:r w:rsidR="0019541D">
              <w:rPr>
                <w:rFonts w:asciiTheme="majorBidi" w:hAnsiTheme="majorBidi"/>
                <w:sz w:val="16"/>
                <w:szCs w:val="16"/>
                <w:lang w:val="es-ES"/>
              </w:rPr>
              <w:t>g</w:t>
            </w:r>
            <w:r w:rsidRPr="005978DF">
              <w:rPr>
                <w:rFonts w:asciiTheme="majorBidi" w:hAnsiTheme="majorBidi"/>
                <w:sz w:val="16"/>
                <w:szCs w:val="16"/>
                <w:lang w:val="es-ES"/>
              </w:rPr>
              <w:t>rupos asesores oficiosos, etc.)</w:t>
            </w:r>
          </w:p>
        </w:tc>
      </w:tr>
      <w:tr w:rsidR="002809FB" w:rsidRPr="006A6E89" w14:paraId="40411594" w14:textId="77777777" w:rsidTr="0049064A">
        <w:trPr>
          <w:trHeight w:val="151"/>
          <w:jc w:val="center"/>
        </w:trPr>
        <w:tc>
          <w:tcPr>
            <w:tcW w:w="8359" w:type="dxa"/>
          </w:tcPr>
          <w:p w14:paraId="40411593" w14:textId="77777777" w:rsidR="002809FB" w:rsidRPr="005978DF" w:rsidRDefault="002809FB" w:rsidP="0049064A">
            <w:pPr>
              <w:pStyle w:val="ListParagraph"/>
              <w:rPr>
                <w:rFonts w:asciiTheme="majorBidi" w:hAnsiTheme="majorBidi" w:cstheme="majorBidi"/>
                <w:sz w:val="16"/>
                <w:szCs w:val="16"/>
                <w:lang w:val="es-ES"/>
              </w:rPr>
            </w:pPr>
            <w:r w:rsidRPr="005978DF">
              <w:rPr>
                <w:rFonts w:asciiTheme="majorBidi" w:hAnsiTheme="majorBidi"/>
                <w:sz w:val="16"/>
                <w:szCs w:val="16"/>
                <w:lang w:val="es-ES"/>
              </w:rPr>
              <w:t xml:space="preserve">1.1.3 Se elaboran proyectos de decisión y recomendaciones </w:t>
            </w:r>
          </w:p>
        </w:tc>
      </w:tr>
      <w:tr w:rsidR="002809FB" w:rsidRPr="006A6E89" w14:paraId="40411596" w14:textId="77777777" w:rsidTr="0049064A">
        <w:trPr>
          <w:trHeight w:val="302"/>
          <w:jc w:val="center"/>
        </w:trPr>
        <w:tc>
          <w:tcPr>
            <w:tcW w:w="8359" w:type="dxa"/>
          </w:tcPr>
          <w:p w14:paraId="40411595" w14:textId="77777777" w:rsidR="002809FB" w:rsidRPr="005978DF" w:rsidRDefault="002809FB" w:rsidP="00FB51D0">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1. 2 Se organizan y celebran reuniones importantes con la participación plena y efectiva de las Partes, los pueblos indígenas y</w:t>
            </w:r>
            <w:r w:rsidR="0019541D">
              <w:rPr>
                <w:rFonts w:asciiTheme="majorBidi" w:hAnsiTheme="majorBidi"/>
                <w:sz w:val="16"/>
                <w:szCs w:val="16"/>
                <w:lang w:val="es-ES"/>
              </w:rPr>
              <w:t xml:space="preserve"> las</w:t>
            </w:r>
            <w:r w:rsidRPr="005978DF">
              <w:rPr>
                <w:rFonts w:asciiTheme="majorBidi" w:hAnsiTheme="majorBidi"/>
                <w:sz w:val="16"/>
                <w:szCs w:val="16"/>
                <w:lang w:val="es-ES"/>
              </w:rPr>
              <w:t xml:space="preserve"> comunidades locales y otros interesados</w:t>
            </w:r>
          </w:p>
        </w:tc>
      </w:tr>
      <w:tr w:rsidR="002809FB" w:rsidRPr="006A6E89" w14:paraId="40411598" w14:textId="77777777" w:rsidTr="0049064A">
        <w:trPr>
          <w:trHeight w:val="151"/>
          <w:jc w:val="center"/>
        </w:trPr>
        <w:tc>
          <w:tcPr>
            <w:tcW w:w="8359" w:type="dxa"/>
          </w:tcPr>
          <w:p w14:paraId="40411597" w14:textId="77777777" w:rsidR="002809FB" w:rsidRPr="005978DF" w:rsidRDefault="002809FB" w:rsidP="00FB51D0">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1.2 Reunión </w:t>
            </w:r>
            <w:r w:rsidR="00FB51D0">
              <w:rPr>
                <w:rFonts w:asciiTheme="majorBidi" w:hAnsiTheme="majorBidi"/>
                <w:sz w:val="16"/>
                <w:szCs w:val="16"/>
                <w:lang w:val="es-ES"/>
              </w:rPr>
              <w:t>O</w:t>
            </w:r>
            <w:r w:rsidRPr="005978DF">
              <w:rPr>
                <w:rFonts w:asciiTheme="majorBidi" w:hAnsiTheme="majorBidi"/>
                <w:sz w:val="16"/>
                <w:szCs w:val="16"/>
                <w:lang w:val="es-ES"/>
              </w:rPr>
              <w:t>S</w:t>
            </w:r>
            <w:r w:rsidR="00FB51D0">
              <w:rPr>
                <w:rFonts w:asciiTheme="majorBidi" w:hAnsiTheme="majorBidi"/>
                <w:sz w:val="16"/>
                <w:szCs w:val="16"/>
                <w:lang w:val="es-ES"/>
              </w:rPr>
              <w:t>A</w:t>
            </w:r>
            <w:r w:rsidRPr="005978DF">
              <w:rPr>
                <w:rFonts w:asciiTheme="majorBidi" w:hAnsiTheme="majorBidi"/>
                <w:sz w:val="16"/>
                <w:szCs w:val="16"/>
                <w:lang w:val="es-ES"/>
              </w:rPr>
              <w:t>-4, foro de composición abierta del Órgano Subsidiario sobre la Aplicación</w:t>
            </w:r>
          </w:p>
        </w:tc>
      </w:tr>
      <w:tr w:rsidR="002809FB" w:rsidRPr="006A6E89" w14:paraId="4041159A" w14:textId="77777777" w:rsidTr="0049064A">
        <w:trPr>
          <w:trHeight w:val="302"/>
          <w:jc w:val="center"/>
        </w:trPr>
        <w:tc>
          <w:tcPr>
            <w:tcW w:w="8359" w:type="dxa"/>
          </w:tcPr>
          <w:p w14:paraId="40411599" w14:textId="77777777" w:rsidR="002809FB" w:rsidRPr="005978DF" w:rsidRDefault="002809FB" w:rsidP="0049064A">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1. 3 Se promueve la integración de las metas de diversidad biológica en las políticas, estrategias y planes de trabajo del sistema de las Naciones Unidas y otras organizaciones internacionales</w:t>
            </w:r>
          </w:p>
        </w:tc>
      </w:tr>
      <w:tr w:rsidR="002809FB" w:rsidRPr="006A6E89" w14:paraId="4041159C" w14:textId="77777777" w:rsidTr="00F2055F">
        <w:trPr>
          <w:cantSplit/>
          <w:trHeight w:val="302"/>
          <w:jc w:val="center"/>
        </w:trPr>
        <w:tc>
          <w:tcPr>
            <w:tcW w:w="8359" w:type="dxa"/>
          </w:tcPr>
          <w:p w14:paraId="4041159B"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lastRenderedPageBreak/>
              <w:t>1.3.1 Se fomentan los intercambios de información entre el CDB y sus Protocolos, acuerdos ambientales multilaterales, otras entidades de las Naciones Unidas y organizaciones internacionales para fundamentar las decisiones y mejorar la coherencia de las políticas</w:t>
            </w:r>
          </w:p>
        </w:tc>
      </w:tr>
      <w:tr w:rsidR="002809FB" w:rsidRPr="006A6E89" w14:paraId="4041159E" w14:textId="77777777" w:rsidTr="0049064A">
        <w:trPr>
          <w:trHeight w:val="311"/>
          <w:jc w:val="center"/>
        </w:trPr>
        <w:tc>
          <w:tcPr>
            <w:tcW w:w="8359" w:type="dxa"/>
          </w:tcPr>
          <w:p w14:paraId="4041159D"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1.3.2. Se desarrollan programas de trabajo/directrices/estrategias conjuntas con otros acuerdos ambientales multilaterales y organizaciones internacionales</w:t>
            </w:r>
          </w:p>
        </w:tc>
      </w:tr>
      <w:tr w:rsidR="002809FB" w:rsidRPr="006A6E89" w14:paraId="404115A0" w14:textId="77777777" w:rsidTr="0049064A">
        <w:trPr>
          <w:trHeight w:val="302"/>
          <w:jc w:val="center"/>
        </w:trPr>
        <w:tc>
          <w:tcPr>
            <w:tcW w:w="8359" w:type="dxa"/>
          </w:tcPr>
          <w:p w14:paraId="4041159F" w14:textId="77777777" w:rsidR="002809FB" w:rsidRPr="005978DF" w:rsidRDefault="002809FB" w:rsidP="00BD713C">
            <w:pPr>
              <w:pStyle w:val="ListParagraph"/>
              <w:ind w:left="0"/>
              <w:rPr>
                <w:rFonts w:asciiTheme="majorBidi" w:eastAsiaTheme="minorEastAsia" w:hAnsiTheme="majorBidi" w:cstheme="majorBidi"/>
                <w:sz w:val="16"/>
                <w:szCs w:val="16"/>
                <w:lang w:val="es-ES"/>
              </w:rPr>
            </w:pPr>
            <w:r w:rsidRPr="005978DF">
              <w:rPr>
                <w:rFonts w:asciiTheme="majorBidi" w:hAnsiTheme="majorBidi"/>
                <w:b/>
                <w:bCs/>
                <w:sz w:val="16"/>
                <w:szCs w:val="16"/>
                <w:lang w:val="es-ES"/>
              </w:rPr>
              <w:t xml:space="preserve">Productos previstos para el bienio en </w:t>
            </w:r>
            <w:proofErr w:type="spellStart"/>
            <w:r w:rsidRPr="005978DF">
              <w:rPr>
                <w:rFonts w:asciiTheme="majorBidi" w:hAnsiTheme="majorBidi"/>
                <w:b/>
                <w:bCs/>
                <w:sz w:val="16"/>
                <w:szCs w:val="16"/>
                <w:lang w:val="es-ES"/>
              </w:rPr>
              <w:t>pos</w:t>
            </w:r>
            <w:proofErr w:type="spellEnd"/>
            <w:r w:rsidRPr="005978DF">
              <w:rPr>
                <w:rFonts w:asciiTheme="majorBidi" w:hAnsiTheme="majorBidi"/>
                <w:b/>
                <w:bCs/>
                <w:sz w:val="16"/>
                <w:szCs w:val="16"/>
                <w:lang w:val="es-ES"/>
              </w:rPr>
              <w:t xml:space="preserve"> de lograr el resultado 2):</w:t>
            </w:r>
            <w:r w:rsidRPr="005978DF">
              <w:rPr>
                <w:rFonts w:asciiTheme="majorBidi" w:hAnsiTheme="majorBidi"/>
                <w:sz w:val="16"/>
                <w:szCs w:val="16"/>
                <w:lang w:val="es-ES"/>
              </w:rPr>
              <w:t xml:space="preserve"> A través de la implementación del marco mundial de la diversidad biológica, se refuerza la aplicación nacional del Convenio y sus Protocolos con el fin de mejorar </w:t>
            </w:r>
            <w:r w:rsidR="00BD713C">
              <w:rPr>
                <w:rFonts w:asciiTheme="majorBidi" w:hAnsiTheme="majorBidi"/>
                <w:sz w:val="16"/>
                <w:szCs w:val="16"/>
                <w:lang w:val="es-ES"/>
              </w:rPr>
              <w:t>el estado</w:t>
            </w:r>
            <w:r w:rsidRPr="005978DF">
              <w:rPr>
                <w:rFonts w:asciiTheme="majorBidi" w:hAnsiTheme="majorBidi"/>
                <w:sz w:val="16"/>
                <w:szCs w:val="16"/>
                <w:lang w:val="es-ES"/>
              </w:rPr>
              <w:t xml:space="preserve"> de la diversidad biológica</w:t>
            </w:r>
          </w:p>
        </w:tc>
      </w:tr>
      <w:tr w:rsidR="002809FB" w:rsidRPr="006A6E89" w14:paraId="404115A2" w14:textId="77777777" w:rsidTr="0049064A">
        <w:trPr>
          <w:trHeight w:val="151"/>
          <w:jc w:val="center"/>
        </w:trPr>
        <w:tc>
          <w:tcPr>
            <w:tcW w:w="8359" w:type="dxa"/>
          </w:tcPr>
          <w:p w14:paraId="404115A1" w14:textId="77777777" w:rsidR="002809FB" w:rsidRPr="005978DF" w:rsidRDefault="002809FB" w:rsidP="0049064A">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2.1 Se promueve la movilización de recursos para apoyar la aplicación</w:t>
            </w:r>
          </w:p>
        </w:tc>
      </w:tr>
      <w:tr w:rsidR="002809FB" w:rsidRPr="006A6E89" w14:paraId="404115A4" w14:textId="77777777" w:rsidTr="0049064A">
        <w:trPr>
          <w:trHeight w:val="302"/>
          <w:jc w:val="center"/>
        </w:trPr>
        <w:tc>
          <w:tcPr>
            <w:tcW w:w="8359" w:type="dxa"/>
          </w:tcPr>
          <w:p w14:paraId="404115A3"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2.1.1 Se proporciona orientación a un creciente número de </w:t>
            </w:r>
            <w:r w:rsidR="00BD713C">
              <w:rPr>
                <w:rFonts w:asciiTheme="majorBidi" w:hAnsiTheme="majorBidi"/>
                <w:sz w:val="16"/>
                <w:szCs w:val="16"/>
                <w:lang w:val="es-ES"/>
              </w:rPr>
              <w:t>a</w:t>
            </w:r>
            <w:r w:rsidRPr="005978DF">
              <w:rPr>
                <w:rFonts w:asciiTheme="majorBidi" w:hAnsiTheme="majorBidi"/>
                <w:sz w:val="16"/>
                <w:szCs w:val="16"/>
                <w:lang w:val="es-ES"/>
              </w:rPr>
              <w:t>soci</w:t>
            </w:r>
            <w:r w:rsidR="00BD713C">
              <w:rPr>
                <w:rFonts w:asciiTheme="majorBidi" w:hAnsiTheme="majorBidi"/>
                <w:sz w:val="16"/>
                <w:szCs w:val="16"/>
                <w:lang w:val="es-ES"/>
              </w:rPr>
              <w:t>ad</w:t>
            </w:r>
            <w:r w:rsidRPr="005978DF">
              <w:rPr>
                <w:rFonts w:asciiTheme="majorBidi" w:hAnsiTheme="majorBidi"/>
                <w:sz w:val="16"/>
                <w:szCs w:val="16"/>
                <w:lang w:val="es-ES"/>
              </w:rPr>
              <w:t>os con el fin de movilizar recursos en apoyo a la aplicación nacional</w:t>
            </w:r>
          </w:p>
        </w:tc>
      </w:tr>
      <w:tr w:rsidR="002809FB" w:rsidRPr="006A6E89" w14:paraId="404115A6" w14:textId="77777777" w:rsidTr="0049064A">
        <w:trPr>
          <w:trHeight w:val="151"/>
          <w:jc w:val="center"/>
        </w:trPr>
        <w:tc>
          <w:tcPr>
            <w:tcW w:w="8359" w:type="dxa"/>
          </w:tcPr>
          <w:p w14:paraId="404115A5"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2.1.2 Se fortalecen aún más las asociaciones existentes y se desarrollan otras nuevas</w:t>
            </w:r>
          </w:p>
        </w:tc>
      </w:tr>
      <w:tr w:rsidR="002809FB" w:rsidRPr="006A6E89" w14:paraId="404115A8" w14:textId="77777777" w:rsidTr="0049064A">
        <w:trPr>
          <w:trHeight w:val="302"/>
          <w:jc w:val="center"/>
        </w:trPr>
        <w:tc>
          <w:tcPr>
            <w:tcW w:w="8359" w:type="dxa"/>
          </w:tcPr>
          <w:p w14:paraId="404115A7" w14:textId="77777777" w:rsidR="002809FB" w:rsidRPr="005978DF" w:rsidRDefault="002809FB" w:rsidP="00FB51D0">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2.2 Se fortalecen las capacidades institucionales y técnicas de los Gobiernos y los interesados para aplicar el Convenio y sus Protocolos</w:t>
            </w:r>
          </w:p>
        </w:tc>
      </w:tr>
      <w:tr w:rsidR="002809FB" w:rsidRPr="006A6E89" w14:paraId="404115AA" w14:textId="77777777" w:rsidTr="0049064A">
        <w:trPr>
          <w:trHeight w:val="160"/>
          <w:jc w:val="center"/>
        </w:trPr>
        <w:tc>
          <w:tcPr>
            <w:tcW w:w="8359" w:type="dxa"/>
          </w:tcPr>
          <w:p w14:paraId="404115A9"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2.2.1 Se identifican, implementan y promueven mecanismos y herramientas de apoyo</w:t>
            </w:r>
          </w:p>
        </w:tc>
      </w:tr>
      <w:tr w:rsidR="002809FB" w:rsidRPr="006A6E89" w14:paraId="404115AC" w14:textId="77777777" w:rsidTr="0049064A">
        <w:trPr>
          <w:trHeight w:val="151"/>
          <w:jc w:val="center"/>
        </w:trPr>
        <w:tc>
          <w:tcPr>
            <w:tcW w:w="8359" w:type="dxa"/>
          </w:tcPr>
          <w:p w14:paraId="404115AB"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2.2.2 Se implementan programas e iniciativas de desarrollo de capacidad </w:t>
            </w:r>
          </w:p>
        </w:tc>
      </w:tr>
      <w:tr w:rsidR="002809FB" w:rsidRPr="006A6E89" w14:paraId="404115AE" w14:textId="77777777" w:rsidTr="0049064A">
        <w:trPr>
          <w:trHeight w:val="151"/>
          <w:jc w:val="center"/>
        </w:trPr>
        <w:tc>
          <w:tcPr>
            <w:tcW w:w="8359" w:type="dxa"/>
          </w:tcPr>
          <w:p w14:paraId="404115AD"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2.2.3 Se promueven y facilitan actividades de cooperación científica</w:t>
            </w:r>
          </w:p>
        </w:tc>
      </w:tr>
      <w:tr w:rsidR="002809FB" w:rsidRPr="006A6E89" w14:paraId="404115B0" w14:textId="77777777" w:rsidTr="0049064A">
        <w:trPr>
          <w:trHeight w:val="302"/>
          <w:jc w:val="center"/>
        </w:trPr>
        <w:tc>
          <w:tcPr>
            <w:tcW w:w="8359" w:type="dxa"/>
          </w:tcPr>
          <w:p w14:paraId="404115AF" w14:textId="77777777" w:rsidR="002809FB" w:rsidRPr="005978DF" w:rsidRDefault="002809FB" w:rsidP="0049064A">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2. 3 Se mejora la gestión de los conocimientos y el intercambio de información para apoyar la aplicación del Convenio y sus Protocolos</w:t>
            </w:r>
          </w:p>
        </w:tc>
      </w:tr>
      <w:tr w:rsidR="002809FB" w:rsidRPr="006A6E89" w14:paraId="404115B2" w14:textId="77777777" w:rsidTr="0049064A">
        <w:trPr>
          <w:trHeight w:val="151"/>
          <w:jc w:val="center"/>
        </w:trPr>
        <w:tc>
          <w:tcPr>
            <w:tcW w:w="8359" w:type="dxa"/>
          </w:tcPr>
          <w:p w14:paraId="404115B1"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2.3.1 Hay una correcta estructuración, gestión e intercambio de datos e información</w:t>
            </w:r>
          </w:p>
        </w:tc>
      </w:tr>
      <w:tr w:rsidR="002809FB" w:rsidRPr="006A6E89" w14:paraId="404115B4" w14:textId="77777777" w:rsidTr="0049064A">
        <w:trPr>
          <w:trHeight w:val="302"/>
          <w:jc w:val="center"/>
        </w:trPr>
        <w:tc>
          <w:tcPr>
            <w:tcW w:w="8359" w:type="dxa"/>
          </w:tcPr>
          <w:p w14:paraId="404115B3" w14:textId="77777777" w:rsidR="002809FB" w:rsidRPr="005978DF" w:rsidRDefault="002809FB" w:rsidP="00BD713C">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2.3.2 Los centros de intercambio de información, sitios web, portales y otras herramientas de </w:t>
            </w:r>
            <w:r w:rsidR="00BD713C">
              <w:rPr>
                <w:rFonts w:asciiTheme="majorBidi" w:hAnsiTheme="majorBidi"/>
                <w:sz w:val="16"/>
                <w:szCs w:val="16"/>
                <w:lang w:val="es-ES"/>
              </w:rPr>
              <w:t>t</w:t>
            </w:r>
            <w:r w:rsidRPr="005978DF">
              <w:rPr>
                <w:rFonts w:asciiTheme="majorBidi" w:hAnsiTheme="majorBidi"/>
                <w:sz w:val="16"/>
                <w:szCs w:val="16"/>
                <w:lang w:val="es-ES"/>
              </w:rPr>
              <w:t xml:space="preserve">ecnología de la </w:t>
            </w:r>
            <w:r w:rsidR="00BD713C">
              <w:rPr>
                <w:rFonts w:asciiTheme="majorBidi" w:hAnsiTheme="majorBidi"/>
                <w:sz w:val="16"/>
                <w:szCs w:val="16"/>
                <w:lang w:val="es-ES"/>
              </w:rPr>
              <w:t>i</w:t>
            </w:r>
            <w:r w:rsidRPr="005978DF">
              <w:rPr>
                <w:rFonts w:asciiTheme="majorBidi" w:hAnsiTheme="majorBidi"/>
                <w:sz w:val="16"/>
                <w:szCs w:val="16"/>
                <w:lang w:val="es-ES"/>
              </w:rPr>
              <w:t>nformación (TI) se mantienen correctamente, se continúan desarrollando, están disponibles y son interoperables con varias plataformas asociadas</w:t>
            </w:r>
          </w:p>
        </w:tc>
      </w:tr>
      <w:tr w:rsidR="002809FB" w:rsidRPr="006A6E89" w14:paraId="404115B6" w14:textId="77777777" w:rsidTr="0049064A">
        <w:trPr>
          <w:trHeight w:val="151"/>
          <w:jc w:val="center"/>
        </w:trPr>
        <w:tc>
          <w:tcPr>
            <w:tcW w:w="8359" w:type="dxa"/>
          </w:tcPr>
          <w:p w14:paraId="404115B5" w14:textId="77777777" w:rsidR="002809FB" w:rsidRPr="005978DF" w:rsidRDefault="002809FB" w:rsidP="0049064A">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2.4 Se movilizan asociaciones a nivel mundial y regional para apoyar la aplicación por las Partes a nivel nacional</w:t>
            </w:r>
          </w:p>
        </w:tc>
      </w:tr>
      <w:tr w:rsidR="002809FB" w:rsidRPr="006A6E89" w14:paraId="404115B8" w14:textId="77777777" w:rsidTr="0049064A">
        <w:trPr>
          <w:trHeight w:val="151"/>
          <w:jc w:val="center"/>
        </w:trPr>
        <w:tc>
          <w:tcPr>
            <w:tcW w:w="8359" w:type="dxa"/>
          </w:tcPr>
          <w:p w14:paraId="404115B7"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2.4.1 Se facilita la implementación del marco mundial de la diversidad biológica a través de asociaciones externas</w:t>
            </w:r>
          </w:p>
        </w:tc>
      </w:tr>
      <w:tr w:rsidR="002809FB" w:rsidRPr="006A6E89" w14:paraId="404115BA" w14:textId="77777777" w:rsidTr="0049064A">
        <w:trPr>
          <w:trHeight w:val="462"/>
          <w:jc w:val="center"/>
        </w:trPr>
        <w:tc>
          <w:tcPr>
            <w:tcW w:w="8359" w:type="dxa"/>
          </w:tcPr>
          <w:p w14:paraId="404115B9" w14:textId="77777777" w:rsidR="002809FB" w:rsidRPr="005978DF" w:rsidRDefault="002809FB" w:rsidP="00654971">
            <w:pPr>
              <w:pStyle w:val="ListParagraph"/>
              <w:ind w:left="0"/>
              <w:rPr>
                <w:rFonts w:asciiTheme="majorBidi" w:eastAsiaTheme="minorEastAsia" w:hAnsiTheme="majorBidi" w:cstheme="majorBidi"/>
                <w:sz w:val="16"/>
                <w:szCs w:val="16"/>
                <w:lang w:val="es-ES"/>
              </w:rPr>
            </w:pPr>
            <w:r w:rsidRPr="005978DF">
              <w:rPr>
                <w:rFonts w:asciiTheme="majorBidi" w:hAnsiTheme="majorBidi"/>
                <w:b/>
                <w:bCs/>
                <w:sz w:val="16"/>
                <w:szCs w:val="16"/>
                <w:lang w:val="es-ES"/>
              </w:rPr>
              <w:t xml:space="preserve">Productos previstos para el bienio en </w:t>
            </w:r>
            <w:proofErr w:type="spellStart"/>
            <w:r w:rsidRPr="005978DF">
              <w:rPr>
                <w:rFonts w:asciiTheme="majorBidi" w:hAnsiTheme="majorBidi"/>
                <w:b/>
                <w:bCs/>
                <w:sz w:val="16"/>
                <w:szCs w:val="16"/>
                <w:lang w:val="es-ES"/>
              </w:rPr>
              <w:t>pos</w:t>
            </w:r>
            <w:proofErr w:type="spellEnd"/>
            <w:r w:rsidRPr="005978DF">
              <w:rPr>
                <w:rFonts w:asciiTheme="majorBidi" w:hAnsiTheme="majorBidi"/>
                <w:b/>
                <w:bCs/>
                <w:sz w:val="16"/>
                <w:szCs w:val="16"/>
                <w:lang w:val="es-ES"/>
              </w:rPr>
              <w:t xml:space="preserve"> de lograr el resultado 4):</w:t>
            </w:r>
            <w:r w:rsidRPr="005978DF">
              <w:rPr>
                <w:rFonts w:asciiTheme="majorBidi" w:hAnsiTheme="majorBidi"/>
                <w:sz w:val="16"/>
                <w:szCs w:val="16"/>
                <w:lang w:val="es-ES"/>
              </w:rPr>
              <w:t xml:space="preserve"> El seguimiento, </w:t>
            </w:r>
            <w:r w:rsidR="00654971">
              <w:rPr>
                <w:rFonts w:asciiTheme="majorBidi" w:hAnsiTheme="majorBidi"/>
                <w:sz w:val="16"/>
                <w:szCs w:val="16"/>
                <w:lang w:val="es-ES"/>
              </w:rPr>
              <w:t>la revisión</w:t>
            </w:r>
            <w:r w:rsidRPr="005978DF">
              <w:rPr>
                <w:rFonts w:asciiTheme="majorBidi" w:hAnsiTheme="majorBidi"/>
                <w:sz w:val="16"/>
                <w:szCs w:val="16"/>
                <w:lang w:val="es-ES"/>
              </w:rPr>
              <w:t xml:space="preserve"> y la evaluación periódic</w:t>
            </w:r>
            <w:r w:rsidR="00BD713C">
              <w:rPr>
                <w:rFonts w:asciiTheme="majorBidi" w:hAnsiTheme="majorBidi"/>
                <w:sz w:val="16"/>
                <w:szCs w:val="16"/>
                <w:lang w:val="es-ES"/>
              </w:rPr>
              <w:t>o</w:t>
            </w:r>
            <w:r w:rsidRPr="005978DF">
              <w:rPr>
                <w:rFonts w:asciiTheme="majorBidi" w:hAnsiTheme="majorBidi"/>
                <w:sz w:val="16"/>
                <w:szCs w:val="16"/>
                <w:lang w:val="es-ES"/>
              </w:rPr>
              <w:t>s contribuyen a la planificación y la adopción de decisiones informadas en todos los niveles, lo que resulta en una mejora progresiva de la implementación del marco mundial de la diversidad biológica y la aplicación del Convenio y sus Protocolos</w:t>
            </w:r>
          </w:p>
        </w:tc>
      </w:tr>
      <w:tr w:rsidR="002809FB" w:rsidRPr="006A6E89" w14:paraId="404115BC" w14:textId="77777777" w:rsidTr="0049064A">
        <w:trPr>
          <w:trHeight w:val="151"/>
          <w:jc w:val="center"/>
        </w:trPr>
        <w:tc>
          <w:tcPr>
            <w:tcW w:w="8359" w:type="dxa"/>
          </w:tcPr>
          <w:p w14:paraId="404115BB" w14:textId="77777777" w:rsidR="002809FB" w:rsidRPr="005978DF" w:rsidRDefault="002809FB" w:rsidP="0049064A">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4.1 Se mejora la planificación nacional y se facilita la presentación de informes</w:t>
            </w:r>
          </w:p>
        </w:tc>
      </w:tr>
      <w:tr w:rsidR="002809FB" w:rsidRPr="006A6E89" w14:paraId="404115C0" w14:textId="77777777" w:rsidTr="0049064A">
        <w:trPr>
          <w:trHeight w:val="453"/>
          <w:jc w:val="center"/>
        </w:trPr>
        <w:tc>
          <w:tcPr>
            <w:tcW w:w="8359" w:type="dxa"/>
          </w:tcPr>
          <w:p w14:paraId="404115BD"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4.1.1 Se facilita apoyo a la planificación nacional y se proporciona orientación sensible a las cuestiones de género</w:t>
            </w:r>
          </w:p>
          <w:p w14:paraId="404115BE"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4.1.2 Se facilita apoyo a la presentación de informes nacionales</w:t>
            </w:r>
          </w:p>
          <w:p w14:paraId="404115BF" w14:textId="77777777" w:rsidR="002809FB" w:rsidRPr="005978DF" w:rsidRDefault="002809FB" w:rsidP="00BD713C">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4.1.3 Aumento de sinergias en la presentación de informes a los </w:t>
            </w:r>
            <w:r w:rsidR="00BD713C">
              <w:rPr>
                <w:rFonts w:asciiTheme="majorBidi" w:hAnsiTheme="majorBidi"/>
                <w:sz w:val="16"/>
                <w:szCs w:val="16"/>
                <w:lang w:val="es-ES"/>
              </w:rPr>
              <w:t>instrumentos</w:t>
            </w:r>
            <w:r w:rsidRPr="005978DF">
              <w:rPr>
                <w:rFonts w:asciiTheme="majorBidi" w:hAnsiTheme="majorBidi"/>
                <w:sz w:val="16"/>
                <w:szCs w:val="16"/>
                <w:lang w:val="es-ES"/>
              </w:rPr>
              <w:t xml:space="preserve"> relacionados con la diversidad biológica, las convenciones de Río y los Objetivos de Desarrollo Sostenible</w:t>
            </w:r>
          </w:p>
        </w:tc>
      </w:tr>
      <w:tr w:rsidR="002809FB" w:rsidRPr="006A6E89" w14:paraId="404115C2" w14:textId="77777777" w:rsidTr="0049064A">
        <w:trPr>
          <w:trHeight w:val="302"/>
          <w:jc w:val="center"/>
        </w:trPr>
        <w:tc>
          <w:tcPr>
            <w:tcW w:w="8359" w:type="dxa"/>
          </w:tcPr>
          <w:p w14:paraId="404115C1" w14:textId="77777777" w:rsidR="002809FB" w:rsidRPr="005978DF" w:rsidRDefault="002809FB" w:rsidP="0049064A">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4.2 Se facilita una revisión individual de la aplicación del Convenio por las Partes y se difunden los resultados con el fin de mejorar las capacidades y aportar información para la adopción de decisiones</w:t>
            </w:r>
          </w:p>
        </w:tc>
      </w:tr>
      <w:tr w:rsidR="002809FB" w:rsidRPr="006A6E89" w14:paraId="404115C4" w14:textId="77777777" w:rsidTr="0049064A">
        <w:trPr>
          <w:trHeight w:val="151"/>
          <w:jc w:val="center"/>
        </w:trPr>
        <w:tc>
          <w:tcPr>
            <w:tcW w:w="8359" w:type="dxa"/>
          </w:tcPr>
          <w:p w14:paraId="404115C3"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4.2.1 Se establece un foro de composición abierta para el Órgano Subsidiario sobre la Aplicación </w:t>
            </w:r>
          </w:p>
        </w:tc>
      </w:tr>
      <w:tr w:rsidR="002809FB" w:rsidRPr="006A6E89" w14:paraId="404115C6" w14:textId="77777777" w:rsidTr="0049064A">
        <w:trPr>
          <w:trHeight w:val="311"/>
          <w:jc w:val="center"/>
        </w:trPr>
        <w:tc>
          <w:tcPr>
            <w:tcW w:w="8359" w:type="dxa"/>
          </w:tcPr>
          <w:p w14:paraId="404115C5"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4.2.2 Se facilita un proceso voluntario de revisión por pares con base empírica para las Partes participantes y se transmiten los resultados al Órgano Subsidiario sobre la Aplicación y la Conferencia de las Partes </w:t>
            </w:r>
          </w:p>
        </w:tc>
      </w:tr>
      <w:tr w:rsidR="002809FB" w:rsidRPr="006A6E89" w14:paraId="404115C8" w14:textId="77777777" w:rsidTr="0049064A">
        <w:trPr>
          <w:trHeight w:val="151"/>
          <w:jc w:val="center"/>
        </w:trPr>
        <w:tc>
          <w:tcPr>
            <w:tcW w:w="8359" w:type="dxa"/>
          </w:tcPr>
          <w:p w14:paraId="404115C7" w14:textId="77777777" w:rsidR="002809FB" w:rsidRPr="005978DF" w:rsidRDefault="002809FB" w:rsidP="0049064A">
            <w:pPr>
              <w:pStyle w:val="ListParagraph"/>
              <w:ind w:left="0"/>
              <w:rPr>
                <w:rFonts w:asciiTheme="majorBidi" w:eastAsiaTheme="minorEastAsia" w:hAnsiTheme="majorBidi" w:cstheme="majorBidi"/>
                <w:sz w:val="16"/>
                <w:szCs w:val="16"/>
                <w:lang w:val="es-ES"/>
              </w:rPr>
            </w:pPr>
            <w:r w:rsidRPr="005978DF">
              <w:rPr>
                <w:rFonts w:asciiTheme="majorBidi" w:hAnsiTheme="majorBidi"/>
                <w:sz w:val="16"/>
                <w:szCs w:val="16"/>
                <w:lang w:val="es-ES"/>
              </w:rPr>
              <w:t>4.3 Se evalúa la situación de la aplicación y se divulgan los resultados a fin de aportar información para la adopción de decisiones (para el Convenio y los Protocolos)</w:t>
            </w:r>
          </w:p>
        </w:tc>
      </w:tr>
      <w:tr w:rsidR="002809FB" w:rsidRPr="006A6E89" w14:paraId="404115CA" w14:textId="77777777" w:rsidTr="0049064A">
        <w:trPr>
          <w:trHeight w:val="302"/>
          <w:jc w:val="center"/>
        </w:trPr>
        <w:tc>
          <w:tcPr>
            <w:tcW w:w="8359" w:type="dxa"/>
          </w:tcPr>
          <w:p w14:paraId="404115C9"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4.3.1 Se mejoran las herramientas y la capacidad para un seguimiento de alta calidad y casi en tiempo real de los objetivos y metas del marco mundial de la diversidad biológica a nivel nacional y mundial</w:t>
            </w:r>
          </w:p>
        </w:tc>
      </w:tr>
      <w:tr w:rsidR="002809FB" w:rsidRPr="006A6E89" w14:paraId="404115CC" w14:textId="77777777" w:rsidTr="0049064A">
        <w:trPr>
          <w:trHeight w:val="302"/>
          <w:jc w:val="center"/>
        </w:trPr>
        <w:tc>
          <w:tcPr>
            <w:tcW w:w="8359" w:type="dxa"/>
          </w:tcPr>
          <w:p w14:paraId="404115CB"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4.3.2 Se encuentran disponibles análisis de alta calidad, actualizados y aplicables para contribuir a la revisión y adopción de decisiones a nivel mundial</w:t>
            </w:r>
          </w:p>
        </w:tc>
      </w:tr>
      <w:tr w:rsidR="002809FB" w:rsidRPr="006A6E89" w14:paraId="404115CE" w14:textId="77777777" w:rsidTr="0049064A">
        <w:trPr>
          <w:trHeight w:val="151"/>
          <w:jc w:val="center"/>
        </w:trPr>
        <w:tc>
          <w:tcPr>
            <w:tcW w:w="8359" w:type="dxa"/>
          </w:tcPr>
          <w:p w14:paraId="404115CD" w14:textId="77777777" w:rsidR="002809FB" w:rsidRPr="005978DF" w:rsidRDefault="002809FB" w:rsidP="0049064A">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4.3.3 Se implementan y coordinan evaluaciones y balances</w:t>
            </w:r>
          </w:p>
        </w:tc>
      </w:tr>
      <w:tr w:rsidR="002809FB" w:rsidRPr="006A6E89" w14:paraId="404115D0" w14:textId="77777777" w:rsidTr="0049064A">
        <w:trPr>
          <w:trHeight w:val="151"/>
          <w:jc w:val="center"/>
        </w:trPr>
        <w:tc>
          <w:tcPr>
            <w:tcW w:w="8359" w:type="dxa"/>
          </w:tcPr>
          <w:p w14:paraId="404115CF" w14:textId="77777777" w:rsidR="002809FB" w:rsidRPr="005978DF" w:rsidRDefault="00BD713C" w:rsidP="00BD713C">
            <w:pPr>
              <w:pStyle w:val="ListParagraph"/>
              <w:rPr>
                <w:rFonts w:asciiTheme="majorBidi" w:eastAsiaTheme="minorEastAsia" w:hAnsiTheme="majorBidi" w:cstheme="majorBidi"/>
                <w:sz w:val="16"/>
                <w:szCs w:val="16"/>
                <w:lang w:val="es-ES"/>
              </w:rPr>
            </w:pPr>
            <w:r>
              <w:rPr>
                <w:rFonts w:asciiTheme="majorBidi" w:hAnsiTheme="majorBidi"/>
                <w:sz w:val="16"/>
                <w:szCs w:val="16"/>
                <w:lang w:val="es-ES"/>
              </w:rPr>
              <w:t>4.4. Seguimiento de</w:t>
            </w:r>
            <w:r w:rsidR="002809FB" w:rsidRPr="005978DF">
              <w:rPr>
                <w:rFonts w:asciiTheme="majorBidi" w:hAnsiTheme="majorBidi"/>
                <w:sz w:val="16"/>
                <w:szCs w:val="16"/>
                <w:lang w:val="es-ES"/>
              </w:rPr>
              <w:t>l</w:t>
            </w:r>
            <w:r>
              <w:rPr>
                <w:rFonts w:asciiTheme="majorBidi" w:hAnsiTheme="majorBidi"/>
                <w:sz w:val="16"/>
                <w:szCs w:val="16"/>
                <w:lang w:val="es-ES"/>
              </w:rPr>
              <w:t xml:space="preserve"> est</w:t>
            </w:r>
            <w:r w:rsidR="002809FB" w:rsidRPr="005978DF">
              <w:rPr>
                <w:rFonts w:asciiTheme="majorBidi" w:hAnsiTheme="majorBidi"/>
                <w:sz w:val="16"/>
                <w:szCs w:val="16"/>
                <w:lang w:val="es-ES"/>
              </w:rPr>
              <w:t>a</w:t>
            </w:r>
            <w:r>
              <w:rPr>
                <w:rFonts w:asciiTheme="majorBidi" w:hAnsiTheme="majorBidi"/>
                <w:sz w:val="16"/>
                <w:szCs w:val="16"/>
                <w:lang w:val="es-ES"/>
              </w:rPr>
              <w:t xml:space="preserve">do </w:t>
            </w:r>
            <w:r w:rsidR="002809FB" w:rsidRPr="005978DF">
              <w:rPr>
                <w:rFonts w:asciiTheme="majorBidi" w:hAnsiTheme="majorBidi"/>
                <w:sz w:val="16"/>
                <w:szCs w:val="16"/>
                <w:lang w:val="es-ES"/>
              </w:rPr>
              <w:t>de la diversidad biológica y publicación de los resultados con el fin de aportar información para la adopción de decisiones</w:t>
            </w:r>
          </w:p>
        </w:tc>
      </w:tr>
      <w:tr w:rsidR="002809FB" w:rsidRPr="006A6E89" w14:paraId="404115D2" w14:textId="77777777" w:rsidTr="0049064A">
        <w:trPr>
          <w:trHeight w:val="311"/>
          <w:jc w:val="center"/>
        </w:trPr>
        <w:tc>
          <w:tcPr>
            <w:tcW w:w="8359" w:type="dxa"/>
          </w:tcPr>
          <w:p w14:paraId="404115D1" w14:textId="77777777" w:rsidR="002809FB" w:rsidRPr="005978DF" w:rsidRDefault="002809FB" w:rsidP="00BD713C">
            <w:pPr>
              <w:pStyle w:val="ListParagraph"/>
              <w:rPr>
                <w:rFonts w:asciiTheme="majorBidi" w:eastAsiaTheme="minorEastAsia" w:hAnsiTheme="majorBidi" w:cstheme="majorBidi"/>
                <w:sz w:val="16"/>
                <w:szCs w:val="16"/>
                <w:lang w:val="es-ES"/>
              </w:rPr>
            </w:pPr>
            <w:r w:rsidRPr="005978DF">
              <w:rPr>
                <w:rFonts w:asciiTheme="majorBidi" w:hAnsiTheme="majorBidi"/>
                <w:sz w:val="16"/>
                <w:szCs w:val="16"/>
                <w:lang w:val="es-ES"/>
              </w:rPr>
              <w:t xml:space="preserve">4.4.1 Se hace un seguimiento y se evalúa </w:t>
            </w:r>
            <w:r w:rsidR="00BD713C">
              <w:rPr>
                <w:rFonts w:asciiTheme="majorBidi" w:hAnsiTheme="majorBidi"/>
                <w:sz w:val="16"/>
                <w:szCs w:val="16"/>
                <w:lang w:val="es-ES"/>
              </w:rPr>
              <w:t>e</w:t>
            </w:r>
            <w:r w:rsidRPr="005978DF">
              <w:rPr>
                <w:rFonts w:asciiTheme="majorBidi" w:hAnsiTheme="majorBidi"/>
                <w:sz w:val="16"/>
                <w:szCs w:val="16"/>
                <w:lang w:val="es-ES"/>
              </w:rPr>
              <w:t>l</w:t>
            </w:r>
            <w:r w:rsidR="00BD713C">
              <w:rPr>
                <w:rFonts w:asciiTheme="majorBidi" w:hAnsiTheme="majorBidi"/>
                <w:sz w:val="16"/>
                <w:szCs w:val="16"/>
                <w:lang w:val="es-ES"/>
              </w:rPr>
              <w:t xml:space="preserve"> est</w:t>
            </w:r>
            <w:r w:rsidRPr="005978DF">
              <w:rPr>
                <w:rFonts w:asciiTheme="majorBidi" w:hAnsiTheme="majorBidi"/>
                <w:sz w:val="16"/>
                <w:szCs w:val="16"/>
                <w:lang w:val="es-ES"/>
              </w:rPr>
              <w:t>a</w:t>
            </w:r>
            <w:r w:rsidR="00BD713C">
              <w:rPr>
                <w:rFonts w:asciiTheme="majorBidi" w:hAnsiTheme="majorBidi"/>
                <w:sz w:val="16"/>
                <w:szCs w:val="16"/>
                <w:lang w:val="es-ES"/>
              </w:rPr>
              <w:t>do</w:t>
            </w:r>
            <w:r w:rsidRPr="005978DF">
              <w:rPr>
                <w:rFonts w:asciiTheme="majorBidi" w:hAnsiTheme="majorBidi"/>
                <w:sz w:val="16"/>
                <w:szCs w:val="16"/>
                <w:lang w:val="es-ES"/>
              </w:rPr>
              <w:t xml:space="preserve"> de la diversidad biológica en base a información pertinente, incluidos los indicadores identificados</w:t>
            </w:r>
          </w:p>
        </w:tc>
      </w:tr>
    </w:tbl>
    <w:p w14:paraId="404115D3"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La suma de 7</w:t>
      </w:r>
      <w:r w:rsidR="00BD713C">
        <w:rPr>
          <w:sz w:val="22"/>
          <w:szCs w:val="22"/>
          <w:lang w:val="es-ES"/>
        </w:rPr>
        <w:t> </w:t>
      </w:r>
      <w:r w:rsidRPr="005978DF">
        <w:rPr>
          <w:sz w:val="22"/>
          <w:szCs w:val="22"/>
          <w:lang w:val="es-ES"/>
        </w:rPr>
        <w:t>006</w:t>
      </w:r>
      <w:r w:rsidR="00BD713C">
        <w:rPr>
          <w:sz w:val="22"/>
          <w:szCs w:val="22"/>
          <w:lang w:val="es-ES"/>
        </w:rPr>
        <w:t> </w:t>
      </w:r>
      <w:r w:rsidRPr="005978DF">
        <w:rPr>
          <w:sz w:val="22"/>
          <w:szCs w:val="22"/>
          <w:lang w:val="es-ES"/>
        </w:rPr>
        <w:t>400</w:t>
      </w:r>
      <w:r w:rsidR="003753E4">
        <w:rPr>
          <w:sz w:val="22"/>
          <w:szCs w:val="22"/>
          <w:lang w:val="es-ES"/>
        </w:rPr>
        <w:t> </w:t>
      </w:r>
      <w:r w:rsidRPr="005978DF">
        <w:rPr>
          <w:sz w:val="22"/>
          <w:szCs w:val="22"/>
          <w:lang w:val="es-ES"/>
        </w:rPr>
        <w:t>dólares de recursos relacionados con puestos se destinaría a sufragar el mantenimiento de 23 puestos (1 D-1, 3 P-5, 4,5 P-4, 3,5 P-3, 4 P-2 y 7 SG). Actualmente, la División cuenta también con dos puestos (1 P-4, 1 SG) financiados con fondos extrapresupuestarios.</w:t>
      </w:r>
    </w:p>
    <w:p w14:paraId="404115D4"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 xml:space="preserve">Además, la Secretaría propone la creación de dos puestos para reforzar el trabajo de apoyo a la planificación, la presentación de informes, el seguimiento y la revisión de la aplicación. En los últimos años, la labor de apoyo a la elaboración y actualización de estrategias y planes de acción nacionales en materia de diversidad biológica ha contado con el apoyo de personal del Fondo del Japón para la Diversidad Biológica. El personal de este Fondo también ha apoyado el proceso de revisión voluntaria por pares y el desarrollo de propuestas para los procesos de revisión dirigidos por los países. Se propone que estas </w:t>
      </w:r>
      <w:r w:rsidR="00BD713C">
        <w:rPr>
          <w:sz w:val="22"/>
          <w:szCs w:val="22"/>
          <w:lang w:val="es-ES"/>
        </w:rPr>
        <w:t>necesidades</w:t>
      </w:r>
      <w:r w:rsidRPr="005978DF">
        <w:rPr>
          <w:sz w:val="22"/>
          <w:szCs w:val="22"/>
          <w:lang w:val="es-ES"/>
        </w:rPr>
        <w:t xml:space="preserve"> se financien a través de un puesto permanente de nivel P4, especialmente porque se espera que esta área de trabajo se expanda como consecuencia del marco mundial de la diversidad biológica posterior a 2020. Asimismo, se propone la creación de un puesto de categoría P3 para avanzar en el trabajo sobre los indicadores y la evaluación científica de los progresos, con el fin de seguir apoyando la labor de las Partes en estas esferas.</w:t>
      </w:r>
    </w:p>
    <w:p w14:paraId="404115D5" w14:textId="77777777" w:rsidR="002809FB" w:rsidRPr="005978DF" w:rsidRDefault="002809FB" w:rsidP="002809FB">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sz w:val="22"/>
          <w:szCs w:val="22"/>
          <w:lang w:val="es-ES"/>
        </w:rPr>
      </w:pPr>
      <w:r w:rsidRPr="005978DF">
        <w:rPr>
          <w:b/>
          <w:bCs/>
          <w:sz w:val="22"/>
          <w:szCs w:val="22"/>
          <w:lang w:val="es-ES"/>
        </w:rPr>
        <w:lastRenderedPageBreak/>
        <w:t>Cuadro 20. Asignaciones de recursos: División de Apoyo a la Aplicación</w:t>
      </w:r>
    </w:p>
    <w:tbl>
      <w:tblPr>
        <w:tblW w:w="9277" w:type="dxa"/>
        <w:jc w:val="center"/>
        <w:tblLook w:val="04A0" w:firstRow="1" w:lastRow="0" w:firstColumn="1" w:lastColumn="0" w:noHBand="0" w:noVBand="1"/>
      </w:tblPr>
      <w:tblGrid>
        <w:gridCol w:w="1770"/>
        <w:gridCol w:w="903"/>
        <w:gridCol w:w="361"/>
        <w:gridCol w:w="1141"/>
        <w:gridCol w:w="1181"/>
        <w:gridCol w:w="381"/>
        <w:gridCol w:w="12"/>
        <w:gridCol w:w="356"/>
        <w:gridCol w:w="684"/>
        <w:gridCol w:w="362"/>
        <w:gridCol w:w="850"/>
        <w:gridCol w:w="425"/>
        <w:gridCol w:w="851"/>
      </w:tblGrid>
      <w:tr w:rsidR="002809FB" w:rsidRPr="005978DF" w14:paraId="404115DA" w14:textId="77777777" w:rsidTr="0049064A">
        <w:trPr>
          <w:trHeight w:val="300"/>
          <w:jc w:val="center"/>
        </w:trPr>
        <w:tc>
          <w:tcPr>
            <w:tcW w:w="1770" w:type="dxa"/>
            <w:tcBorders>
              <w:top w:val="single" w:sz="8" w:space="0" w:color="auto"/>
              <w:left w:val="nil"/>
              <w:bottom w:val="nil"/>
              <w:right w:val="nil"/>
            </w:tcBorders>
            <w:shd w:val="clear" w:color="auto" w:fill="auto"/>
            <w:vAlign w:val="center"/>
            <w:hideMark/>
          </w:tcPr>
          <w:p w14:paraId="404115D6" w14:textId="77777777" w:rsidR="002809FB" w:rsidRPr="00F12E21" w:rsidRDefault="002809FB" w:rsidP="0049064A">
            <w:pPr>
              <w:keepNext/>
              <w:keepLines/>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w:t>
            </w:r>
          </w:p>
        </w:tc>
        <w:tc>
          <w:tcPr>
            <w:tcW w:w="3979" w:type="dxa"/>
            <w:gridSpan w:val="6"/>
            <w:tcBorders>
              <w:top w:val="single" w:sz="8" w:space="0" w:color="auto"/>
              <w:left w:val="nil"/>
              <w:bottom w:val="single" w:sz="8" w:space="0" w:color="auto"/>
              <w:right w:val="nil"/>
            </w:tcBorders>
            <w:shd w:val="clear" w:color="auto" w:fill="auto"/>
            <w:vAlign w:val="center"/>
            <w:hideMark/>
          </w:tcPr>
          <w:p w14:paraId="404115D7" w14:textId="77777777" w:rsidR="002809FB" w:rsidRPr="00F12E21" w:rsidRDefault="002809FB" w:rsidP="0049064A">
            <w:pPr>
              <w:keepNext/>
              <w:keepLines/>
              <w:jc w:val="center"/>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xml:space="preserve">Recursos (miles de dólares de los </w:t>
            </w:r>
            <w:proofErr w:type="gramStart"/>
            <w:r w:rsidRPr="00F12E21">
              <w:rPr>
                <w:rFonts w:asciiTheme="minorHAnsi" w:hAnsiTheme="minorHAnsi" w:cstheme="minorHAnsi"/>
                <w:i/>
                <w:iCs/>
                <w:color w:val="000000"/>
                <w:sz w:val="18"/>
                <w:szCs w:val="18"/>
                <w:lang w:val="es-ES"/>
              </w:rPr>
              <w:t>EE.UU.</w:t>
            </w:r>
            <w:proofErr w:type="gramEnd"/>
            <w:r w:rsidRPr="00F12E21">
              <w:rPr>
                <w:rFonts w:asciiTheme="minorHAnsi" w:hAnsiTheme="minorHAnsi" w:cstheme="minorHAnsi"/>
                <w:i/>
                <w:iCs/>
                <w:color w:val="000000"/>
                <w:sz w:val="18"/>
                <w:szCs w:val="18"/>
                <w:lang w:val="es-ES"/>
              </w:rPr>
              <w:t>)</w:t>
            </w:r>
          </w:p>
        </w:tc>
        <w:tc>
          <w:tcPr>
            <w:tcW w:w="356" w:type="dxa"/>
            <w:tcBorders>
              <w:top w:val="single" w:sz="8" w:space="0" w:color="auto"/>
              <w:left w:val="nil"/>
              <w:bottom w:val="nil"/>
              <w:right w:val="nil"/>
            </w:tcBorders>
            <w:shd w:val="clear" w:color="auto" w:fill="auto"/>
            <w:vAlign w:val="center"/>
            <w:hideMark/>
          </w:tcPr>
          <w:p w14:paraId="404115D8"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w:t>
            </w:r>
          </w:p>
        </w:tc>
        <w:tc>
          <w:tcPr>
            <w:tcW w:w="3172" w:type="dxa"/>
            <w:gridSpan w:val="5"/>
            <w:tcBorders>
              <w:top w:val="single" w:sz="8" w:space="0" w:color="auto"/>
              <w:left w:val="nil"/>
              <w:bottom w:val="single" w:sz="8" w:space="0" w:color="auto"/>
              <w:right w:val="nil"/>
            </w:tcBorders>
            <w:shd w:val="clear" w:color="auto" w:fill="auto"/>
            <w:vAlign w:val="center"/>
            <w:hideMark/>
          </w:tcPr>
          <w:p w14:paraId="404115D9" w14:textId="77777777" w:rsidR="002809FB" w:rsidRPr="00F12E21" w:rsidRDefault="002809FB" w:rsidP="0049064A">
            <w:pPr>
              <w:keepNext/>
              <w:keepLines/>
              <w:jc w:val="center"/>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Puestos</w:t>
            </w:r>
          </w:p>
        </w:tc>
      </w:tr>
      <w:tr w:rsidR="002809FB" w:rsidRPr="005978DF" w14:paraId="404115E7" w14:textId="77777777" w:rsidTr="0049064A">
        <w:trPr>
          <w:trHeight w:val="290"/>
          <w:jc w:val="center"/>
        </w:trPr>
        <w:tc>
          <w:tcPr>
            <w:tcW w:w="1770" w:type="dxa"/>
            <w:vMerge w:val="restart"/>
            <w:tcBorders>
              <w:top w:val="nil"/>
              <w:left w:val="nil"/>
              <w:bottom w:val="single" w:sz="8" w:space="0" w:color="000000"/>
              <w:right w:val="nil"/>
            </w:tcBorders>
            <w:shd w:val="clear" w:color="auto" w:fill="auto"/>
            <w:vAlign w:val="center"/>
            <w:hideMark/>
          </w:tcPr>
          <w:p w14:paraId="404115DB" w14:textId="77777777" w:rsidR="002809FB" w:rsidRPr="00F12E21" w:rsidRDefault="002809FB" w:rsidP="0049064A">
            <w:pPr>
              <w:keepNext/>
              <w:keepLines/>
              <w:jc w:val="center"/>
              <w:rPr>
                <w:rFonts w:asciiTheme="minorHAnsi" w:hAnsiTheme="minorHAnsi" w:cstheme="minorHAnsi"/>
                <w:i/>
                <w:iCs/>
                <w:color w:val="000000"/>
                <w:sz w:val="18"/>
                <w:szCs w:val="18"/>
                <w:lang w:val="es-ES" w:eastAsia="zh-CN"/>
              </w:rPr>
            </w:pPr>
          </w:p>
        </w:tc>
        <w:tc>
          <w:tcPr>
            <w:tcW w:w="903" w:type="dxa"/>
            <w:vMerge w:val="restart"/>
            <w:tcBorders>
              <w:top w:val="nil"/>
              <w:left w:val="nil"/>
              <w:bottom w:val="single" w:sz="8" w:space="0" w:color="000000"/>
              <w:right w:val="nil"/>
            </w:tcBorders>
            <w:shd w:val="clear" w:color="auto" w:fill="auto"/>
            <w:vAlign w:val="center"/>
            <w:hideMark/>
          </w:tcPr>
          <w:p w14:paraId="404115DC" w14:textId="77777777" w:rsidR="002809FB" w:rsidRPr="00F12E21" w:rsidRDefault="002809FB" w:rsidP="0049064A">
            <w:pPr>
              <w:keepNext/>
              <w:keepLines/>
              <w:ind w:left="-47" w:right="-76"/>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2019-2020</w:t>
            </w:r>
          </w:p>
        </w:tc>
        <w:tc>
          <w:tcPr>
            <w:tcW w:w="361" w:type="dxa"/>
            <w:tcBorders>
              <w:top w:val="nil"/>
              <w:left w:val="nil"/>
              <w:bottom w:val="nil"/>
              <w:right w:val="nil"/>
            </w:tcBorders>
            <w:shd w:val="clear" w:color="auto" w:fill="auto"/>
            <w:vAlign w:val="center"/>
            <w:hideMark/>
          </w:tcPr>
          <w:p w14:paraId="404115DD"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w:t>
            </w:r>
          </w:p>
        </w:tc>
        <w:tc>
          <w:tcPr>
            <w:tcW w:w="1141" w:type="dxa"/>
            <w:vMerge w:val="restart"/>
            <w:tcBorders>
              <w:top w:val="nil"/>
              <w:left w:val="nil"/>
              <w:bottom w:val="single" w:sz="8" w:space="0" w:color="000000"/>
              <w:right w:val="nil"/>
            </w:tcBorders>
            <w:shd w:val="clear" w:color="auto" w:fill="auto"/>
            <w:vAlign w:val="center"/>
            <w:hideMark/>
          </w:tcPr>
          <w:p w14:paraId="404115DE"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CRN</w:t>
            </w:r>
          </w:p>
          <w:p w14:paraId="404115DF"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xml:space="preserve">2023-2024 </w:t>
            </w:r>
          </w:p>
        </w:tc>
        <w:tc>
          <w:tcPr>
            <w:tcW w:w="1181" w:type="dxa"/>
            <w:vMerge w:val="restart"/>
            <w:tcBorders>
              <w:top w:val="nil"/>
              <w:left w:val="nil"/>
              <w:bottom w:val="single" w:sz="8" w:space="0" w:color="000000"/>
              <w:right w:val="nil"/>
            </w:tcBorders>
            <w:shd w:val="clear" w:color="auto" w:fill="auto"/>
            <w:vAlign w:val="center"/>
            <w:hideMark/>
          </w:tcPr>
          <w:p w14:paraId="404115E0"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CNN</w:t>
            </w:r>
            <w:r w:rsidRPr="00F12E21">
              <w:rPr>
                <w:rFonts w:asciiTheme="minorHAnsi" w:hAnsiTheme="minorHAnsi" w:cstheme="minorHAnsi"/>
                <w:i/>
                <w:iCs/>
                <w:color w:val="000000"/>
                <w:sz w:val="18"/>
                <w:szCs w:val="18"/>
                <w:lang w:val="es-ES"/>
              </w:rPr>
              <w:br/>
              <w:t xml:space="preserve">2023-2024 </w:t>
            </w:r>
          </w:p>
        </w:tc>
        <w:tc>
          <w:tcPr>
            <w:tcW w:w="381" w:type="dxa"/>
            <w:vMerge w:val="restart"/>
            <w:tcBorders>
              <w:top w:val="nil"/>
              <w:left w:val="nil"/>
              <w:bottom w:val="single" w:sz="8" w:space="0" w:color="000000"/>
              <w:right w:val="nil"/>
            </w:tcBorders>
            <w:shd w:val="clear" w:color="auto" w:fill="auto"/>
            <w:vAlign w:val="center"/>
            <w:hideMark/>
          </w:tcPr>
          <w:p w14:paraId="404115E1" w14:textId="77777777" w:rsidR="002809FB" w:rsidRPr="00F12E21" w:rsidRDefault="002809FB" w:rsidP="0049064A">
            <w:pPr>
              <w:keepNext/>
              <w:keepLines/>
              <w:jc w:val="center"/>
              <w:rPr>
                <w:rFonts w:asciiTheme="minorHAnsi" w:hAnsiTheme="minorHAnsi" w:cstheme="minorHAnsi"/>
                <w:i/>
                <w:iCs/>
                <w:color w:val="000000"/>
                <w:sz w:val="18"/>
                <w:szCs w:val="18"/>
                <w:lang w:val="es-ES" w:eastAsia="zh-CN"/>
              </w:rPr>
            </w:pPr>
          </w:p>
        </w:tc>
        <w:tc>
          <w:tcPr>
            <w:tcW w:w="1052" w:type="dxa"/>
            <w:gridSpan w:val="3"/>
            <w:vMerge w:val="restart"/>
            <w:tcBorders>
              <w:top w:val="nil"/>
              <w:left w:val="nil"/>
              <w:bottom w:val="single" w:sz="8" w:space="0" w:color="000000"/>
              <w:right w:val="nil"/>
            </w:tcBorders>
            <w:shd w:val="clear" w:color="auto" w:fill="auto"/>
            <w:vAlign w:val="center"/>
            <w:hideMark/>
          </w:tcPr>
          <w:p w14:paraId="404115E2"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2019-20</w:t>
            </w:r>
          </w:p>
        </w:tc>
        <w:tc>
          <w:tcPr>
            <w:tcW w:w="362" w:type="dxa"/>
            <w:tcBorders>
              <w:top w:val="nil"/>
              <w:left w:val="nil"/>
              <w:bottom w:val="nil"/>
              <w:right w:val="nil"/>
            </w:tcBorders>
            <w:shd w:val="clear" w:color="auto" w:fill="auto"/>
            <w:vAlign w:val="center"/>
            <w:hideMark/>
          </w:tcPr>
          <w:p w14:paraId="404115E3" w14:textId="77777777" w:rsidR="002809FB" w:rsidRPr="00F12E21" w:rsidRDefault="002809FB" w:rsidP="0049064A">
            <w:pPr>
              <w:keepNext/>
              <w:keepLines/>
              <w:jc w:val="right"/>
              <w:rPr>
                <w:rFonts w:asciiTheme="minorHAnsi" w:hAnsiTheme="minorHAnsi" w:cstheme="minorHAnsi"/>
                <w:i/>
                <w:iCs/>
                <w:color w:val="000000"/>
                <w:sz w:val="18"/>
                <w:szCs w:val="18"/>
                <w:lang w:val="es-ES" w:eastAsia="zh-CN"/>
              </w:rPr>
            </w:pPr>
          </w:p>
        </w:tc>
        <w:tc>
          <w:tcPr>
            <w:tcW w:w="850" w:type="dxa"/>
            <w:vMerge w:val="restart"/>
            <w:tcBorders>
              <w:top w:val="nil"/>
              <w:left w:val="nil"/>
              <w:bottom w:val="single" w:sz="8" w:space="0" w:color="000000"/>
              <w:right w:val="nil"/>
            </w:tcBorders>
            <w:shd w:val="clear" w:color="auto" w:fill="auto"/>
            <w:vAlign w:val="center"/>
            <w:hideMark/>
          </w:tcPr>
          <w:p w14:paraId="404115E4"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2021-22</w:t>
            </w:r>
          </w:p>
        </w:tc>
        <w:tc>
          <w:tcPr>
            <w:tcW w:w="425" w:type="dxa"/>
            <w:tcBorders>
              <w:top w:val="nil"/>
              <w:left w:val="nil"/>
              <w:bottom w:val="nil"/>
              <w:right w:val="nil"/>
            </w:tcBorders>
            <w:shd w:val="clear" w:color="auto" w:fill="auto"/>
            <w:vAlign w:val="center"/>
            <w:hideMark/>
          </w:tcPr>
          <w:p w14:paraId="404115E5" w14:textId="77777777" w:rsidR="002809FB" w:rsidRPr="00F12E21" w:rsidRDefault="002809FB" w:rsidP="0049064A">
            <w:pPr>
              <w:keepNext/>
              <w:keepLines/>
              <w:jc w:val="right"/>
              <w:rPr>
                <w:rFonts w:asciiTheme="minorHAnsi" w:hAnsiTheme="minorHAnsi" w:cstheme="minorHAnsi"/>
                <w:i/>
                <w:iCs/>
                <w:color w:val="000000"/>
                <w:sz w:val="18"/>
                <w:szCs w:val="18"/>
                <w:lang w:val="es-ES" w:eastAsia="zh-CN"/>
              </w:rPr>
            </w:pPr>
          </w:p>
        </w:tc>
        <w:tc>
          <w:tcPr>
            <w:tcW w:w="851" w:type="dxa"/>
            <w:vMerge w:val="restart"/>
            <w:tcBorders>
              <w:top w:val="nil"/>
              <w:left w:val="nil"/>
              <w:bottom w:val="single" w:sz="8" w:space="0" w:color="000000"/>
              <w:right w:val="nil"/>
            </w:tcBorders>
            <w:shd w:val="clear" w:color="auto" w:fill="auto"/>
            <w:vAlign w:val="center"/>
            <w:hideMark/>
          </w:tcPr>
          <w:p w14:paraId="404115E6"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2023-24</w:t>
            </w:r>
          </w:p>
        </w:tc>
      </w:tr>
      <w:tr w:rsidR="002809FB" w:rsidRPr="005978DF" w14:paraId="404115F3" w14:textId="77777777" w:rsidTr="0049064A">
        <w:trPr>
          <w:trHeight w:val="300"/>
          <w:jc w:val="center"/>
        </w:trPr>
        <w:tc>
          <w:tcPr>
            <w:tcW w:w="1770" w:type="dxa"/>
            <w:vMerge/>
            <w:tcBorders>
              <w:top w:val="nil"/>
              <w:left w:val="nil"/>
              <w:bottom w:val="single" w:sz="8" w:space="0" w:color="000000"/>
              <w:right w:val="nil"/>
            </w:tcBorders>
            <w:vAlign w:val="center"/>
            <w:hideMark/>
          </w:tcPr>
          <w:p w14:paraId="404115E8"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903" w:type="dxa"/>
            <w:vMerge/>
            <w:tcBorders>
              <w:top w:val="nil"/>
              <w:left w:val="nil"/>
              <w:bottom w:val="single" w:sz="8" w:space="0" w:color="000000"/>
              <w:right w:val="nil"/>
            </w:tcBorders>
            <w:vAlign w:val="center"/>
            <w:hideMark/>
          </w:tcPr>
          <w:p w14:paraId="404115E9"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361" w:type="dxa"/>
            <w:tcBorders>
              <w:top w:val="nil"/>
              <w:left w:val="nil"/>
              <w:bottom w:val="single" w:sz="8" w:space="0" w:color="000000"/>
              <w:right w:val="nil"/>
            </w:tcBorders>
            <w:shd w:val="clear" w:color="auto" w:fill="auto"/>
            <w:vAlign w:val="center"/>
            <w:hideMark/>
          </w:tcPr>
          <w:p w14:paraId="404115EA"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w:t>
            </w:r>
          </w:p>
        </w:tc>
        <w:tc>
          <w:tcPr>
            <w:tcW w:w="1141" w:type="dxa"/>
            <w:vMerge/>
            <w:tcBorders>
              <w:top w:val="nil"/>
              <w:left w:val="nil"/>
              <w:bottom w:val="single" w:sz="8" w:space="0" w:color="000000"/>
              <w:right w:val="nil"/>
            </w:tcBorders>
            <w:vAlign w:val="center"/>
            <w:hideMark/>
          </w:tcPr>
          <w:p w14:paraId="404115EB"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1181" w:type="dxa"/>
            <w:vMerge/>
            <w:tcBorders>
              <w:top w:val="nil"/>
              <w:left w:val="nil"/>
              <w:bottom w:val="single" w:sz="8" w:space="0" w:color="000000"/>
              <w:right w:val="nil"/>
            </w:tcBorders>
            <w:vAlign w:val="center"/>
            <w:hideMark/>
          </w:tcPr>
          <w:p w14:paraId="404115EC"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381" w:type="dxa"/>
            <w:vMerge/>
            <w:tcBorders>
              <w:top w:val="nil"/>
              <w:left w:val="nil"/>
              <w:bottom w:val="single" w:sz="8" w:space="0" w:color="000000"/>
              <w:right w:val="nil"/>
            </w:tcBorders>
            <w:vAlign w:val="center"/>
            <w:hideMark/>
          </w:tcPr>
          <w:p w14:paraId="404115ED"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1052" w:type="dxa"/>
            <w:gridSpan w:val="3"/>
            <w:vMerge/>
            <w:tcBorders>
              <w:top w:val="nil"/>
              <w:left w:val="nil"/>
              <w:bottom w:val="single" w:sz="8" w:space="0" w:color="000000"/>
              <w:right w:val="nil"/>
            </w:tcBorders>
            <w:vAlign w:val="center"/>
            <w:hideMark/>
          </w:tcPr>
          <w:p w14:paraId="404115EE"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362" w:type="dxa"/>
            <w:tcBorders>
              <w:top w:val="nil"/>
              <w:left w:val="nil"/>
              <w:bottom w:val="single" w:sz="8" w:space="0" w:color="auto"/>
              <w:right w:val="nil"/>
            </w:tcBorders>
            <w:shd w:val="clear" w:color="auto" w:fill="auto"/>
            <w:vAlign w:val="center"/>
            <w:hideMark/>
          </w:tcPr>
          <w:p w14:paraId="404115EF"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w:t>
            </w:r>
          </w:p>
        </w:tc>
        <w:tc>
          <w:tcPr>
            <w:tcW w:w="850" w:type="dxa"/>
            <w:vMerge/>
            <w:tcBorders>
              <w:top w:val="nil"/>
              <w:left w:val="nil"/>
              <w:bottom w:val="single" w:sz="8" w:space="0" w:color="000000"/>
              <w:right w:val="nil"/>
            </w:tcBorders>
            <w:vAlign w:val="center"/>
            <w:hideMark/>
          </w:tcPr>
          <w:p w14:paraId="404115F0"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425" w:type="dxa"/>
            <w:tcBorders>
              <w:top w:val="nil"/>
              <w:left w:val="nil"/>
              <w:bottom w:val="single" w:sz="8" w:space="0" w:color="auto"/>
              <w:right w:val="nil"/>
            </w:tcBorders>
            <w:shd w:val="clear" w:color="auto" w:fill="auto"/>
            <w:vAlign w:val="center"/>
            <w:hideMark/>
          </w:tcPr>
          <w:p w14:paraId="404115F1" w14:textId="77777777" w:rsidR="002809FB" w:rsidRPr="00F12E21" w:rsidRDefault="002809FB" w:rsidP="0049064A">
            <w:pPr>
              <w:keepNext/>
              <w:keepLines/>
              <w:jc w:val="right"/>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 </w:t>
            </w:r>
          </w:p>
        </w:tc>
        <w:tc>
          <w:tcPr>
            <w:tcW w:w="851" w:type="dxa"/>
            <w:vMerge/>
            <w:tcBorders>
              <w:top w:val="nil"/>
              <w:left w:val="nil"/>
              <w:bottom w:val="single" w:sz="8" w:space="0" w:color="000000"/>
              <w:right w:val="nil"/>
            </w:tcBorders>
            <w:vAlign w:val="center"/>
            <w:hideMark/>
          </w:tcPr>
          <w:p w14:paraId="404115F2"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r>
      <w:tr w:rsidR="002809FB" w:rsidRPr="005978DF" w14:paraId="404115FF" w14:textId="77777777" w:rsidTr="0049064A">
        <w:trPr>
          <w:trHeight w:val="310"/>
          <w:jc w:val="center"/>
        </w:trPr>
        <w:tc>
          <w:tcPr>
            <w:tcW w:w="1770" w:type="dxa"/>
            <w:tcBorders>
              <w:top w:val="nil"/>
              <w:left w:val="nil"/>
              <w:bottom w:val="nil"/>
              <w:right w:val="nil"/>
            </w:tcBorders>
            <w:shd w:val="clear" w:color="auto" w:fill="auto"/>
            <w:vAlign w:val="center"/>
            <w:hideMark/>
          </w:tcPr>
          <w:p w14:paraId="404115F4" w14:textId="77777777" w:rsidR="002809FB" w:rsidRPr="00F12E21" w:rsidRDefault="002809FB" w:rsidP="0049064A">
            <w:pPr>
              <w:keepNext/>
              <w:keepLines/>
              <w:rPr>
                <w:rFonts w:asciiTheme="minorHAnsi" w:hAnsiTheme="minorHAnsi" w:cstheme="minorHAnsi"/>
                <w:i/>
                <w:iCs/>
                <w:color w:val="000000"/>
                <w:sz w:val="18"/>
                <w:szCs w:val="18"/>
                <w:lang w:val="es-ES"/>
              </w:rPr>
            </w:pPr>
            <w:r w:rsidRPr="00F12E21">
              <w:rPr>
                <w:rFonts w:asciiTheme="minorHAnsi" w:hAnsiTheme="minorHAnsi" w:cstheme="minorHAnsi"/>
                <w:i/>
                <w:iCs/>
                <w:color w:val="000000"/>
                <w:sz w:val="18"/>
                <w:szCs w:val="18"/>
                <w:lang w:val="es-ES"/>
              </w:rPr>
              <w:t>Presupuesto básico</w:t>
            </w:r>
          </w:p>
        </w:tc>
        <w:tc>
          <w:tcPr>
            <w:tcW w:w="903" w:type="dxa"/>
            <w:tcBorders>
              <w:top w:val="nil"/>
              <w:left w:val="nil"/>
              <w:bottom w:val="nil"/>
              <w:right w:val="nil"/>
            </w:tcBorders>
            <w:shd w:val="clear" w:color="auto" w:fill="auto"/>
            <w:vAlign w:val="center"/>
            <w:hideMark/>
          </w:tcPr>
          <w:p w14:paraId="404115F5" w14:textId="77777777" w:rsidR="002809FB" w:rsidRPr="00F12E21" w:rsidRDefault="002809FB" w:rsidP="0049064A">
            <w:pPr>
              <w:keepNext/>
              <w:keepLines/>
              <w:rPr>
                <w:rFonts w:asciiTheme="minorHAnsi" w:hAnsiTheme="minorHAnsi" w:cstheme="minorHAnsi"/>
                <w:i/>
                <w:iCs/>
                <w:color w:val="000000"/>
                <w:sz w:val="18"/>
                <w:szCs w:val="18"/>
                <w:lang w:val="es-ES" w:eastAsia="zh-CN"/>
              </w:rPr>
            </w:pPr>
          </w:p>
        </w:tc>
        <w:tc>
          <w:tcPr>
            <w:tcW w:w="361" w:type="dxa"/>
            <w:tcBorders>
              <w:top w:val="nil"/>
              <w:left w:val="nil"/>
              <w:bottom w:val="nil"/>
              <w:right w:val="nil"/>
            </w:tcBorders>
            <w:shd w:val="clear" w:color="auto" w:fill="auto"/>
            <w:vAlign w:val="center"/>
            <w:hideMark/>
          </w:tcPr>
          <w:p w14:paraId="404115F6" w14:textId="77777777" w:rsidR="002809FB" w:rsidRPr="00F12E21" w:rsidRDefault="002809FB" w:rsidP="0049064A">
            <w:pPr>
              <w:keepNext/>
              <w:keepLines/>
              <w:rPr>
                <w:rFonts w:asciiTheme="minorHAnsi" w:hAnsiTheme="minorHAnsi" w:cstheme="minorHAnsi"/>
                <w:sz w:val="18"/>
                <w:szCs w:val="18"/>
                <w:lang w:val="es-ES" w:eastAsia="zh-CN"/>
              </w:rPr>
            </w:pPr>
          </w:p>
        </w:tc>
        <w:tc>
          <w:tcPr>
            <w:tcW w:w="1141" w:type="dxa"/>
            <w:tcBorders>
              <w:top w:val="nil"/>
              <w:left w:val="nil"/>
              <w:bottom w:val="nil"/>
              <w:right w:val="nil"/>
            </w:tcBorders>
            <w:shd w:val="clear" w:color="auto" w:fill="auto"/>
            <w:vAlign w:val="center"/>
            <w:hideMark/>
          </w:tcPr>
          <w:p w14:paraId="404115F7" w14:textId="77777777" w:rsidR="002809FB" w:rsidRPr="00F12E21" w:rsidRDefault="002809FB" w:rsidP="0049064A">
            <w:pPr>
              <w:keepNext/>
              <w:keepLines/>
              <w:rPr>
                <w:rFonts w:asciiTheme="minorHAnsi" w:hAnsiTheme="minorHAnsi" w:cstheme="minorHAnsi"/>
                <w:sz w:val="18"/>
                <w:szCs w:val="18"/>
                <w:lang w:val="es-ES" w:eastAsia="zh-CN"/>
              </w:rPr>
            </w:pPr>
          </w:p>
        </w:tc>
        <w:tc>
          <w:tcPr>
            <w:tcW w:w="1181" w:type="dxa"/>
            <w:tcBorders>
              <w:top w:val="nil"/>
              <w:left w:val="nil"/>
              <w:bottom w:val="nil"/>
              <w:right w:val="nil"/>
            </w:tcBorders>
            <w:shd w:val="clear" w:color="auto" w:fill="auto"/>
            <w:vAlign w:val="center"/>
            <w:hideMark/>
          </w:tcPr>
          <w:p w14:paraId="404115F8" w14:textId="77777777" w:rsidR="002809FB" w:rsidRPr="00F12E21" w:rsidRDefault="002809FB" w:rsidP="0049064A">
            <w:pPr>
              <w:keepNext/>
              <w:keepLines/>
              <w:rPr>
                <w:rFonts w:asciiTheme="minorHAnsi" w:hAnsiTheme="minorHAnsi" w:cstheme="minorHAnsi"/>
                <w:sz w:val="18"/>
                <w:szCs w:val="18"/>
                <w:lang w:val="es-ES" w:eastAsia="zh-CN"/>
              </w:rPr>
            </w:pPr>
          </w:p>
        </w:tc>
        <w:tc>
          <w:tcPr>
            <w:tcW w:w="381" w:type="dxa"/>
            <w:tcBorders>
              <w:top w:val="nil"/>
              <w:left w:val="nil"/>
              <w:bottom w:val="nil"/>
              <w:right w:val="nil"/>
            </w:tcBorders>
            <w:shd w:val="clear" w:color="auto" w:fill="auto"/>
            <w:noWrap/>
            <w:vAlign w:val="bottom"/>
            <w:hideMark/>
          </w:tcPr>
          <w:p w14:paraId="404115F9" w14:textId="77777777" w:rsidR="002809FB" w:rsidRPr="00F12E21" w:rsidRDefault="002809FB" w:rsidP="0049064A">
            <w:pPr>
              <w:keepNext/>
              <w:keepLines/>
              <w:rPr>
                <w:rFonts w:asciiTheme="minorHAnsi" w:hAnsiTheme="minorHAnsi" w:cstheme="minorHAnsi"/>
                <w:sz w:val="18"/>
                <w:szCs w:val="18"/>
                <w:lang w:val="es-ES" w:eastAsia="zh-CN"/>
              </w:rPr>
            </w:pPr>
          </w:p>
        </w:tc>
        <w:tc>
          <w:tcPr>
            <w:tcW w:w="1052" w:type="dxa"/>
            <w:gridSpan w:val="3"/>
            <w:tcBorders>
              <w:top w:val="nil"/>
              <w:left w:val="nil"/>
              <w:bottom w:val="nil"/>
              <w:right w:val="nil"/>
            </w:tcBorders>
            <w:shd w:val="clear" w:color="auto" w:fill="auto"/>
            <w:noWrap/>
            <w:vAlign w:val="bottom"/>
            <w:hideMark/>
          </w:tcPr>
          <w:p w14:paraId="404115FA" w14:textId="77777777" w:rsidR="002809FB" w:rsidRPr="00F12E21" w:rsidRDefault="002809FB" w:rsidP="0049064A">
            <w:pPr>
              <w:keepNext/>
              <w:keepLines/>
              <w:rPr>
                <w:rFonts w:asciiTheme="minorHAnsi" w:hAnsiTheme="minorHAnsi" w:cstheme="minorHAnsi"/>
                <w:sz w:val="18"/>
                <w:szCs w:val="18"/>
                <w:lang w:val="es-ES" w:eastAsia="zh-CN"/>
              </w:rPr>
            </w:pPr>
          </w:p>
        </w:tc>
        <w:tc>
          <w:tcPr>
            <w:tcW w:w="362" w:type="dxa"/>
            <w:tcBorders>
              <w:top w:val="nil"/>
              <w:left w:val="nil"/>
              <w:bottom w:val="nil"/>
              <w:right w:val="nil"/>
            </w:tcBorders>
            <w:shd w:val="clear" w:color="auto" w:fill="auto"/>
            <w:noWrap/>
            <w:vAlign w:val="bottom"/>
            <w:hideMark/>
          </w:tcPr>
          <w:p w14:paraId="404115FB" w14:textId="77777777" w:rsidR="002809FB" w:rsidRPr="00F12E21" w:rsidRDefault="002809FB" w:rsidP="0049064A">
            <w:pPr>
              <w:keepNext/>
              <w:keepLines/>
              <w:rPr>
                <w:rFonts w:asciiTheme="minorHAnsi" w:hAnsiTheme="minorHAnsi" w:cstheme="minorHAnsi"/>
                <w:sz w:val="18"/>
                <w:szCs w:val="18"/>
                <w:lang w:val="es-ES" w:eastAsia="zh-CN"/>
              </w:rPr>
            </w:pPr>
          </w:p>
        </w:tc>
        <w:tc>
          <w:tcPr>
            <w:tcW w:w="850" w:type="dxa"/>
            <w:tcBorders>
              <w:top w:val="nil"/>
              <w:left w:val="nil"/>
              <w:bottom w:val="nil"/>
              <w:right w:val="nil"/>
            </w:tcBorders>
            <w:shd w:val="clear" w:color="auto" w:fill="auto"/>
            <w:noWrap/>
            <w:vAlign w:val="bottom"/>
            <w:hideMark/>
          </w:tcPr>
          <w:p w14:paraId="404115FC" w14:textId="77777777" w:rsidR="002809FB" w:rsidRPr="00F12E21" w:rsidRDefault="002809FB" w:rsidP="0049064A">
            <w:pPr>
              <w:keepNext/>
              <w:keepLines/>
              <w:rPr>
                <w:rFonts w:asciiTheme="minorHAnsi" w:hAnsiTheme="minorHAnsi" w:cstheme="minorHAnsi"/>
                <w:sz w:val="18"/>
                <w:szCs w:val="18"/>
                <w:lang w:val="es-ES" w:eastAsia="zh-CN"/>
              </w:rPr>
            </w:pPr>
          </w:p>
        </w:tc>
        <w:tc>
          <w:tcPr>
            <w:tcW w:w="425" w:type="dxa"/>
            <w:tcBorders>
              <w:top w:val="nil"/>
              <w:left w:val="nil"/>
              <w:bottom w:val="nil"/>
              <w:right w:val="nil"/>
            </w:tcBorders>
            <w:shd w:val="clear" w:color="auto" w:fill="auto"/>
            <w:noWrap/>
            <w:vAlign w:val="bottom"/>
            <w:hideMark/>
          </w:tcPr>
          <w:p w14:paraId="404115FD" w14:textId="77777777" w:rsidR="002809FB" w:rsidRPr="00F12E21" w:rsidRDefault="002809FB" w:rsidP="0049064A">
            <w:pPr>
              <w:keepNext/>
              <w:keepLines/>
              <w:rPr>
                <w:rFonts w:asciiTheme="minorHAnsi" w:hAnsiTheme="minorHAnsi" w:cstheme="minorHAnsi"/>
                <w:sz w:val="18"/>
                <w:szCs w:val="18"/>
                <w:lang w:val="es-ES" w:eastAsia="zh-CN"/>
              </w:rPr>
            </w:pPr>
          </w:p>
        </w:tc>
        <w:tc>
          <w:tcPr>
            <w:tcW w:w="851" w:type="dxa"/>
            <w:tcBorders>
              <w:top w:val="nil"/>
              <w:left w:val="nil"/>
              <w:bottom w:val="nil"/>
              <w:right w:val="nil"/>
            </w:tcBorders>
            <w:shd w:val="clear" w:color="auto" w:fill="auto"/>
            <w:noWrap/>
            <w:vAlign w:val="bottom"/>
            <w:hideMark/>
          </w:tcPr>
          <w:p w14:paraId="404115FE" w14:textId="77777777" w:rsidR="002809FB" w:rsidRPr="00F12E21" w:rsidRDefault="002809FB" w:rsidP="0049064A">
            <w:pPr>
              <w:keepNext/>
              <w:keepLines/>
              <w:rPr>
                <w:rFonts w:asciiTheme="minorHAnsi" w:hAnsiTheme="minorHAnsi" w:cstheme="minorHAnsi"/>
                <w:sz w:val="18"/>
                <w:szCs w:val="18"/>
                <w:lang w:val="es-ES" w:eastAsia="zh-CN"/>
              </w:rPr>
            </w:pPr>
          </w:p>
        </w:tc>
      </w:tr>
      <w:tr w:rsidR="002809FB" w:rsidRPr="005978DF" w14:paraId="4041160B" w14:textId="77777777" w:rsidTr="0049064A">
        <w:trPr>
          <w:trHeight w:val="310"/>
          <w:jc w:val="center"/>
        </w:trPr>
        <w:tc>
          <w:tcPr>
            <w:tcW w:w="1770" w:type="dxa"/>
            <w:tcBorders>
              <w:top w:val="nil"/>
              <w:left w:val="nil"/>
              <w:bottom w:val="nil"/>
              <w:right w:val="nil"/>
            </w:tcBorders>
            <w:shd w:val="clear" w:color="auto" w:fill="auto"/>
            <w:vAlign w:val="center"/>
            <w:hideMark/>
          </w:tcPr>
          <w:p w14:paraId="40411600" w14:textId="77777777" w:rsidR="002809FB" w:rsidRPr="00F12E21" w:rsidRDefault="002809FB" w:rsidP="0049064A">
            <w:pPr>
              <w:keepNext/>
              <w:keepLines/>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Relativos a puestos</w:t>
            </w:r>
          </w:p>
        </w:tc>
        <w:tc>
          <w:tcPr>
            <w:tcW w:w="903" w:type="dxa"/>
            <w:tcBorders>
              <w:top w:val="nil"/>
              <w:left w:val="nil"/>
              <w:bottom w:val="nil"/>
              <w:right w:val="nil"/>
            </w:tcBorders>
            <w:shd w:val="clear" w:color="auto" w:fill="auto"/>
            <w:vAlign w:val="center"/>
            <w:hideMark/>
          </w:tcPr>
          <w:p w14:paraId="40411601"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7 015,2</w:t>
            </w:r>
          </w:p>
        </w:tc>
        <w:tc>
          <w:tcPr>
            <w:tcW w:w="361" w:type="dxa"/>
            <w:tcBorders>
              <w:top w:val="nil"/>
              <w:left w:val="nil"/>
              <w:bottom w:val="nil"/>
              <w:right w:val="nil"/>
            </w:tcBorders>
            <w:shd w:val="clear" w:color="auto" w:fill="auto"/>
            <w:vAlign w:val="center"/>
            <w:hideMark/>
          </w:tcPr>
          <w:p w14:paraId="40411602" w14:textId="77777777" w:rsidR="002809FB" w:rsidRPr="00F12E21" w:rsidRDefault="002809FB" w:rsidP="0049064A">
            <w:pPr>
              <w:keepNext/>
              <w:keepLines/>
              <w:jc w:val="right"/>
              <w:rPr>
                <w:rFonts w:asciiTheme="minorHAnsi" w:hAnsiTheme="minorHAnsi" w:cstheme="minorHAnsi"/>
                <w:color w:val="000000"/>
                <w:sz w:val="18"/>
                <w:szCs w:val="18"/>
                <w:lang w:val="es-ES" w:eastAsia="zh-CN"/>
              </w:rPr>
            </w:pPr>
          </w:p>
        </w:tc>
        <w:tc>
          <w:tcPr>
            <w:tcW w:w="1141" w:type="dxa"/>
            <w:tcBorders>
              <w:top w:val="nil"/>
              <w:left w:val="nil"/>
              <w:bottom w:val="nil"/>
              <w:right w:val="nil"/>
            </w:tcBorders>
            <w:shd w:val="clear" w:color="auto" w:fill="auto"/>
            <w:vAlign w:val="center"/>
            <w:hideMark/>
          </w:tcPr>
          <w:p w14:paraId="40411603"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6 818,8</w:t>
            </w:r>
          </w:p>
        </w:tc>
        <w:tc>
          <w:tcPr>
            <w:tcW w:w="1181" w:type="dxa"/>
            <w:tcBorders>
              <w:top w:val="nil"/>
              <w:left w:val="nil"/>
              <w:bottom w:val="nil"/>
              <w:right w:val="nil"/>
            </w:tcBorders>
            <w:shd w:val="clear" w:color="auto" w:fill="auto"/>
            <w:vAlign w:val="center"/>
            <w:hideMark/>
          </w:tcPr>
          <w:p w14:paraId="40411604"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6 818,8</w:t>
            </w:r>
          </w:p>
        </w:tc>
        <w:tc>
          <w:tcPr>
            <w:tcW w:w="381" w:type="dxa"/>
            <w:tcBorders>
              <w:top w:val="nil"/>
              <w:left w:val="nil"/>
              <w:bottom w:val="nil"/>
              <w:right w:val="nil"/>
            </w:tcBorders>
            <w:shd w:val="clear" w:color="auto" w:fill="auto"/>
            <w:vAlign w:val="bottom"/>
            <w:hideMark/>
          </w:tcPr>
          <w:p w14:paraId="40411605" w14:textId="77777777" w:rsidR="002809FB" w:rsidRPr="00F12E21" w:rsidRDefault="002809FB" w:rsidP="0049064A">
            <w:pPr>
              <w:keepNext/>
              <w:keepLines/>
              <w:jc w:val="right"/>
              <w:rPr>
                <w:rFonts w:asciiTheme="minorHAnsi" w:hAnsiTheme="minorHAnsi" w:cstheme="minorHAnsi"/>
                <w:color w:val="000000"/>
                <w:sz w:val="18"/>
                <w:szCs w:val="18"/>
                <w:lang w:val="es-ES" w:eastAsia="zh-CN"/>
              </w:rPr>
            </w:pPr>
          </w:p>
        </w:tc>
        <w:tc>
          <w:tcPr>
            <w:tcW w:w="1052" w:type="dxa"/>
            <w:gridSpan w:val="3"/>
            <w:tcBorders>
              <w:top w:val="nil"/>
              <w:left w:val="nil"/>
              <w:bottom w:val="nil"/>
              <w:right w:val="nil"/>
            </w:tcBorders>
            <w:shd w:val="clear" w:color="auto" w:fill="auto"/>
            <w:vAlign w:val="center"/>
            <w:hideMark/>
          </w:tcPr>
          <w:p w14:paraId="40411606"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23</w:t>
            </w:r>
          </w:p>
        </w:tc>
        <w:tc>
          <w:tcPr>
            <w:tcW w:w="362" w:type="dxa"/>
            <w:tcBorders>
              <w:top w:val="nil"/>
              <w:left w:val="nil"/>
              <w:bottom w:val="nil"/>
              <w:right w:val="nil"/>
            </w:tcBorders>
            <w:shd w:val="clear" w:color="auto" w:fill="auto"/>
            <w:vAlign w:val="bottom"/>
            <w:hideMark/>
          </w:tcPr>
          <w:p w14:paraId="40411607" w14:textId="77777777" w:rsidR="002809FB" w:rsidRPr="00F12E21" w:rsidRDefault="002809FB" w:rsidP="0049064A">
            <w:pPr>
              <w:keepNext/>
              <w:keepLines/>
              <w:jc w:val="right"/>
              <w:rPr>
                <w:rFonts w:asciiTheme="minorHAnsi" w:hAnsiTheme="minorHAnsi" w:cstheme="minorHAnsi"/>
                <w:color w:val="000000"/>
                <w:sz w:val="18"/>
                <w:szCs w:val="18"/>
                <w:lang w:val="es-ES" w:eastAsia="zh-CN"/>
              </w:rPr>
            </w:pPr>
          </w:p>
        </w:tc>
        <w:tc>
          <w:tcPr>
            <w:tcW w:w="850" w:type="dxa"/>
            <w:tcBorders>
              <w:top w:val="nil"/>
              <w:left w:val="nil"/>
              <w:bottom w:val="nil"/>
              <w:right w:val="nil"/>
            </w:tcBorders>
            <w:shd w:val="clear" w:color="auto" w:fill="auto"/>
            <w:vAlign w:val="center"/>
            <w:hideMark/>
          </w:tcPr>
          <w:p w14:paraId="40411608"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23</w:t>
            </w:r>
          </w:p>
        </w:tc>
        <w:tc>
          <w:tcPr>
            <w:tcW w:w="425" w:type="dxa"/>
            <w:tcBorders>
              <w:top w:val="nil"/>
              <w:left w:val="nil"/>
              <w:bottom w:val="nil"/>
              <w:right w:val="nil"/>
            </w:tcBorders>
            <w:shd w:val="clear" w:color="auto" w:fill="auto"/>
            <w:vAlign w:val="bottom"/>
            <w:hideMark/>
          </w:tcPr>
          <w:p w14:paraId="40411609" w14:textId="77777777" w:rsidR="002809FB" w:rsidRPr="00F12E21" w:rsidRDefault="002809FB" w:rsidP="0049064A">
            <w:pPr>
              <w:keepNext/>
              <w:keepLines/>
              <w:jc w:val="right"/>
              <w:rPr>
                <w:rFonts w:asciiTheme="minorHAnsi" w:hAnsiTheme="minorHAnsi" w:cstheme="minorHAnsi"/>
                <w:color w:val="000000"/>
                <w:sz w:val="18"/>
                <w:szCs w:val="18"/>
                <w:lang w:val="es-ES" w:eastAsia="zh-CN"/>
              </w:rPr>
            </w:pPr>
          </w:p>
        </w:tc>
        <w:tc>
          <w:tcPr>
            <w:tcW w:w="851" w:type="dxa"/>
            <w:tcBorders>
              <w:top w:val="nil"/>
              <w:left w:val="nil"/>
              <w:bottom w:val="nil"/>
              <w:right w:val="nil"/>
            </w:tcBorders>
            <w:shd w:val="clear" w:color="auto" w:fill="auto"/>
            <w:vAlign w:val="center"/>
            <w:hideMark/>
          </w:tcPr>
          <w:p w14:paraId="4041160A"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23,5</w:t>
            </w:r>
          </w:p>
        </w:tc>
      </w:tr>
      <w:tr w:rsidR="002809FB" w:rsidRPr="005978DF" w14:paraId="40411617" w14:textId="77777777" w:rsidTr="0049064A">
        <w:trPr>
          <w:trHeight w:val="320"/>
          <w:jc w:val="center"/>
        </w:trPr>
        <w:tc>
          <w:tcPr>
            <w:tcW w:w="1770" w:type="dxa"/>
            <w:tcBorders>
              <w:top w:val="nil"/>
              <w:left w:val="nil"/>
              <w:bottom w:val="nil"/>
              <w:right w:val="nil"/>
            </w:tcBorders>
            <w:shd w:val="clear" w:color="auto" w:fill="auto"/>
            <w:vAlign w:val="center"/>
            <w:hideMark/>
          </w:tcPr>
          <w:p w14:paraId="4041160C" w14:textId="77777777" w:rsidR="002809FB" w:rsidRPr="00F12E21" w:rsidRDefault="002809FB" w:rsidP="0049064A">
            <w:pPr>
              <w:keepNext/>
              <w:keepLines/>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No relativos a puestos</w:t>
            </w:r>
          </w:p>
        </w:tc>
        <w:tc>
          <w:tcPr>
            <w:tcW w:w="903" w:type="dxa"/>
            <w:tcBorders>
              <w:top w:val="nil"/>
              <w:left w:val="nil"/>
              <w:bottom w:val="nil"/>
              <w:right w:val="nil"/>
            </w:tcBorders>
            <w:shd w:val="clear" w:color="auto" w:fill="auto"/>
            <w:vAlign w:val="center"/>
            <w:hideMark/>
          </w:tcPr>
          <w:p w14:paraId="4041160D"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1 440,0</w:t>
            </w:r>
          </w:p>
        </w:tc>
        <w:tc>
          <w:tcPr>
            <w:tcW w:w="361" w:type="dxa"/>
            <w:tcBorders>
              <w:top w:val="nil"/>
              <w:left w:val="nil"/>
              <w:bottom w:val="nil"/>
              <w:right w:val="nil"/>
            </w:tcBorders>
            <w:shd w:val="clear" w:color="auto" w:fill="auto"/>
            <w:vAlign w:val="center"/>
            <w:hideMark/>
          </w:tcPr>
          <w:p w14:paraId="4041160E" w14:textId="77777777" w:rsidR="002809FB" w:rsidRPr="00F12E21" w:rsidRDefault="002809FB" w:rsidP="0049064A">
            <w:pPr>
              <w:keepNext/>
              <w:keepLines/>
              <w:jc w:val="right"/>
              <w:rPr>
                <w:rFonts w:asciiTheme="minorHAnsi" w:hAnsiTheme="minorHAnsi" w:cstheme="minorHAnsi"/>
                <w:color w:val="000000"/>
                <w:sz w:val="16"/>
                <w:szCs w:val="16"/>
                <w:lang w:val="es-ES"/>
              </w:rPr>
            </w:pPr>
            <w:r w:rsidRPr="00F12E21">
              <w:rPr>
                <w:rFonts w:asciiTheme="minorHAnsi" w:hAnsiTheme="minorHAnsi" w:cstheme="minorHAnsi"/>
                <w:color w:val="000000"/>
                <w:sz w:val="16"/>
                <w:szCs w:val="16"/>
                <w:lang w:val="es-ES"/>
              </w:rPr>
              <w:t>a/</w:t>
            </w:r>
          </w:p>
        </w:tc>
        <w:tc>
          <w:tcPr>
            <w:tcW w:w="1141" w:type="dxa"/>
            <w:tcBorders>
              <w:top w:val="nil"/>
              <w:left w:val="nil"/>
              <w:bottom w:val="nil"/>
              <w:right w:val="nil"/>
            </w:tcBorders>
            <w:shd w:val="clear" w:color="auto" w:fill="auto"/>
            <w:vAlign w:val="center"/>
            <w:hideMark/>
          </w:tcPr>
          <w:p w14:paraId="4041160F"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230,0</w:t>
            </w:r>
          </w:p>
        </w:tc>
        <w:tc>
          <w:tcPr>
            <w:tcW w:w="1181" w:type="dxa"/>
            <w:tcBorders>
              <w:top w:val="nil"/>
              <w:left w:val="nil"/>
              <w:bottom w:val="nil"/>
              <w:right w:val="nil"/>
            </w:tcBorders>
            <w:shd w:val="clear" w:color="auto" w:fill="auto"/>
            <w:vAlign w:val="center"/>
            <w:hideMark/>
          </w:tcPr>
          <w:p w14:paraId="40411610"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230,0</w:t>
            </w:r>
          </w:p>
        </w:tc>
        <w:tc>
          <w:tcPr>
            <w:tcW w:w="381" w:type="dxa"/>
            <w:tcBorders>
              <w:top w:val="nil"/>
              <w:left w:val="nil"/>
              <w:bottom w:val="nil"/>
              <w:right w:val="nil"/>
            </w:tcBorders>
            <w:shd w:val="clear" w:color="auto" w:fill="auto"/>
            <w:vAlign w:val="center"/>
            <w:hideMark/>
          </w:tcPr>
          <w:p w14:paraId="40411611" w14:textId="77777777" w:rsidR="002809FB" w:rsidRPr="00F12E21" w:rsidRDefault="002809FB" w:rsidP="0049064A">
            <w:pPr>
              <w:keepNext/>
              <w:keepLines/>
              <w:rPr>
                <w:rFonts w:asciiTheme="minorHAnsi" w:hAnsiTheme="minorHAnsi" w:cstheme="minorHAnsi"/>
                <w:color w:val="000000"/>
                <w:sz w:val="16"/>
                <w:szCs w:val="16"/>
                <w:lang w:val="es-ES"/>
              </w:rPr>
            </w:pPr>
            <w:proofErr w:type="spellStart"/>
            <w:r w:rsidRPr="00F12E21">
              <w:rPr>
                <w:rFonts w:asciiTheme="minorHAnsi" w:hAnsiTheme="minorHAnsi" w:cstheme="minorHAnsi"/>
                <w:color w:val="000000"/>
                <w:sz w:val="16"/>
                <w:szCs w:val="16"/>
                <w:lang w:val="es-ES"/>
              </w:rPr>
              <w:t>b/</w:t>
            </w:r>
            <w:proofErr w:type="spellEnd"/>
          </w:p>
        </w:tc>
        <w:tc>
          <w:tcPr>
            <w:tcW w:w="1052" w:type="dxa"/>
            <w:gridSpan w:val="3"/>
            <w:tcBorders>
              <w:top w:val="nil"/>
              <w:left w:val="nil"/>
              <w:bottom w:val="nil"/>
              <w:right w:val="nil"/>
            </w:tcBorders>
            <w:shd w:val="clear" w:color="auto" w:fill="auto"/>
            <w:vAlign w:val="bottom"/>
            <w:hideMark/>
          </w:tcPr>
          <w:p w14:paraId="40411612" w14:textId="77777777" w:rsidR="002809FB" w:rsidRPr="00F12E21" w:rsidRDefault="002809FB" w:rsidP="0049064A">
            <w:pPr>
              <w:keepNext/>
              <w:keepLines/>
              <w:rPr>
                <w:rFonts w:asciiTheme="minorHAnsi" w:hAnsiTheme="minorHAnsi" w:cstheme="minorHAnsi"/>
                <w:color w:val="000000"/>
                <w:sz w:val="18"/>
                <w:szCs w:val="18"/>
                <w:lang w:val="es-ES" w:eastAsia="zh-CN"/>
              </w:rPr>
            </w:pPr>
          </w:p>
        </w:tc>
        <w:tc>
          <w:tcPr>
            <w:tcW w:w="362" w:type="dxa"/>
            <w:tcBorders>
              <w:top w:val="nil"/>
              <w:left w:val="nil"/>
              <w:bottom w:val="nil"/>
              <w:right w:val="nil"/>
            </w:tcBorders>
            <w:shd w:val="clear" w:color="auto" w:fill="auto"/>
            <w:vAlign w:val="bottom"/>
            <w:hideMark/>
          </w:tcPr>
          <w:p w14:paraId="40411613" w14:textId="77777777" w:rsidR="002809FB" w:rsidRPr="00F12E21" w:rsidRDefault="002809FB" w:rsidP="0049064A">
            <w:pPr>
              <w:keepNext/>
              <w:keepLines/>
              <w:rPr>
                <w:rFonts w:asciiTheme="minorHAnsi" w:hAnsiTheme="minorHAnsi" w:cstheme="minorHAnsi"/>
                <w:sz w:val="18"/>
                <w:szCs w:val="18"/>
                <w:lang w:val="es-ES" w:eastAsia="zh-CN"/>
              </w:rPr>
            </w:pPr>
          </w:p>
        </w:tc>
        <w:tc>
          <w:tcPr>
            <w:tcW w:w="850" w:type="dxa"/>
            <w:tcBorders>
              <w:top w:val="nil"/>
              <w:left w:val="nil"/>
              <w:bottom w:val="nil"/>
              <w:right w:val="nil"/>
            </w:tcBorders>
            <w:shd w:val="clear" w:color="auto" w:fill="auto"/>
            <w:vAlign w:val="bottom"/>
            <w:hideMark/>
          </w:tcPr>
          <w:p w14:paraId="40411614" w14:textId="77777777" w:rsidR="002809FB" w:rsidRPr="00F12E21" w:rsidRDefault="002809FB" w:rsidP="0049064A">
            <w:pPr>
              <w:keepNext/>
              <w:keepLines/>
              <w:rPr>
                <w:rFonts w:asciiTheme="minorHAnsi" w:hAnsiTheme="minorHAnsi" w:cstheme="minorHAnsi"/>
                <w:sz w:val="18"/>
                <w:szCs w:val="18"/>
                <w:lang w:val="es-ES" w:eastAsia="zh-CN"/>
              </w:rPr>
            </w:pPr>
          </w:p>
        </w:tc>
        <w:tc>
          <w:tcPr>
            <w:tcW w:w="425" w:type="dxa"/>
            <w:tcBorders>
              <w:top w:val="nil"/>
              <w:left w:val="nil"/>
              <w:bottom w:val="nil"/>
              <w:right w:val="nil"/>
            </w:tcBorders>
            <w:shd w:val="clear" w:color="auto" w:fill="auto"/>
            <w:vAlign w:val="bottom"/>
            <w:hideMark/>
          </w:tcPr>
          <w:p w14:paraId="40411615" w14:textId="77777777" w:rsidR="002809FB" w:rsidRPr="00F12E21" w:rsidRDefault="002809FB" w:rsidP="0049064A">
            <w:pPr>
              <w:keepNext/>
              <w:keepLines/>
              <w:rPr>
                <w:rFonts w:asciiTheme="minorHAnsi" w:hAnsiTheme="minorHAnsi" w:cstheme="minorHAnsi"/>
                <w:sz w:val="18"/>
                <w:szCs w:val="18"/>
                <w:lang w:val="es-ES" w:eastAsia="zh-CN"/>
              </w:rPr>
            </w:pPr>
          </w:p>
        </w:tc>
        <w:tc>
          <w:tcPr>
            <w:tcW w:w="851" w:type="dxa"/>
            <w:tcBorders>
              <w:top w:val="nil"/>
              <w:left w:val="nil"/>
              <w:bottom w:val="nil"/>
              <w:right w:val="nil"/>
            </w:tcBorders>
            <w:shd w:val="clear" w:color="auto" w:fill="auto"/>
            <w:vAlign w:val="bottom"/>
            <w:hideMark/>
          </w:tcPr>
          <w:p w14:paraId="40411616" w14:textId="77777777" w:rsidR="002809FB" w:rsidRPr="00F12E21" w:rsidRDefault="002809FB" w:rsidP="0049064A">
            <w:pPr>
              <w:keepNext/>
              <w:keepLines/>
              <w:rPr>
                <w:rFonts w:asciiTheme="minorHAnsi" w:hAnsiTheme="minorHAnsi" w:cstheme="minorHAnsi"/>
                <w:sz w:val="18"/>
                <w:szCs w:val="18"/>
                <w:lang w:val="es-ES" w:eastAsia="zh-CN"/>
              </w:rPr>
            </w:pPr>
          </w:p>
        </w:tc>
      </w:tr>
      <w:tr w:rsidR="002809FB" w:rsidRPr="005978DF" w14:paraId="40411623" w14:textId="77777777" w:rsidTr="0049064A">
        <w:trPr>
          <w:trHeight w:val="300"/>
          <w:jc w:val="center"/>
        </w:trPr>
        <w:tc>
          <w:tcPr>
            <w:tcW w:w="1770" w:type="dxa"/>
            <w:tcBorders>
              <w:top w:val="single" w:sz="8" w:space="0" w:color="auto"/>
              <w:left w:val="nil"/>
              <w:bottom w:val="single" w:sz="8" w:space="0" w:color="auto"/>
              <w:right w:val="nil"/>
            </w:tcBorders>
            <w:shd w:val="clear" w:color="auto" w:fill="auto"/>
            <w:vAlign w:val="center"/>
            <w:hideMark/>
          </w:tcPr>
          <w:p w14:paraId="40411618" w14:textId="77777777" w:rsidR="002809FB" w:rsidRPr="00F12E21" w:rsidRDefault="002809FB" w:rsidP="0049064A">
            <w:pPr>
              <w:keepNext/>
              <w:keepLines/>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Subtotal</w:t>
            </w:r>
          </w:p>
        </w:tc>
        <w:tc>
          <w:tcPr>
            <w:tcW w:w="903" w:type="dxa"/>
            <w:tcBorders>
              <w:top w:val="single" w:sz="8" w:space="0" w:color="auto"/>
              <w:left w:val="nil"/>
              <w:bottom w:val="single" w:sz="8" w:space="0" w:color="auto"/>
              <w:right w:val="nil"/>
            </w:tcBorders>
            <w:shd w:val="clear" w:color="auto" w:fill="auto"/>
            <w:vAlign w:val="center"/>
            <w:hideMark/>
          </w:tcPr>
          <w:p w14:paraId="40411619"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8 455,2</w:t>
            </w:r>
          </w:p>
        </w:tc>
        <w:tc>
          <w:tcPr>
            <w:tcW w:w="361" w:type="dxa"/>
            <w:tcBorders>
              <w:top w:val="single" w:sz="8" w:space="0" w:color="auto"/>
              <w:left w:val="nil"/>
              <w:bottom w:val="single" w:sz="8" w:space="0" w:color="auto"/>
              <w:right w:val="nil"/>
            </w:tcBorders>
            <w:shd w:val="clear" w:color="auto" w:fill="auto"/>
            <w:vAlign w:val="center"/>
            <w:hideMark/>
          </w:tcPr>
          <w:p w14:paraId="4041161A"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1141" w:type="dxa"/>
            <w:tcBorders>
              <w:top w:val="single" w:sz="8" w:space="0" w:color="auto"/>
              <w:left w:val="nil"/>
              <w:bottom w:val="single" w:sz="8" w:space="0" w:color="auto"/>
              <w:right w:val="nil"/>
            </w:tcBorders>
            <w:shd w:val="clear" w:color="auto" w:fill="auto"/>
            <w:vAlign w:val="center"/>
            <w:hideMark/>
          </w:tcPr>
          <w:p w14:paraId="4041161B"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7 048,8</w:t>
            </w:r>
          </w:p>
        </w:tc>
        <w:tc>
          <w:tcPr>
            <w:tcW w:w="1181" w:type="dxa"/>
            <w:tcBorders>
              <w:top w:val="single" w:sz="8" w:space="0" w:color="auto"/>
              <w:left w:val="nil"/>
              <w:bottom w:val="single" w:sz="8" w:space="0" w:color="auto"/>
              <w:right w:val="nil"/>
            </w:tcBorders>
            <w:shd w:val="clear" w:color="auto" w:fill="auto"/>
            <w:vAlign w:val="center"/>
            <w:hideMark/>
          </w:tcPr>
          <w:p w14:paraId="4041161C"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7 048,8</w:t>
            </w:r>
          </w:p>
        </w:tc>
        <w:tc>
          <w:tcPr>
            <w:tcW w:w="381" w:type="dxa"/>
            <w:tcBorders>
              <w:top w:val="single" w:sz="8" w:space="0" w:color="auto"/>
              <w:left w:val="nil"/>
              <w:bottom w:val="single" w:sz="8" w:space="0" w:color="auto"/>
              <w:right w:val="nil"/>
            </w:tcBorders>
            <w:shd w:val="clear" w:color="auto" w:fill="auto"/>
            <w:vAlign w:val="center"/>
            <w:hideMark/>
          </w:tcPr>
          <w:p w14:paraId="4041161D" w14:textId="77777777" w:rsidR="002809FB" w:rsidRPr="00F12E21" w:rsidRDefault="002809FB" w:rsidP="0049064A">
            <w:pPr>
              <w:keepNext/>
              <w:keepLines/>
              <w:jc w:val="center"/>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1052" w:type="dxa"/>
            <w:gridSpan w:val="3"/>
            <w:tcBorders>
              <w:top w:val="single" w:sz="8" w:space="0" w:color="auto"/>
              <w:left w:val="nil"/>
              <w:bottom w:val="single" w:sz="8" w:space="0" w:color="auto"/>
              <w:right w:val="nil"/>
            </w:tcBorders>
            <w:shd w:val="clear" w:color="auto" w:fill="auto"/>
            <w:vAlign w:val="center"/>
            <w:hideMark/>
          </w:tcPr>
          <w:p w14:paraId="4041161E"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23</w:t>
            </w:r>
          </w:p>
        </w:tc>
        <w:tc>
          <w:tcPr>
            <w:tcW w:w="362" w:type="dxa"/>
            <w:tcBorders>
              <w:top w:val="single" w:sz="8" w:space="0" w:color="auto"/>
              <w:left w:val="nil"/>
              <w:bottom w:val="single" w:sz="8" w:space="0" w:color="auto"/>
              <w:right w:val="nil"/>
            </w:tcBorders>
            <w:shd w:val="clear" w:color="auto" w:fill="auto"/>
            <w:vAlign w:val="center"/>
            <w:hideMark/>
          </w:tcPr>
          <w:p w14:paraId="4041161F" w14:textId="77777777" w:rsidR="002809FB" w:rsidRPr="00F12E21" w:rsidRDefault="002809FB" w:rsidP="0049064A">
            <w:pPr>
              <w:keepNext/>
              <w:keepLines/>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850" w:type="dxa"/>
            <w:tcBorders>
              <w:top w:val="single" w:sz="8" w:space="0" w:color="auto"/>
              <w:left w:val="nil"/>
              <w:bottom w:val="single" w:sz="8" w:space="0" w:color="auto"/>
              <w:right w:val="nil"/>
            </w:tcBorders>
            <w:shd w:val="clear" w:color="auto" w:fill="auto"/>
            <w:vAlign w:val="center"/>
            <w:hideMark/>
          </w:tcPr>
          <w:p w14:paraId="40411620"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23</w:t>
            </w:r>
          </w:p>
        </w:tc>
        <w:tc>
          <w:tcPr>
            <w:tcW w:w="425" w:type="dxa"/>
            <w:tcBorders>
              <w:top w:val="single" w:sz="8" w:space="0" w:color="auto"/>
              <w:left w:val="nil"/>
              <w:bottom w:val="single" w:sz="8" w:space="0" w:color="auto"/>
              <w:right w:val="nil"/>
            </w:tcBorders>
            <w:shd w:val="clear" w:color="auto" w:fill="auto"/>
            <w:vAlign w:val="center"/>
            <w:hideMark/>
          </w:tcPr>
          <w:p w14:paraId="40411621"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851" w:type="dxa"/>
            <w:tcBorders>
              <w:top w:val="single" w:sz="8" w:space="0" w:color="auto"/>
              <w:left w:val="nil"/>
              <w:bottom w:val="single" w:sz="8" w:space="0" w:color="auto"/>
              <w:right w:val="nil"/>
            </w:tcBorders>
            <w:shd w:val="clear" w:color="auto" w:fill="auto"/>
            <w:vAlign w:val="center"/>
            <w:hideMark/>
          </w:tcPr>
          <w:p w14:paraId="40411622"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23,5</w:t>
            </w:r>
          </w:p>
        </w:tc>
      </w:tr>
      <w:tr w:rsidR="002809FB" w:rsidRPr="006A6E89" w14:paraId="4041162F" w14:textId="77777777" w:rsidTr="0049064A">
        <w:trPr>
          <w:trHeight w:val="310"/>
          <w:jc w:val="center"/>
        </w:trPr>
        <w:tc>
          <w:tcPr>
            <w:tcW w:w="1770" w:type="dxa"/>
            <w:tcBorders>
              <w:top w:val="nil"/>
              <w:left w:val="nil"/>
              <w:bottom w:val="nil"/>
              <w:right w:val="nil"/>
            </w:tcBorders>
            <w:shd w:val="clear" w:color="auto" w:fill="auto"/>
            <w:vAlign w:val="center"/>
            <w:hideMark/>
          </w:tcPr>
          <w:p w14:paraId="40411624" w14:textId="77777777" w:rsidR="002809FB" w:rsidRPr="00F12E21" w:rsidRDefault="002809FB" w:rsidP="0049064A">
            <w:pPr>
              <w:keepNext/>
              <w:keepLines/>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Gastos de apoyo a los programas (OTA)</w:t>
            </w:r>
          </w:p>
        </w:tc>
        <w:tc>
          <w:tcPr>
            <w:tcW w:w="903" w:type="dxa"/>
            <w:tcBorders>
              <w:top w:val="nil"/>
              <w:left w:val="nil"/>
              <w:bottom w:val="nil"/>
              <w:right w:val="nil"/>
            </w:tcBorders>
            <w:shd w:val="clear" w:color="auto" w:fill="auto"/>
            <w:vAlign w:val="center"/>
            <w:hideMark/>
          </w:tcPr>
          <w:p w14:paraId="40411625" w14:textId="77777777" w:rsidR="002809FB" w:rsidRPr="00F12E21" w:rsidRDefault="002809FB" w:rsidP="0049064A">
            <w:pPr>
              <w:keepNext/>
              <w:keepLines/>
              <w:rPr>
                <w:rFonts w:asciiTheme="minorHAnsi" w:hAnsiTheme="minorHAnsi" w:cstheme="minorHAnsi"/>
                <w:color w:val="000000"/>
                <w:sz w:val="18"/>
                <w:szCs w:val="18"/>
                <w:lang w:val="es-ES" w:eastAsia="zh-CN"/>
              </w:rPr>
            </w:pPr>
          </w:p>
        </w:tc>
        <w:tc>
          <w:tcPr>
            <w:tcW w:w="361" w:type="dxa"/>
            <w:tcBorders>
              <w:top w:val="nil"/>
              <w:left w:val="nil"/>
              <w:bottom w:val="nil"/>
              <w:right w:val="nil"/>
            </w:tcBorders>
            <w:shd w:val="clear" w:color="auto" w:fill="auto"/>
            <w:vAlign w:val="center"/>
            <w:hideMark/>
          </w:tcPr>
          <w:p w14:paraId="40411626"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1141" w:type="dxa"/>
            <w:tcBorders>
              <w:top w:val="nil"/>
              <w:left w:val="nil"/>
              <w:bottom w:val="nil"/>
              <w:right w:val="nil"/>
            </w:tcBorders>
            <w:shd w:val="clear" w:color="auto" w:fill="auto"/>
            <w:vAlign w:val="center"/>
            <w:hideMark/>
          </w:tcPr>
          <w:p w14:paraId="40411627"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1181" w:type="dxa"/>
            <w:tcBorders>
              <w:top w:val="nil"/>
              <w:left w:val="nil"/>
              <w:bottom w:val="nil"/>
              <w:right w:val="nil"/>
            </w:tcBorders>
            <w:shd w:val="clear" w:color="auto" w:fill="auto"/>
            <w:vAlign w:val="center"/>
            <w:hideMark/>
          </w:tcPr>
          <w:p w14:paraId="40411628"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381" w:type="dxa"/>
            <w:tcBorders>
              <w:top w:val="nil"/>
              <w:left w:val="nil"/>
              <w:bottom w:val="nil"/>
              <w:right w:val="nil"/>
            </w:tcBorders>
            <w:shd w:val="clear" w:color="auto" w:fill="auto"/>
            <w:vAlign w:val="bottom"/>
            <w:hideMark/>
          </w:tcPr>
          <w:p w14:paraId="40411629"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1052" w:type="dxa"/>
            <w:gridSpan w:val="3"/>
            <w:tcBorders>
              <w:top w:val="nil"/>
              <w:left w:val="nil"/>
              <w:bottom w:val="nil"/>
              <w:right w:val="nil"/>
            </w:tcBorders>
            <w:shd w:val="clear" w:color="auto" w:fill="auto"/>
            <w:vAlign w:val="center"/>
            <w:hideMark/>
          </w:tcPr>
          <w:p w14:paraId="4041162A" w14:textId="77777777" w:rsidR="002809FB" w:rsidRPr="00F12E21" w:rsidRDefault="002809FB" w:rsidP="0049064A">
            <w:pPr>
              <w:keepNext/>
              <w:keepLines/>
              <w:rPr>
                <w:rFonts w:asciiTheme="minorHAnsi" w:hAnsiTheme="minorHAnsi" w:cstheme="minorHAnsi"/>
                <w:sz w:val="18"/>
                <w:szCs w:val="18"/>
                <w:lang w:val="es-ES" w:eastAsia="zh-CN"/>
              </w:rPr>
            </w:pPr>
          </w:p>
        </w:tc>
        <w:tc>
          <w:tcPr>
            <w:tcW w:w="362" w:type="dxa"/>
            <w:tcBorders>
              <w:top w:val="nil"/>
              <w:left w:val="nil"/>
              <w:bottom w:val="nil"/>
              <w:right w:val="nil"/>
            </w:tcBorders>
            <w:shd w:val="clear" w:color="auto" w:fill="auto"/>
            <w:vAlign w:val="center"/>
            <w:hideMark/>
          </w:tcPr>
          <w:p w14:paraId="4041162B"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850" w:type="dxa"/>
            <w:tcBorders>
              <w:top w:val="nil"/>
              <w:left w:val="nil"/>
              <w:bottom w:val="nil"/>
              <w:right w:val="nil"/>
            </w:tcBorders>
            <w:shd w:val="clear" w:color="auto" w:fill="auto"/>
            <w:vAlign w:val="center"/>
            <w:hideMark/>
          </w:tcPr>
          <w:p w14:paraId="4041162C" w14:textId="77777777" w:rsidR="002809FB" w:rsidRPr="00F12E21" w:rsidRDefault="002809FB" w:rsidP="0049064A">
            <w:pPr>
              <w:keepNext/>
              <w:keepLines/>
              <w:rPr>
                <w:rFonts w:asciiTheme="minorHAnsi" w:hAnsiTheme="minorHAnsi" w:cstheme="minorHAnsi"/>
                <w:sz w:val="18"/>
                <w:szCs w:val="18"/>
                <w:lang w:val="es-ES" w:eastAsia="zh-CN"/>
              </w:rPr>
            </w:pPr>
          </w:p>
        </w:tc>
        <w:tc>
          <w:tcPr>
            <w:tcW w:w="425" w:type="dxa"/>
            <w:tcBorders>
              <w:top w:val="nil"/>
              <w:left w:val="nil"/>
              <w:bottom w:val="nil"/>
              <w:right w:val="nil"/>
            </w:tcBorders>
            <w:shd w:val="clear" w:color="auto" w:fill="auto"/>
            <w:vAlign w:val="center"/>
            <w:hideMark/>
          </w:tcPr>
          <w:p w14:paraId="4041162D"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851" w:type="dxa"/>
            <w:tcBorders>
              <w:top w:val="nil"/>
              <w:left w:val="nil"/>
              <w:bottom w:val="nil"/>
              <w:right w:val="nil"/>
            </w:tcBorders>
            <w:shd w:val="clear" w:color="auto" w:fill="auto"/>
            <w:vAlign w:val="center"/>
            <w:hideMark/>
          </w:tcPr>
          <w:p w14:paraId="4041162E" w14:textId="77777777" w:rsidR="002809FB" w:rsidRPr="00F12E21" w:rsidRDefault="002809FB" w:rsidP="0049064A">
            <w:pPr>
              <w:keepNext/>
              <w:keepLines/>
              <w:jc w:val="right"/>
              <w:rPr>
                <w:rFonts w:asciiTheme="minorHAnsi" w:hAnsiTheme="minorHAnsi" w:cstheme="minorHAnsi"/>
                <w:sz w:val="18"/>
                <w:szCs w:val="18"/>
                <w:lang w:val="es-ES" w:eastAsia="zh-CN"/>
              </w:rPr>
            </w:pPr>
          </w:p>
        </w:tc>
      </w:tr>
      <w:tr w:rsidR="002809FB" w:rsidRPr="005978DF" w14:paraId="4041163B" w14:textId="77777777" w:rsidTr="0049064A">
        <w:trPr>
          <w:trHeight w:val="320"/>
          <w:jc w:val="center"/>
        </w:trPr>
        <w:tc>
          <w:tcPr>
            <w:tcW w:w="1770" w:type="dxa"/>
            <w:tcBorders>
              <w:top w:val="nil"/>
              <w:left w:val="nil"/>
              <w:bottom w:val="nil"/>
              <w:right w:val="nil"/>
            </w:tcBorders>
            <w:shd w:val="clear" w:color="auto" w:fill="auto"/>
            <w:vAlign w:val="center"/>
            <w:hideMark/>
          </w:tcPr>
          <w:p w14:paraId="40411630" w14:textId="77777777" w:rsidR="002809FB" w:rsidRPr="00F12E21" w:rsidRDefault="002809FB" w:rsidP="0049064A">
            <w:pPr>
              <w:keepNext/>
              <w:keepLines/>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RE</w:t>
            </w:r>
          </w:p>
        </w:tc>
        <w:tc>
          <w:tcPr>
            <w:tcW w:w="903" w:type="dxa"/>
            <w:tcBorders>
              <w:top w:val="nil"/>
              <w:left w:val="nil"/>
              <w:bottom w:val="nil"/>
              <w:right w:val="nil"/>
            </w:tcBorders>
            <w:shd w:val="clear" w:color="auto" w:fill="auto"/>
            <w:vAlign w:val="center"/>
            <w:hideMark/>
          </w:tcPr>
          <w:p w14:paraId="40411631" w14:textId="77777777" w:rsidR="002809FB" w:rsidRPr="00F12E21" w:rsidRDefault="002809FB" w:rsidP="0049064A">
            <w:pPr>
              <w:keepNext/>
              <w:keepLines/>
              <w:rPr>
                <w:rFonts w:asciiTheme="minorHAnsi" w:hAnsiTheme="minorHAnsi" w:cstheme="minorHAnsi"/>
                <w:color w:val="000000"/>
                <w:sz w:val="18"/>
                <w:szCs w:val="18"/>
                <w:lang w:val="es-ES" w:eastAsia="zh-CN"/>
              </w:rPr>
            </w:pPr>
          </w:p>
        </w:tc>
        <w:tc>
          <w:tcPr>
            <w:tcW w:w="361" w:type="dxa"/>
            <w:tcBorders>
              <w:top w:val="nil"/>
              <w:left w:val="nil"/>
              <w:bottom w:val="nil"/>
              <w:right w:val="nil"/>
            </w:tcBorders>
            <w:shd w:val="clear" w:color="auto" w:fill="auto"/>
            <w:vAlign w:val="center"/>
            <w:hideMark/>
          </w:tcPr>
          <w:p w14:paraId="40411632"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1141" w:type="dxa"/>
            <w:tcBorders>
              <w:top w:val="nil"/>
              <w:left w:val="nil"/>
              <w:bottom w:val="nil"/>
              <w:right w:val="nil"/>
            </w:tcBorders>
            <w:shd w:val="clear" w:color="auto" w:fill="auto"/>
            <w:vAlign w:val="center"/>
            <w:hideMark/>
          </w:tcPr>
          <w:p w14:paraId="40411633"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1181" w:type="dxa"/>
            <w:tcBorders>
              <w:top w:val="nil"/>
              <w:left w:val="nil"/>
              <w:bottom w:val="nil"/>
              <w:right w:val="nil"/>
            </w:tcBorders>
            <w:shd w:val="clear" w:color="auto" w:fill="auto"/>
            <w:vAlign w:val="center"/>
            <w:hideMark/>
          </w:tcPr>
          <w:p w14:paraId="40411634"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381" w:type="dxa"/>
            <w:tcBorders>
              <w:top w:val="nil"/>
              <w:left w:val="nil"/>
              <w:bottom w:val="nil"/>
              <w:right w:val="nil"/>
            </w:tcBorders>
            <w:shd w:val="clear" w:color="auto" w:fill="auto"/>
            <w:vAlign w:val="bottom"/>
            <w:hideMark/>
          </w:tcPr>
          <w:p w14:paraId="40411635" w14:textId="77777777" w:rsidR="002809FB" w:rsidRPr="00F12E21" w:rsidRDefault="002809FB" w:rsidP="0049064A">
            <w:pPr>
              <w:keepNext/>
              <w:keepLines/>
              <w:jc w:val="right"/>
              <w:rPr>
                <w:rFonts w:asciiTheme="minorHAnsi" w:hAnsiTheme="minorHAnsi" w:cstheme="minorHAnsi"/>
                <w:sz w:val="18"/>
                <w:szCs w:val="18"/>
                <w:lang w:val="es-ES" w:eastAsia="zh-CN"/>
              </w:rPr>
            </w:pPr>
          </w:p>
        </w:tc>
        <w:tc>
          <w:tcPr>
            <w:tcW w:w="1052" w:type="dxa"/>
            <w:gridSpan w:val="3"/>
            <w:tcBorders>
              <w:top w:val="nil"/>
              <w:left w:val="nil"/>
              <w:bottom w:val="nil"/>
              <w:right w:val="nil"/>
            </w:tcBorders>
            <w:shd w:val="clear" w:color="auto" w:fill="auto"/>
            <w:vAlign w:val="center"/>
            <w:hideMark/>
          </w:tcPr>
          <w:p w14:paraId="40411636"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2</w:t>
            </w:r>
          </w:p>
        </w:tc>
        <w:tc>
          <w:tcPr>
            <w:tcW w:w="362" w:type="dxa"/>
            <w:tcBorders>
              <w:top w:val="nil"/>
              <w:left w:val="nil"/>
              <w:bottom w:val="nil"/>
              <w:right w:val="nil"/>
            </w:tcBorders>
            <w:shd w:val="clear" w:color="auto" w:fill="auto"/>
            <w:vAlign w:val="center"/>
            <w:hideMark/>
          </w:tcPr>
          <w:p w14:paraId="40411637" w14:textId="77777777" w:rsidR="002809FB" w:rsidRPr="00F12E21" w:rsidRDefault="002809FB" w:rsidP="0049064A">
            <w:pPr>
              <w:keepNext/>
              <w:keepLines/>
              <w:rPr>
                <w:rFonts w:asciiTheme="minorHAnsi" w:hAnsiTheme="minorHAnsi" w:cstheme="minorHAnsi"/>
                <w:color w:val="000000"/>
                <w:sz w:val="16"/>
                <w:szCs w:val="16"/>
                <w:lang w:val="es-ES"/>
              </w:rPr>
            </w:pPr>
            <w:r w:rsidRPr="00F12E21">
              <w:rPr>
                <w:rFonts w:asciiTheme="minorHAnsi" w:hAnsiTheme="minorHAnsi" w:cstheme="minorHAnsi"/>
                <w:color w:val="000000"/>
                <w:sz w:val="16"/>
                <w:szCs w:val="16"/>
                <w:lang w:val="es-ES"/>
              </w:rPr>
              <w:t>c/</w:t>
            </w:r>
          </w:p>
        </w:tc>
        <w:tc>
          <w:tcPr>
            <w:tcW w:w="850" w:type="dxa"/>
            <w:tcBorders>
              <w:top w:val="nil"/>
              <w:left w:val="nil"/>
              <w:bottom w:val="nil"/>
              <w:right w:val="nil"/>
            </w:tcBorders>
            <w:shd w:val="clear" w:color="auto" w:fill="auto"/>
            <w:vAlign w:val="center"/>
            <w:hideMark/>
          </w:tcPr>
          <w:p w14:paraId="40411638"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3</w:t>
            </w:r>
          </w:p>
        </w:tc>
        <w:tc>
          <w:tcPr>
            <w:tcW w:w="425" w:type="dxa"/>
            <w:tcBorders>
              <w:top w:val="nil"/>
              <w:left w:val="nil"/>
              <w:bottom w:val="nil"/>
              <w:right w:val="nil"/>
            </w:tcBorders>
            <w:shd w:val="clear" w:color="auto" w:fill="auto"/>
            <w:vAlign w:val="center"/>
            <w:hideMark/>
          </w:tcPr>
          <w:p w14:paraId="40411639" w14:textId="77777777" w:rsidR="002809FB" w:rsidRPr="00F12E21" w:rsidRDefault="002809FB" w:rsidP="0049064A">
            <w:pPr>
              <w:keepNext/>
              <w:keepLines/>
              <w:rPr>
                <w:rFonts w:asciiTheme="minorHAnsi" w:hAnsiTheme="minorHAnsi" w:cstheme="minorHAnsi"/>
                <w:color w:val="000000"/>
                <w:sz w:val="16"/>
                <w:szCs w:val="16"/>
                <w:lang w:val="es-ES"/>
              </w:rPr>
            </w:pPr>
            <w:r w:rsidRPr="00F12E21">
              <w:rPr>
                <w:rFonts w:asciiTheme="minorHAnsi" w:hAnsiTheme="minorHAnsi" w:cstheme="minorHAnsi"/>
                <w:color w:val="000000"/>
                <w:sz w:val="16"/>
                <w:szCs w:val="16"/>
                <w:lang w:val="es-ES"/>
              </w:rPr>
              <w:t>c/</w:t>
            </w:r>
          </w:p>
        </w:tc>
        <w:tc>
          <w:tcPr>
            <w:tcW w:w="851" w:type="dxa"/>
            <w:tcBorders>
              <w:top w:val="nil"/>
              <w:left w:val="nil"/>
              <w:bottom w:val="nil"/>
              <w:right w:val="nil"/>
            </w:tcBorders>
            <w:shd w:val="clear" w:color="auto" w:fill="auto"/>
            <w:vAlign w:val="center"/>
            <w:hideMark/>
          </w:tcPr>
          <w:p w14:paraId="4041163A" w14:textId="77777777" w:rsidR="002809FB" w:rsidRPr="00F12E21" w:rsidRDefault="002809FB" w:rsidP="0049064A">
            <w:pPr>
              <w:keepNext/>
              <w:keepLines/>
              <w:jc w:val="right"/>
              <w:rPr>
                <w:rFonts w:asciiTheme="minorHAnsi" w:hAnsiTheme="minorHAnsi" w:cstheme="minorHAnsi"/>
                <w:color w:val="000000"/>
                <w:sz w:val="18"/>
                <w:szCs w:val="18"/>
                <w:lang w:val="es-ES"/>
              </w:rPr>
            </w:pPr>
            <w:r w:rsidRPr="00F12E21">
              <w:rPr>
                <w:rFonts w:asciiTheme="minorHAnsi" w:hAnsiTheme="minorHAnsi" w:cstheme="minorHAnsi"/>
                <w:color w:val="000000"/>
                <w:sz w:val="18"/>
                <w:szCs w:val="18"/>
                <w:lang w:val="es-ES"/>
              </w:rPr>
              <w:t>2</w:t>
            </w:r>
          </w:p>
        </w:tc>
      </w:tr>
      <w:tr w:rsidR="002809FB" w:rsidRPr="005978DF" w14:paraId="40411647" w14:textId="77777777" w:rsidTr="0049064A">
        <w:trPr>
          <w:trHeight w:val="300"/>
          <w:jc w:val="center"/>
        </w:trPr>
        <w:tc>
          <w:tcPr>
            <w:tcW w:w="1770" w:type="dxa"/>
            <w:tcBorders>
              <w:top w:val="single" w:sz="8" w:space="0" w:color="auto"/>
              <w:left w:val="nil"/>
              <w:bottom w:val="single" w:sz="8" w:space="0" w:color="auto"/>
              <w:right w:val="nil"/>
            </w:tcBorders>
            <w:shd w:val="clear" w:color="auto" w:fill="auto"/>
            <w:vAlign w:val="center"/>
            <w:hideMark/>
          </w:tcPr>
          <w:p w14:paraId="4041163C" w14:textId="77777777" w:rsidR="002809FB" w:rsidRPr="00F12E21" w:rsidRDefault="002809FB" w:rsidP="0049064A">
            <w:pPr>
              <w:keepNext/>
              <w:keepLines/>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xml:space="preserve">Total </w:t>
            </w:r>
          </w:p>
        </w:tc>
        <w:tc>
          <w:tcPr>
            <w:tcW w:w="903" w:type="dxa"/>
            <w:tcBorders>
              <w:top w:val="single" w:sz="8" w:space="0" w:color="auto"/>
              <w:left w:val="nil"/>
              <w:bottom w:val="single" w:sz="8" w:space="0" w:color="auto"/>
              <w:right w:val="nil"/>
            </w:tcBorders>
            <w:shd w:val="clear" w:color="auto" w:fill="auto"/>
            <w:vAlign w:val="center"/>
            <w:hideMark/>
          </w:tcPr>
          <w:p w14:paraId="4041163D"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8 455,2</w:t>
            </w:r>
          </w:p>
        </w:tc>
        <w:tc>
          <w:tcPr>
            <w:tcW w:w="361" w:type="dxa"/>
            <w:tcBorders>
              <w:top w:val="single" w:sz="8" w:space="0" w:color="auto"/>
              <w:left w:val="nil"/>
              <w:bottom w:val="single" w:sz="8" w:space="0" w:color="auto"/>
              <w:right w:val="nil"/>
            </w:tcBorders>
            <w:shd w:val="clear" w:color="auto" w:fill="auto"/>
            <w:vAlign w:val="center"/>
            <w:hideMark/>
          </w:tcPr>
          <w:p w14:paraId="4041163E"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1141" w:type="dxa"/>
            <w:tcBorders>
              <w:top w:val="single" w:sz="8" w:space="0" w:color="auto"/>
              <w:left w:val="nil"/>
              <w:bottom w:val="single" w:sz="8" w:space="0" w:color="auto"/>
              <w:right w:val="nil"/>
            </w:tcBorders>
            <w:shd w:val="clear" w:color="auto" w:fill="auto"/>
            <w:vAlign w:val="center"/>
            <w:hideMark/>
          </w:tcPr>
          <w:p w14:paraId="4041163F"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7 048,8</w:t>
            </w:r>
          </w:p>
        </w:tc>
        <w:tc>
          <w:tcPr>
            <w:tcW w:w="1181" w:type="dxa"/>
            <w:tcBorders>
              <w:top w:val="single" w:sz="8" w:space="0" w:color="auto"/>
              <w:left w:val="nil"/>
              <w:bottom w:val="single" w:sz="8" w:space="0" w:color="auto"/>
              <w:right w:val="nil"/>
            </w:tcBorders>
            <w:shd w:val="clear" w:color="auto" w:fill="auto"/>
            <w:vAlign w:val="center"/>
            <w:hideMark/>
          </w:tcPr>
          <w:p w14:paraId="40411640"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7 048,8</w:t>
            </w:r>
          </w:p>
        </w:tc>
        <w:tc>
          <w:tcPr>
            <w:tcW w:w="381" w:type="dxa"/>
            <w:tcBorders>
              <w:top w:val="single" w:sz="8" w:space="0" w:color="auto"/>
              <w:left w:val="nil"/>
              <w:bottom w:val="single" w:sz="8" w:space="0" w:color="auto"/>
              <w:right w:val="nil"/>
            </w:tcBorders>
            <w:shd w:val="clear" w:color="auto" w:fill="auto"/>
            <w:vAlign w:val="center"/>
            <w:hideMark/>
          </w:tcPr>
          <w:p w14:paraId="40411641" w14:textId="77777777" w:rsidR="002809FB" w:rsidRPr="00F12E21" w:rsidRDefault="002809FB" w:rsidP="0049064A">
            <w:pPr>
              <w:keepNext/>
              <w:keepLines/>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1052" w:type="dxa"/>
            <w:gridSpan w:val="3"/>
            <w:tcBorders>
              <w:top w:val="single" w:sz="8" w:space="0" w:color="auto"/>
              <w:left w:val="nil"/>
              <w:bottom w:val="single" w:sz="8" w:space="0" w:color="auto"/>
              <w:right w:val="nil"/>
            </w:tcBorders>
            <w:shd w:val="clear" w:color="auto" w:fill="auto"/>
            <w:vAlign w:val="center"/>
            <w:hideMark/>
          </w:tcPr>
          <w:p w14:paraId="40411642"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25</w:t>
            </w:r>
          </w:p>
        </w:tc>
        <w:tc>
          <w:tcPr>
            <w:tcW w:w="362" w:type="dxa"/>
            <w:tcBorders>
              <w:top w:val="single" w:sz="8" w:space="0" w:color="auto"/>
              <w:left w:val="nil"/>
              <w:bottom w:val="single" w:sz="8" w:space="0" w:color="auto"/>
              <w:right w:val="nil"/>
            </w:tcBorders>
            <w:shd w:val="clear" w:color="auto" w:fill="auto"/>
            <w:vAlign w:val="center"/>
            <w:hideMark/>
          </w:tcPr>
          <w:p w14:paraId="40411643" w14:textId="77777777" w:rsidR="002809FB" w:rsidRPr="00F12E21" w:rsidRDefault="002809FB" w:rsidP="0049064A">
            <w:pPr>
              <w:keepNext/>
              <w:keepLines/>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850" w:type="dxa"/>
            <w:tcBorders>
              <w:top w:val="single" w:sz="8" w:space="0" w:color="auto"/>
              <w:left w:val="nil"/>
              <w:bottom w:val="single" w:sz="8" w:space="0" w:color="auto"/>
              <w:right w:val="nil"/>
            </w:tcBorders>
            <w:shd w:val="clear" w:color="auto" w:fill="auto"/>
            <w:vAlign w:val="center"/>
            <w:hideMark/>
          </w:tcPr>
          <w:p w14:paraId="40411644"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26</w:t>
            </w:r>
          </w:p>
        </w:tc>
        <w:tc>
          <w:tcPr>
            <w:tcW w:w="425" w:type="dxa"/>
            <w:tcBorders>
              <w:top w:val="single" w:sz="8" w:space="0" w:color="auto"/>
              <w:left w:val="nil"/>
              <w:bottom w:val="single" w:sz="8" w:space="0" w:color="auto"/>
              <w:right w:val="nil"/>
            </w:tcBorders>
            <w:shd w:val="clear" w:color="auto" w:fill="auto"/>
            <w:vAlign w:val="center"/>
            <w:hideMark/>
          </w:tcPr>
          <w:p w14:paraId="40411645"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 </w:t>
            </w:r>
          </w:p>
        </w:tc>
        <w:tc>
          <w:tcPr>
            <w:tcW w:w="851" w:type="dxa"/>
            <w:tcBorders>
              <w:top w:val="single" w:sz="8" w:space="0" w:color="auto"/>
              <w:left w:val="nil"/>
              <w:bottom w:val="single" w:sz="8" w:space="0" w:color="auto"/>
              <w:right w:val="nil"/>
            </w:tcBorders>
            <w:shd w:val="clear" w:color="auto" w:fill="auto"/>
            <w:vAlign w:val="center"/>
            <w:hideMark/>
          </w:tcPr>
          <w:p w14:paraId="40411646" w14:textId="77777777" w:rsidR="002809FB" w:rsidRPr="00F12E21" w:rsidRDefault="002809FB" w:rsidP="0049064A">
            <w:pPr>
              <w:keepNext/>
              <w:keepLines/>
              <w:jc w:val="right"/>
              <w:rPr>
                <w:rFonts w:asciiTheme="minorHAnsi" w:hAnsiTheme="minorHAnsi" w:cstheme="minorHAnsi"/>
                <w:b/>
                <w:bCs/>
                <w:color w:val="000000"/>
                <w:sz w:val="18"/>
                <w:szCs w:val="18"/>
                <w:lang w:val="es-ES"/>
              </w:rPr>
            </w:pPr>
            <w:r w:rsidRPr="00F12E21">
              <w:rPr>
                <w:rFonts w:asciiTheme="minorHAnsi" w:hAnsiTheme="minorHAnsi" w:cstheme="minorHAnsi"/>
                <w:b/>
                <w:bCs/>
                <w:color w:val="000000"/>
                <w:sz w:val="18"/>
                <w:szCs w:val="18"/>
                <w:lang w:val="es-ES"/>
              </w:rPr>
              <w:t>25,5</w:t>
            </w:r>
          </w:p>
        </w:tc>
      </w:tr>
      <w:tr w:rsidR="002809FB" w:rsidRPr="006A6E89" w14:paraId="40411649" w14:textId="77777777" w:rsidTr="0049064A">
        <w:trPr>
          <w:trHeight w:val="290"/>
          <w:jc w:val="center"/>
        </w:trPr>
        <w:tc>
          <w:tcPr>
            <w:tcW w:w="9277" w:type="dxa"/>
            <w:gridSpan w:val="13"/>
            <w:tcBorders>
              <w:top w:val="nil"/>
              <w:left w:val="nil"/>
              <w:bottom w:val="nil"/>
              <w:right w:val="nil"/>
            </w:tcBorders>
            <w:shd w:val="clear" w:color="auto" w:fill="auto"/>
            <w:vAlign w:val="center"/>
            <w:hideMark/>
          </w:tcPr>
          <w:p w14:paraId="40411648" w14:textId="77777777" w:rsidR="002809FB" w:rsidRPr="00F12E21" w:rsidRDefault="002809FB" w:rsidP="00BD713C">
            <w:pPr>
              <w:keepNext/>
              <w:keepLines/>
              <w:rPr>
                <w:rFonts w:asciiTheme="minorHAnsi" w:hAnsiTheme="minorHAnsi" w:cstheme="minorHAnsi"/>
                <w:color w:val="000000"/>
                <w:sz w:val="16"/>
                <w:szCs w:val="16"/>
                <w:lang w:val="es-ES"/>
              </w:rPr>
            </w:pPr>
            <w:r w:rsidRPr="00F12E21">
              <w:rPr>
                <w:rFonts w:asciiTheme="minorHAnsi" w:hAnsiTheme="minorHAnsi" w:cstheme="minorHAnsi"/>
                <w:color w:val="000000"/>
                <w:sz w:val="16"/>
                <w:szCs w:val="16"/>
                <w:lang w:val="es-ES"/>
              </w:rPr>
              <w:t>a</w:t>
            </w:r>
            <w:r w:rsidRPr="00F12E21">
              <w:rPr>
                <w:rFonts w:asciiTheme="minorHAnsi" w:hAnsiTheme="minorHAnsi" w:cstheme="minorHAnsi"/>
                <w:color w:val="000000"/>
                <w:spacing w:val="-2"/>
                <w:sz w:val="16"/>
                <w:szCs w:val="16"/>
                <w:lang w:val="es-ES"/>
              </w:rPr>
              <w:t xml:space="preserve">/ </w:t>
            </w:r>
            <w:r w:rsidR="00BD713C">
              <w:rPr>
                <w:rFonts w:asciiTheme="minorHAnsi" w:hAnsiTheme="minorHAnsi" w:cstheme="minorHAnsi"/>
                <w:color w:val="000000"/>
                <w:spacing w:val="-2"/>
                <w:sz w:val="16"/>
                <w:szCs w:val="16"/>
                <w:lang w:val="es-ES"/>
              </w:rPr>
              <w:t>I</w:t>
            </w:r>
            <w:r w:rsidRPr="00F12E21">
              <w:rPr>
                <w:rFonts w:asciiTheme="minorHAnsi" w:hAnsiTheme="minorHAnsi" w:cstheme="minorHAnsi"/>
                <w:color w:val="000000"/>
                <w:spacing w:val="-2"/>
                <w:sz w:val="16"/>
                <w:szCs w:val="16"/>
                <w:lang w:val="es-ES"/>
              </w:rPr>
              <w:t xml:space="preserve">ncluye reuniones extraordinarias sobre el marco mundial de la diversidad biológica posterior a 2020 y la traducción del sitio web del </w:t>
            </w:r>
            <w:r w:rsidR="00BD713C" w:rsidRPr="00BD713C">
              <w:rPr>
                <w:rFonts w:asciiTheme="minorHAnsi" w:hAnsiTheme="minorHAnsi" w:cstheme="minorHAnsi"/>
                <w:color w:val="000000"/>
                <w:spacing w:val="-2"/>
                <w:sz w:val="16"/>
                <w:szCs w:val="16"/>
                <w:lang w:val="es-ES"/>
              </w:rPr>
              <w:t>centro de intercambio de información</w:t>
            </w:r>
          </w:p>
        </w:tc>
      </w:tr>
      <w:tr w:rsidR="002809FB" w:rsidRPr="006A6E89" w14:paraId="4041164B" w14:textId="77777777" w:rsidTr="0049064A">
        <w:trPr>
          <w:trHeight w:val="290"/>
          <w:jc w:val="center"/>
        </w:trPr>
        <w:tc>
          <w:tcPr>
            <w:tcW w:w="9277" w:type="dxa"/>
            <w:gridSpan w:val="13"/>
            <w:tcBorders>
              <w:top w:val="nil"/>
              <w:left w:val="nil"/>
              <w:bottom w:val="nil"/>
              <w:right w:val="nil"/>
            </w:tcBorders>
            <w:shd w:val="clear" w:color="auto" w:fill="auto"/>
            <w:vAlign w:val="center"/>
            <w:hideMark/>
          </w:tcPr>
          <w:p w14:paraId="4041164A" w14:textId="77777777" w:rsidR="002809FB" w:rsidRPr="00F12E21" w:rsidRDefault="002809FB" w:rsidP="00BD713C">
            <w:pPr>
              <w:keepNext/>
              <w:keepLines/>
              <w:rPr>
                <w:rFonts w:asciiTheme="minorHAnsi" w:hAnsiTheme="minorHAnsi" w:cstheme="minorHAnsi"/>
                <w:color w:val="000000"/>
                <w:sz w:val="16"/>
                <w:szCs w:val="16"/>
                <w:lang w:val="es-ES"/>
              </w:rPr>
            </w:pPr>
            <w:proofErr w:type="spellStart"/>
            <w:r w:rsidRPr="00F12E21">
              <w:rPr>
                <w:rFonts w:asciiTheme="minorHAnsi" w:hAnsiTheme="minorHAnsi" w:cstheme="minorHAnsi"/>
                <w:color w:val="000000"/>
                <w:sz w:val="16"/>
                <w:szCs w:val="16"/>
                <w:lang w:val="es-ES"/>
              </w:rPr>
              <w:t>b/</w:t>
            </w:r>
            <w:proofErr w:type="spellEnd"/>
            <w:r w:rsidRPr="00F12E21">
              <w:rPr>
                <w:rFonts w:asciiTheme="minorHAnsi" w:hAnsiTheme="minorHAnsi" w:cstheme="minorHAnsi"/>
                <w:color w:val="000000"/>
                <w:sz w:val="16"/>
                <w:szCs w:val="16"/>
                <w:lang w:val="es-ES"/>
              </w:rPr>
              <w:t xml:space="preserve"> </w:t>
            </w:r>
            <w:r w:rsidR="00BD713C">
              <w:rPr>
                <w:rFonts w:asciiTheme="minorHAnsi" w:hAnsiTheme="minorHAnsi" w:cstheme="minorHAnsi"/>
                <w:color w:val="000000"/>
                <w:sz w:val="16"/>
                <w:szCs w:val="16"/>
                <w:lang w:val="es-ES"/>
              </w:rPr>
              <w:t>I</w:t>
            </w:r>
            <w:r w:rsidRPr="00F12E21">
              <w:rPr>
                <w:rFonts w:asciiTheme="minorHAnsi" w:hAnsiTheme="minorHAnsi" w:cstheme="minorHAnsi"/>
                <w:color w:val="000000"/>
                <w:sz w:val="16"/>
                <w:szCs w:val="16"/>
                <w:lang w:val="es-ES"/>
              </w:rPr>
              <w:t xml:space="preserve">ncluye viajes (100 000 dólares) y la traducción del sitio web del </w:t>
            </w:r>
            <w:r w:rsidR="00BD713C" w:rsidRPr="00BD713C">
              <w:rPr>
                <w:rFonts w:asciiTheme="minorHAnsi" w:hAnsiTheme="minorHAnsi" w:cstheme="minorHAnsi"/>
                <w:color w:val="000000"/>
                <w:sz w:val="16"/>
                <w:szCs w:val="16"/>
                <w:lang w:val="es-ES"/>
              </w:rPr>
              <w:t xml:space="preserve">centro de intercambio de información </w:t>
            </w:r>
            <w:r w:rsidRPr="00F12E21">
              <w:rPr>
                <w:rFonts w:asciiTheme="minorHAnsi" w:hAnsiTheme="minorHAnsi" w:cstheme="minorHAnsi"/>
                <w:color w:val="000000"/>
                <w:sz w:val="16"/>
                <w:szCs w:val="16"/>
                <w:lang w:val="es-ES"/>
              </w:rPr>
              <w:t>(130 000 dólares) y 2 informes (250 000 dólares)</w:t>
            </w:r>
          </w:p>
        </w:tc>
      </w:tr>
    </w:tbl>
    <w:p w14:paraId="4041164C"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Los recursos no relacionados con puestos prevén los viajes del personal (100</w:t>
      </w:r>
      <w:r w:rsidR="003753E4">
        <w:rPr>
          <w:sz w:val="22"/>
          <w:szCs w:val="22"/>
          <w:lang w:val="es-ES"/>
        </w:rPr>
        <w:t> </w:t>
      </w:r>
      <w:r w:rsidRPr="005978DF">
        <w:rPr>
          <w:sz w:val="22"/>
          <w:szCs w:val="22"/>
          <w:lang w:val="es-ES"/>
        </w:rPr>
        <w:t>000 dólares), teniendo en cuenta que en el futuro algunos viajes se sustituirán por una participación virtual e híbrida en la medida de lo posible. Esta estimación de costos se basa en el patrón de gastos real para el bienio 2019-2020. Además, se han previsto 130</w:t>
      </w:r>
      <w:r w:rsidR="003753E4">
        <w:rPr>
          <w:sz w:val="22"/>
          <w:szCs w:val="22"/>
          <w:lang w:val="es-ES"/>
        </w:rPr>
        <w:t> </w:t>
      </w:r>
      <w:r w:rsidRPr="005978DF">
        <w:rPr>
          <w:sz w:val="22"/>
          <w:szCs w:val="22"/>
          <w:lang w:val="es-ES"/>
        </w:rPr>
        <w:t>000</w:t>
      </w:r>
      <w:r w:rsidR="003753E4">
        <w:rPr>
          <w:sz w:val="22"/>
          <w:szCs w:val="22"/>
          <w:lang w:val="es-ES"/>
        </w:rPr>
        <w:t> </w:t>
      </w:r>
      <w:r w:rsidRPr="005978DF">
        <w:rPr>
          <w:sz w:val="22"/>
          <w:szCs w:val="22"/>
          <w:lang w:val="es-ES"/>
        </w:rPr>
        <w:t>dólares para la trad</w:t>
      </w:r>
      <w:r w:rsidR="00F12E21">
        <w:rPr>
          <w:sz w:val="22"/>
          <w:szCs w:val="22"/>
          <w:lang w:val="es-ES"/>
        </w:rPr>
        <w:t xml:space="preserve">ucción del sitio web del </w:t>
      </w:r>
      <w:r w:rsidR="00BD713C">
        <w:rPr>
          <w:sz w:val="22"/>
          <w:szCs w:val="22"/>
          <w:lang w:val="es-ES"/>
        </w:rPr>
        <w:t>centro de intercambio de información</w:t>
      </w:r>
      <w:r w:rsidR="00F12E21">
        <w:rPr>
          <w:sz w:val="22"/>
          <w:szCs w:val="22"/>
          <w:lang w:val="es-ES"/>
        </w:rPr>
        <w:t>.</w:t>
      </w:r>
    </w:p>
    <w:p w14:paraId="4041164D" w14:textId="77777777" w:rsidR="002809FB" w:rsidRPr="005978DF" w:rsidRDefault="00F12E21" w:rsidP="002809FB">
      <w:pPr>
        <w:pStyle w:val="Heading2"/>
        <w:rPr>
          <w:b w:val="0"/>
          <w:bCs w:val="0"/>
          <w:iCs/>
          <w:lang w:val="es-ES"/>
        </w:rPr>
      </w:pPr>
      <w:r>
        <w:rPr>
          <w:lang w:val="es-ES"/>
        </w:rPr>
        <w:t>D. Apoyo administrativo</w:t>
      </w:r>
    </w:p>
    <w:p w14:paraId="4041164E" w14:textId="77777777" w:rsidR="002809FB" w:rsidRPr="005978DF" w:rsidRDefault="002809FB" w:rsidP="002809F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448" w:right="1259"/>
        <w:jc w:val="center"/>
        <w:outlineLvl w:val="9"/>
        <w:rPr>
          <w:lang w:val="es-ES"/>
        </w:rPr>
      </w:pPr>
      <w:r w:rsidRPr="005978DF">
        <w:rPr>
          <w:b w:val="0"/>
          <w:i/>
          <w:iCs/>
          <w:sz w:val="22"/>
          <w:szCs w:val="22"/>
          <w:lang w:val="es-ES"/>
        </w:rPr>
        <w:t>Asignación de recursos (presupuesto básico): 6 028 600 dólares (hipótesis 1)</w:t>
      </w:r>
    </w:p>
    <w:p w14:paraId="4041164F"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El apoyo a los programas de la Secretaría corresponde a la División de Administración, Finanzas y Servicios Comerciales (AFC), que se encarga de la gestión de fondos, los servicios financieros y el apoyo logístico y de otro tipo, además de prestar apoyo administrativo y de recursos humanos eficiente a la Secretaría del Convenio y sus Protocolos, según la reglamentación de las Naciones Unidas y conforme a las orientaciones de las Partes.</w:t>
      </w:r>
    </w:p>
    <w:p w14:paraId="40411650"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color w:val="000000" w:themeColor="text1"/>
          <w:sz w:val="22"/>
          <w:szCs w:val="22"/>
          <w:lang w:val="es-ES"/>
        </w:rPr>
        <w:t>La División comprende las siguientes dependencias:</w:t>
      </w:r>
    </w:p>
    <w:p w14:paraId="40411651" w14:textId="77777777" w:rsidR="002809FB" w:rsidRPr="005978DF" w:rsidRDefault="002809FB" w:rsidP="00F12E21">
      <w:pPr>
        <w:numPr>
          <w:ilvl w:val="1"/>
          <w:numId w:val="49"/>
        </w:numPr>
        <w:tabs>
          <w:tab w:val="left" w:pos="1418"/>
          <w:tab w:val="left" w:pos="2693"/>
          <w:tab w:val="left" w:pos="3182"/>
          <w:tab w:val="left" w:pos="3658"/>
          <w:tab w:val="left" w:pos="4133"/>
          <w:tab w:val="left" w:pos="4622"/>
          <w:tab w:val="left" w:pos="5098"/>
          <w:tab w:val="left" w:pos="5573"/>
          <w:tab w:val="left" w:pos="6048"/>
        </w:tabs>
        <w:spacing w:before="120" w:after="120"/>
        <w:ind w:left="0" w:firstLine="706"/>
        <w:jc w:val="both"/>
        <w:rPr>
          <w:rFonts w:eastAsiaTheme="minorEastAsia"/>
          <w:color w:val="000000" w:themeColor="text1"/>
          <w:sz w:val="22"/>
          <w:szCs w:val="22"/>
          <w:lang w:val="es-ES"/>
        </w:rPr>
      </w:pPr>
      <w:r w:rsidRPr="005978DF">
        <w:rPr>
          <w:color w:val="000000" w:themeColor="text1"/>
          <w:sz w:val="22"/>
          <w:szCs w:val="22"/>
          <w:lang w:val="es-ES"/>
        </w:rPr>
        <w:t xml:space="preserve">La </w:t>
      </w:r>
      <w:r w:rsidRPr="005978DF">
        <w:rPr>
          <w:b/>
          <w:bCs/>
          <w:color w:val="000000" w:themeColor="text1"/>
          <w:sz w:val="22"/>
          <w:szCs w:val="22"/>
          <w:lang w:val="es-ES"/>
        </w:rPr>
        <w:t>Dependencia de Presupuesto y Finanzas</w:t>
      </w:r>
      <w:r w:rsidRPr="005978DF">
        <w:rPr>
          <w:color w:val="000000" w:themeColor="text1"/>
          <w:sz w:val="22"/>
          <w:szCs w:val="22"/>
          <w:lang w:val="es-ES"/>
        </w:rPr>
        <w:t>, que vela por el cumplimiento del Reglamento Financiero y Reglamentación Financiera Detallada de las Naciones Unidas y de las directrices financieras emitidas por la Oficina de las Naciones Unidas en Nairobi y la Contraloría de las Naciones Unidas en lo referente a los gastos y el registro de los gastos de los fondos administrados por la Secretaría. Asiste en la preparación de los presupuestos bienales de los fondos fiduciarios gestionados por la Secretaría de la Conferencia de las Partes, supervisa los recursos de la Secretaría y su uso efectivo de acuerdo con el programa aprobado, incluidos los arreglos de viaje del personal y los participantes. La dependencia también garantiza que las cuentas de la Secretaría se ajusten a las Normas Internacionales de Contabilidad del Sector Público (IPSAS) y se reflejen con exactitud en Umoja;</w:t>
      </w:r>
    </w:p>
    <w:p w14:paraId="40411652" w14:textId="77777777" w:rsidR="002809FB" w:rsidRPr="005978DF" w:rsidRDefault="002809FB" w:rsidP="00F12E21">
      <w:pPr>
        <w:numPr>
          <w:ilvl w:val="1"/>
          <w:numId w:val="49"/>
        </w:numPr>
        <w:tabs>
          <w:tab w:val="left" w:pos="1418"/>
          <w:tab w:val="left" w:pos="2693"/>
          <w:tab w:val="left" w:pos="3182"/>
          <w:tab w:val="left" w:pos="3658"/>
          <w:tab w:val="left" w:pos="4133"/>
          <w:tab w:val="left" w:pos="4622"/>
          <w:tab w:val="left" w:pos="5098"/>
          <w:tab w:val="left" w:pos="5573"/>
          <w:tab w:val="left" w:pos="6048"/>
        </w:tabs>
        <w:spacing w:before="120" w:after="120"/>
        <w:ind w:left="0" w:firstLine="706"/>
        <w:jc w:val="both"/>
        <w:rPr>
          <w:color w:val="000000" w:themeColor="text1"/>
          <w:sz w:val="22"/>
          <w:szCs w:val="22"/>
          <w:lang w:val="es-ES"/>
        </w:rPr>
      </w:pPr>
      <w:r w:rsidRPr="005978DF">
        <w:rPr>
          <w:color w:val="000000" w:themeColor="text1"/>
          <w:sz w:val="22"/>
          <w:szCs w:val="22"/>
          <w:lang w:val="es-ES"/>
        </w:rPr>
        <w:t xml:space="preserve">La </w:t>
      </w:r>
      <w:r w:rsidRPr="005978DF">
        <w:rPr>
          <w:b/>
          <w:bCs/>
          <w:color w:val="000000" w:themeColor="text1"/>
          <w:sz w:val="22"/>
          <w:szCs w:val="22"/>
          <w:lang w:val="es-ES"/>
        </w:rPr>
        <w:t>Dependencia de Recursos Humanos y Administración</w:t>
      </w:r>
      <w:r w:rsidRPr="005978DF">
        <w:rPr>
          <w:color w:val="000000" w:themeColor="text1"/>
          <w:sz w:val="22"/>
          <w:szCs w:val="22"/>
          <w:lang w:val="es-ES"/>
        </w:rPr>
        <w:t xml:space="preserve"> presta apoyo administrativo y de personal a la plantilla de la Secretaría mediante la interpretación y aplicación del estatuto y reglamento del personal, las acciones necesarias en Umoja e Inspira y la prestación de orientación al personal en relación con todas las cuestiones de recursos humanos, incluida la formación;</w:t>
      </w:r>
    </w:p>
    <w:p w14:paraId="40411653" w14:textId="77777777" w:rsidR="002809FB" w:rsidRPr="005978DF" w:rsidRDefault="002809FB" w:rsidP="00F12E21">
      <w:pPr>
        <w:numPr>
          <w:ilvl w:val="1"/>
          <w:numId w:val="49"/>
        </w:numPr>
        <w:tabs>
          <w:tab w:val="left" w:pos="1418"/>
          <w:tab w:val="left" w:pos="2693"/>
          <w:tab w:val="left" w:pos="3182"/>
          <w:tab w:val="left" w:pos="3658"/>
          <w:tab w:val="left" w:pos="4133"/>
          <w:tab w:val="left" w:pos="4622"/>
          <w:tab w:val="left" w:pos="5098"/>
          <w:tab w:val="left" w:pos="5573"/>
          <w:tab w:val="left" w:pos="6048"/>
        </w:tabs>
        <w:spacing w:before="120" w:after="120"/>
        <w:ind w:left="0" w:firstLine="706"/>
        <w:jc w:val="both"/>
        <w:rPr>
          <w:color w:val="000000" w:themeColor="text1"/>
          <w:sz w:val="22"/>
          <w:szCs w:val="22"/>
          <w:lang w:val="es-ES"/>
        </w:rPr>
      </w:pPr>
      <w:r w:rsidRPr="005978DF">
        <w:rPr>
          <w:color w:val="000000" w:themeColor="text1"/>
          <w:sz w:val="22"/>
          <w:szCs w:val="22"/>
          <w:lang w:val="es-ES"/>
        </w:rPr>
        <w:t xml:space="preserve">El </w:t>
      </w:r>
      <w:r w:rsidRPr="005978DF">
        <w:rPr>
          <w:b/>
          <w:bCs/>
          <w:color w:val="000000" w:themeColor="text1"/>
          <w:sz w:val="22"/>
          <w:szCs w:val="22"/>
          <w:lang w:val="es-ES"/>
        </w:rPr>
        <w:t>Equipo de Servicios Comerciales</w:t>
      </w:r>
      <w:r w:rsidRPr="005978DF">
        <w:rPr>
          <w:color w:val="000000" w:themeColor="text1"/>
          <w:sz w:val="22"/>
          <w:szCs w:val="22"/>
          <w:lang w:val="es-ES"/>
        </w:rPr>
        <w:t xml:space="preserve"> se encarga de la gestión de las oficinas y de la prestación y el mantenimiento de servicios para el funcionamiento de la Secretaría (adquisiciones, gestión de edificios, etc.);</w:t>
      </w:r>
    </w:p>
    <w:p w14:paraId="40411654" w14:textId="77777777" w:rsidR="002809FB" w:rsidRPr="005978DF" w:rsidRDefault="002809FB" w:rsidP="00F12E21">
      <w:pPr>
        <w:numPr>
          <w:ilvl w:val="1"/>
          <w:numId w:val="49"/>
        </w:numPr>
        <w:tabs>
          <w:tab w:val="left" w:pos="1418"/>
          <w:tab w:val="left" w:pos="2693"/>
          <w:tab w:val="left" w:pos="3182"/>
          <w:tab w:val="left" w:pos="3658"/>
          <w:tab w:val="left" w:pos="4133"/>
          <w:tab w:val="left" w:pos="4622"/>
          <w:tab w:val="left" w:pos="5098"/>
          <w:tab w:val="left" w:pos="5573"/>
          <w:tab w:val="left" w:pos="6048"/>
        </w:tabs>
        <w:spacing w:before="120" w:after="120"/>
        <w:ind w:left="0" w:firstLine="706"/>
        <w:jc w:val="both"/>
        <w:rPr>
          <w:rFonts w:eastAsiaTheme="minorEastAsia"/>
          <w:color w:val="000000" w:themeColor="text1"/>
          <w:sz w:val="22"/>
          <w:szCs w:val="22"/>
          <w:lang w:val="es-ES"/>
        </w:rPr>
      </w:pPr>
      <w:r w:rsidRPr="005978DF">
        <w:rPr>
          <w:color w:val="000000" w:themeColor="text1"/>
          <w:sz w:val="22"/>
          <w:szCs w:val="22"/>
          <w:lang w:val="es-ES"/>
        </w:rPr>
        <w:lastRenderedPageBreak/>
        <w:t xml:space="preserve">El </w:t>
      </w:r>
      <w:r w:rsidRPr="005978DF">
        <w:rPr>
          <w:b/>
          <w:bCs/>
          <w:color w:val="000000" w:themeColor="text1"/>
          <w:sz w:val="22"/>
          <w:szCs w:val="22"/>
          <w:lang w:val="es-ES"/>
        </w:rPr>
        <w:t>Equipo de Servicios al Cliente de TI</w:t>
      </w:r>
      <w:r w:rsidRPr="005978DF">
        <w:rPr>
          <w:color w:val="000000" w:themeColor="text1"/>
          <w:sz w:val="22"/>
          <w:szCs w:val="22"/>
          <w:lang w:val="es-ES"/>
        </w:rPr>
        <w:t xml:space="preserve"> proporciona infraestructura y servicios de TI, seguridad de la información y apoyo al personal de la Secretaría en función de las prioridades acordadas por la dirección en consonancia con las normas y regl</w:t>
      </w:r>
      <w:r w:rsidR="00F12E21">
        <w:rPr>
          <w:color w:val="000000" w:themeColor="text1"/>
          <w:sz w:val="22"/>
          <w:szCs w:val="22"/>
          <w:lang w:val="es-ES"/>
        </w:rPr>
        <w:t>amentos de las Naciones Unidas.</w:t>
      </w:r>
    </w:p>
    <w:p w14:paraId="40411655" w14:textId="77777777" w:rsidR="002809FB" w:rsidRPr="005978DF" w:rsidRDefault="002809FB" w:rsidP="006023BE">
      <w:pPr>
        <w:pStyle w:val="H23"/>
        <w:keepNext/>
        <w:tabs>
          <w:tab w:val="right" w:pos="1022"/>
          <w:tab w:val="left" w:pos="1080"/>
          <w:tab w:val="left" w:pos="1350"/>
          <w:tab w:val="left" w:pos="1530"/>
          <w:tab w:val="left" w:pos="2693"/>
          <w:tab w:val="left" w:pos="3182"/>
          <w:tab w:val="left" w:pos="3658"/>
          <w:tab w:val="left" w:pos="4133"/>
          <w:tab w:val="left" w:pos="4622"/>
          <w:tab w:val="left" w:pos="5098"/>
          <w:tab w:val="left" w:pos="5573"/>
          <w:tab w:val="left" w:pos="6048"/>
        </w:tabs>
        <w:spacing w:line="240" w:lineRule="auto"/>
        <w:ind w:right="1259"/>
        <w:outlineLvl w:val="3"/>
        <w:rPr>
          <w:lang w:val="es-ES"/>
        </w:rPr>
      </w:pPr>
      <w:r w:rsidRPr="005978DF">
        <w:rPr>
          <w:rFonts w:asciiTheme="majorBidi" w:hAnsiTheme="majorBidi"/>
          <w:sz w:val="22"/>
          <w:szCs w:val="22"/>
          <w:lang w:val="es-ES"/>
        </w:rPr>
        <w:t>Cuadro 21.</w:t>
      </w:r>
      <w:r w:rsidRPr="005978DF">
        <w:rPr>
          <w:lang w:val="es-ES"/>
        </w:rPr>
        <w:tab/>
      </w:r>
      <w:r w:rsidRPr="005978DF">
        <w:rPr>
          <w:lang w:val="es-ES"/>
        </w:rPr>
        <w:tab/>
      </w:r>
      <w:r w:rsidRPr="005978DF">
        <w:rPr>
          <w:rFonts w:asciiTheme="majorBidi" w:hAnsiTheme="majorBidi"/>
          <w:sz w:val="22"/>
          <w:szCs w:val="22"/>
          <w:lang w:val="es-ES"/>
        </w:rPr>
        <w:t>Asignaciones de recursos: apoyo a los programas</w:t>
      </w:r>
    </w:p>
    <w:tbl>
      <w:tblPr>
        <w:tblW w:w="9497" w:type="dxa"/>
        <w:jc w:val="right"/>
        <w:tblLayout w:type="fixed"/>
        <w:tblLook w:val="04A0" w:firstRow="1" w:lastRow="0" w:firstColumn="1" w:lastColumn="0" w:noHBand="0" w:noVBand="1"/>
      </w:tblPr>
      <w:tblGrid>
        <w:gridCol w:w="1699"/>
        <w:gridCol w:w="994"/>
        <w:gridCol w:w="426"/>
        <w:gridCol w:w="1134"/>
        <w:gridCol w:w="1275"/>
        <w:gridCol w:w="284"/>
        <w:gridCol w:w="89"/>
        <w:gridCol w:w="336"/>
        <w:gridCol w:w="709"/>
        <w:gridCol w:w="283"/>
        <w:gridCol w:w="851"/>
        <w:gridCol w:w="283"/>
        <w:gridCol w:w="236"/>
        <w:gridCol w:w="594"/>
        <w:gridCol w:w="14"/>
        <w:gridCol w:w="24"/>
        <w:gridCol w:w="266"/>
      </w:tblGrid>
      <w:tr w:rsidR="002809FB" w:rsidRPr="00152AF9" w14:paraId="4041165A" w14:textId="77777777" w:rsidTr="00152AF9">
        <w:trPr>
          <w:gridAfter w:val="3"/>
          <w:wAfter w:w="304" w:type="dxa"/>
          <w:jc w:val="right"/>
        </w:trPr>
        <w:tc>
          <w:tcPr>
            <w:tcW w:w="1699" w:type="dxa"/>
            <w:tcBorders>
              <w:top w:val="single" w:sz="4" w:space="0" w:color="auto"/>
              <w:bottom w:val="single" w:sz="4" w:space="0" w:color="auto"/>
            </w:tcBorders>
            <w:shd w:val="clear" w:color="auto" w:fill="auto"/>
            <w:tcMar>
              <w:left w:w="58" w:type="dxa"/>
              <w:right w:w="58" w:type="dxa"/>
            </w:tcMar>
            <w:vAlign w:val="center"/>
            <w:hideMark/>
          </w:tcPr>
          <w:p w14:paraId="40411656" w14:textId="77777777" w:rsidR="002809FB" w:rsidRPr="00152AF9" w:rsidRDefault="002809FB" w:rsidP="0049064A">
            <w:pPr>
              <w:keepNext/>
              <w:keepLines/>
              <w:rPr>
                <w:rFonts w:asciiTheme="minorHAnsi" w:hAnsiTheme="minorHAnsi" w:cstheme="minorHAnsi"/>
                <w:i/>
                <w:iCs/>
                <w:color w:val="000000"/>
                <w:sz w:val="18"/>
                <w:szCs w:val="16"/>
                <w:lang w:val="es-ES" w:eastAsia="zh-CN"/>
              </w:rPr>
            </w:pPr>
          </w:p>
        </w:tc>
        <w:tc>
          <w:tcPr>
            <w:tcW w:w="4113" w:type="dxa"/>
            <w:gridSpan w:val="5"/>
            <w:tcBorders>
              <w:top w:val="single" w:sz="4" w:space="0" w:color="auto"/>
              <w:bottom w:val="single" w:sz="4" w:space="0" w:color="auto"/>
            </w:tcBorders>
            <w:shd w:val="clear" w:color="auto" w:fill="auto"/>
            <w:tcMar>
              <w:left w:w="58" w:type="dxa"/>
              <w:right w:w="58" w:type="dxa"/>
            </w:tcMar>
            <w:vAlign w:val="center"/>
            <w:hideMark/>
          </w:tcPr>
          <w:p w14:paraId="40411657" w14:textId="77777777" w:rsidR="002809FB" w:rsidRPr="00152AF9" w:rsidRDefault="002809FB" w:rsidP="003753E4">
            <w:pPr>
              <w:keepNext/>
              <w:keepLines/>
              <w:jc w:val="center"/>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 xml:space="preserve">Recursos (miles de dólares </w:t>
            </w:r>
            <w:proofErr w:type="gramStart"/>
            <w:r w:rsidRPr="00152AF9">
              <w:rPr>
                <w:rFonts w:asciiTheme="minorHAnsi" w:hAnsiTheme="minorHAnsi" w:cstheme="minorHAnsi"/>
                <w:i/>
                <w:iCs/>
                <w:color w:val="000000"/>
                <w:sz w:val="18"/>
                <w:szCs w:val="16"/>
                <w:lang w:val="es-ES"/>
              </w:rPr>
              <w:t>EE.UU.</w:t>
            </w:r>
            <w:proofErr w:type="gramEnd"/>
            <w:r w:rsidRPr="00152AF9">
              <w:rPr>
                <w:rFonts w:asciiTheme="minorHAnsi" w:hAnsiTheme="minorHAnsi" w:cstheme="minorHAnsi"/>
                <w:i/>
                <w:iCs/>
                <w:color w:val="000000"/>
                <w:sz w:val="18"/>
                <w:szCs w:val="16"/>
                <w:lang w:val="es-ES"/>
              </w:rPr>
              <w:t>)</w:t>
            </w:r>
          </w:p>
        </w:tc>
        <w:tc>
          <w:tcPr>
            <w:tcW w:w="425" w:type="dxa"/>
            <w:gridSpan w:val="2"/>
            <w:tcBorders>
              <w:top w:val="single" w:sz="4" w:space="0" w:color="auto"/>
            </w:tcBorders>
            <w:shd w:val="clear" w:color="auto" w:fill="auto"/>
            <w:tcMar>
              <w:left w:w="58" w:type="dxa"/>
              <w:right w:w="58" w:type="dxa"/>
            </w:tcMar>
            <w:vAlign w:val="center"/>
            <w:hideMark/>
          </w:tcPr>
          <w:p w14:paraId="40411658"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2956" w:type="dxa"/>
            <w:gridSpan w:val="6"/>
            <w:tcBorders>
              <w:top w:val="single" w:sz="4" w:space="0" w:color="auto"/>
              <w:bottom w:val="single" w:sz="4" w:space="0" w:color="auto"/>
            </w:tcBorders>
            <w:shd w:val="clear" w:color="auto" w:fill="auto"/>
            <w:tcMar>
              <w:left w:w="58" w:type="dxa"/>
              <w:right w:w="58" w:type="dxa"/>
            </w:tcMar>
            <w:vAlign w:val="center"/>
            <w:hideMark/>
          </w:tcPr>
          <w:p w14:paraId="40411659" w14:textId="77777777" w:rsidR="002809FB" w:rsidRPr="00152AF9" w:rsidRDefault="002809FB" w:rsidP="0049064A">
            <w:pPr>
              <w:keepNext/>
              <w:keepLines/>
              <w:jc w:val="center"/>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Puestos</w:t>
            </w:r>
          </w:p>
        </w:tc>
      </w:tr>
      <w:tr w:rsidR="002809FB" w:rsidRPr="00152AF9" w14:paraId="40411666" w14:textId="77777777" w:rsidTr="00152AF9">
        <w:trPr>
          <w:gridAfter w:val="2"/>
          <w:wAfter w:w="290" w:type="dxa"/>
          <w:jc w:val="right"/>
        </w:trPr>
        <w:tc>
          <w:tcPr>
            <w:tcW w:w="1699" w:type="dxa"/>
            <w:vMerge w:val="restart"/>
            <w:shd w:val="clear" w:color="auto" w:fill="auto"/>
            <w:tcMar>
              <w:left w:w="58" w:type="dxa"/>
              <w:right w:w="58" w:type="dxa"/>
            </w:tcMar>
            <w:vAlign w:val="center"/>
            <w:hideMark/>
          </w:tcPr>
          <w:p w14:paraId="4041165B" w14:textId="77777777" w:rsidR="002809FB" w:rsidRPr="00152AF9" w:rsidRDefault="002809FB" w:rsidP="0049064A">
            <w:pPr>
              <w:keepNext/>
              <w:keepLines/>
              <w:rPr>
                <w:rFonts w:asciiTheme="minorHAnsi" w:hAnsiTheme="minorHAnsi" w:cstheme="minorHAnsi"/>
                <w:i/>
                <w:iCs/>
                <w:color w:val="000000"/>
                <w:sz w:val="18"/>
                <w:szCs w:val="16"/>
                <w:lang w:val="es-ES" w:eastAsia="zh-CN"/>
              </w:rPr>
            </w:pPr>
          </w:p>
        </w:tc>
        <w:tc>
          <w:tcPr>
            <w:tcW w:w="994" w:type="dxa"/>
            <w:vMerge w:val="restart"/>
            <w:shd w:val="clear" w:color="auto" w:fill="auto"/>
            <w:tcMar>
              <w:left w:w="58" w:type="dxa"/>
              <w:right w:w="58" w:type="dxa"/>
            </w:tcMar>
            <w:vAlign w:val="center"/>
            <w:hideMark/>
          </w:tcPr>
          <w:p w14:paraId="4041165C" w14:textId="77777777" w:rsidR="002809FB" w:rsidRPr="00152AF9" w:rsidRDefault="002809FB" w:rsidP="0049064A">
            <w:pPr>
              <w:keepNext/>
              <w:keepLines/>
              <w:jc w:val="right"/>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2019-2020</w:t>
            </w:r>
          </w:p>
        </w:tc>
        <w:tc>
          <w:tcPr>
            <w:tcW w:w="426" w:type="dxa"/>
            <w:shd w:val="clear" w:color="auto" w:fill="auto"/>
            <w:tcMar>
              <w:left w:w="58" w:type="dxa"/>
              <w:right w:w="58" w:type="dxa"/>
            </w:tcMar>
            <w:vAlign w:val="center"/>
            <w:hideMark/>
          </w:tcPr>
          <w:p w14:paraId="4041165D" w14:textId="77777777" w:rsidR="002809FB" w:rsidRPr="00152AF9" w:rsidRDefault="002809FB" w:rsidP="0049064A">
            <w:pPr>
              <w:keepNext/>
              <w:keepLines/>
              <w:rPr>
                <w:rFonts w:asciiTheme="minorHAnsi" w:hAnsiTheme="minorHAnsi" w:cstheme="minorHAnsi"/>
                <w:i/>
                <w:iCs/>
                <w:color w:val="000000"/>
                <w:sz w:val="18"/>
                <w:szCs w:val="16"/>
                <w:lang w:val="es-ES" w:eastAsia="zh-CN"/>
              </w:rPr>
            </w:pPr>
          </w:p>
        </w:tc>
        <w:tc>
          <w:tcPr>
            <w:tcW w:w="1134" w:type="dxa"/>
            <w:vMerge w:val="restart"/>
            <w:shd w:val="clear" w:color="auto" w:fill="auto"/>
            <w:tcMar>
              <w:left w:w="58" w:type="dxa"/>
              <w:right w:w="58" w:type="dxa"/>
            </w:tcMar>
            <w:vAlign w:val="center"/>
            <w:hideMark/>
          </w:tcPr>
          <w:p w14:paraId="4041165E" w14:textId="77777777" w:rsidR="002809FB" w:rsidRPr="00152AF9" w:rsidRDefault="002809FB" w:rsidP="0049064A">
            <w:pPr>
              <w:keepNext/>
              <w:keepLines/>
              <w:jc w:val="right"/>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CRN</w:t>
            </w:r>
            <w:r w:rsidRPr="00152AF9">
              <w:rPr>
                <w:rFonts w:asciiTheme="minorHAnsi" w:hAnsiTheme="minorHAnsi" w:cstheme="minorHAnsi"/>
                <w:i/>
                <w:iCs/>
                <w:color w:val="000000"/>
                <w:sz w:val="18"/>
                <w:szCs w:val="16"/>
                <w:lang w:val="es-ES"/>
              </w:rPr>
              <w:br/>
              <w:t xml:space="preserve">2023-2024 </w:t>
            </w:r>
          </w:p>
        </w:tc>
        <w:tc>
          <w:tcPr>
            <w:tcW w:w="1275" w:type="dxa"/>
            <w:vMerge w:val="restart"/>
            <w:shd w:val="clear" w:color="auto" w:fill="auto"/>
            <w:tcMar>
              <w:left w:w="58" w:type="dxa"/>
              <w:right w:w="58" w:type="dxa"/>
            </w:tcMar>
            <w:vAlign w:val="center"/>
            <w:hideMark/>
          </w:tcPr>
          <w:p w14:paraId="4041165F" w14:textId="77777777" w:rsidR="002809FB" w:rsidRPr="00152AF9" w:rsidRDefault="002809FB" w:rsidP="0049064A">
            <w:pPr>
              <w:keepNext/>
              <w:keepLines/>
              <w:jc w:val="right"/>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CNN</w:t>
            </w:r>
            <w:r w:rsidRPr="00152AF9">
              <w:rPr>
                <w:rFonts w:asciiTheme="minorHAnsi" w:hAnsiTheme="minorHAnsi" w:cstheme="minorHAnsi"/>
                <w:i/>
                <w:iCs/>
                <w:color w:val="000000"/>
                <w:sz w:val="18"/>
                <w:szCs w:val="16"/>
                <w:lang w:val="es-ES"/>
              </w:rPr>
              <w:br/>
              <w:t xml:space="preserve">2023-2024 </w:t>
            </w:r>
          </w:p>
        </w:tc>
        <w:tc>
          <w:tcPr>
            <w:tcW w:w="373" w:type="dxa"/>
            <w:gridSpan w:val="2"/>
            <w:vMerge w:val="restart"/>
            <w:shd w:val="clear" w:color="auto" w:fill="auto"/>
            <w:tcMar>
              <w:left w:w="58" w:type="dxa"/>
              <w:right w:w="58" w:type="dxa"/>
            </w:tcMar>
            <w:vAlign w:val="center"/>
            <w:hideMark/>
          </w:tcPr>
          <w:p w14:paraId="40411660" w14:textId="77777777" w:rsidR="002809FB" w:rsidRPr="00152AF9" w:rsidRDefault="002809FB" w:rsidP="0049064A">
            <w:pPr>
              <w:keepNext/>
              <w:keepLines/>
              <w:rPr>
                <w:rFonts w:asciiTheme="minorHAnsi" w:hAnsiTheme="minorHAnsi" w:cstheme="minorHAnsi"/>
                <w:i/>
                <w:iCs/>
                <w:color w:val="000000"/>
                <w:sz w:val="18"/>
                <w:szCs w:val="16"/>
                <w:lang w:val="es-ES" w:eastAsia="zh-CN"/>
              </w:rPr>
            </w:pPr>
          </w:p>
        </w:tc>
        <w:tc>
          <w:tcPr>
            <w:tcW w:w="1045" w:type="dxa"/>
            <w:gridSpan w:val="2"/>
            <w:vMerge w:val="restart"/>
            <w:shd w:val="clear" w:color="auto" w:fill="auto"/>
            <w:tcMar>
              <w:left w:w="58" w:type="dxa"/>
              <w:right w:w="58" w:type="dxa"/>
            </w:tcMar>
            <w:vAlign w:val="center"/>
            <w:hideMark/>
          </w:tcPr>
          <w:p w14:paraId="40411661" w14:textId="77777777" w:rsidR="002809FB" w:rsidRPr="00152AF9" w:rsidRDefault="002809FB" w:rsidP="0049064A">
            <w:pPr>
              <w:keepNext/>
              <w:keepLines/>
              <w:jc w:val="right"/>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2019-20</w:t>
            </w:r>
          </w:p>
        </w:tc>
        <w:tc>
          <w:tcPr>
            <w:tcW w:w="283" w:type="dxa"/>
            <w:shd w:val="clear" w:color="auto" w:fill="auto"/>
            <w:tcMar>
              <w:left w:w="58" w:type="dxa"/>
              <w:right w:w="58" w:type="dxa"/>
            </w:tcMar>
            <w:vAlign w:val="center"/>
            <w:hideMark/>
          </w:tcPr>
          <w:p w14:paraId="40411662" w14:textId="77777777" w:rsidR="002809FB" w:rsidRPr="00152AF9" w:rsidRDefault="002809FB" w:rsidP="0049064A">
            <w:pPr>
              <w:keepNext/>
              <w:keepLines/>
              <w:rPr>
                <w:rFonts w:asciiTheme="minorHAnsi" w:hAnsiTheme="minorHAnsi" w:cstheme="minorHAnsi"/>
                <w:i/>
                <w:iCs/>
                <w:color w:val="000000"/>
                <w:sz w:val="18"/>
                <w:szCs w:val="16"/>
                <w:lang w:val="es-ES" w:eastAsia="zh-CN"/>
              </w:rPr>
            </w:pPr>
          </w:p>
        </w:tc>
        <w:tc>
          <w:tcPr>
            <w:tcW w:w="851" w:type="dxa"/>
            <w:vMerge w:val="restart"/>
            <w:shd w:val="clear" w:color="auto" w:fill="auto"/>
            <w:tcMar>
              <w:left w:w="58" w:type="dxa"/>
              <w:right w:w="58" w:type="dxa"/>
            </w:tcMar>
            <w:vAlign w:val="center"/>
            <w:hideMark/>
          </w:tcPr>
          <w:p w14:paraId="40411663" w14:textId="77777777" w:rsidR="002809FB" w:rsidRPr="00152AF9" w:rsidRDefault="002809FB" w:rsidP="0049064A">
            <w:pPr>
              <w:keepNext/>
              <w:keepLines/>
              <w:jc w:val="right"/>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2021-22</w:t>
            </w:r>
          </w:p>
        </w:tc>
        <w:tc>
          <w:tcPr>
            <w:tcW w:w="283" w:type="dxa"/>
            <w:shd w:val="clear" w:color="auto" w:fill="auto"/>
            <w:tcMar>
              <w:left w:w="58" w:type="dxa"/>
              <w:right w:w="58" w:type="dxa"/>
            </w:tcMar>
            <w:vAlign w:val="center"/>
            <w:hideMark/>
          </w:tcPr>
          <w:p w14:paraId="40411664" w14:textId="77777777" w:rsidR="002809FB" w:rsidRPr="00152AF9" w:rsidRDefault="002809FB" w:rsidP="0049064A">
            <w:pPr>
              <w:keepNext/>
              <w:keepLines/>
              <w:rPr>
                <w:rFonts w:asciiTheme="minorHAnsi" w:hAnsiTheme="minorHAnsi" w:cstheme="minorHAnsi"/>
                <w:i/>
                <w:iCs/>
                <w:color w:val="000000"/>
                <w:sz w:val="18"/>
                <w:szCs w:val="16"/>
                <w:lang w:val="es-ES" w:eastAsia="zh-CN"/>
              </w:rPr>
            </w:pPr>
          </w:p>
        </w:tc>
        <w:tc>
          <w:tcPr>
            <w:tcW w:w="844" w:type="dxa"/>
            <w:gridSpan w:val="3"/>
            <w:vMerge w:val="restart"/>
            <w:shd w:val="clear" w:color="auto" w:fill="auto"/>
            <w:tcMar>
              <w:left w:w="58" w:type="dxa"/>
              <w:right w:w="58" w:type="dxa"/>
            </w:tcMar>
            <w:vAlign w:val="center"/>
            <w:hideMark/>
          </w:tcPr>
          <w:p w14:paraId="40411665" w14:textId="77777777" w:rsidR="002809FB" w:rsidRPr="00152AF9" w:rsidRDefault="002809FB" w:rsidP="0049064A">
            <w:pPr>
              <w:keepNext/>
              <w:keepLines/>
              <w:jc w:val="right"/>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2023-24</w:t>
            </w:r>
          </w:p>
        </w:tc>
      </w:tr>
      <w:tr w:rsidR="002809FB" w:rsidRPr="00152AF9" w14:paraId="40411672" w14:textId="77777777" w:rsidTr="00152AF9">
        <w:trPr>
          <w:gridAfter w:val="2"/>
          <w:wAfter w:w="290" w:type="dxa"/>
          <w:jc w:val="right"/>
        </w:trPr>
        <w:tc>
          <w:tcPr>
            <w:tcW w:w="1699" w:type="dxa"/>
            <w:vMerge/>
            <w:tcBorders>
              <w:bottom w:val="single" w:sz="4" w:space="0" w:color="auto"/>
            </w:tcBorders>
            <w:tcMar>
              <w:left w:w="58" w:type="dxa"/>
              <w:right w:w="58" w:type="dxa"/>
            </w:tcMar>
            <w:vAlign w:val="center"/>
            <w:hideMark/>
          </w:tcPr>
          <w:p w14:paraId="40411667" w14:textId="77777777" w:rsidR="002809FB" w:rsidRPr="00152AF9" w:rsidRDefault="002809FB" w:rsidP="0049064A">
            <w:pPr>
              <w:keepNext/>
              <w:keepLines/>
              <w:rPr>
                <w:rFonts w:asciiTheme="minorHAnsi" w:hAnsiTheme="minorHAnsi" w:cstheme="minorHAnsi"/>
                <w:i/>
                <w:iCs/>
                <w:color w:val="000000"/>
                <w:sz w:val="18"/>
                <w:szCs w:val="16"/>
                <w:lang w:val="es-ES" w:eastAsia="zh-CN"/>
              </w:rPr>
            </w:pPr>
          </w:p>
        </w:tc>
        <w:tc>
          <w:tcPr>
            <w:tcW w:w="994" w:type="dxa"/>
            <w:vMerge/>
            <w:tcBorders>
              <w:bottom w:val="single" w:sz="4" w:space="0" w:color="auto"/>
            </w:tcBorders>
            <w:tcMar>
              <w:left w:w="58" w:type="dxa"/>
              <w:right w:w="58" w:type="dxa"/>
            </w:tcMar>
            <w:vAlign w:val="center"/>
            <w:hideMark/>
          </w:tcPr>
          <w:p w14:paraId="40411668"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426" w:type="dxa"/>
            <w:tcBorders>
              <w:bottom w:val="single" w:sz="4" w:space="0" w:color="auto"/>
            </w:tcBorders>
            <w:shd w:val="clear" w:color="auto" w:fill="auto"/>
            <w:tcMar>
              <w:left w:w="58" w:type="dxa"/>
              <w:right w:w="58" w:type="dxa"/>
            </w:tcMar>
            <w:vAlign w:val="center"/>
            <w:hideMark/>
          </w:tcPr>
          <w:p w14:paraId="40411669"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1134" w:type="dxa"/>
            <w:vMerge/>
            <w:tcBorders>
              <w:bottom w:val="single" w:sz="4" w:space="0" w:color="auto"/>
            </w:tcBorders>
            <w:tcMar>
              <w:left w:w="58" w:type="dxa"/>
              <w:right w:w="58" w:type="dxa"/>
            </w:tcMar>
            <w:vAlign w:val="center"/>
            <w:hideMark/>
          </w:tcPr>
          <w:p w14:paraId="4041166A"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1275" w:type="dxa"/>
            <w:vMerge/>
            <w:tcBorders>
              <w:bottom w:val="single" w:sz="4" w:space="0" w:color="auto"/>
            </w:tcBorders>
            <w:tcMar>
              <w:left w:w="58" w:type="dxa"/>
              <w:right w:w="58" w:type="dxa"/>
            </w:tcMar>
            <w:vAlign w:val="center"/>
            <w:hideMark/>
          </w:tcPr>
          <w:p w14:paraId="4041166B"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373" w:type="dxa"/>
            <w:gridSpan w:val="2"/>
            <w:vMerge/>
            <w:tcBorders>
              <w:bottom w:val="single" w:sz="4" w:space="0" w:color="auto"/>
            </w:tcBorders>
            <w:tcMar>
              <w:left w:w="58" w:type="dxa"/>
              <w:right w:w="58" w:type="dxa"/>
            </w:tcMar>
            <w:vAlign w:val="center"/>
            <w:hideMark/>
          </w:tcPr>
          <w:p w14:paraId="4041166C"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1045" w:type="dxa"/>
            <w:gridSpan w:val="2"/>
            <w:vMerge/>
            <w:tcBorders>
              <w:bottom w:val="single" w:sz="4" w:space="0" w:color="auto"/>
            </w:tcBorders>
            <w:tcMar>
              <w:left w:w="58" w:type="dxa"/>
              <w:right w:w="58" w:type="dxa"/>
            </w:tcMar>
            <w:vAlign w:val="center"/>
            <w:hideMark/>
          </w:tcPr>
          <w:p w14:paraId="4041166D"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283" w:type="dxa"/>
            <w:tcBorders>
              <w:bottom w:val="single" w:sz="4" w:space="0" w:color="auto"/>
            </w:tcBorders>
            <w:shd w:val="clear" w:color="auto" w:fill="auto"/>
            <w:tcMar>
              <w:left w:w="58" w:type="dxa"/>
              <w:right w:w="58" w:type="dxa"/>
            </w:tcMar>
            <w:vAlign w:val="center"/>
            <w:hideMark/>
          </w:tcPr>
          <w:p w14:paraId="4041166E"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851" w:type="dxa"/>
            <w:vMerge/>
            <w:tcBorders>
              <w:bottom w:val="single" w:sz="4" w:space="0" w:color="auto"/>
            </w:tcBorders>
            <w:tcMar>
              <w:left w:w="58" w:type="dxa"/>
              <w:right w:w="58" w:type="dxa"/>
            </w:tcMar>
            <w:vAlign w:val="center"/>
            <w:hideMark/>
          </w:tcPr>
          <w:p w14:paraId="4041166F"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283" w:type="dxa"/>
            <w:tcBorders>
              <w:bottom w:val="single" w:sz="4" w:space="0" w:color="auto"/>
            </w:tcBorders>
            <w:shd w:val="clear" w:color="auto" w:fill="auto"/>
            <w:tcMar>
              <w:left w:w="58" w:type="dxa"/>
              <w:right w:w="58" w:type="dxa"/>
            </w:tcMar>
            <w:vAlign w:val="center"/>
            <w:hideMark/>
          </w:tcPr>
          <w:p w14:paraId="40411670"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c>
          <w:tcPr>
            <w:tcW w:w="844" w:type="dxa"/>
            <w:gridSpan w:val="3"/>
            <w:vMerge/>
            <w:tcBorders>
              <w:bottom w:val="single" w:sz="4" w:space="0" w:color="auto"/>
            </w:tcBorders>
            <w:tcMar>
              <w:left w:w="58" w:type="dxa"/>
              <w:right w:w="58" w:type="dxa"/>
            </w:tcMar>
            <w:vAlign w:val="center"/>
            <w:hideMark/>
          </w:tcPr>
          <w:p w14:paraId="40411671" w14:textId="77777777" w:rsidR="002809FB" w:rsidRPr="00152AF9" w:rsidRDefault="002809FB" w:rsidP="0049064A">
            <w:pPr>
              <w:keepNext/>
              <w:keepLines/>
              <w:jc w:val="center"/>
              <w:rPr>
                <w:rFonts w:asciiTheme="minorHAnsi" w:hAnsiTheme="minorHAnsi" w:cstheme="minorHAnsi"/>
                <w:i/>
                <w:iCs/>
                <w:color w:val="000000"/>
                <w:sz w:val="18"/>
                <w:szCs w:val="16"/>
                <w:lang w:val="es-ES" w:eastAsia="zh-CN"/>
              </w:rPr>
            </w:pPr>
          </w:p>
        </w:tc>
      </w:tr>
      <w:tr w:rsidR="002809FB" w:rsidRPr="00152AF9" w14:paraId="4041167E" w14:textId="77777777" w:rsidTr="00152AF9">
        <w:trPr>
          <w:gridAfter w:val="2"/>
          <w:wAfter w:w="290" w:type="dxa"/>
          <w:jc w:val="right"/>
        </w:trPr>
        <w:tc>
          <w:tcPr>
            <w:tcW w:w="1699" w:type="dxa"/>
            <w:tcBorders>
              <w:top w:val="single" w:sz="4" w:space="0" w:color="auto"/>
            </w:tcBorders>
            <w:shd w:val="clear" w:color="auto" w:fill="auto"/>
            <w:tcMar>
              <w:left w:w="58" w:type="dxa"/>
              <w:right w:w="58" w:type="dxa"/>
            </w:tcMar>
            <w:vAlign w:val="center"/>
            <w:hideMark/>
          </w:tcPr>
          <w:p w14:paraId="40411673" w14:textId="77777777" w:rsidR="002809FB" w:rsidRPr="00152AF9" w:rsidRDefault="002809FB" w:rsidP="0049064A">
            <w:pPr>
              <w:keepNext/>
              <w:keepLines/>
              <w:rPr>
                <w:rFonts w:asciiTheme="minorHAnsi" w:hAnsiTheme="minorHAnsi" w:cstheme="minorHAnsi"/>
                <w:i/>
                <w:iCs/>
                <w:color w:val="000000"/>
                <w:sz w:val="18"/>
                <w:szCs w:val="16"/>
                <w:lang w:val="es-ES"/>
              </w:rPr>
            </w:pPr>
            <w:r w:rsidRPr="00152AF9">
              <w:rPr>
                <w:rFonts w:asciiTheme="minorHAnsi" w:hAnsiTheme="minorHAnsi" w:cstheme="minorHAnsi"/>
                <w:i/>
                <w:iCs/>
                <w:color w:val="000000"/>
                <w:sz w:val="18"/>
                <w:szCs w:val="16"/>
                <w:lang w:val="es-ES"/>
              </w:rPr>
              <w:t>Presupuesto básico</w:t>
            </w:r>
          </w:p>
        </w:tc>
        <w:tc>
          <w:tcPr>
            <w:tcW w:w="994" w:type="dxa"/>
            <w:tcBorders>
              <w:top w:val="single" w:sz="4" w:space="0" w:color="auto"/>
            </w:tcBorders>
            <w:shd w:val="clear" w:color="auto" w:fill="auto"/>
            <w:tcMar>
              <w:left w:w="58" w:type="dxa"/>
              <w:right w:w="58" w:type="dxa"/>
            </w:tcMar>
            <w:vAlign w:val="center"/>
            <w:hideMark/>
          </w:tcPr>
          <w:p w14:paraId="40411674" w14:textId="77777777" w:rsidR="002809FB" w:rsidRPr="00152AF9" w:rsidRDefault="002809FB" w:rsidP="0049064A">
            <w:pPr>
              <w:keepNext/>
              <w:keepLines/>
              <w:jc w:val="right"/>
              <w:rPr>
                <w:rFonts w:asciiTheme="minorHAnsi" w:hAnsiTheme="minorHAnsi" w:cstheme="minorHAnsi"/>
                <w:i/>
                <w:iCs/>
                <w:color w:val="000000"/>
                <w:sz w:val="18"/>
                <w:szCs w:val="16"/>
                <w:lang w:val="es-ES" w:eastAsia="zh-CN"/>
              </w:rPr>
            </w:pPr>
          </w:p>
        </w:tc>
        <w:tc>
          <w:tcPr>
            <w:tcW w:w="426" w:type="dxa"/>
            <w:tcBorders>
              <w:top w:val="single" w:sz="4" w:space="0" w:color="auto"/>
            </w:tcBorders>
            <w:shd w:val="clear" w:color="auto" w:fill="auto"/>
            <w:tcMar>
              <w:left w:w="58" w:type="dxa"/>
              <w:right w:w="58" w:type="dxa"/>
            </w:tcMar>
            <w:vAlign w:val="center"/>
            <w:hideMark/>
          </w:tcPr>
          <w:p w14:paraId="40411675"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134" w:type="dxa"/>
            <w:tcBorders>
              <w:top w:val="single" w:sz="4" w:space="0" w:color="auto"/>
            </w:tcBorders>
            <w:shd w:val="clear" w:color="auto" w:fill="auto"/>
            <w:tcMar>
              <w:left w:w="58" w:type="dxa"/>
              <w:right w:w="58" w:type="dxa"/>
            </w:tcMar>
            <w:vAlign w:val="center"/>
            <w:hideMark/>
          </w:tcPr>
          <w:p w14:paraId="40411676"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275" w:type="dxa"/>
            <w:tcBorders>
              <w:top w:val="single" w:sz="4" w:space="0" w:color="auto"/>
            </w:tcBorders>
            <w:shd w:val="clear" w:color="auto" w:fill="auto"/>
            <w:tcMar>
              <w:left w:w="58" w:type="dxa"/>
              <w:right w:w="58" w:type="dxa"/>
            </w:tcMar>
            <w:vAlign w:val="center"/>
            <w:hideMark/>
          </w:tcPr>
          <w:p w14:paraId="40411677"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373" w:type="dxa"/>
            <w:gridSpan w:val="2"/>
            <w:tcBorders>
              <w:top w:val="single" w:sz="4" w:space="0" w:color="auto"/>
            </w:tcBorders>
            <w:shd w:val="clear" w:color="auto" w:fill="auto"/>
            <w:noWrap/>
            <w:tcMar>
              <w:left w:w="58" w:type="dxa"/>
              <w:right w:w="58" w:type="dxa"/>
            </w:tcMar>
            <w:vAlign w:val="bottom"/>
            <w:hideMark/>
          </w:tcPr>
          <w:p w14:paraId="40411678"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045" w:type="dxa"/>
            <w:gridSpan w:val="2"/>
            <w:tcBorders>
              <w:top w:val="single" w:sz="4" w:space="0" w:color="auto"/>
            </w:tcBorders>
            <w:shd w:val="clear" w:color="auto" w:fill="auto"/>
            <w:noWrap/>
            <w:tcMar>
              <w:left w:w="58" w:type="dxa"/>
              <w:right w:w="58" w:type="dxa"/>
            </w:tcMar>
            <w:vAlign w:val="bottom"/>
            <w:hideMark/>
          </w:tcPr>
          <w:p w14:paraId="40411679"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283" w:type="dxa"/>
            <w:tcBorders>
              <w:top w:val="single" w:sz="4" w:space="0" w:color="auto"/>
            </w:tcBorders>
            <w:shd w:val="clear" w:color="auto" w:fill="auto"/>
            <w:noWrap/>
            <w:tcMar>
              <w:left w:w="58" w:type="dxa"/>
              <w:right w:w="58" w:type="dxa"/>
            </w:tcMar>
            <w:vAlign w:val="bottom"/>
            <w:hideMark/>
          </w:tcPr>
          <w:p w14:paraId="4041167A"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851" w:type="dxa"/>
            <w:tcBorders>
              <w:top w:val="single" w:sz="4" w:space="0" w:color="auto"/>
            </w:tcBorders>
            <w:shd w:val="clear" w:color="auto" w:fill="auto"/>
            <w:noWrap/>
            <w:tcMar>
              <w:left w:w="58" w:type="dxa"/>
              <w:right w:w="58" w:type="dxa"/>
            </w:tcMar>
            <w:vAlign w:val="bottom"/>
            <w:hideMark/>
          </w:tcPr>
          <w:p w14:paraId="4041167B"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283" w:type="dxa"/>
            <w:tcBorders>
              <w:top w:val="single" w:sz="4" w:space="0" w:color="auto"/>
            </w:tcBorders>
            <w:shd w:val="clear" w:color="auto" w:fill="auto"/>
            <w:noWrap/>
            <w:tcMar>
              <w:left w:w="58" w:type="dxa"/>
              <w:right w:w="58" w:type="dxa"/>
            </w:tcMar>
            <w:vAlign w:val="bottom"/>
            <w:hideMark/>
          </w:tcPr>
          <w:p w14:paraId="4041167C"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844" w:type="dxa"/>
            <w:gridSpan w:val="3"/>
            <w:tcBorders>
              <w:top w:val="single" w:sz="4" w:space="0" w:color="auto"/>
            </w:tcBorders>
            <w:shd w:val="clear" w:color="auto" w:fill="auto"/>
            <w:noWrap/>
            <w:tcMar>
              <w:left w:w="58" w:type="dxa"/>
              <w:right w:w="58" w:type="dxa"/>
            </w:tcMar>
            <w:vAlign w:val="bottom"/>
            <w:hideMark/>
          </w:tcPr>
          <w:p w14:paraId="4041167D" w14:textId="77777777" w:rsidR="002809FB" w:rsidRPr="00152AF9" w:rsidRDefault="002809FB" w:rsidP="0049064A">
            <w:pPr>
              <w:keepNext/>
              <w:keepLines/>
              <w:jc w:val="right"/>
              <w:rPr>
                <w:rFonts w:asciiTheme="minorHAnsi" w:hAnsiTheme="minorHAnsi" w:cstheme="minorHAnsi"/>
                <w:sz w:val="18"/>
                <w:szCs w:val="16"/>
                <w:lang w:val="es-ES" w:eastAsia="zh-CN"/>
              </w:rPr>
            </w:pPr>
          </w:p>
        </w:tc>
      </w:tr>
      <w:tr w:rsidR="002809FB" w:rsidRPr="00152AF9" w14:paraId="4041168A" w14:textId="77777777" w:rsidTr="00152AF9">
        <w:trPr>
          <w:gridAfter w:val="2"/>
          <w:wAfter w:w="290" w:type="dxa"/>
          <w:jc w:val="right"/>
        </w:trPr>
        <w:tc>
          <w:tcPr>
            <w:tcW w:w="1699" w:type="dxa"/>
            <w:shd w:val="clear" w:color="auto" w:fill="auto"/>
            <w:tcMar>
              <w:left w:w="58" w:type="dxa"/>
              <w:right w:w="58" w:type="dxa"/>
            </w:tcMar>
            <w:vAlign w:val="center"/>
            <w:hideMark/>
          </w:tcPr>
          <w:p w14:paraId="4041167F" w14:textId="77777777" w:rsidR="002809FB" w:rsidRPr="00152AF9" w:rsidRDefault="002809FB" w:rsidP="0049064A">
            <w:pPr>
              <w:keepNext/>
              <w:keepLines/>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Relativos a puestos</w:t>
            </w:r>
          </w:p>
        </w:tc>
        <w:tc>
          <w:tcPr>
            <w:tcW w:w="994" w:type="dxa"/>
            <w:shd w:val="clear" w:color="auto" w:fill="auto"/>
            <w:tcMar>
              <w:left w:w="58" w:type="dxa"/>
              <w:right w:w="58" w:type="dxa"/>
            </w:tcMar>
            <w:vAlign w:val="center"/>
            <w:hideMark/>
          </w:tcPr>
          <w:p w14:paraId="40411680"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1 664,8</w:t>
            </w:r>
          </w:p>
        </w:tc>
        <w:tc>
          <w:tcPr>
            <w:tcW w:w="426" w:type="dxa"/>
            <w:shd w:val="clear" w:color="auto" w:fill="auto"/>
            <w:tcMar>
              <w:left w:w="58" w:type="dxa"/>
              <w:right w:w="58" w:type="dxa"/>
            </w:tcMar>
            <w:vAlign w:val="center"/>
            <w:hideMark/>
          </w:tcPr>
          <w:p w14:paraId="40411681"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1134" w:type="dxa"/>
            <w:shd w:val="clear" w:color="auto" w:fill="auto"/>
            <w:tcMar>
              <w:left w:w="58" w:type="dxa"/>
              <w:right w:w="58" w:type="dxa"/>
            </w:tcMar>
            <w:vAlign w:val="center"/>
            <w:hideMark/>
          </w:tcPr>
          <w:p w14:paraId="40411682"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1 316,7</w:t>
            </w:r>
          </w:p>
        </w:tc>
        <w:tc>
          <w:tcPr>
            <w:tcW w:w="1275" w:type="dxa"/>
            <w:shd w:val="clear" w:color="auto" w:fill="auto"/>
            <w:tcMar>
              <w:left w:w="58" w:type="dxa"/>
              <w:right w:w="58" w:type="dxa"/>
            </w:tcMar>
            <w:vAlign w:val="center"/>
            <w:hideMark/>
          </w:tcPr>
          <w:p w14:paraId="40411683"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947,9</w:t>
            </w:r>
          </w:p>
        </w:tc>
        <w:tc>
          <w:tcPr>
            <w:tcW w:w="373" w:type="dxa"/>
            <w:gridSpan w:val="2"/>
            <w:shd w:val="clear" w:color="auto" w:fill="auto"/>
            <w:tcMar>
              <w:left w:w="58" w:type="dxa"/>
              <w:right w:w="58" w:type="dxa"/>
            </w:tcMar>
            <w:vAlign w:val="bottom"/>
            <w:hideMark/>
          </w:tcPr>
          <w:p w14:paraId="40411684"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1045" w:type="dxa"/>
            <w:gridSpan w:val="2"/>
            <w:shd w:val="clear" w:color="auto" w:fill="auto"/>
            <w:tcMar>
              <w:left w:w="58" w:type="dxa"/>
              <w:right w:w="58" w:type="dxa"/>
            </w:tcMar>
            <w:vAlign w:val="center"/>
            <w:hideMark/>
          </w:tcPr>
          <w:p w14:paraId="40411685"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7</w:t>
            </w:r>
          </w:p>
        </w:tc>
        <w:tc>
          <w:tcPr>
            <w:tcW w:w="283" w:type="dxa"/>
            <w:shd w:val="clear" w:color="auto" w:fill="auto"/>
            <w:tcMar>
              <w:left w:w="58" w:type="dxa"/>
              <w:right w:w="58" w:type="dxa"/>
            </w:tcMar>
            <w:vAlign w:val="bottom"/>
            <w:hideMark/>
          </w:tcPr>
          <w:p w14:paraId="40411686"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851" w:type="dxa"/>
            <w:shd w:val="clear" w:color="auto" w:fill="auto"/>
            <w:tcMar>
              <w:left w:w="58" w:type="dxa"/>
              <w:right w:w="58" w:type="dxa"/>
            </w:tcMar>
            <w:vAlign w:val="center"/>
            <w:hideMark/>
          </w:tcPr>
          <w:p w14:paraId="40411687"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4</w:t>
            </w:r>
          </w:p>
        </w:tc>
        <w:tc>
          <w:tcPr>
            <w:tcW w:w="283" w:type="dxa"/>
            <w:shd w:val="clear" w:color="auto" w:fill="auto"/>
            <w:tcMar>
              <w:left w:w="58" w:type="dxa"/>
              <w:right w:w="58" w:type="dxa"/>
            </w:tcMar>
            <w:vAlign w:val="bottom"/>
            <w:hideMark/>
          </w:tcPr>
          <w:p w14:paraId="40411688"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844" w:type="dxa"/>
            <w:gridSpan w:val="3"/>
            <w:shd w:val="clear" w:color="auto" w:fill="auto"/>
            <w:tcMar>
              <w:left w:w="58" w:type="dxa"/>
              <w:right w:w="58" w:type="dxa"/>
            </w:tcMar>
            <w:vAlign w:val="center"/>
            <w:hideMark/>
          </w:tcPr>
          <w:p w14:paraId="40411689"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5</w:t>
            </w:r>
          </w:p>
        </w:tc>
      </w:tr>
      <w:tr w:rsidR="002809FB" w:rsidRPr="00152AF9" w14:paraId="40411696" w14:textId="77777777" w:rsidTr="00152AF9">
        <w:trPr>
          <w:gridAfter w:val="2"/>
          <w:wAfter w:w="290" w:type="dxa"/>
          <w:jc w:val="right"/>
        </w:trPr>
        <w:tc>
          <w:tcPr>
            <w:tcW w:w="1699" w:type="dxa"/>
            <w:tcBorders>
              <w:bottom w:val="single" w:sz="4" w:space="0" w:color="auto"/>
            </w:tcBorders>
            <w:shd w:val="clear" w:color="auto" w:fill="auto"/>
            <w:tcMar>
              <w:left w:w="58" w:type="dxa"/>
              <w:right w:w="58" w:type="dxa"/>
            </w:tcMar>
            <w:vAlign w:val="center"/>
            <w:hideMark/>
          </w:tcPr>
          <w:p w14:paraId="4041168B" w14:textId="77777777" w:rsidR="002809FB" w:rsidRPr="00152AF9" w:rsidRDefault="002809FB" w:rsidP="0049064A">
            <w:pPr>
              <w:keepNext/>
              <w:keepLines/>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No relativos a puestos</w:t>
            </w:r>
          </w:p>
        </w:tc>
        <w:tc>
          <w:tcPr>
            <w:tcW w:w="994" w:type="dxa"/>
            <w:tcBorders>
              <w:bottom w:val="single" w:sz="4" w:space="0" w:color="auto"/>
            </w:tcBorders>
            <w:shd w:val="clear" w:color="auto" w:fill="auto"/>
            <w:tcMar>
              <w:left w:w="58" w:type="dxa"/>
              <w:right w:w="58" w:type="dxa"/>
            </w:tcMar>
            <w:vAlign w:val="center"/>
            <w:hideMark/>
          </w:tcPr>
          <w:p w14:paraId="4041168C"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4 314,9</w:t>
            </w:r>
          </w:p>
        </w:tc>
        <w:tc>
          <w:tcPr>
            <w:tcW w:w="426" w:type="dxa"/>
            <w:tcBorders>
              <w:bottom w:val="single" w:sz="4" w:space="0" w:color="auto"/>
            </w:tcBorders>
            <w:shd w:val="clear" w:color="auto" w:fill="auto"/>
            <w:tcMar>
              <w:left w:w="58" w:type="dxa"/>
              <w:right w:w="58" w:type="dxa"/>
            </w:tcMar>
            <w:vAlign w:val="center"/>
            <w:hideMark/>
          </w:tcPr>
          <w:p w14:paraId="4041168D" w14:textId="77777777" w:rsidR="002809FB" w:rsidRPr="00152AF9" w:rsidRDefault="002809FB" w:rsidP="0049064A">
            <w:pPr>
              <w:keepNext/>
              <w:keepLines/>
              <w:rPr>
                <w:rFonts w:asciiTheme="minorHAnsi" w:hAnsiTheme="minorHAnsi" w:cstheme="minorHAnsi"/>
                <w:color w:val="000000"/>
                <w:sz w:val="16"/>
                <w:szCs w:val="16"/>
                <w:lang w:val="es-ES"/>
              </w:rPr>
            </w:pPr>
          </w:p>
        </w:tc>
        <w:tc>
          <w:tcPr>
            <w:tcW w:w="1134" w:type="dxa"/>
            <w:tcBorders>
              <w:bottom w:val="single" w:sz="4" w:space="0" w:color="auto"/>
            </w:tcBorders>
            <w:shd w:val="clear" w:color="auto" w:fill="auto"/>
            <w:tcMar>
              <w:left w:w="58" w:type="dxa"/>
              <w:right w:w="58" w:type="dxa"/>
            </w:tcMar>
            <w:vAlign w:val="center"/>
            <w:hideMark/>
          </w:tcPr>
          <w:p w14:paraId="4041168E"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4 711,9</w:t>
            </w:r>
          </w:p>
        </w:tc>
        <w:tc>
          <w:tcPr>
            <w:tcW w:w="1275" w:type="dxa"/>
            <w:tcBorders>
              <w:bottom w:val="single" w:sz="4" w:space="0" w:color="auto"/>
            </w:tcBorders>
            <w:shd w:val="clear" w:color="auto" w:fill="auto"/>
            <w:tcMar>
              <w:left w:w="58" w:type="dxa"/>
              <w:right w:w="58" w:type="dxa"/>
            </w:tcMar>
            <w:vAlign w:val="center"/>
            <w:hideMark/>
          </w:tcPr>
          <w:p w14:paraId="4041168F"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4 711,9</w:t>
            </w:r>
          </w:p>
        </w:tc>
        <w:tc>
          <w:tcPr>
            <w:tcW w:w="373" w:type="dxa"/>
            <w:gridSpan w:val="2"/>
            <w:tcBorders>
              <w:bottom w:val="single" w:sz="4" w:space="0" w:color="auto"/>
            </w:tcBorders>
            <w:shd w:val="clear" w:color="auto" w:fill="auto"/>
            <w:tcMar>
              <w:left w:w="58" w:type="dxa"/>
              <w:right w:w="58" w:type="dxa"/>
            </w:tcMar>
            <w:vAlign w:val="center"/>
            <w:hideMark/>
          </w:tcPr>
          <w:p w14:paraId="40411690" w14:textId="77777777" w:rsidR="002809FB" w:rsidRPr="00152AF9" w:rsidRDefault="002809FB" w:rsidP="0049064A">
            <w:pPr>
              <w:keepNext/>
              <w:keepLines/>
              <w:rPr>
                <w:rFonts w:asciiTheme="minorHAnsi" w:hAnsiTheme="minorHAnsi" w:cstheme="minorHAnsi"/>
                <w:color w:val="000000"/>
                <w:sz w:val="16"/>
                <w:szCs w:val="16"/>
                <w:lang w:val="es-ES" w:eastAsia="zh-CN"/>
              </w:rPr>
            </w:pPr>
          </w:p>
        </w:tc>
        <w:tc>
          <w:tcPr>
            <w:tcW w:w="1045" w:type="dxa"/>
            <w:gridSpan w:val="2"/>
            <w:tcBorders>
              <w:bottom w:val="single" w:sz="4" w:space="0" w:color="auto"/>
            </w:tcBorders>
            <w:shd w:val="clear" w:color="auto" w:fill="auto"/>
            <w:tcMar>
              <w:left w:w="58" w:type="dxa"/>
              <w:right w:w="58" w:type="dxa"/>
            </w:tcMar>
            <w:vAlign w:val="bottom"/>
            <w:hideMark/>
          </w:tcPr>
          <w:p w14:paraId="40411691"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283" w:type="dxa"/>
            <w:tcBorders>
              <w:bottom w:val="single" w:sz="4" w:space="0" w:color="auto"/>
            </w:tcBorders>
            <w:shd w:val="clear" w:color="auto" w:fill="auto"/>
            <w:tcMar>
              <w:left w:w="58" w:type="dxa"/>
              <w:right w:w="58" w:type="dxa"/>
            </w:tcMar>
            <w:vAlign w:val="bottom"/>
            <w:hideMark/>
          </w:tcPr>
          <w:p w14:paraId="40411692"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851" w:type="dxa"/>
            <w:tcBorders>
              <w:bottom w:val="single" w:sz="4" w:space="0" w:color="auto"/>
            </w:tcBorders>
            <w:shd w:val="clear" w:color="auto" w:fill="auto"/>
            <w:tcMar>
              <w:left w:w="58" w:type="dxa"/>
              <w:right w:w="58" w:type="dxa"/>
            </w:tcMar>
            <w:vAlign w:val="bottom"/>
            <w:hideMark/>
          </w:tcPr>
          <w:p w14:paraId="40411693"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283" w:type="dxa"/>
            <w:tcBorders>
              <w:bottom w:val="single" w:sz="4" w:space="0" w:color="auto"/>
            </w:tcBorders>
            <w:shd w:val="clear" w:color="auto" w:fill="auto"/>
            <w:tcMar>
              <w:left w:w="58" w:type="dxa"/>
              <w:right w:w="58" w:type="dxa"/>
            </w:tcMar>
            <w:vAlign w:val="bottom"/>
            <w:hideMark/>
          </w:tcPr>
          <w:p w14:paraId="40411694"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844" w:type="dxa"/>
            <w:gridSpan w:val="3"/>
            <w:tcBorders>
              <w:bottom w:val="single" w:sz="4" w:space="0" w:color="auto"/>
            </w:tcBorders>
            <w:shd w:val="clear" w:color="auto" w:fill="auto"/>
            <w:tcMar>
              <w:left w:w="58" w:type="dxa"/>
              <w:right w:w="58" w:type="dxa"/>
            </w:tcMar>
            <w:vAlign w:val="bottom"/>
            <w:hideMark/>
          </w:tcPr>
          <w:p w14:paraId="40411695" w14:textId="77777777" w:rsidR="002809FB" w:rsidRPr="00152AF9" w:rsidRDefault="002809FB" w:rsidP="0049064A">
            <w:pPr>
              <w:keepNext/>
              <w:keepLines/>
              <w:jc w:val="right"/>
              <w:rPr>
                <w:rFonts w:asciiTheme="minorHAnsi" w:hAnsiTheme="minorHAnsi" w:cstheme="minorHAnsi"/>
                <w:sz w:val="18"/>
                <w:szCs w:val="16"/>
                <w:lang w:val="es-ES" w:eastAsia="zh-CN"/>
              </w:rPr>
            </w:pPr>
          </w:p>
        </w:tc>
      </w:tr>
      <w:tr w:rsidR="002809FB" w:rsidRPr="00152AF9" w14:paraId="404116A2" w14:textId="77777777" w:rsidTr="00152AF9">
        <w:trPr>
          <w:gridAfter w:val="2"/>
          <w:wAfter w:w="290" w:type="dxa"/>
          <w:jc w:val="right"/>
        </w:trPr>
        <w:tc>
          <w:tcPr>
            <w:tcW w:w="1699" w:type="dxa"/>
            <w:tcBorders>
              <w:top w:val="single" w:sz="4" w:space="0" w:color="auto"/>
              <w:bottom w:val="single" w:sz="4" w:space="0" w:color="auto"/>
            </w:tcBorders>
            <w:shd w:val="clear" w:color="auto" w:fill="auto"/>
            <w:tcMar>
              <w:left w:w="58" w:type="dxa"/>
              <w:right w:w="58" w:type="dxa"/>
            </w:tcMar>
            <w:vAlign w:val="center"/>
            <w:hideMark/>
          </w:tcPr>
          <w:p w14:paraId="40411697" w14:textId="77777777" w:rsidR="002809FB" w:rsidRPr="00152AF9" w:rsidRDefault="002809FB" w:rsidP="0049064A">
            <w:pPr>
              <w:keepNext/>
              <w:keepLines/>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Subtotal</w:t>
            </w:r>
          </w:p>
        </w:tc>
        <w:tc>
          <w:tcPr>
            <w:tcW w:w="994" w:type="dxa"/>
            <w:tcBorders>
              <w:top w:val="single" w:sz="4" w:space="0" w:color="auto"/>
              <w:bottom w:val="single" w:sz="4" w:space="0" w:color="auto"/>
            </w:tcBorders>
            <w:shd w:val="clear" w:color="auto" w:fill="auto"/>
            <w:tcMar>
              <w:left w:w="58" w:type="dxa"/>
              <w:right w:w="58" w:type="dxa"/>
            </w:tcMar>
            <w:vAlign w:val="center"/>
            <w:hideMark/>
          </w:tcPr>
          <w:p w14:paraId="40411698"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5 979,7</w:t>
            </w:r>
          </w:p>
        </w:tc>
        <w:tc>
          <w:tcPr>
            <w:tcW w:w="426" w:type="dxa"/>
            <w:tcBorders>
              <w:top w:val="single" w:sz="4" w:space="0" w:color="auto"/>
              <w:bottom w:val="single" w:sz="4" w:space="0" w:color="auto"/>
            </w:tcBorders>
            <w:shd w:val="clear" w:color="auto" w:fill="auto"/>
            <w:tcMar>
              <w:left w:w="58" w:type="dxa"/>
              <w:right w:w="58" w:type="dxa"/>
            </w:tcMar>
            <w:vAlign w:val="center"/>
            <w:hideMark/>
          </w:tcPr>
          <w:p w14:paraId="40411699"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1134" w:type="dxa"/>
            <w:tcBorders>
              <w:top w:val="single" w:sz="4" w:space="0" w:color="auto"/>
              <w:bottom w:val="single" w:sz="4" w:space="0" w:color="auto"/>
            </w:tcBorders>
            <w:shd w:val="clear" w:color="auto" w:fill="auto"/>
            <w:tcMar>
              <w:left w:w="58" w:type="dxa"/>
              <w:right w:w="58" w:type="dxa"/>
            </w:tcMar>
            <w:vAlign w:val="center"/>
            <w:hideMark/>
          </w:tcPr>
          <w:p w14:paraId="4041169A"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6 028,6</w:t>
            </w:r>
          </w:p>
        </w:tc>
        <w:tc>
          <w:tcPr>
            <w:tcW w:w="1275" w:type="dxa"/>
            <w:tcBorders>
              <w:top w:val="single" w:sz="4" w:space="0" w:color="auto"/>
              <w:bottom w:val="single" w:sz="4" w:space="0" w:color="auto"/>
            </w:tcBorders>
            <w:shd w:val="clear" w:color="auto" w:fill="auto"/>
            <w:tcMar>
              <w:left w:w="58" w:type="dxa"/>
              <w:right w:w="58" w:type="dxa"/>
            </w:tcMar>
            <w:vAlign w:val="center"/>
            <w:hideMark/>
          </w:tcPr>
          <w:p w14:paraId="4041169B"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5 659,8</w:t>
            </w:r>
          </w:p>
        </w:tc>
        <w:tc>
          <w:tcPr>
            <w:tcW w:w="373" w:type="dxa"/>
            <w:gridSpan w:val="2"/>
            <w:tcBorders>
              <w:top w:val="single" w:sz="4" w:space="0" w:color="auto"/>
              <w:bottom w:val="single" w:sz="4" w:space="0" w:color="auto"/>
            </w:tcBorders>
            <w:shd w:val="clear" w:color="auto" w:fill="auto"/>
            <w:tcMar>
              <w:left w:w="58" w:type="dxa"/>
              <w:right w:w="58" w:type="dxa"/>
            </w:tcMar>
            <w:vAlign w:val="center"/>
            <w:hideMark/>
          </w:tcPr>
          <w:p w14:paraId="4041169C"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1045" w:type="dxa"/>
            <w:gridSpan w:val="2"/>
            <w:tcBorders>
              <w:top w:val="single" w:sz="4" w:space="0" w:color="auto"/>
              <w:bottom w:val="single" w:sz="4" w:space="0" w:color="auto"/>
            </w:tcBorders>
            <w:shd w:val="clear" w:color="auto" w:fill="auto"/>
            <w:tcMar>
              <w:left w:w="58" w:type="dxa"/>
              <w:right w:w="58" w:type="dxa"/>
            </w:tcMar>
            <w:vAlign w:val="center"/>
            <w:hideMark/>
          </w:tcPr>
          <w:p w14:paraId="4041169D"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7</w:t>
            </w:r>
          </w:p>
        </w:tc>
        <w:tc>
          <w:tcPr>
            <w:tcW w:w="283" w:type="dxa"/>
            <w:tcBorders>
              <w:top w:val="single" w:sz="4" w:space="0" w:color="auto"/>
              <w:bottom w:val="single" w:sz="4" w:space="0" w:color="auto"/>
            </w:tcBorders>
            <w:shd w:val="clear" w:color="auto" w:fill="auto"/>
            <w:tcMar>
              <w:left w:w="58" w:type="dxa"/>
              <w:right w:w="58" w:type="dxa"/>
            </w:tcMar>
            <w:vAlign w:val="center"/>
            <w:hideMark/>
          </w:tcPr>
          <w:p w14:paraId="4041169E"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851" w:type="dxa"/>
            <w:tcBorders>
              <w:top w:val="single" w:sz="4" w:space="0" w:color="auto"/>
              <w:bottom w:val="single" w:sz="4" w:space="0" w:color="auto"/>
            </w:tcBorders>
            <w:shd w:val="clear" w:color="auto" w:fill="auto"/>
            <w:tcMar>
              <w:left w:w="58" w:type="dxa"/>
              <w:right w:w="58" w:type="dxa"/>
            </w:tcMar>
            <w:vAlign w:val="center"/>
            <w:hideMark/>
          </w:tcPr>
          <w:p w14:paraId="4041169F"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4</w:t>
            </w:r>
          </w:p>
        </w:tc>
        <w:tc>
          <w:tcPr>
            <w:tcW w:w="283" w:type="dxa"/>
            <w:tcBorders>
              <w:top w:val="single" w:sz="4" w:space="0" w:color="auto"/>
              <w:bottom w:val="single" w:sz="4" w:space="0" w:color="auto"/>
            </w:tcBorders>
            <w:shd w:val="clear" w:color="auto" w:fill="auto"/>
            <w:tcMar>
              <w:left w:w="58" w:type="dxa"/>
              <w:right w:w="58" w:type="dxa"/>
            </w:tcMar>
            <w:vAlign w:val="center"/>
            <w:hideMark/>
          </w:tcPr>
          <w:p w14:paraId="404116A0"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844" w:type="dxa"/>
            <w:gridSpan w:val="3"/>
            <w:tcBorders>
              <w:top w:val="single" w:sz="4" w:space="0" w:color="auto"/>
              <w:bottom w:val="single" w:sz="4" w:space="0" w:color="auto"/>
            </w:tcBorders>
            <w:shd w:val="clear" w:color="auto" w:fill="auto"/>
            <w:tcMar>
              <w:left w:w="58" w:type="dxa"/>
              <w:right w:w="58" w:type="dxa"/>
            </w:tcMar>
            <w:vAlign w:val="center"/>
            <w:hideMark/>
          </w:tcPr>
          <w:p w14:paraId="404116A1"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5</w:t>
            </w:r>
          </w:p>
        </w:tc>
      </w:tr>
      <w:tr w:rsidR="002809FB" w:rsidRPr="00152AF9" w14:paraId="404116AE" w14:textId="77777777" w:rsidTr="00152AF9">
        <w:trPr>
          <w:gridAfter w:val="2"/>
          <w:wAfter w:w="290" w:type="dxa"/>
          <w:jc w:val="right"/>
        </w:trPr>
        <w:tc>
          <w:tcPr>
            <w:tcW w:w="1699" w:type="dxa"/>
            <w:tcBorders>
              <w:top w:val="single" w:sz="4" w:space="0" w:color="auto"/>
            </w:tcBorders>
            <w:shd w:val="clear" w:color="auto" w:fill="auto"/>
            <w:tcMar>
              <w:left w:w="58" w:type="dxa"/>
              <w:right w:w="58" w:type="dxa"/>
            </w:tcMar>
            <w:vAlign w:val="center"/>
            <w:hideMark/>
          </w:tcPr>
          <w:p w14:paraId="404116A3" w14:textId="77777777" w:rsidR="002809FB" w:rsidRPr="00152AF9" w:rsidRDefault="002809FB" w:rsidP="0049064A">
            <w:pPr>
              <w:keepNext/>
              <w:keepLines/>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Gastos de apoyo a los programas (OTA)</w:t>
            </w:r>
          </w:p>
        </w:tc>
        <w:tc>
          <w:tcPr>
            <w:tcW w:w="994" w:type="dxa"/>
            <w:tcBorders>
              <w:top w:val="single" w:sz="4" w:space="0" w:color="auto"/>
            </w:tcBorders>
            <w:shd w:val="clear" w:color="auto" w:fill="auto"/>
            <w:tcMar>
              <w:left w:w="58" w:type="dxa"/>
              <w:right w:w="58" w:type="dxa"/>
            </w:tcMar>
            <w:vAlign w:val="center"/>
            <w:hideMark/>
          </w:tcPr>
          <w:p w14:paraId="404116A4"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426" w:type="dxa"/>
            <w:tcBorders>
              <w:top w:val="single" w:sz="4" w:space="0" w:color="auto"/>
            </w:tcBorders>
            <w:shd w:val="clear" w:color="auto" w:fill="auto"/>
            <w:tcMar>
              <w:left w:w="58" w:type="dxa"/>
              <w:right w:w="58" w:type="dxa"/>
            </w:tcMar>
            <w:vAlign w:val="center"/>
            <w:hideMark/>
          </w:tcPr>
          <w:p w14:paraId="404116A5"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134" w:type="dxa"/>
            <w:tcBorders>
              <w:top w:val="single" w:sz="4" w:space="0" w:color="auto"/>
            </w:tcBorders>
            <w:shd w:val="clear" w:color="auto" w:fill="auto"/>
            <w:tcMar>
              <w:left w:w="58" w:type="dxa"/>
              <w:right w:w="58" w:type="dxa"/>
            </w:tcMar>
            <w:vAlign w:val="center"/>
            <w:hideMark/>
          </w:tcPr>
          <w:p w14:paraId="404116A6"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275" w:type="dxa"/>
            <w:tcBorders>
              <w:top w:val="single" w:sz="4" w:space="0" w:color="auto"/>
            </w:tcBorders>
            <w:shd w:val="clear" w:color="auto" w:fill="auto"/>
            <w:tcMar>
              <w:left w:w="58" w:type="dxa"/>
              <w:right w:w="58" w:type="dxa"/>
            </w:tcMar>
            <w:vAlign w:val="center"/>
            <w:hideMark/>
          </w:tcPr>
          <w:p w14:paraId="404116A7"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373" w:type="dxa"/>
            <w:gridSpan w:val="2"/>
            <w:tcBorders>
              <w:top w:val="single" w:sz="4" w:space="0" w:color="auto"/>
            </w:tcBorders>
            <w:shd w:val="clear" w:color="auto" w:fill="auto"/>
            <w:tcMar>
              <w:left w:w="58" w:type="dxa"/>
              <w:right w:w="58" w:type="dxa"/>
            </w:tcMar>
            <w:vAlign w:val="bottom"/>
            <w:hideMark/>
          </w:tcPr>
          <w:p w14:paraId="404116A8"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045" w:type="dxa"/>
            <w:gridSpan w:val="2"/>
            <w:tcBorders>
              <w:top w:val="single" w:sz="4" w:space="0" w:color="auto"/>
            </w:tcBorders>
            <w:shd w:val="clear" w:color="auto" w:fill="auto"/>
            <w:tcMar>
              <w:left w:w="58" w:type="dxa"/>
              <w:right w:w="58" w:type="dxa"/>
            </w:tcMar>
            <w:vAlign w:val="center"/>
            <w:hideMark/>
          </w:tcPr>
          <w:p w14:paraId="404116A9"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 xml:space="preserve"> 20</w:t>
            </w:r>
          </w:p>
        </w:tc>
        <w:tc>
          <w:tcPr>
            <w:tcW w:w="283" w:type="dxa"/>
            <w:tcBorders>
              <w:top w:val="single" w:sz="4" w:space="0" w:color="auto"/>
            </w:tcBorders>
            <w:shd w:val="clear" w:color="auto" w:fill="auto"/>
            <w:tcMar>
              <w:left w:w="58" w:type="dxa"/>
              <w:right w:w="58" w:type="dxa"/>
            </w:tcMar>
            <w:vAlign w:val="center"/>
            <w:hideMark/>
          </w:tcPr>
          <w:p w14:paraId="404116AA"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851" w:type="dxa"/>
            <w:tcBorders>
              <w:top w:val="single" w:sz="4" w:space="0" w:color="auto"/>
            </w:tcBorders>
            <w:shd w:val="clear" w:color="auto" w:fill="auto"/>
            <w:tcMar>
              <w:left w:w="58" w:type="dxa"/>
              <w:right w:w="58" w:type="dxa"/>
            </w:tcMar>
            <w:vAlign w:val="center"/>
            <w:hideMark/>
          </w:tcPr>
          <w:p w14:paraId="404116AB"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16</w:t>
            </w:r>
          </w:p>
        </w:tc>
        <w:tc>
          <w:tcPr>
            <w:tcW w:w="283" w:type="dxa"/>
            <w:tcBorders>
              <w:top w:val="single" w:sz="4" w:space="0" w:color="auto"/>
            </w:tcBorders>
            <w:shd w:val="clear" w:color="auto" w:fill="auto"/>
            <w:tcMar>
              <w:left w:w="58" w:type="dxa"/>
              <w:right w:w="58" w:type="dxa"/>
            </w:tcMar>
            <w:vAlign w:val="center"/>
            <w:hideMark/>
          </w:tcPr>
          <w:p w14:paraId="404116AC"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844" w:type="dxa"/>
            <w:gridSpan w:val="3"/>
            <w:tcBorders>
              <w:top w:val="single" w:sz="4" w:space="0" w:color="auto"/>
            </w:tcBorders>
            <w:shd w:val="clear" w:color="auto" w:fill="auto"/>
            <w:tcMar>
              <w:left w:w="58" w:type="dxa"/>
              <w:right w:w="58" w:type="dxa"/>
            </w:tcMar>
            <w:vAlign w:val="center"/>
            <w:hideMark/>
          </w:tcPr>
          <w:p w14:paraId="404116AD" w14:textId="77777777" w:rsidR="002809FB" w:rsidRPr="00152AF9" w:rsidRDefault="002809FB" w:rsidP="0049064A">
            <w:pPr>
              <w:keepNext/>
              <w:keepLines/>
              <w:jc w:val="right"/>
              <w:rPr>
                <w:rFonts w:asciiTheme="minorHAnsi" w:hAnsiTheme="minorHAnsi" w:cstheme="minorHAnsi"/>
                <w:color w:val="000000"/>
                <w:sz w:val="18"/>
                <w:szCs w:val="16"/>
                <w:lang w:val="es-ES"/>
              </w:rPr>
            </w:pPr>
            <w:r w:rsidRPr="00152AF9">
              <w:rPr>
                <w:rFonts w:asciiTheme="minorHAnsi" w:hAnsiTheme="minorHAnsi" w:cstheme="minorHAnsi"/>
                <w:color w:val="000000"/>
                <w:sz w:val="18"/>
                <w:szCs w:val="16"/>
                <w:lang w:val="es-ES"/>
              </w:rPr>
              <w:t>16</w:t>
            </w:r>
          </w:p>
        </w:tc>
      </w:tr>
      <w:tr w:rsidR="002809FB" w:rsidRPr="00152AF9" w14:paraId="404116BA" w14:textId="77777777" w:rsidTr="00152AF9">
        <w:trPr>
          <w:gridAfter w:val="2"/>
          <w:wAfter w:w="290" w:type="dxa"/>
          <w:jc w:val="right"/>
        </w:trPr>
        <w:tc>
          <w:tcPr>
            <w:tcW w:w="1699" w:type="dxa"/>
            <w:shd w:val="clear" w:color="auto" w:fill="auto"/>
            <w:tcMar>
              <w:left w:w="58" w:type="dxa"/>
              <w:right w:w="58" w:type="dxa"/>
            </w:tcMar>
            <w:vAlign w:val="center"/>
            <w:hideMark/>
          </w:tcPr>
          <w:p w14:paraId="404116AF" w14:textId="77777777" w:rsidR="002809FB" w:rsidRPr="00152AF9" w:rsidRDefault="00152AF9" w:rsidP="0049064A">
            <w:pPr>
              <w:keepNext/>
              <w:keepLines/>
              <w:rPr>
                <w:rFonts w:asciiTheme="minorHAnsi" w:hAnsiTheme="minorHAnsi" w:cstheme="minorHAnsi"/>
                <w:color w:val="000000"/>
                <w:sz w:val="18"/>
                <w:szCs w:val="16"/>
                <w:lang w:val="es-ES"/>
              </w:rPr>
            </w:pPr>
            <w:r>
              <w:rPr>
                <w:rFonts w:asciiTheme="minorHAnsi" w:hAnsiTheme="minorHAnsi" w:cstheme="minorHAnsi"/>
                <w:color w:val="000000"/>
                <w:sz w:val="18"/>
                <w:szCs w:val="16"/>
                <w:lang w:val="es-ES"/>
              </w:rPr>
              <w:t>RE</w:t>
            </w:r>
          </w:p>
        </w:tc>
        <w:tc>
          <w:tcPr>
            <w:tcW w:w="994" w:type="dxa"/>
            <w:shd w:val="clear" w:color="auto" w:fill="auto"/>
            <w:tcMar>
              <w:left w:w="58" w:type="dxa"/>
              <w:right w:w="58" w:type="dxa"/>
            </w:tcMar>
            <w:vAlign w:val="center"/>
            <w:hideMark/>
          </w:tcPr>
          <w:p w14:paraId="404116B0" w14:textId="77777777" w:rsidR="002809FB" w:rsidRPr="00152AF9" w:rsidRDefault="002809FB" w:rsidP="0049064A">
            <w:pPr>
              <w:keepNext/>
              <w:keepLines/>
              <w:jc w:val="right"/>
              <w:rPr>
                <w:rFonts w:asciiTheme="minorHAnsi" w:hAnsiTheme="minorHAnsi" w:cstheme="minorHAnsi"/>
                <w:color w:val="000000"/>
                <w:sz w:val="18"/>
                <w:szCs w:val="16"/>
                <w:lang w:val="es-ES" w:eastAsia="zh-CN"/>
              </w:rPr>
            </w:pPr>
          </w:p>
        </w:tc>
        <w:tc>
          <w:tcPr>
            <w:tcW w:w="426" w:type="dxa"/>
            <w:shd w:val="clear" w:color="auto" w:fill="auto"/>
            <w:tcMar>
              <w:left w:w="58" w:type="dxa"/>
              <w:right w:w="58" w:type="dxa"/>
            </w:tcMar>
            <w:vAlign w:val="center"/>
            <w:hideMark/>
          </w:tcPr>
          <w:p w14:paraId="404116B1"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134" w:type="dxa"/>
            <w:shd w:val="clear" w:color="auto" w:fill="auto"/>
            <w:tcMar>
              <w:left w:w="58" w:type="dxa"/>
              <w:right w:w="58" w:type="dxa"/>
            </w:tcMar>
            <w:vAlign w:val="center"/>
            <w:hideMark/>
          </w:tcPr>
          <w:p w14:paraId="404116B2"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275" w:type="dxa"/>
            <w:shd w:val="clear" w:color="auto" w:fill="auto"/>
            <w:tcMar>
              <w:left w:w="58" w:type="dxa"/>
              <w:right w:w="58" w:type="dxa"/>
            </w:tcMar>
            <w:vAlign w:val="center"/>
            <w:hideMark/>
          </w:tcPr>
          <w:p w14:paraId="404116B3"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373" w:type="dxa"/>
            <w:gridSpan w:val="2"/>
            <w:shd w:val="clear" w:color="auto" w:fill="auto"/>
            <w:tcMar>
              <w:left w:w="58" w:type="dxa"/>
              <w:right w:w="58" w:type="dxa"/>
            </w:tcMar>
            <w:vAlign w:val="bottom"/>
            <w:hideMark/>
          </w:tcPr>
          <w:p w14:paraId="404116B4"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1045" w:type="dxa"/>
            <w:gridSpan w:val="2"/>
            <w:shd w:val="clear" w:color="auto" w:fill="auto"/>
            <w:tcMar>
              <w:left w:w="58" w:type="dxa"/>
              <w:right w:w="58" w:type="dxa"/>
            </w:tcMar>
            <w:vAlign w:val="center"/>
            <w:hideMark/>
          </w:tcPr>
          <w:p w14:paraId="404116B5"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283" w:type="dxa"/>
            <w:shd w:val="clear" w:color="auto" w:fill="auto"/>
            <w:tcMar>
              <w:left w:w="58" w:type="dxa"/>
              <w:right w:w="58" w:type="dxa"/>
            </w:tcMar>
            <w:vAlign w:val="center"/>
            <w:hideMark/>
          </w:tcPr>
          <w:p w14:paraId="404116B6"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851" w:type="dxa"/>
            <w:shd w:val="clear" w:color="auto" w:fill="auto"/>
            <w:tcMar>
              <w:left w:w="58" w:type="dxa"/>
              <w:right w:w="58" w:type="dxa"/>
            </w:tcMar>
            <w:vAlign w:val="center"/>
            <w:hideMark/>
          </w:tcPr>
          <w:p w14:paraId="404116B7"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283" w:type="dxa"/>
            <w:shd w:val="clear" w:color="auto" w:fill="auto"/>
            <w:tcMar>
              <w:left w:w="58" w:type="dxa"/>
              <w:right w:w="58" w:type="dxa"/>
            </w:tcMar>
            <w:vAlign w:val="center"/>
            <w:hideMark/>
          </w:tcPr>
          <w:p w14:paraId="404116B8" w14:textId="77777777" w:rsidR="002809FB" w:rsidRPr="00152AF9" w:rsidRDefault="002809FB" w:rsidP="0049064A">
            <w:pPr>
              <w:keepNext/>
              <w:keepLines/>
              <w:jc w:val="right"/>
              <w:rPr>
                <w:rFonts w:asciiTheme="minorHAnsi" w:hAnsiTheme="minorHAnsi" w:cstheme="minorHAnsi"/>
                <w:sz w:val="18"/>
                <w:szCs w:val="16"/>
                <w:lang w:val="es-ES" w:eastAsia="zh-CN"/>
              </w:rPr>
            </w:pPr>
          </w:p>
        </w:tc>
        <w:tc>
          <w:tcPr>
            <w:tcW w:w="844" w:type="dxa"/>
            <w:gridSpan w:val="3"/>
            <w:shd w:val="clear" w:color="auto" w:fill="auto"/>
            <w:tcMar>
              <w:left w:w="58" w:type="dxa"/>
              <w:right w:w="58" w:type="dxa"/>
            </w:tcMar>
            <w:vAlign w:val="center"/>
            <w:hideMark/>
          </w:tcPr>
          <w:p w14:paraId="404116B9" w14:textId="77777777" w:rsidR="002809FB" w:rsidRPr="00152AF9" w:rsidRDefault="002809FB" w:rsidP="0049064A">
            <w:pPr>
              <w:keepNext/>
              <w:keepLines/>
              <w:jc w:val="right"/>
              <w:rPr>
                <w:rFonts w:asciiTheme="minorHAnsi" w:hAnsiTheme="minorHAnsi" w:cstheme="minorHAnsi"/>
                <w:sz w:val="18"/>
                <w:szCs w:val="16"/>
                <w:lang w:val="es-ES" w:eastAsia="zh-CN"/>
              </w:rPr>
            </w:pPr>
          </w:p>
        </w:tc>
      </w:tr>
      <w:tr w:rsidR="002809FB" w:rsidRPr="00152AF9" w14:paraId="404116C8" w14:textId="77777777" w:rsidTr="00152AF9">
        <w:trPr>
          <w:jc w:val="right"/>
        </w:trPr>
        <w:tc>
          <w:tcPr>
            <w:tcW w:w="1699" w:type="dxa"/>
            <w:tcBorders>
              <w:top w:val="single" w:sz="4" w:space="0" w:color="auto"/>
              <w:bottom w:val="single" w:sz="4" w:space="0" w:color="auto"/>
            </w:tcBorders>
            <w:shd w:val="clear" w:color="auto" w:fill="auto"/>
            <w:tcMar>
              <w:left w:w="58" w:type="dxa"/>
              <w:right w:w="58" w:type="dxa"/>
            </w:tcMar>
            <w:vAlign w:val="center"/>
            <w:hideMark/>
          </w:tcPr>
          <w:p w14:paraId="404116BB" w14:textId="77777777" w:rsidR="002809FB" w:rsidRPr="00152AF9" w:rsidRDefault="002809FB" w:rsidP="0049064A">
            <w:pPr>
              <w:keepNext/>
              <w:keepLines/>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Total</w:t>
            </w:r>
          </w:p>
        </w:tc>
        <w:tc>
          <w:tcPr>
            <w:tcW w:w="994" w:type="dxa"/>
            <w:tcBorders>
              <w:top w:val="single" w:sz="4" w:space="0" w:color="auto"/>
              <w:bottom w:val="single" w:sz="4" w:space="0" w:color="auto"/>
            </w:tcBorders>
            <w:shd w:val="clear" w:color="auto" w:fill="auto"/>
            <w:tcMar>
              <w:left w:w="58" w:type="dxa"/>
              <w:right w:w="58" w:type="dxa"/>
            </w:tcMar>
            <w:vAlign w:val="center"/>
            <w:hideMark/>
          </w:tcPr>
          <w:p w14:paraId="404116BC"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5 979,7</w:t>
            </w:r>
          </w:p>
        </w:tc>
        <w:tc>
          <w:tcPr>
            <w:tcW w:w="426" w:type="dxa"/>
            <w:tcBorders>
              <w:top w:val="single" w:sz="4" w:space="0" w:color="auto"/>
              <w:bottom w:val="single" w:sz="4" w:space="0" w:color="auto"/>
            </w:tcBorders>
            <w:shd w:val="clear" w:color="auto" w:fill="auto"/>
            <w:tcMar>
              <w:left w:w="58" w:type="dxa"/>
              <w:right w:w="58" w:type="dxa"/>
            </w:tcMar>
            <w:vAlign w:val="center"/>
            <w:hideMark/>
          </w:tcPr>
          <w:p w14:paraId="404116BD"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1134" w:type="dxa"/>
            <w:tcBorders>
              <w:top w:val="single" w:sz="4" w:space="0" w:color="auto"/>
              <w:bottom w:val="single" w:sz="4" w:space="0" w:color="auto"/>
            </w:tcBorders>
            <w:shd w:val="clear" w:color="auto" w:fill="auto"/>
            <w:tcMar>
              <w:left w:w="58" w:type="dxa"/>
              <w:right w:w="58" w:type="dxa"/>
            </w:tcMar>
            <w:vAlign w:val="center"/>
            <w:hideMark/>
          </w:tcPr>
          <w:p w14:paraId="404116BE"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6 028,6</w:t>
            </w:r>
          </w:p>
        </w:tc>
        <w:tc>
          <w:tcPr>
            <w:tcW w:w="1275" w:type="dxa"/>
            <w:tcBorders>
              <w:top w:val="single" w:sz="4" w:space="0" w:color="auto"/>
              <w:bottom w:val="single" w:sz="4" w:space="0" w:color="auto"/>
            </w:tcBorders>
            <w:shd w:val="clear" w:color="auto" w:fill="auto"/>
            <w:tcMar>
              <w:left w:w="58" w:type="dxa"/>
              <w:right w:w="58" w:type="dxa"/>
            </w:tcMar>
            <w:vAlign w:val="center"/>
            <w:hideMark/>
          </w:tcPr>
          <w:p w14:paraId="404116BF"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5 659,8</w:t>
            </w:r>
          </w:p>
        </w:tc>
        <w:tc>
          <w:tcPr>
            <w:tcW w:w="373" w:type="dxa"/>
            <w:gridSpan w:val="2"/>
            <w:tcBorders>
              <w:top w:val="single" w:sz="4" w:space="0" w:color="auto"/>
              <w:bottom w:val="single" w:sz="4" w:space="0" w:color="auto"/>
            </w:tcBorders>
            <w:shd w:val="clear" w:color="auto" w:fill="auto"/>
            <w:tcMar>
              <w:left w:w="58" w:type="dxa"/>
              <w:right w:w="58" w:type="dxa"/>
            </w:tcMar>
            <w:vAlign w:val="center"/>
            <w:hideMark/>
          </w:tcPr>
          <w:p w14:paraId="404116C0"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1045" w:type="dxa"/>
            <w:gridSpan w:val="2"/>
            <w:tcBorders>
              <w:top w:val="single" w:sz="4" w:space="0" w:color="auto"/>
              <w:bottom w:val="single" w:sz="4" w:space="0" w:color="auto"/>
            </w:tcBorders>
            <w:shd w:val="clear" w:color="auto" w:fill="auto"/>
            <w:tcMar>
              <w:left w:w="58" w:type="dxa"/>
              <w:right w:w="58" w:type="dxa"/>
            </w:tcMar>
            <w:vAlign w:val="center"/>
            <w:hideMark/>
          </w:tcPr>
          <w:p w14:paraId="404116C1"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27</w:t>
            </w:r>
          </w:p>
        </w:tc>
        <w:tc>
          <w:tcPr>
            <w:tcW w:w="283" w:type="dxa"/>
            <w:tcBorders>
              <w:top w:val="single" w:sz="4" w:space="0" w:color="auto"/>
              <w:bottom w:val="single" w:sz="4" w:space="0" w:color="auto"/>
            </w:tcBorders>
            <w:shd w:val="clear" w:color="auto" w:fill="auto"/>
            <w:tcMar>
              <w:left w:w="58" w:type="dxa"/>
              <w:right w:w="58" w:type="dxa"/>
            </w:tcMar>
            <w:vAlign w:val="center"/>
          </w:tcPr>
          <w:p w14:paraId="404116C2"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851" w:type="dxa"/>
            <w:tcBorders>
              <w:top w:val="single" w:sz="4" w:space="0" w:color="auto"/>
              <w:bottom w:val="single" w:sz="4" w:space="0" w:color="auto"/>
            </w:tcBorders>
            <w:shd w:val="clear" w:color="auto" w:fill="auto"/>
            <w:tcMar>
              <w:left w:w="58" w:type="dxa"/>
              <w:right w:w="58" w:type="dxa"/>
            </w:tcMar>
            <w:vAlign w:val="center"/>
            <w:hideMark/>
          </w:tcPr>
          <w:p w14:paraId="404116C3"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20</w:t>
            </w:r>
          </w:p>
        </w:tc>
        <w:tc>
          <w:tcPr>
            <w:tcW w:w="283" w:type="dxa"/>
            <w:tcBorders>
              <w:top w:val="single" w:sz="4" w:space="0" w:color="auto"/>
              <w:bottom w:val="single" w:sz="4" w:space="0" w:color="auto"/>
            </w:tcBorders>
            <w:shd w:val="clear" w:color="auto" w:fill="auto"/>
            <w:tcMar>
              <w:left w:w="58" w:type="dxa"/>
              <w:right w:w="58" w:type="dxa"/>
            </w:tcMar>
            <w:vAlign w:val="center"/>
            <w:hideMark/>
          </w:tcPr>
          <w:p w14:paraId="404116C4"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236" w:type="dxa"/>
            <w:tcBorders>
              <w:top w:val="single" w:sz="4" w:space="0" w:color="auto"/>
              <w:bottom w:val="single" w:sz="4" w:space="0" w:color="auto"/>
            </w:tcBorders>
            <w:shd w:val="clear" w:color="auto" w:fill="auto"/>
            <w:tcMar>
              <w:left w:w="58" w:type="dxa"/>
              <w:right w:w="58" w:type="dxa"/>
            </w:tcMar>
            <w:vAlign w:val="center"/>
            <w:hideMark/>
          </w:tcPr>
          <w:p w14:paraId="404116C5"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c>
          <w:tcPr>
            <w:tcW w:w="632" w:type="dxa"/>
            <w:gridSpan w:val="3"/>
            <w:tcBorders>
              <w:top w:val="single" w:sz="4" w:space="0" w:color="auto"/>
              <w:bottom w:val="single" w:sz="4" w:space="0" w:color="auto"/>
            </w:tcBorders>
            <w:shd w:val="clear" w:color="auto" w:fill="auto"/>
            <w:tcMar>
              <w:left w:w="58" w:type="dxa"/>
              <w:right w:w="58" w:type="dxa"/>
            </w:tcMar>
            <w:vAlign w:val="center"/>
            <w:hideMark/>
          </w:tcPr>
          <w:p w14:paraId="404116C6" w14:textId="77777777" w:rsidR="002809FB" w:rsidRPr="00152AF9" w:rsidRDefault="002809FB" w:rsidP="0049064A">
            <w:pPr>
              <w:keepNext/>
              <w:keepLines/>
              <w:jc w:val="right"/>
              <w:rPr>
                <w:rFonts w:asciiTheme="minorHAnsi" w:hAnsiTheme="minorHAnsi" w:cstheme="minorHAnsi"/>
                <w:b/>
                <w:bCs/>
                <w:color w:val="000000"/>
                <w:sz w:val="18"/>
                <w:szCs w:val="16"/>
                <w:lang w:val="es-ES"/>
              </w:rPr>
            </w:pPr>
            <w:r w:rsidRPr="00152AF9">
              <w:rPr>
                <w:rFonts w:asciiTheme="minorHAnsi" w:hAnsiTheme="minorHAnsi" w:cstheme="minorHAnsi"/>
                <w:b/>
                <w:bCs/>
                <w:color w:val="000000"/>
                <w:sz w:val="18"/>
                <w:szCs w:val="16"/>
                <w:lang w:val="es-ES"/>
              </w:rPr>
              <w:t>21</w:t>
            </w:r>
          </w:p>
        </w:tc>
        <w:tc>
          <w:tcPr>
            <w:tcW w:w="266" w:type="dxa"/>
            <w:tcBorders>
              <w:top w:val="single" w:sz="4" w:space="0" w:color="auto"/>
              <w:bottom w:val="single" w:sz="4" w:space="0" w:color="auto"/>
            </w:tcBorders>
            <w:shd w:val="clear" w:color="auto" w:fill="auto"/>
            <w:tcMar>
              <w:left w:w="58" w:type="dxa"/>
              <w:right w:w="58" w:type="dxa"/>
            </w:tcMar>
            <w:vAlign w:val="center"/>
            <w:hideMark/>
          </w:tcPr>
          <w:p w14:paraId="404116C7" w14:textId="77777777" w:rsidR="002809FB" w:rsidRPr="00152AF9" w:rsidRDefault="002809FB" w:rsidP="0049064A">
            <w:pPr>
              <w:keepNext/>
              <w:keepLines/>
              <w:jc w:val="right"/>
              <w:rPr>
                <w:rFonts w:asciiTheme="minorHAnsi" w:hAnsiTheme="minorHAnsi" w:cstheme="minorHAnsi"/>
                <w:b/>
                <w:bCs/>
                <w:color w:val="000000"/>
                <w:sz w:val="18"/>
                <w:szCs w:val="16"/>
                <w:lang w:val="es-ES" w:eastAsia="zh-CN"/>
              </w:rPr>
            </w:pPr>
          </w:p>
        </w:tc>
      </w:tr>
    </w:tbl>
    <w:p w14:paraId="404116C9" w14:textId="77777777" w:rsidR="002809FB" w:rsidRPr="005978DF" w:rsidRDefault="002809FB" w:rsidP="002809FB">
      <w:pPr>
        <w:pStyle w:val="ListParagraph"/>
        <w:tabs>
          <w:tab w:val="left" w:pos="720"/>
          <w:tab w:val="left" w:pos="2693"/>
          <w:tab w:val="left" w:pos="3182"/>
          <w:tab w:val="left" w:pos="3658"/>
          <w:tab w:val="left" w:pos="4133"/>
          <w:tab w:val="left" w:pos="4622"/>
          <w:tab w:val="left" w:pos="5098"/>
          <w:tab w:val="left" w:pos="5573"/>
          <w:tab w:val="left" w:pos="6048"/>
        </w:tabs>
        <w:spacing w:before="120" w:after="120"/>
        <w:ind w:left="0"/>
        <w:rPr>
          <w:lang w:val="es-ES"/>
        </w:rPr>
      </w:pPr>
    </w:p>
    <w:p w14:paraId="404116CA" w14:textId="77777777" w:rsidR="002809FB" w:rsidRPr="005978DF" w:rsidRDefault="002809FB" w:rsidP="002809FB">
      <w:pPr>
        <w:pStyle w:val="ListParagraph"/>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ind w:left="0"/>
        <w:rPr>
          <w:lang w:val="es-ES"/>
        </w:rPr>
      </w:pPr>
      <w:r w:rsidRPr="005978DF">
        <w:rPr>
          <w:lang w:val="es-ES"/>
        </w:rPr>
        <w:t>Los recursos relacionados con puestos en la División de Administración, Finanzas y Servicios Comerciales (AFC) se financian principalmente con los gastos de apoyo a los programas (el 13</w:t>
      </w:r>
      <w:r w:rsidR="006023BE">
        <w:rPr>
          <w:lang w:val="es-ES"/>
        </w:rPr>
        <w:t> </w:t>
      </w:r>
      <w:r w:rsidRPr="005978DF">
        <w:rPr>
          <w:lang w:val="es-ES"/>
        </w:rPr>
        <w:t>% de gastos generales con cargo al presupuesto básico y todas las contribuciones voluntarias a la Secretaría), para prestar apoyo de refuerzo a la Secretaría. Se prevé que la plantilla actual, con 16 puestos en total (1</w:t>
      </w:r>
      <w:r w:rsidR="00152AF9">
        <w:rPr>
          <w:lang w:val="es-ES"/>
        </w:rPr>
        <w:t> </w:t>
      </w:r>
      <w:r w:rsidRPr="005978DF">
        <w:rPr>
          <w:lang w:val="es-ES"/>
        </w:rPr>
        <w:t>puesto P-5, 2 P-4, 1 P-3, 12 SG), se mantendrá para el bienio 2023-2024. Además, se solicita la suma de 1</w:t>
      </w:r>
      <w:r w:rsidR="00152AF9">
        <w:rPr>
          <w:lang w:val="es-ES"/>
        </w:rPr>
        <w:t> </w:t>
      </w:r>
      <w:r w:rsidRPr="005978DF">
        <w:rPr>
          <w:lang w:val="es-ES"/>
        </w:rPr>
        <w:t>316</w:t>
      </w:r>
      <w:r w:rsidR="00152AF9">
        <w:rPr>
          <w:lang w:val="es-ES"/>
        </w:rPr>
        <w:t> </w:t>
      </w:r>
      <w:r w:rsidRPr="005978DF">
        <w:rPr>
          <w:lang w:val="es-ES"/>
        </w:rPr>
        <w:t>700 dólares para el mantenimiento de 4 puestos financiados con cargo al presupuesto básico (2</w:t>
      </w:r>
      <w:r w:rsidR="00152AF9">
        <w:rPr>
          <w:lang w:val="es-ES"/>
        </w:rPr>
        <w:t> </w:t>
      </w:r>
      <w:r w:rsidRPr="005978DF">
        <w:rPr>
          <w:lang w:val="es-ES"/>
        </w:rPr>
        <w:t>P-3 y 2 SG) y un nuevo puesto de categoría P-4. El déficit del fondo fiduciario para gastos generales (OTA) en el que ha incurrido la Secretaría desde hace más de cuatro años</w:t>
      </w:r>
      <w:r w:rsidRPr="005978DF">
        <w:rPr>
          <w:rStyle w:val="FootnoteReference"/>
          <w:lang w:val="es-ES"/>
        </w:rPr>
        <w:footnoteReference w:id="6"/>
      </w:r>
      <w:r w:rsidRPr="005978DF">
        <w:rPr>
          <w:lang w:val="es-ES"/>
        </w:rPr>
        <w:t xml:space="preserve"> ha puesto de manifiesto la necesidad de contar con un número mínimo de puestos en la División financiados con cargo al presupuesto básico. Esta opinión también fue compartida por la Junta de Auditores en su reciente auditoría de la Secretaría; en particular, que el déficit de financiación refleja una financiación inadecuada para las actividades operativas proporcionadas por la División de Administración, y que puede afectar la continuidad y la eficiencia de la labor desempeñada por la División, especialmente teniendo en cuenta que más del 80</w:t>
      </w:r>
      <w:r w:rsidR="006023BE">
        <w:rPr>
          <w:lang w:val="es-ES"/>
        </w:rPr>
        <w:t> </w:t>
      </w:r>
      <w:r w:rsidRPr="005978DF">
        <w:rPr>
          <w:lang w:val="es-ES"/>
        </w:rPr>
        <w:t>% de los puestos se financian a través de los gastos de apoyo a los programas, y que la contratación estaba congelada al 31 de diciembre de 2021. Por lo tanto, la Secretaría propone que el puesto de Oficial Administrativo (P-4) se transfiera al presupuesto básico, ya que se considera una función esencial.</w:t>
      </w:r>
    </w:p>
    <w:p w14:paraId="404116CB" w14:textId="77777777" w:rsidR="002809FB" w:rsidRPr="007F0A1D" w:rsidRDefault="002809FB" w:rsidP="002809FB">
      <w:pPr>
        <w:pStyle w:val="ListParagraph"/>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ind w:left="0"/>
        <w:rPr>
          <w:spacing w:val="-2"/>
          <w:lang w:val="es-ES"/>
        </w:rPr>
      </w:pPr>
      <w:r w:rsidRPr="007F0A1D">
        <w:rPr>
          <w:spacing w:val="-2"/>
          <w:lang w:val="es-ES"/>
        </w:rPr>
        <w:t>La suma de 4</w:t>
      </w:r>
      <w:r w:rsidR="00152AF9" w:rsidRPr="007F0A1D">
        <w:rPr>
          <w:spacing w:val="-2"/>
          <w:lang w:val="es-ES"/>
        </w:rPr>
        <w:t> </w:t>
      </w:r>
      <w:r w:rsidRPr="007F0A1D">
        <w:rPr>
          <w:spacing w:val="-2"/>
          <w:lang w:val="es-ES"/>
        </w:rPr>
        <w:t>711</w:t>
      </w:r>
      <w:r w:rsidR="00152AF9" w:rsidRPr="007F0A1D">
        <w:rPr>
          <w:spacing w:val="-2"/>
          <w:lang w:val="es-ES"/>
        </w:rPr>
        <w:t> </w:t>
      </w:r>
      <w:r w:rsidRPr="007F0A1D">
        <w:rPr>
          <w:spacing w:val="-2"/>
          <w:lang w:val="es-ES"/>
        </w:rPr>
        <w:t>900 dólares de recursos no relacionados con puestos se destinaría a gastos de personal temporario/horas extraordinarias (200</w:t>
      </w:r>
      <w:r w:rsidR="00152AF9" w:rsidRPr="007F0A1D">
        <w:rPr>
          <w:spacing w:val="-2"/>
          <w:lang w:val="es-ES"/>
        </w:rPr>
        <w:t> </w:t>
      </w:r>
      <w:r w:rsidRPr="007F0A1D">
        <w:rPr>
          <w:spacing w:val="-2"/>
          <w:lang w:val="es-ES"/>
        </w:rPr>
        <w:t>000 dólares), capacitación del personal (10</w:t>
      </w:r>
      <w:r w:rsidR="00152AF9" w:rsidRPr="007F0A1D">
        <w:rPr>
          <w:spacing w:val="-2"/>
          <w:lang w:val="es-ES"/>
        </w:rPr>
        <w:t> </w:t>
      </w:r>
      <w:r w:rsidRPr="007F0A1D">
        <w:rPr>
          <w:spacing w:val="-2"/>
          <w:lang w:val="es-ES"/>
        </w:rPr>
        <w:t>000 dólares), alquiler y gastos relacionados (2</w:t>
      </w:r>
      <w:r w:rsidR="00152AF9" w:rsidRPr="007F0A1D">
        <w:rPr>
          <w:spacing w:val="-2"/>
          <w:lang w:val="es-ES"/>
        </w:rPr>
        <w:t> </w:t>
      </w:r>
      <w:r w:rsidRPr="007F0A1D">
        <w:rPr>
          <w:spacing w:val="-2"/>
          <w:lang w:val="es-ES"/>
        </w:rPr>
        <w:t>918</w:t>
      </w:r>
      <w:r w:rsidR="00152AF9" w:rsidRPr="007F0A1D">
        <w:rPr>
          <w:spacing w:val="-2"/>
          <w:lang w:val="es-ES"/>
        </w:rPr>
        <w:t> </w:t>
      </w:r>
      <w:r w:rsidRPr="007F0A1D">
        <w:rPr>
          <w:spacing w:val="-2"/>
          <w:lang w:val="es-ES"/>
        </w:rPr>
        <w:t>700 dólares), gastos generales de funcionamiento (1</w:t>
      </w:r>
      <w:r w:rsidR="00152AF9" w:rsidRPr="007F0A1D">
        <w:rPr>
          <w:spacing w:val="-2"/>
          <w:lang w:val="es-ES"/>
        </w:rPr>
        <w:t> </w:t>
      </w:r>
      <w:r w:rsidRPr="007F0A1D">
        <w:rPr>
          <w:spacing w:val="-2"/>
          <w:lang w:val="es-ES"/>
        </w:rPr>
        <w:t>453</w:t>
      </w:r>
      <w:r w:rsidR="00152AF9" w:rsidRPr="007F0A1D">
        <w:rPr>
          <w:spacing w:val="-2"/>
          <w:lang w:val="es-ES"/>
        </w:rPr>
        <w:t> </w:t>
      </w:r>
      <w:r w:rsidRPr="007F0A1D">
        <w:rPr>
          <w:spacing w:val="-2"/>
          <w:lang w:val="es-ES"/>
        </w:rPr>
        <w:t>200 dólares) y tecnología de la información (130</w:t>
      </w:r>
      <w:r w:rsidR="00152AF9" w:rsidRPr="007F0A1D">
        <w:rPr>
          <w:spacing w:val="-2"/>
          <w:lang w:val="es-ES"/>
        </w:rPr>
        <w:t> </w:t>
      </w:r>
      <w:r w:rsidRPr="007F0A1D">
        <w:rPr>
          <w:spacing w:val="-2"/>
          <w:lang w:val="es-ES"/>
        </w:rPr>
        <w:t>000</w:t>
      </w:r>
      <w:r w:rsidR="003753E4" w:rsidRPr="007F0A1D">
        <w:rPr>
          <w:spacing w:val="-2"/>
          <w:lang w:val="es-ES"/>
        </w:rPr>
        <w:t> </w:t>
      </w:r>
      <w:r w:rsidRPr="007F0A1D">
        <w:rPr>
          <w:spacing w:val="-2"/>
          <w:lang w:val="es-ES"/>
        </w:rPr>
        <w:t>dólares) para apoyar la ejecución de los mandatos del programa. Dado que se han realizado y se realizarán inversiones considerables para mejorar la infraestructura informática de la Secretaría, se decidió separar las necesidades específicas por motivos de transparencia. Durante el período, será necesario sustituir los conmutadores de red de la Secretaría, además de cubrir los costos de las licencias de Microsoft y Umoja.</w:t>
      </w:r>
    </w:p>
    <w:p w14:paraId="404116CC" w14:textId="77777777" w:rsidR="002809FB" w:rsidRPr="005978DF" w:rsidRDefault="002809FB" w:rsidP="002809FB">
      <w:pPr>
        <w:pStyle w:val="Heading1"/>
        <w:rPr>
          <w:bCs w:val="0"/>
          <w:caps w:val="0"/>
          <w:lang w:val="es-ES"/>
        </w:rPr>
      </w:pPr>
      <w:r w:rsidRPr="005978DF">
        <w:rPr>
          <w:caps w:val="0"/>
          <w:lang w:val="es-ES"/>
        </w:rPr>
        <w:t xml:space="preserve">V. </w:t>
      </w:r>
      <w:r w:rsidRPr="005978DF">
        <w:rPr>
          <w:caps w:val="0"/>
          <w:lang w:val="es-ES"/>
        </w:rPr>
        <w:tab/>
        <w:t>PROYECTOS DE DECISIÓN</w:t>
      </w:r>
    </w:p>
    <w:p w14:paraId="404116CD"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En este documento se presentan propuestas para el programa de trabajo y el presupuesto integrados del Convenio y los Protocolos para el bienio 2023-</w:t>
      </w:r>
      <w:r w:rsidR="00152AF9">
        <w:rPr>
          <w:sz w:val="22"/>
          <w:szCs w:val="22"/>
          <w:lang w:val="es-ES"/>
        </w:rPr>
        <w:t>202</w:t>
      </w:r>
      <w:r w:rsidRPr="005978DF">
        <w:rPr>
          <w:sz w:val="22"/>
          <w:szCs w:val="22"/>
          <w:lang w:val="es-ES"/>
        </w:rPr>
        <w:t>4, con dos hipótesis para el presupuesto básico, a saber:</w:t>
      </w:r>
    </w:p>
    <w:tbl>
      <w:tblPr>
        <w:tblW w:w="9198" w:type="dxa"/>
        <w:tblInd w:w="630" w:type="dxa"/>
        <w:tblLook w:val="04A0" w:firstRow="1" w:lastRow="0" w:firstColumn="1" w:lastColumn="0" w:noHBand="0" w:noVBand="1"/>
      </w:tblPr>
      <w:tblGrid>
        <w:gridCol w:w="5148"/>
        <w:gridCol w:w="270"/>
        <w:gridCol w:w="3780"/>
      </w:tblGrid>
      <w:tr w:rsidR="002809FB" w:rsidRPr="006A6E89" w14:paraId="404116D1" w14:textId="77777777" w:rsidTr="0078158C">
        <w:trPr>
          <w:trHeight w:val="343"/>
        </w:trPr>
        <w:tc>
          <w:tcPr>
            <w:tcW w:w="5148" w:type="dxa"/>
            <w:tcBorders>
              <w:top w:val="nil"/>
              <w:left w:val="nil"/>
              <w:bottom w:val="nil"/>
              <w:right w:val="nil"/>
            </w:tcBorders>
            <w:shd w:val="clear" w:color="auto" w:fill="auto"/>
            <w:hideMark/>
          </w:tcPr>
          <w:p w14:paraId="404116CE" w14:textId="77777777" w:rsidR="002809FB" w:rsidRPr="005978DF" w:rsidRDefault="002809FB" w:rsidP="0049064A">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 xml:space="preserve">Hipótesis de crecimiento real nulo para 2023-2024 </w:t>
            </w:r>
          </w:p>
        </w:tc>
        <w:tc>
          <w:tcPr>
            <w:tcW w:w="270" w:type="dxa"/>
            <w:tcBorders>
              <w:top w:val="nil"/>
              <w:left w:val="nil"/>
              <w:bottom w:val="nil"/>
              <w:right w:val="nil"/>
            </w:tcBorders>
            <w:shd w:val="clear" w:color="auto" w:fill="auto"/>
            <w:hideMark/>
          </w:tcPr>
          <w:p w14:paraId="404116CF" w14:textId="77777777" w:rsidR="002809FB" w:rsidRPr="005978DF" w:rsidRDefault="002809FB" w:rsidP="0049064A">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p>
        </w:tc>
        <w:tc>
          <w:tcPr>
            <w:tcW w:w="3780" w:type="dxa"/>
            <w:tcBorders>
              <w:top w:val="nil"/>
              <w:left w:val="nil"/>
              <w:bottom w:val="nil"/>
              <w:right w:val="nil"/>
            </w:tcBorders>
            <w:shd w:val="clear" w:color="auto" w:fill="auto"/>
            <w:hideMark/>
          </w:tcPr>
          <w:p w14:paraId="404116D0" w14:textId="77777777" w:rsidR="002809FB" w:rsidRPr="005978DF" w:rsidRDefault="00152AF9" w:rsidP="0078158C">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Pr>
                <w:sz w:val="22"/>
                <w:szCs w:val="22"/>
                <w:lang w:val="es-ES"/>
              </w:rPr>
              <w:t>40</w:t>
            </w:r>
            <w:r w:rsidR="0078158C">
              <w:rPr>
                <w:sz w:val="22"/>
                <w:szCs w:val="22"/>
                <w:lang w:val="es-ES"/>
              </w:rPr>
              <w:t> </w:t>
            </w:r>
            <w:r>
              <w:rPr>
                <w:sz w:val="22"/>
                <w:szCs w:val="22"/>
                <w:lang w:val="es-ES"/>
              </w:rPr>
              <w:t>443,8 dólares</w:t>
            </w:r>
            <w:r w:rsidR="0078158C">
              <w:rPr>
                <w:sz w:val="22"/>
                <w:szCs w:val="22"/>
                <w:lang w:val="es-ES"/>
              </w:rPr>
              <w:t xml:space="preserve"> de los Estados Unidos</w:t>
            </w:r>
          </w:p>
        </w:tc>
      </w:tr>
      <w:tr w:rsidR="002809FB" w:rsidRPr="006A6E89" w14:paraId="404116D5" w14:textId="77777777" w:rsidTr="0078158C">
        <w:tc>
          <w:tcPr>
            <w:tcW w:w="5148" w:type="dxa"/>
            <w:tcBorders>
              <w:top w:val="nil"/>
              <w:left w:val="nil"/>
              <w:bottom w:val="nil"/>
              <w:right w:val="nil"/>
            </w:tcBorders>
            <w:shd w:val="clear" w:color="auto" w:fill="auto"/>
          </w:tcPr>
          <w:p w14:paraId="404116D2" w14:textId="77777777" w:rsidR="002809FB" w:rsidRPr="005978DF" w:rsidRDefault="002809FB" w:rsidP="0049064A">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Hipótesis de crecimiento nominal nulo para 2023-2024</w:t>
            </w:r>
          </w:p>
        </w:tc>
        <w:tc>
          <w:tcPr>
            <w:tcW w:w="270" w:type="dxa"/>
            <w:tcBorders>
              <w:top w:val="nil"/>
              <w:left w:val="nil"/>
              <w:bottom w:val="nil"/>
              <w:right w:val="nil"/>
            </w:tcBorders>
            <w:shd w:val="clear" w:color="auto" w:fill="auto"/>
          </w:tcPr>
          <w:p w14:paraId="404116D3" w14:textId="77777777" w:rsidR="002809FB" w:rsidRPr="005978DF" w:rsidRDefault="002809FB" w:rsidP="0049064A">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p>
        </w:tc>
        <w:tc>
          <w:tcPr>
            <w:tcW w:w="3780" w:type="dxa"/>
            <w:tcBorders>
              <w:top w:val="nil"/>
              <w:left w:val="nil"/>
              <w:bottom w:val="nil"/>
              <w:right w:val="nil"/>
            </w:tcBorders>
            <w:shd w:val="clear" w:color="auto" w:fill="auto"/>
          </w:tcPr>
          <w:p w14:paraId="404116D4" w14:textId="77777777" w:rsidR="002809FB" w:rsidRPr="005978DF" w:rsidRDefault="002809FB" w:rsidP="0078158C">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37</w:t>
            </w:r>
            <w:r w:rsidR="0078158C">
              <w:rPr>
                <w:sz w:val="22"/>
                <w:szCs w:val="22"/>
                <w:lang w:val="es-ES"/>
              </w:rPr>
              <w:t> </w:t>
            </w:r>
            <w:r w:rsidRPr="005978DF">
              <w:rPr>
                <w:sz w:val="22"/>
                <w:szCs w:val="22"/>
                <w:lang w:val="es-ES"/>
              </w:rPr>
              <w:t>181,2 dólares</w:t>
            </w:r>
            <w:r w:rsidR="0078158C">
              <w:rPr>
                <w:sz w:val="22"/>
                <w:szCs w:val="22"/>
                <w:lang w:val="es-ES"/>
              </w:rPr>
              <w:t xml:space="preserve"> de los Estados Unidos</w:t>
            </w:r>
          </w:p>
        </w:tc>
      </w:tr>
    </w:tbl>
    <w:p w14:paraId="404116D6"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lastRenderedPageBreak/>
        <w:t>Como se señala en el párrafo 9, los proyectos de decisión para consideración de la Conferencia de las Partes figuran en la recopilación de proyectos de decisión (CBD/COP/15/2).</w:t>
      </w:r>
    </w:p>
    <w:p w14:paraId="404116D7" w14:textId="77777777" w:rsidR="002809FB" w:rsidRPr="005978DF" w:rsidRDefault="002809FB" w:rsidP="002809F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s-ES"/>
        </w:rPr>
      </w:pPr>
      <w:r w:rsidRPr="005978DF">
        <w:rPr>
          <w:sz w:val="22"/>
          <w:szCs w:val="22"/>
          <w:lang w:val="es-ES"/>
        </w:rPr>
        <w:t>Los proyectos de decisión para las correspondientes reuniones de las Partes en los Protocolos de Cartagena y de Nagoya figuran en las recopilaciones respectivas (CBD/CP/MOP/10/1/Add.5 y CBD/NP/MOP/4/1/Add.5).</w:t>
      </w:r>
    </w:p>
    <w:p w14:paraId="404116D8" w14:textId="77777777" w:rsidR="002809FB" w:rsidRPr="005978DF" w:rsidRDefault="002809FB" w:rsidP="002809FB">
      <w:pPr>
        <w:tabs>
          <w:tab w:val="left" w:pos="720"/>
          <w:tab w:val="left" w:pos="2693"/>
          <w:tab w:val="left" w:pos="3182"/>
          <w:tab w:val="left" w:pos="3658"/>
          <w:tab w:val="left" w:pos="4133"/>
          <w:tab w:val="left" w:pos="4622"/>
          <w:tab w:val="left" w:pos="5098"/>
          <w:tab w:val="left" w:pos="5573"/>
          <w:tab w:val="left" w:pos="6048"/>
        </w:tabs>
        <w:spacing w:before="120" w:after="120"/>
        <w:ind w:right="-9"/>
        <w:jc w:val="center"/>
        <w:outlineLvl w:val="0"/>
        <w:rPr>
          <w:rFonts w:asciiTheme="majorBidi" w:hAnsiTheme="majorBidi" w:cstheme="majorBidi"/>
          <w:bCs/>
          <w:i/>
          <w:iCs/>
          <w:sz w:val="22"/>
          <w:szCs w:val="22"/>
          <w:lang w:val="es-ES"/>
        </w:rPr>
      </w:pPr>
      <w:r w:rsidRPr="005978DF">
        <w:rPr>
          <w:lang w:val="es-ES"/>
        </w:rPr>
        <w:br w:type="page"/>
      </w:r>
      <w:r w:rsidRPr="005978DF">
        <w:rPr>
          <w:rFonts w:asciiTheme="majorBidi" w:hAnsiTheme="majorBidi"/>
          <w:bCs/>
          <w:i/>
          <w:iCs/>
          <w:sz w:val="22"/>
          <w:szCs w:val="22"/>
          <w:lang w:val="es-ES"/>
        </w:rPr>
        <w:lastRenderedPageBreak/>
        <w:t>Anexo I</w:t>
      </w:r>
    </w:p>
    <w:p w14:paraId="404116D9" w14:textId="77777777" w:rsidR="002809FB" w:rsidRPr="005978DF" w:rsidRDefault="002809FB" w:rsidP="002809FB">
      <w:pPr>
        <w:pStyle w:val="Heading1"/>
        <w:rPr>
          <w:lang w:val="es-ES"/>
        </w:rPr>
      </w:pPr>
      <w:r w:rsidRPr="005978DF">
        <w:rPr>
          <w:lang w:val="es-ES"/>
        </w:rPr>
        <w:tab/>
        <w:t>ORGANIGRAMA Y DISTRIBUCIÓN DE LOS PUESTOS PARA EL BIENIO 2023-2024</w:t>
      </w:r>
    </w:p>
    <w:p w14:paraId="404116DA" w14:textId="77777777" w:rsidR="002809FB" w:rsidRPr="005978DF" w:rsidRDefault="002809FB" w:rsidP="002809F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Cs w:val="22"/>
          <w:lang w:val="es-ES"/>
        </w:rPr>
      </w:pPr>
      <w:r w:rsidRPr="005978DF">
        <w:rPr>
          <w:noProof/>
          <w:lang w:val="es-ES"/>
        </w:rPr>
        <w:drawing>
          <wp:inline distT="0" distB="0" distL="0" distR="0" wp14:anchorId="40412B63" wp14:editId="40412B64">
            <wp:extent cx="5781675" cy="6961632"/>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94301" cy="6976835"/>
                    </a:xfrm>
                    <a:prstGeom prst="rect">
                      <a:avLst/>
                    </a:prstGeom>
                    <a:noFill/>
                    <a:ln>
                      <a:noFill/>
                    </a:ln>
                  </pic:spPr>
                </pic:pic>
              </a:graphicData>
            </a:graphic>
          </wp:inline>
        </w:drawing>
      </w:r>
    </w:p>
    <w:p w14:paraId="404116DB" w14:textId="77777777" w:rsidR="002809FB" w:rsidRPr="005978DF" w:rsidRDefault="002809FB" w:rsidP="002809F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lang w:val="es-ES"/>
        </w:rPr>
      </w:pPr>
    </w:p>
    <w:p w14:paraId="404116DC" w14:textId="77777777" w:rsidR="002809FB" w:rsidRPr="005978DF" w:rsidRDefault="002809FB" w:rsidP="002809F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lang w:val="es-ES"/>
        </w:rPr>
      </w:pPr>
    </w:p>
    <w:p w14:paraId="404116DD" w14:textId="77777777" w:rsidR="002809FB" w:rsidRPr="005978DF" w:rsidRDefault="002809FB" w:rsidP="002809FB">
      <w:pPr>
        <w:pStyle w:val="HCh"/>
        <w:tabs>
          <w:tab w:val="clear" w:pos="1267"/>
        </w:tabs>
        <w:ind w:right="1260" w:firstLine="9"/>
        <w:jc w:val="center"/>
        <w:rPr>
          <w:b w:val="0"/>
          <w:bCs w:val="0"/>
          <w:i/>
          <w:iCs/>
          <w:lang w:val="es-ES"/>
        </w:rPr>
      </w:pPr>
      <w:r w:rsidRPr="005978DF">
        <w:rPr>
          <w:rFonts w:asciiTheme="majorBidi" w:hAnsiTheme="majorBidi"/>
          <w:b w:val="0"/>
          <w:i/>
          <w:iCs/>
          <w:sz w:val="22"/>
          <w:szCs w:val="22"/>
          <w:lang w:val="es-ES"/>
        </w:rPr>
        <w:lastRenderedPageBreak/>
        <w:t>Anexo II</w:t>
      </w:r>
    </w:p>
    <w:p w14:paraId="404116DE" w14:textId="77777777" w:rsidR="002809FB" w:rsidRPr="005978DF" w:rsidRDefault="002809FB" w:rsidP="002809FB">
      <w:pPr>
        <w:pStyle w:val="HCh"/>
        <w:tabs>
          <w:tab w:val="clear" w:pos="1267"/>
        </w:tabs>
        <w:ind w:right="-9" w:firstLine="9"/>
        <w:jc w:val="center"/>
        <w:rPr>
          <w:rFonts w:asciiTheme="majorBidi" w:hAnsiTheme="majorBidi" w:cstheme="majorBidi"/>
          <w:sz w:val="22"/>
          <w:szCs w:val="22"/>
          <w:lang w:val="es-ES"/>
        </w:rPr>
      </w:pPr>
      <w:r w:rsidRPr="005978DF">
        <w:rPr>
          <w:rFonts w:asciiTheme="majorBidi" w:hAnsiTheme="majorBidi"/>
          <w:sz w:val="22"/>
          <w:szCs w:val="22"/>
          <w:lang w:val="es-ES"/>
        </w:rPr>
        <w:t>RESUMEN DE LAS MEDIDAS DE SEGUIMIENTO ADOPTADAS PARA IMPLEMENTAR LAS RECOMENDACIONES PERTINENTES DE LOS ÓRGANOS DE SUPERVISIÓN</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395"/>
      </w:tblGrid>
      <w:tr w:rsidR="002809FB" w:rsidRPr="006A6E89" w14:paraId="404116E1" w14:textId="77777777" w:rsidTr="0049064A">
        <w:tc>
          <w:tcPr>
            <w:tcW w:w="4950" w:type="dxa"/>
            <w:tcBorders>
              <w:top w:val="single" w:sz="6" w:space="0" w:color="auto"/>
              <w:left w:val="nil"/>
              <w:bottom w:val="nil"/>
              <w:right w:val="nil"/>
            </w:tcBorders>
            <w:shd w:val="clear" w:color="auto" w:fill="auto"/>
            <w:vAlign w:val="bottom"/>
            <w:hideMark/>
          </w:tcPr>
          <w:p w14:paraId="404116DF" w14:textId="77777777" w:rsidR="002809FB" w:rsidRPr="005978DF" w:rsidRDefault="002809FB" w:rsidP="0049064A">
            <w:pPr>
              <w:ind w:right="30"/>
              <w:textAlignment w:val="baseline"/>
              <w:rPr>
                <w:lang w:val="es-ES" w:eastAsia="zh-CN"/>
              </w:rPr>
            </w:pPr>
          </w:p>
        </w:tc>
        <w:tc>
          <w:tcPr>
            <w:tcW w:w="4395" w:type="dxa"/>
            <w:tcBorders>
              <w:top w:val="single" w:sz="6" w:space="0" w:color="auto"/>
              <w:left w:val="nil"/>
              <w:bottom w:val="nil"/>
              <w:right w:val="nil"/>
            </w:tcBorders>
            <w:shd w:val="clear" w:color="auto" w:fill="auto"/>
            <w:vAlign w:val="bottom"/>
            <w:hideMark/>
          </w:tcPr>
          <w:p w14:paraId="404116E0" w14:textId="77777777" w:rsidR="002809FB" w:rsidRPr="005978DF" w:rsidRDefault="002809FB" w:rsidP="00152AF9">
            <w:pPr>
              <w:ind w:right="30"/>
              <w:textAlignment w:val="baseline"/>
              <w:rPr>
                <w:lang w:val="es-ES"/>
              </w:rPr>
            </w:pPr>
            <w:r w:rsidRPr="005978DF">
              <w:rPr>
                <w:i/>
                <w:iCs/>
                <w:sz w:val="17"/>
                <w:szCs w:val="17"/>
                <w:lang w:val="es-ES"/>
              </w:rPr>
              <w:t>Medidas adoptadas para implementar la recomendación</w:t>
            </w:r>
            <w:r w:rsidRPr="005978DF">
              <w:rPr>
                <w:sz w:val="17"/>
                <w:szCs w:val="17"/>
                <w:lang w:val="es-ES"/>
              </w:rPr>
              <w:t> </w:t>
            </w:r>
          </w:p>
        </w:tc>
      </w:tr>
      <w:tr w:rsidR="002809FB" w:rsidRPr="005978DF" w14:paraId="404116E5" w14:textId="77777777" w:rsidTr="0049064A">
        <w:tc>
          <w:tcPr>
            <w:tcW w:w="4950" w:type="dxa"/>
            <w:tcBorders>
              <w:top w:val="nil"/>
              <w:left w:val="nil"/>
              <w:bottom w:val="nil"/>
              <w:right w:val="nil"/>
            </w:tcBorders>
            <w:shd w:val="clear" w:color="auto" w:fill="auto"/>
            <w:hideMark/>
          </w:tcPr>
          <w:p w14:paraId="404116E2" w14:textId="77777777" w:rsidR="002809FB" w:rsidRPr="005978DF" w:rsidRDefault="002809FB" w:rsidP="0049064A">
            <w:pPr>
              <w:ind w:right="30"/>
              <w:textAlignment w:val="baseline"/>
              <w:rPr>
                <w:b/>
                <w:bCs/>
                <w:sz w:val="17"/>
                <w:szCs w:val="17"/>
                <w:lang w:val="es-ES" w:eastAsia="zh-CN"/>
              </w:rPr>
            </w:pPr>
          </w:p>
          <w:p w14:paraId="404116E3" w14:textId="77777777" w:rsidR="002809FB" w:rsidRPr="005978DF" w:rsidRDefault="002809FB" w:rsidP="0049064A">
            <w:pPr>
              <w:ind w:right="30"/>
              <w:textAlignment w:val="baseline"/>
              <w:rPr>
                <w:lang w:val="es-ES"/>
              </w:rPr>
            </w:pPr>
            <w:r w:rsidRPr="005978DF">
              <w:rPr>
                <w:b/>
                <w:bCs/>
                <w:sz w:val="17"/>
                <w:szCs w:val="17"/>
                <w:lang w:val="es-ES"/>
              </w:rPr>
              <w:t>Junta de Auditores</w:t>
            </w:r>
            <w:r w:rsidRPr="005978DF">
              <w:rPr>
                <w:sz w:val="17"/>
                <w:szCs w:val="17"/>
                <w:lang w:val="es-ES"/>
              </w:rPr>
              <w:t> </w:t>
            </w:r>
            <w:r w:rsidRPr="005978DF">
              <w:rPr>
                <w:sz w:val="17"/>
                <w:szCs w:val="17"/>
                <w:lang w:val="es-ES"/>
              </w:rPr>
              <w:br/>
            </w:r>
            <w:hyperlink r:id="rId20" w:tgtFrame="_blank" w:history="1">
              <w:r w:rsidRPr="005978DF">
                <w:rPr>
                  <w:color w:val="0000FF"/>
                  <w:sz w:val="17"/>
                  <w:szCs w:val="17"/>
                  <w:u w:val="single"/>
                  <w:lang w:val="es-ES"/>
                </w:rPr>
                <w:t>A/75/5/Add.</w:t>
              </w:r>
            </w:hyperlink>
            <w:r w:rsidRPr="005978DF">
              <w:rPr>
                <w:b/>
                <w:bCs/>
                <w:sz w:val="17"/>
                <w:szCs w:val="17"/>
                <w:lang w:val="es-ES"/>
              </w:rPr>
              <w:t>7 Capítulo II</w:t>
            </w:r>
            <w:r w:rsidRPr="005978DF">
              <w:rPr>
                <w:sz w:val="17"/>
                <w:szCs w:val="17"/>
                <w:lang w:val="es-ES"/>
              </w:rPr>
              <w:t> </w:t>
            </w:r>
          </w:p>
        </w:tc>
        <w:tc>
          <w:tcPr>
            <w:tcW w:w="4395" w:type="dxa"/>
            <w:tcBorders>
              <w:top w:val="nil"/>
              <w:left w:val="nil"/>
              <w:bottom w:val="nil"/>
              <w:right w:val="nil"/>
            </w:tcBorders>
            <w:shd w:val="clear" w:color="auto" w:fill="auto"/>
            <w:hideMark/>
          </w:tcPr>
          <w:p w14:paraId="404116E4" w14:textId="77777777" w:rsidR="002809FB" w:rsidRPr="005978DF" w:rsidRDefault="002809FB" w:rsidP="0049064A">
            <w:pPr>
              <w:ind w:left="135" w:right="30"/>
              <w:textAlignment w:val="baseline"/>
              <w:rPr>
                <w:lang w:val="es-ES"/>
              </w:rPr>
            </w:pPr>
            <w:r w:rsidRPr="005978DF">
              <w:rPr>
                <w:sz w:val="17"/>
                <w:szCs w:val="17"/>
                <w:lang w:val="es-ES"/>
              </w:rPr>
              <w:t>  </w:t>
            </w:r>
          </w:p>
        </w:tc>
      </w:tr>
      <w:tr w:rsidR="002809FB" w:rsidRPr="006A6E89" w14:paraId="404116F0" w14:textId="77777777" w:rsidTr="0049064A">
        <w:tc>
          <w:tcPr>
            <w:tcW w:w="4950" w:type="dxa"/>
            <w:tcBorders>
              <w:top w:val="nil"/>
              <w:left w:val="nil"/>
              <w:bottom w:val="nil"/>
              <w:right w:val="nil"/>
            </w:tcBorders>
            <w:shd w:val="clear" w:color="auto" w:fill="auto"/>
            <w:hideMark/>
          </w:tcPr>
          <w:p w14:paraId="404116E6" w14:textId="77777777" w:rsidR="002809FB" w:rsidRPr="005978DF" w:rsidRDefault="002809FB" w:rsidP="0049064A">
            <w:pPr>
              <w:ind w:right="30"/>
              <w:textAlignment w:val="baseline"/>
              <w:rPr>
                <w:lang w:val="es-ES"/>
              </w:rPr>
            </w:pPr>
            <w:r w:rsidRPr="005978DF">
              <w:rPr>
                <w:sz w:val="17"/>
                <w:szCs w:val="17"/>
                <w:lang w:val="es-ES"/>
              </w:rPr>
              <w:t xml:space="preserve">La Junta recomienda que el PNUMA establezca la debida coordinación entre su sede y la </w:t>
            </w:r>
            <w:proofErr w:type="gramStart"/>
            <w:r w:rsidRPr="005978DF">
              <w:rPr>
                <w:sz w:val="17"/>
                <w:szCs w:val="17"/>
                <w:lang w:val="es-ES"/>
              </w:rPr>
              <w:t>Secretaria Ejecutiva</w:t>
            </w:r>
            <w:proofErr w:type="gramEnd"/>
            <w:r w:rsidRPr="005978DF">
              <w:rPr>
                <w:sz w:val="17"/>
                <w:szCs w:val="17"/>
                <w:lang w:val="es-ES"/>
              </w:rPr>
              <w:t xml:space="preserve"> del Convenio sobre la Diversidad </w:t>
            </w:r>
            <w:r w:rsidRPr="00152AF9">
              <w:rPr>
                <w:spacing w:val="-2"/>
                <w:sz w:val="17"/>
                <w:szCs w:val="17"/>
                <w:lang w:val="es-ES"/>
              </w:rPr>
              <w:t>Biológica y sus Protocolos, a fin de acordar los procedimientos que deberá</w:t>
            </w:r>
            <w:r w:rsidRPr="005978DF">
              <w:rPr>
                <w:sz w:val="17"/>
                <w:szCs w:val="17"/>
                <w:lang w:val="es-ES"/>
              </w:rPr>
              <w:t xml:space="preserve"> seguir y las responsabilidades que deberá asumir cada entidad con respecto a la prestación de servicios de secretaría a la Conferencia </w:t>
            </w:r>
            <w:r w:rsidRPr="00152AF9">
              <w:rPr>
                <w:spacing w:val="-2"/>
                <w:sz w:val="17"/>
                <w:szCs w:val="17"/>
                <w:lang w:val="es-ES"/>
              </w:rPr>
              <w:t>de las Partes en el Convenio sobre la Diversidad Biológica, incluidos los aspectos relacionados con las funciones no administrativas (párrafo</w:t>
            </w:r>
            <w:r w:rsidR="00152AF9" w:rsidRPr="00152AF9">
              <w:rPr>
                <w:spacing w:val="-2"/>
                <w:sz w:val="17"/>
                <w:szCs w:val="17"/>
                <w:lang w:val="es-ES"/>
              </w:rPr>
              <w:t> </w:t>
            </w:r>
            <w:r w:rsidRPr="00152AF9">
              <w:rPr>
                <w:spacing w:val="-2"/>
                <w:sz w:val="17"/>
                <w:szCs w:val="17"/>
                <w:lang w:val="es-ES"/>
              </w:rPr>
              <w:t>170). </w:t>
            </w:r>
          </w:p>
          <w:p w14:paraId="404116E7" w14:textId="77777777" w:rsidR="002809FB" w:rsidRPr="005978DF" w:rsidRDefault="002809FB" w:rsidP="0049064A">
            <w:pPr>
              <w:ind w:right="30"/>
              <w:textAlignment w:val="baseline"/>
              <w:rPr>
                <w:lang w:val="es-ES"/>
              </w:rPr>
            </w:pPr>
          </w:p>
          <w:p w14:paraId="404116E8" w14:textId="77777777" w:rsidR="002809FB" w:rsidRPr="005978DF" w:rsidRDefault="002809FB" w:rsidP="0049064A">
            <w:pPr>
              <w:ind w:right="30"/>
              <w:textAlignment w:val="baseline"/>
              <w:rPr>
                <w:sz w:val="17"/>
                <w:szCs w:val="17"/>
                <w:lang w:val="es-ES"/>
              </w:rPr>
            </w:pPr>
            <w:r w:rsidRPr="005978DF">
              <w:rPr>
                <w:sz w:val="17"/>
                <w:szCs w:val="17"/>
                <w:lang w:val="es-ES"/>
              </w:rPr>
              <w:t xml:space="preserve">La Junta recomienda que el PNUMA colabore con la </w:t>
            </w:r>
            <w:proofErr w:type="gramStart"/>
            <w:r w:rsidRPr="005978DF">
              <w:rPr>
                <w:sz w:val="17"/>
                <w:szCs w:val="17"/>
                <w:lang w:val="es-ES"/>
              </w:rPr>
              <w:t>Secretaria Ejecutiva</w:t>
            </w:r>
            <w:proofErr w:type="gramEnd"/>
            <w:r w:rsidRPr="005978DF">
              <w:rPr>
                <w:sz w:val="17"/>
                <w:szCs w:val="17"/>
                <w:lang w:val="es-ES"/>
              </w:rPr>
              <w:t xml:space="preserve"> del Convenio sobre la Diversidad Biológica para proponer a la Conferencia de las Partes en el Convenio sobre la Diversidad Biológica y sus Protocolos la aprobación de un memorando de entendimiento. Si se acuerda, ese instrumento deberá incluir los arreglos necesarios para que el PNUMA desempeñe las funciones de secretaría, con el fin de establecer un marco regulatorio que defina claramente las responsabilidades, las cuestiones relativas a la transparencia, las directrices y la rendición de cuentas entre las partes y los Estados Miembros (párrafo 171).</w:t>
            </w:r>
          </w:p>
          <w:p w14:paraId="404116E9" w14:textId="77777777" w:rsidR="002809FB" w:rsidRPr="005978DF" w:rsidRDefault="002809FB" w:rsidP="0049064A">
            <w:pPr>
              <w:ind w:right="30"/>
              <w:textAlignment w:val="baseline"/>
              <w:rPr>
                <w:lang w:val="es-ES" w:eastAsia="zh-CN"/>
              </w:rPr>
            </w:pPr>
          </w:p>
        </w:tc>
        <w:tc>
          <w:tcPr>
            <w:tcW w:w="4395" w:type="dxa"/>
            <w:tcBorders>
              <w:top w:val="nil"/>
              <w:left w:val="nil"/>
              <w:bottom w:val="nil"/>
              <w:right w:val="nil"/>
            </w:tcBorders>
            <w:shd w:val="clear" w:color="auto" w:fill="auto"/>
            <w:hideMark/>
          </w:tcPr>
          <w:p w14:paraId="404116EA" w14:textId="77777777" w:rsidR="002809FB" w:rsidRPr="005978DF" w:rsidRDefault="002809FB" w:rsidP="0049064A">
            <w:pPr>
              <w:ind w:left="135" w:right="30"/>
              <w:textAlignment w:val="baseline"/>
              <w:rPr>
                <w:lang w:val="es-ES"/>
              </w:rPr>
            </w:pPr>
            <w:r w:rsidRPr="005978DF">
              <w:rPr>
                <w:sz w:val="17"/>
                <w:szCs w:val="17"/>
                <w:lang w:val="es-ES"/>
              </w:rPr>
              <w:t>El PNUMA señala que las funciones y responsabilidades se establecen en los Arreglos Administrativos Revisados entre el PNUMA y el Convenio sobre la Diversidad Biológica (anexo a la decisión X/45). El PNUMA y la Secretaría tienen previsto elaborar el acuerdo de nivel de servicio una vez que se haya celebrado la parte II de la COP 15.</w:t>
            </w:r>
          </w:p>
          <w:p w14:paraId="404116EB" w14:textId="77777777" w:rsidR="002809FB" w:rsidRPr="005978DF" w:rsidRDefault="002809FB" w:rsidP="0049064A">
            <w:pPr>
              <w:ind w:left="135" w:right="30"/>
              <w:textAlignment w:val="baseline"/>
              <w:rPr>
                <w:lang w:val="es-ES"/>
              </w:rPr>
            </w:pPr>
            <w:r w:rsidRPr="005978DF">
              <w:rPr>
                <w:color w:val="D13438"/>
                <w:sz w:val="17"/>
                <w:szCs w:val="17"/>
                <w:lang w:val="es-ES"/>
              </w:rPr>
              <w:t> </w:t>
            </w:r>
          </w:p>
          <w:p w14:paraId="404116EC" w14:textId="77777777" w:rsidR="002809FB" w:rsidRPr="005978DF" w:rsidRDefault="002809FB" w:rsidP="0049064A">
            <w:pPr>
              <w:ind w:left="135" w:right="30"/>
              <w:textAlignment w:val="baseline"/>
              <w:rPr>
                <w:lang w:val="es-ES"/>
              </w:rPr>
            </w:pPr>
            <w:r w:rsidRPr="005978DF">
              <w:rPr>
                <w:sz w:val="17"/>
                <w:szCs w:val="17"/>
                <w:lang w:val="es-ES"/>
              </w:rPr>
              <w:t> </w:t>
            </w:r>
          </w:p>
          <w:p w14:paraId="404116ED" w14:textId="77777777" w:rsidR="002809FB" w:rsidRPr="005978DF" w:rsidRDefault="002809FB" w:rsidP="0049064A">
            <w:pPr>
              <w:ind w:left="135" w:right="30"/>
              <w:textAlignment w:val="baseline"/>
              <w:rPr>
                <w:lang w:val="es-ES"/>
              </w:rPr>
            </w:pPr>
            <w:r w:rsidRPr="005978DF">
              <w:rPr>
                <w:color w:val="0078D4"/>
                <w:sz w:val="17"/>
                <w:szCs w:val="17"/>
                <w:lang w:val="es-ES"/>
              </w:rPr>
              <w:t> </w:t>
            </w:r>
          </w:p>
          <w:p w14:paraId="404116EE" w14:textId="77777777" w:rsidR="002809FB" w:rsidRPr="005978DF" w:rsidRDefault="002809FB" w:rsidP="0049064A">
            <w:pPr>
              <w:ind w:left="135" w:right="30"/>
              <w:textAlignment w:val="baseline"/>
              <w:rPr>
                <w:lang w:val="es-ES"/>
              </w:rPr>
            </w:pPr>
            <w:r w:rsidRPr="005978DF">
              <w:rPr>
                <w:sz w:val="17"/>
                <w:szCs w:val="17"/>
                <w:lang w:val="es-ES"/>
              </w:rPr>
              <w:t>El PNUMA señala que las funciones y responsabilidades se establecen en los Arreglos Administrativos Revisados entre el PNUMA y el Convenio sobre la Diversidad Biológica (anexo a la decisión X/45). El PNUMA y la Secretaría tienen previsto elaborar el memorando de entendimiento una vez que se haya celebrado la parte II de la COP 15. </w:t>
            </w:r>
          </w:p>
          <w:p w14:paraId="404116EF" w14:textId="77777777" w:rsidR="002809FB" w:rsidRPr="005978DF" w:rsidRDefault="002809FB" w:rsidP="0049064A">
            <w:pPr>
              <w:ind w:left="135" w:right="30"/>
              <w:textAlignment w:val="baseline"/>
              <w:rPr>
                <w:lang w:val="es-ES" w:eastAsia="zh-CN"/>
              </w:rPr>
            </w:pPr>
          </w:p>
        </w:tc>
      </w:tr>
      <w:tr w:rsidR="002809FB" w:rsidRPr="006A6E89" w14:paraId="404116F4" w14:textId="77777777" w:rsidTr="0049064A">
        <w:tc>
          <w:tcPr>
            <w:tcW w:w="4950" w:type="dxa"/>
            <w:tcBorders>
              <w:top w:val="nil"/>
              <w:left w:val="nil"/>
              <w:bottom w:val="nil"/>
              <w:right w:val="nil"/>
            </w:tcBorders>
            <w:shd w:val="clear" w:color="auto" w:fill="auto"/>
            <w:hideMark/>
          </w:tcPr>
          <w:p w14:paraId="404116F1" w14:textId="77777777" w:rsidR="002809FB" w:rsidRPr="005978DF" w:rsidRDefault="002809FB" w:rsidP="000F4C79">
            <w:pPr>
              <w:ind w:right="30"/>
              <w:textAlignment w:val="baseline"/>
              <w:rPr>
                <w:lang w:val="es-ES"/>
              </w:rPr>
            </w:pPr>
            <w:r w:rsidRPr="005978DF">
              <w:rPr>
                <w:sz w:val="17"/>
                <w:szCs w:val="17"/>
                <w:lang w:val="es-ES"/>
              </w:rPr>
              <w:t>La Junta recomienda al PNUMA que la secretaría del Convenio sobre la Diversidad Biológica publique el informe sobre la administración del Convenio sobre la Diversidad Biológica en consonancia con las actividades declaradas en su programa de trabajo, y que presente esas actividades de conformidad con su presupuesto y su ejecución (párrafo</w:t>
            </w:r>
            <w:r w:rsidR="000F4C79">
              <w:rPr>
                <w:sz w:val="17"/>
                <w:szCs w:val="17"/>
                <w:lang w:val="es-ES"/>
              </w:rPr>
              <w:t> </w:t>
            </w:r>
            <w:r w:rsidRPr="005978DF">
              <w:rPr>
                <w:sz w:val="17"/>
                <w:szCs w:val="17"/>
                <w:lang w:val="es-ES"/>
              </w:rPr>
              <w:t>185). </w:t>
            </w:r>
          </w:p>
        </w:tc>
        <w:tc>
          <w:tcPr>
            <w:tcW w:w="4395" w:type="dxa"/>
            <w:tcBorders>
              <w:top w:val="nil"/>
              <w:left w:val="nil"/>
              <w:bottom w:val="nil"/>
              <w:right w:val="nil"/>
            </w:tcBorders>
            <w:shd w:val="clear" w:color="auto" w:fill="auto"/>
            <w:hideMark/>
          </w:tcPr>
          <w:p w14:paraId="404116F2" w14:textId="77777777" w:rsidR="002809FB" w:rsidRPr="005978DF" w:rsidRDefault="002809FB" w:rsidP="0049064A">
            <w:pPr>
              <w:ind w:left="135" w:right="30"/>
              <w:textAlignment w:val="baseline"/>
              <w:rPr>
                <w:sz w:val="17"/>
                <w:szCs w:val="17"/>
                <w:lang w:val="es-ES"/>
              </w:rPr>
            </w:pPr>
            <w:r w:rsidRPr="005978DF">
              <w:rPr>
                <w:sz w:val="17"/>
                <w:szCs w:val="17"/>
                <w:lang w:val="es-ES"/>
              </w:rPr>
              <w:t>El formato del informe bianual de la Secretaría acerca de la administración del Convenio sobre la Diversidad Biológica se ha modificado para cumplir con esta recomendación de la auditoría. La Secretaría ha elaborado un marco de presupuestación basada en los resultados (PBR), que se utiliza actualmente para la preparación del documento presupuestario de 2023-24 que se presentará a la parte II de la COP 15. Se espera que la recomendación se archive una vez que la presupuestación basada en los resultados (PBR) se haya presentado a la COP. </w:t>
            </w:r>
          </w:p>
          <w:p w14:paraId="404116F3" w14:textId="77777777" w:rsidR="002809FB" w:rsidRPr="005978DF" w:rsidRDefault="002809FB" w:rsidP="0049064A">
            <w:pPr>
              <w:ind w:left="135" w:right="30"/>
              <w:textAlignment w:val="baseline"/>
              <w:rPr>
                <w:lang w:val="es-ES" w:eastAsia="zh-CN"/>
              </w:rPr>
            </w:pPr>
          </w:p>
        </w:tc>
      </w:tr>
      <w:tr w:rsidR="002809FB" w:rsidRPr="006A6E89" w14:paraId="404116F8" w14:textId="77777777" w:rsidTr="0049064A">
        <w:tc>
          <w:tcPr>
            <w:tcW w:w="4950" w:type="dxa"/>
            <w:tcBorders>
              <w:top w:val="nil"/>
              <w:left w:val="nil"/>
              <w:bottom w:val="nil"/>
              <w:right w:val="nil"/>
            </w:tcBorders>
            <w:shd w:val="clear" w:color="auto" w:fill="auto"/>
            <w:hideMark/>
          </w:tcPr>
          <w:p w14:paraId="404116F5" w14:textId="77777777" w:rsidR="002809FB" w:rsidRPr="005978DF" w:rsidRDefault="002809FB" w:rsidP="0049064A">
            <w:pPr>
              <w:ind w:right="30"/>
              <w:textAlignment w:val="baseline"/>
              <w:rPr>
                <w:lang w:val="es-ES"/>
              </w:rPr>
            </w:pPr>
            <w:r w:rsidRPr="005978DF">
              <w:rPr>
                <w:sz w:val="17"/>
                <w:szCs w:val="17"/>
                <w:lang w:val="es-ES"/>
              </w:rPr>
              <w:t>La Junta recomienda que el PNUMA preste asistencia a la secretaría del Convenio sobre la Diversidad Biológica y coordine con ella a fin de normalizar los procesos de presentación de los informes de la secretaría, de manera que esos informes comprendan indicadores, medios de verificación, resultados y una evaluación de cada actividad que figure en el programa de trabajo (párrafo 186). </w:t>
            </w:r>
          </w:p>
        </w:tc>
        <w:tc>
          <w:tcPr>
            <w:tcW w:w="4395" w:type="dxa"/>
            <w:tcBorders>
              <w:top w:val="nil"/>
              <w:left w:val="nil"/>
              <w:bottom w:val="nil"/>
              <w:right w:val="nil"/>
            </w:tcBorders>
            <w:shd w:val="clear" w:color="auto" w:fill="auto"/>
            <w:hideMark/>
          </w:tcPr>
          <w:p w14:paraId="404116F6" w14:textId="77777777" w:rsidR="002809FB" w:rsidRPr="005978DF" w:rsidRDefault="002809FB" w:rsidP="0049064A">
            <w:pPr>
              <w:ind w:left="135" w:right="30"/>
              <w:textAlignment w:val="baseline"/>
              <w:rPr>
                <w:sz w:val="17"/>
                <w:szCs w:val="17"/>
                <w:lang w:val="es-ES"/>
              </w:rPr>
            </w:pPr>
            <w:r w:rsidRPr="005978DF">
              <w:rPr>
                <w:sz w:val="17"/>
                <w:szCs w:val="17"/>
                <w:lang w:val="es-ES"/>
              </w:rPr>
              <w:t>La Secretaría del Convenio sobre la Diversidad Biológica señala que presenta informes a la COP de acuerdo con el artículo 24 del Convenio y que recibe su mandato sobre asuntos programáticos y de presentación de informes de la COP. Se espera que la recomendación se archive una vez que la presupuestación basada en los resultados se haya presentado a la COP. </w:t>
            </w:r>
          </w:p>
          <w:p w14:paraId="404116F7" w14:textId="77777777" w:rsidR="002809FB" w:rsidRPr="005978DF" w:rsidRDefault="002809FB" w:rsidP="0049064A">
            <w:pPr>
              <w:ind w:left="135" w:right="30"/>
              <w:textAlignment w:val="baseline"/>
              <w:rPr>
                <w:lang w:val="es-ES" w:eastAsia="zh-CN"/>
              </w:rPr>
            </w:pPr>
          </w:p>
        </w:tc>
      </w:tr>
      <w:tr w:rsidR="002809FB" w:rsidRPr="006A6E89" w14:paraId="404116FB" w14:textId="77777777" w:rsidTr="0049064A">
        <w:tc>
          <w:tcPr>
            <w:tcW w:w="4950" w:type="dxa"/>
            <w:tcBorders>
              <w:top w:val="nil"/>
              <w:left w:val="nil"/>
              <w:bottom w:val="nil"/>
              <w:right w:val="nil"/>
            </w:tcBorders>
            <w:shd w:val="clear" w:color="auto" w:fill="auto"/>
            <w:hideMark/>
          </w:tcPr>
          <w:p w14:paraId="404116F9" w14:textId="77777777" w:rsidR="002809FB" w:rsidRPr="005978DF" w:rsidRDefault="002809FB" w:rsidP="0049064A">
            <w:pPr>
              <w:ind w:right="30"/>
              <w:textAlignment w:val="baseline"/>
              <w:rPr>
                <w:lang w:val="es-ES"/>
              </w:rPr>
            </w:pPr>
            <w:r w:rsidRPr="005978DF">
              <w:rPr>
                <w:sz w:val="17"/>
                <w:szCs w:val="17"/>
                <w:lang w:val="es-ES"/>
              </w:rPr>
              <w:t>La Junta recomienda que el PNUMA evalúe y corrija las donaciones contabilizadas en sus fondos fiduciarios BHL y BXL (párrafo 199).</w:t>
            </w:r>
          </w:p>
        </w:tc>
        <w:tc>
          <w:tcPr>
            <w:tcW w:w="4395" w:type="dxa"/>
            <w:tcBorders>
              <w:top w:val="nil"/>
              <w:left w:val="nil"/>
              <w:bottom w:val="nil"/>
              <w:right w:val="nil"/>
            </w:tcBorders>
            <w:shd w:val="clear" w:color="auto" w:fill="auto"/>
            <w:hideMark/>
          </w:tcPr>
          <w:p w14:paraId="404116FA" w14:textId="77777777" w:rsidR="002809FB" w:rsidRPr="005978DF" w:rsidRDefault="002809FB" w:rsidP="0049064A">
            <w:pPr>
              <w:ind w:left="135" w:right="30"/>
              <w:textAlignment w:val="baseline"/>
              <w:rPr>
                <w:lang w:val="es-ES"/>
              </w:rPr>
            </w:pPr>
            <w:r w:rsidRPr="005978DF">
              <w:rPr>
                <w:sz w:val="17"/>
                <w:szCs w:val="17"/>
                <w:lang w:val="es-ES"/>
              </w:rPr>
              <w:t>La Junta de Auditores señaló que la Secretaría debía continuar analizando y conciliando las donaciones de los fondos fiduciarios BHL y BXL. La Secretaría continuará con el análisis y la conciliación y se adoptarán las medidas necesarias para garantizar que se realicen los ajustes de corrección y se cierren todas las donaciones antes del 31 de diciembre de 2022 tras la decisión de la COP sobre el uso de los saldos de los fondos. </w:t>
            </w:r>
          </w:p>
        </w:tc>
      </w:tr>
      <w:tr w:rsidR="002809FB" w:rsidRPr="006A6E89" w14:paraId="404116FE" w14:textId="77777777" w:rsidTr="0049064A">
        <w:tc>
          <w:tcPr>
            <w:tcW w:w="4950" w:type="dxa"/>
            <w:tcBorders>
              <w:top w:val="nil"/>
              <w:left w:val="nil"/>
              <w:bottom w:val="nil"/>
              <w:right w:val="nil"/>
            </w:tcBorders>
            <w:shd w:val="clear" w:color="auto" w:fill="auto"/>
          </w:tcPr>
          <w:p w14:paraId="404116FC" w14:textId="77777777" w:rsidR="002809FB" w:rsidRPr="005978DF" w:rsidRDefault="002809FB" w:rsidP="0049064A">
            <w:pPr>
              <w:ind w:right="30"/>
              <w:textAlignment w:val="baseline"/>
              <w:rPr>
                <w:sz w:val="17"/>
                <w:szCs w:val="17"/>
                <w:lang w:val="es-ES" w:eastAsia="zh-CN"/>
              </w:rPr>
            </w:pPr>
          </w:p>
        </w:tc>
        <w:tc>
          <w:tcPr>
            <w:tcW w:w="4395" w:type="dxa"/>
            <w:tcBorders>
              <w:top w:val="nil"/>
              <w:left w:val="nil"/>
              <w:bottom w:val="nil"/>
              <w:right w:val="nil"/>
            </w:tcBorders>
            <w:shd w:val="clear" w:color="auto" w:fill="auto"/>
          </w:tcPr>
          <w:p w14:paraId="404116FD" w14:textId="77777777" w:rsidR="002809FB" w:rsidRPr="005978DF" w:rsidRDefault="002809FB" w:rsidP="0049064A">
            <w:pPr>
              <w:ind w:left="135" w:right="30"/>
              <w:textAlignment w:val="baseline"/>
              <w:rPr>
                <w:sz w:val="17"/>
                <w:szCs w:val="17"/>
                <w:lang w:val="es-ES" w:eastAsia="zh-CN"/>
              </w:rPr>
            </w:pPr>
          </w:p>
        </w:tc>
      </w:tr>
      <w:tr w:rsidR="002809FB" w:rsidRPr="006A6E89" w14:paraId="40411714" w14:textId="77777777" w:rsidTr="0049064A">
        <w:tc>
          <w:tcPr>
            <w:tcW w:w="4950" w:type="dxa"/>
            <w:tcBorders>
              <w:top w:val="nil"/>
              <w:left w:val="nil"/>
              <w:bottom w:val="nil"/>
              <w:right w:val="nil"/>
            </w:tcBorders>
            <w:shd w:val="clear" w:color="auto" w:fill="auto"/>
            <w:hideMark/>
          </w:tcPr>
          <w:p w14:paraId="404116FF" w14:textId="77777777" w:rsidR="002809FB" w:rsidRPr="005978DF" w:rsidRDefault="002809FB" w:rsidP="0049064A">
            <w:pPr>
              <w:ind w:right="30"/>
              <w:textAlignment w:val="baseline"/>
              <w:rPr>
                <w:lang w:val="es-ES"/>
              </w:rPr>
            </w:pPr>
            <w:r w:rsidRPr="005978DF">
              <w:rPr>
                <w:sz w:val="17"/>
                <w:szCs w:val="17"/>
                <w:lang w:val="es-ES"/>
              </w:rPr>
              <w:t>La Junta recomienda que el PNUMA coordine esfuerzos con la secretaría del Convenio sobre la Diversidad Biológica para adoptar las medidas necesarias a fin de cumplir con la solicitud de preparar un marco estratégico completo a largo plazo para la creación de capacidad después de 2020, de manera que ese marco se presente de conformidad con los requisitos establecidos por la Conferencia de las Partes (párrafo</w:t>
            </w:r>
            <w:r w:rsidR="000F4C79">
              <w:rPr>
                <w:sz w:val="17"/>
                <w:szCs w:val="17"/>
                <w:lang w:val="es-ES"/>
              </w:rPr>
              <w:t> </w:t>
            </w:r>
            <w:r w:rsidRPr="005978DF">
              <w:rPr>
                <w:sz w:val="17"/>
                <w:szCs w:val="17"/>
                <w:lang w:val="es-ES"/>
              </w:rPr>
              <w:t>209).</w:t>
            </w:r>
          </w:p>
          <w:p w14:paraId="40411700" w14:textId="77777777" w:rsidR="002809FB" w:rsidRPr="005978DF" w:rsidRDefault="002809FB" w:rsidP="0049064A">
            <w:pPr>
              <w:ind w:right="30"/>
              <w:textAlignment w:val="baseline"/>
              <w:rPr>
                <w:lang w:val="es-ES"/>
              </w:rPr>
            </w:pPr>
            <w:r w:rsidRPr="005978DF">
              <w:rPr>
                <w:color w:val="D13438"/>
                <w:lang w:val="es-ES"/>
              </w:rPr>
              <w:t> </w:t>
            </w:r>
          </w:p>
          <w:p w14:paraId="40411701" w14:textId="77777777" w:rsidR="002809FB" w:rsidRPr="005978DF" w:rsidRDefault="002809FB" w:rsidP="0049064A">
            <w:pPr>
              <w:ind w:right="30"/>
              <w:textAlignment w:val="baseline"/>
              <w:rPr>
                <w:lang w:val="es-ES"/>
              </w:rPr>
            </w:pPr>
            <w:r w:rsidRPr="005978DF">
              <w:rPr>
                <w:color w:val="D13438"/>
                <w:sz w:val="17"/>
                <w:szCs w:val="17"/>
                <w:lang w:val="es-ES"/>
              </w:rPr>
              <w:t> </w:t>
            </w:r>
          </w:p>
          <w:p w14:paraId="40411702" w14:textId="77777777" w:rsidR="002809FB" w:rsidRPr="005978DF" w:rsidRDefault="002809FB" w:rsidP="0049064A">
            <w:pPr>
              <w:ind w:right="30"/>
              <w:textAlignment w:val="baseline"/>
              <w:rPr>
                <w:lang w:val="es-ES"/>
              </w:rPr>
            </w:pPr>
            <w:r w:rsidRPr="005978DF">
              <w:rPr>
                <w:color w:val="D13438"/>
                <w:sz w:val="17"/>
                <w:szCs w:val="17"/>
                <w:lang w:val="es-ES"/>
              </w:rPr>
              <w:t> </w:t>
            </w:r>
          </w:p>
          <w:p w14:paraId="40411703" w14:textId="77777777" w:rsidR="002809FB" w:rsidRPr="005978DF" w:rsidRDefault="002809FB" w:rsidP="0049064A">
            <w:pPr>
              <w:ind w:right="30"/>
              <w:textAlignment w:val="baseline"/>
              <w:rPr>
                <w:lang w:val="es-ES"/>
              </w:rPr>
            </w:pPr>
            <w:r w:rsidRPr="005978DF">
              <w:rPr>
                <w:color w:val="D13438"/>
                <w:sz w:val="17"/>
                <w:szCs w:val="17"/>
                <w:lang w:val="es-ES"/>
              </w:rPr>
              <w:t> </w:t>
            </w:r>
          </w:p>
          <w:p w14:paraId="40411704" w14:textId="77777777" w:rsidR="002809FB" w:rsidRPr="005978DF" w:rsidRDefault="002809FB" w:rsidP="0049064A">
            <w:pPr>
              <w:ind w:right="30"/>
              <w:textAlignment w:val="baseline"/>
              <w:rPr>
                <w:lang w:val="es-ES" w:eastAsia="zh-CN"/>
              </w:rPr>
            </w:pPr>
          </w:p>
          <w:p w14:paraId="40411705" w14:textId="77777777" w:rsidR="002809FB" w:rsidRPr="005978DF" w:rsidRDefault="002809FB" w:rsidP="0049064A">
            <w:pPr>
              <w:ind w:right="30"/>
              <w:textAlignment w:val="baseline"/>
              <w:rPr>
                <w:sz w:val="17"/>
                <w:szCs w:val="17"/>
                <w:lang w:val="es-ES"/>
              </w:rPr>
            </w:pPr>
          </w:p>
          <w:p w14:paraId="40411706" w14:textId="77777777" w:rsidR="002809FB" w:rsidRPr="005978DF" w:rsidRDefault="002809FB" w:rsidP="0049064A">
            <w:pPr>
              <w:ind w:right="30"/>
              <w:textAlignment w:val="baseline"/>
              <w:rPr>
                <w:sz w:val="17"/>
                <w:szCs w:val="17"/>
                <w:lang w:val="es-ES"/>
              </w:rPr>
            </w:pPr>
          </w:p>
          <w:p w14:paraId="40411707" w14:textId="77777777" w:rsidR="002809FB" w:rsidRPr="005978DF" w:rsidRDefault="002809FB" w:rsidP="0049064A">
            <w:pPr>
              <w:ind w:right="30"/>
              <w:textAlignment w:val="baseline"/>
              <w:rPr>
                <w:lang w:val="es-ES"/>
              </w:rPr>
            </w:pPr>
            <w:r w:rsidRPr="005978DF">
              <w:rPr>
                <w:sz w:val="17"/>
                <w:szCs w:val="17"/>
                <w:lang w:val="es-ES"/>
              </w:rPr>
              <w:t>La Junta recomienda que el PNUMA preste asistencia a la secretaría del Convenio sobre la Diversidad Biológica y colabore con ella para coordinar con la Conferencia de las Partes en el Convenio el ajuste del programa de trabajo y la solicitud presupuestaria, con el fin de evaluar y aplicar un plan de trabajo más realista para la secretaría de conformidad con los recursos disponibles (párrafo 219).</w:t>
            </w:r>
          </w:p>
          <w:p w14:paraId="40411708" w14:textId="77777777" w:rsidR="002809FB" w:rsidRPr="005978DF" w:rsidRDefault="002809FB" w:rsidP="0049064A">
            <w:pPr>
              <w:ind w:right="30"/>
              <w:textAlignment w:val="baseline"/>
              <w:rPr>
                <w:lang w:val="es-ES" w:eastAsia="zh-CN"/>
              </w:rPr>
            </w:pPr>
          </w:p>
          <w:p w14:paraId="40411709" w14:textId="77777777" w:rsidR="002809FB" w:rsidRPr="005978DF" w:rsidRDefault="002809FB" w:rsidP="0049064A">
            <w:pPr>
              <w:ind w:right="30"/>
              <w:textAlignment w:val="baseline"/>
              <w:rPr>
                <w:lang w:val="es-ES" w:eastAsia="zh-CN"/>
              </w:rPr>
            </w:pPr>
          </w:p>
          <w:p w14:paraId="4041170A" w14:textId="77777777" w:rsidR="002809FB" w:rsidRPr="005978DF" w:rsidRDefault="002809FB" w:rsidP="0049064A">
            <w:pPr>
              <w:ind w:right="30"/>
              <w:textAlignment w:val="baseline"/>
              <w:rPr>
                <w:sz w:val="17"/>
                <w:szCs w:val="17"/>
                <w:lang w:val="es-ES"/>
              </w:rPr>
            </w:pPr>
          </w:p>
          <w:p w14:paraId="4041170B" w14:textId="77777777" w:rsidR="002809FB" w:rsidRPr="005978DF" w:rsidRDefault="002809FB" w:rsidP="0049064A">
            <w:pPr>
              <w:ind w:right="30"/>
              <w:textAlignment w:val="baseline"/>
              <w:rPr>
                <w:sz w:val="17"/>
                <w:szCs w:val="17"/>
                <w:lang w:val="es-ES"/>
              </w:rPr>
            </w:pPr>
          </w:p>
          <w:p w14:paraId="4041170C" w14:textId="77777777" w:rsidR="002809FB" w:rsidRPr="005978DF" w:rsidRDefault="002809FB" w:rsidP="0049064A">
            <w:pPr>
              <w:ind w:right="30"/>
              <w:textAlignment w:val="baseline"/>
              <w:rPr>
                <w:lang w:val="es-ES"/>
              </w:rPr>
            </w:pPr>
            <w:r w:rsidRPr="005978DF">
              <w:rPr>
                <w:sz w:val="17"/>
                <w:szCs w:val="17"/>
                <w:lang w:val="es-ES"/>
              </w:rPr>
              <w:t>La Junta recomienda que el PNUMA preste asistencia a la secretaría del Convenio sobre la Diversidad Biológica y colabore con ella para coordinar con la Conferencia de las Partes la inclusión de las contribuciones voluntarias en la solicitud presupuestaria de manera que se muestren los recursos necesarios para cumplir las decisiones de la Conferencia de las Partes (párrafo 220).</w:t>
            </w:r>
          </w:p>
          <w:p w14:paraId="4041170D" w14:textId="77777777" w:rsidR="002809FB" w:rsidRPr="005978DF" w:rsidRDefault="002809FB" w:rsidP="0049064A">
            <w:pPr>
              <w:ind w:right="30"/>
              <w:textAlignment w:val="baseline"/>
              <w:rPr>
                <w:lang w:val="es-ES" w:eastAsia="zh-CN"/>
              </w:rPr>
            </w:pPr>
          </w:p>
        </w:tc>
        <w:tc>
          <w:tcPr>
            <w:tcW w:w="4395" w:type="dxa"/>
            <w:tcBorders>
              <w:top w:val="nil"/>
              <w:left w:val="nil"/>
              <w:bottom w:val="nil"/>
              <w:right w:val="nil"/>
            </w:tcBorders>
            <w:shd w:val="clear" w:color="auto" w:fill="auto"/>
            <w:hideMark/>
          </w:tcPr>
          <w:p w14:paraId="4041170E" w14:textId="77777777" w:rsidR="002809FB" w:rsidRPr="005978DF" w:rsidRDefault="002809FB" w:rsidP="0049064A">
            <w:pPr>
              <w:ind w:left="120" w:right="30"/>
              <w:textAlignment w:val="baseline"/>
              <w:rPr>
                <w:lang w:val="es-ES"/>
              </w:rPr>
            </w:pPr>
            <w:r w:rsidRPr="005978DF">
              <w:rPr>
                <w:sz w:val="17"/>
                <w:szCs w:val="17"/>
                <w:lang w:val="es-ES"/>
              </w:rPr>
              <w:lastRenderedPageBreak/>
              <w:t>La Secretaría del Convenio sobre la Diversidad Biológica y la División de Derecho del PNUMA tomarán las medidas necesarias para garantizar la conformidad con las decisiones de la Conferencia de las Partes. Se espera que el marco estratégico a largo plazo para la creación y el desarrollo de capacidades en apoyo de la implementación del marco mundial de la diversidad biológica posterior a 2020, aprobado por la tercera reunión del Órgano Subsidiario sobre la Aplicación (</w:t>
            </w:r>
            <w:r w:rsidR="006023BE">
              <w:rPr>
                <w:sz w:val="17"/>
                <w:szCs w:val="17"/>
                <w:lang w:val="es-ES"/>
              </w:rPr>
              <w:t>a</w:t>
            </w:r>
            <w:r w:rsidRPr="005978DF">
              <w:rPr>
                <w:sz w:val="17"/>
                <w:szCs w:val="17"/>
                <w:lang w:val="es-ES"/>
              </w:rPr>
              <w:t>nexo 1 del documento CBD/SBI/3/L.13), se adopte durante la parte II de la COP 15, en el tercer trimestre de 2022. La recomendación se archivará una vez que se haya completado la estrategia a largo plazo en la parte II de la COP</w:t>
            </w:r>
            <w:r w:rsidR="000F4C79">
              <w:rPr>
                <w:sz w:val="17"/>
                <w:szCs w:val="17"/>
                <w:lang w:val="es-ES"/>
              </w:rPr>
              <w:t> </w:t>
            </w:r>
            <w:r w:rsidRPr="005978DF">
              <w:rPr>
                <w:sz w:val="17"/>
                <w:szCs w:val="17"/>
                <w:lang w:val="es-ES"/>
              </w:rPr>
              <w:t>15. </w:t>
            </w:r>
          </w:p>
          <w:p w14:paraId="4041170F" w14:textId="77777777" w:rsidR="002809FB" w:rsidRPr="005978DF" w:rsidRDefault="002809FB" w:rsidP="0049064A">
            <w:pPr>
              <w:ind w:left="120" w:right="30"/>
              <w:textAlignment w:val="baseline"/>
              <w:rPr>
                <w:lang w:val="es-ES"/>
              </w:rPr>
            </w:pPr>
            <w:r w:rsidRPr="005978DF">
              <w:rPr>
                <w:color w:val="D13438"/>
                <w:sz w:val="17"/>
                <w:szCs w:val="17"/>
                <w:lang w:val="es-ES"/>
              </w:rPr>
              <w:lastRenderedPageBreak/>
              <w:t> </w:t>
            </w:r>
          </w:p>
          <w:p w14:paraId="40411710" w14:textId="77777777" w:rsidR="002809FB" w:rsidRPr="005978DF" w:rsidRDefault="002809FB" w:rsidP="0049064A">
            <w:pPr>
              <w:ind w:left="120" w:right="30"/>
              <w:textAlignment w:val="baseline"/>
              <w:rPr>
                <w:lang w:val="es-ES"/>
              </w:rPr>
            </w:pPr>
            <w:r w:rsidRPr="005978DF">
              <w:rPr>
                <w:sz w:val="17"/>
                <w:szCs w:val="17"/>
                <w:lang w:val="es-ES"/>
              </w:rPr>
              <w:t>El formato del informe bianual de la Secretaría del Convenio sobre la Diversidad Biológica acerca de la administración del Convenio sobre la Diversidad Biológica se ha modificado para cumplir con esta recomendación de auditoría. El Convenio sobre la Diversidad Biológica ha preparado un documento informativo acerca de la armonización necesaria entre los recursos y el programa de trabajo. Dado que el programa de trabajo y el formato del presupuesto ya se están utilizando, el PNUMA ha solicitado que se archive esta recomendación.</w:t>
            </w:r>
          </w:p>
          <w:p w14:paraId="40411711" w14:textId="77777777" w:rsidR="002809FB" w:rsidRPr="005978DF" w:rsidRDefault="002809FB" w:rsidP="0049064A">
            <w:pPr>
              <w:ind w:left="120" w:right="30"/>
              <w:textAlignment w:val="baseline"/>
              <w:rPr>
                <w:lang w:val="es-ES" w:eastAsia="zh-CN"/>
              </w:rPr>
            </w:pPr>
          </w:p>
          <w:p w14:paraId="40411712" w14:textId="77777777" w:rsidR="002809FB" w:rsidRPr="005978DF" w:rsidRDefault="002809FB" w:rsidP="0049064A">
            <w:pPr>
              <w:ind w:left="120" w:right="30"/>
              <w:textAlignment w:val="baseline"/>
              <w:rPr>
                <w:lang w:val="es-ES"/>
              </w:rPr>
            </w:pPr>
            <w:r w:rsidRPr="005978DF">
              <w:rPr>
                <w:sz w:val="17"/>
                <w:szCs w:val="17"/>
                <w:lang w:val="es-ES"/>
              </w:rPr>
              <w:t>El presupuesto por programas de la Secretaría del Convenio sobre la Diversidad Biológica para el bienio 2023-24 utiliza el formato del presupuesto por programas del PNUMA para 2018-19, según lo solicitado por las Partes en la decisión 14/37 de la COP. Este formato requiere que las contribuciones voluntarias se incluyan en la presentación del presupuesto de manera que se reflejen los recursos necesarios para aplicar las decisiones de la Conferencia de las Partes. Dado que el programa de trabajo y el formato del presupuesto ya se están utilizando, el PNUMA ha solicitado que se archive esta recomendación.</w:t>
            </w:r>
          </w:p>
          <w:p w14:paraId="40411713" w14:textId="77777777" w:rsidR="002809FB" w:rsidRPr="005978DF" w:rsidRDefault="002809FB" w:rsidP="0049064A">
            <w:pPr>
              <w:ind w:left="120" w:right="30"/>
              <w:textAlignment w:val="baseline"/>
              <w:rPr>
                <w:lang w:val="es-ES"/>
              </w:rPr>
            </w:pPr>
            <w:r w:rsidRPr="005978DF">
              <w:rPr>
                <w:color w:val="D13438"/>
                <w:sz w:val="17"/>
                <w:szCs w:val="17"/>
                <w:lang w:val="es-ES"/>
              </w:rPr>
              <w:t> </w:t>
            </w:r>
          </w:p>
        </w:tc>
      </w:tr>
      <w:tr w:rsidR="002809FB" w:rsidRPr="006A6E89" w14:paraId="4041171E" w14:textId="77777777" w:rsidTr="0049064A">
        <w:tc>
          <w:tcPr>
            <w:tcW w:w="4950" w:type="dxa"/>
            <w:tcBorders>
              <w:top w:val="nil"/>
              <w:left w:val="nil"/>
              <w:bottom w:val="nil"/>
              <w:right w:val="nil"/>
            </w:tcBorders>
            <w:shd w:val="clear" w:color="auto" w:fill="auto"/>
            <w:hideMark/>
          </w:tcPr>
          <w:p w14:paraId="40411715" w14:textId="77777777" w:rsidR="002809FB" w:rsidRPr="005978DF" w:rsidRDefault="002809FB" w:rsidP="0049064A">
            <w:pPr>
              <w:ind w:right="30"/>
              <w:textAlignment w:val="baseline"/>
              <w:rPr>
                <w:lang w:val="es-ES"/>
              </w:rPr>
            </w:pPr>
            <w:r w:rsidRPr="005978DF">
              <w:rPr>
                <w:color w:val="D13438"/>
                <w:sz w:val="17"/>
                <w:szCs w:val="17"/>
                <w:lang w:val="es-ES"/>
              </w:rPr>
              <w:lastRenderedPageBreak/>
              <w:t> </w:t>
            </w:r>
          </w:p>
          <w:p w14:paraId="40411716" w14:textId="77777777" w:rsidR="002809FB" w:rsidRPr="005978DF" w:rsidRDefault="002809FB" w:rsidP="0049064A">
            <w:pPr>
              <w:ind w:right="30"/>
              <w:textAlignment w:val="baseline"/>
              <w:rPr>
                <w:lang w:val="es-ES"/>
              </w:rPr>
            </w:pPr>
            <w:r w:rsidRPr="005978DF">
              <w:rPr>
                <w:sz w:val="17"/>
                <w:szCs w:val="17"/>
                <w:lang w:val="es-ES"/>
              </w:rPr>
              <w:t>La Junta recomienda que el PNUMA preste asistencia a la secretaría del Convenio sobre la Diversidad Biológica y colabore con ella para coordinar con la Conferencia de las Partes en el Convenio y convenir la aplicación de un mecanismo de movilización de recursos más eficaz para la secretaría (párrafo 221).</w:t>
            </w:r>
          </w:p>
          <w:p w14:paraId="40411717" w14:textId="77777777" w:rsidR="002809FB" w:rsidRPr="005978DF" w:rsidRDefault="002809FB" w:rsidP="0049064A">
            <w:pPr>
              <w:ind w:right="30"/>
              <w:textAlignment w:val="baseline"/>
              <w:rPr>
                <w:lang w:val="es-ES" w:eastAsia="zh-CN"/>
              </w:rPr>
            </w:pPr>
          </w:p>
          <w:p w14:paraId="40411718" w14:textId="77777777" w:rsidR="002809FB" w:rsidRPr="005978DF" w:rsidRDefault="002809FB" w:rsidP="0049064A">
            <w:pPr>
              <w:ind w:right="30"/>
              <w:textAlignment w:val="baseline"/>
              <w:rPr>
                <w:sz w:val="17"/>
                <w:szCs w:val="17"/>
                <w:lang w:val="es-ES"/>
              </w:rPr>
            </w:pPr>
          </w:p>
          <w:p w14:paraId="40411719" w14:textId="77777777" w:rsidR="002809FB" w:rsidRPr="005978DF" w:rsidRDefault="002809FB" w:rsidP="0049064A">
            <w:pPr>
              <w:ind w:right="30"/>
              <w:textAlignment w:val="baseline"/>
              <w:rPr>
                <w:lang w:val="es-ES"/>
              </w:rPr>
            </w:pPr>
            <w:r w:rsidRPr="005978DF">
              <w:rPr>
                <w:sz w:val="17"/>
                <w:szCs w:val="17"/>
                <w:lang w:val="es-ES"/>
              </w:rPr>
              <w:t>La Junta recomienda que el PNUMA vele por que los contratos contengan toda la información necesaria para que se pueda reconocer qué departamento firma el contrato y qué consultores y contratistas particulares han sido contratados en la secretaría del Convenio sobre la Diversidad Biológica (párrafo 256). </w:t>
            </w:r>
          </w:p>
        </w:tc>
        <w:tc>
          <w:tcPr>
            <w:tcW w:w="4395" w:type="dxa"/>
            <w:tcBorders>
              <w:top w:val="nil"/>
              <w:left w:val="nil"/>
              <w:bottom w:val="nil"/>
              <w:right w:val="nil"/>
            </w:tcBorders>
            <w:shd w:val="clear" w:color="auto" w:fill="auto"/>
            <w:hideMark/>
          </w:tcPr>
          <w:p w14:paraId="4041171A" w14:textId="77777777" w:rsidR="002809FB" w:rsidRPr="005978DF" w:rsidRDefault="002809FB" w:rsidP="0049064A">
            <w:pPr>
              <w:ind w:left="165" w:right="30"/>
              <w:textAlignment w:val="baseline"/>
              <w:rPr>
                <w:lang w:val="es-ES" w:eastAsia="zh-CN"/>
              </w:rPr>
            </w:pPr>
          </w:p>
          <w:p w14:paraId="4041171B" w14:textId="77777777" w:rsidR="002809FB" w:rsidRPr="005978DF" w:rsidRDefault="002809FB" w:rsidP="0049064A">
            <w:pPr>
              <w:ind w:left="165" w:right="30"/>
              <w:textAlignment w:val="baseline"/>
              <w:rPr>
                <w:sz w:val="17"/>
                <w:szCs w:val="17"/>
                <w:lang w:val="es-ES"/>
              </w:rPr>
            </w:pPr>
            <w:r w:rsidRPr="005978DF">
              <w:rPr>
                <w:sz w:val="17"/>
                <w:szCs w:val="17"/>
                <w:lang w:val="es-ES"/>
              </w:rPr>
              <w:t>El PNUMA ha recibido la aclaración de que no tiene una función de coordinación directa en relación con el mecanismo de movilización de recursos para la secretaría y, por lo tanto, esta recomendación no es aplicable y s</w:t>
            </w:r>
            <w:r w:rsidR="000F4C79">
              <w:rPr>
                <w:sz w:val="17"/>
                <w:szCs w:val="17"/>
                <w:lang w:val="es-ES"/>
              </w:rPr>
              <w:t>e ha solicitado que se archive.</w:t>
            </w:r>
          </w:p>
          <w:p w14:paraId="4041171C" w14:textId="77777777" w:rsidR="002809FB" w:rsidRPr="005978DF" w:rsidRDefault="002809FB" w:rsidP="0049064A">
            <w:pPr>
              <w:ind w:left="165" w:right="30"/>
              <w:textAlignment w:val="baseline"/>
              <w:rPr>
                <w:lang w:val="es-ES" w:eastAsia="zh-CN"/>
              </w:rPr>
            </w:pPr>
          </w:p>
          <w:p w14:paraId="4041171D" w14:textId="77777777" w:rsidR="002809FB" w:rsidRPr="005978DF" w:rsidRDefault="002809FB" w:rsidP="0049064A">
            <w:pPr>
              <w:ind w:left="165" w:right="30"/>
              <w:textAlignment w:val="baseline"/>
              <w:rPr>
                <w:lang w:val="es-ES"/>
              </w:rPr>
            </w:pPr>
            <w:r w:rsidRPr="005978DF">
              <w:rPr>
                <w:sz w:val="17"/>
                <w:szCs w:val="17"/>
                <w:lang w:val="es-ES"/>
              </w:rPr>
              <w:t>La Secretaría ha trabajado con el equipo de Umoja para abordar esta cuestión y el asunto se ha resuelto. Esta recomendación sigue en proceso de implementación, ya que el PNUMA debe establecer un mecanismo de coordinación adecuado con respecto a las funciones de Umoja para atender los requisitos de esta recomendación y proporcionar actualizaciones de su implementación en futuras auditorías. Sin embargo, debido a exigencias contrapuestas, el Equipo de UMOJA no ha podido dar suficiente prioridad a esta tarea, por lo que su aplicación escapa al control de la Secretaría o del PNUMA.   </w:t>
            </w:r>
          </w:p>
        </w:tc>
      </w:tr>
    </w:tbl>
    <w:p w14:paraId="4041171F" w14:textId="77777777" w:rsidR="002809FB" w:rsidRPr="005978DF" w:rsidRDefault="002809FB" w:rsidP="002809FB">
      <w:pPr>
        <w:pStyle w:val="HCh"/>
        <w:ind w:left="1264" w:right="1259" w:hanging="1264"/>
        <w:outlineLvl w:val="9"/>
        <w:rPr>
          <w:rFonts w:asciiTheme="majorBidi" w:hAnsiTheme="majorBidi" w:cstheme="majorBidi"/>
          <w:sz w:val="22"/>
          <w:szCs w:val="22"/>
          <w:lang w:val="es-ES"/>
        </w:rPr>
      </w:pPr>
    </w:p>
    <w:p w14:paraId="40411720" w14:textId="77777777" w:rsidR="002809FB" w:rsidRPr="005978DF" w:rsidRDefault="002809FB" w:rsidP="002809FB">
      <w:pPr>
        <w:rPr>
          <w:rFonts w:asciiTheme="majorBidi" w:eastAsia="Calibri" w:hAnsiTheme="majorBidi" w:cstheme="majorBidi"/>
          <w:b/>
          <w:spacing w:val="-2"/>
          <w:w w:val="103"/>
          <w:kern w:val="14"/>
          <w:szCs w:val="22"/>
          <w:lang w:val="es-ES"/>
        </w:rPr>
      </w:pPr>
      <w:r w:rsidRPr="005978DF">
        <w:rPr>
          <w:lang w:val="es-ES"/>
        </w:rPr>
        <w:br w:type="page"/>
      </w:r>
    </w:p>
    <w:p w14:paraId="40411721" w14:textId="77777777" w:rsidR="002809FB" w:rsidRPr="005978DF" w:rsidRDefault="002809FB" w:rsidP="002809FB">
      <w:pPr>
        <w:pStyle w:val="Heading1"/>
        <w:rPr>
          <w:b w:val="0"/>
          <w:bCs w:val="0"/>
          <w:i/>
          <w:iCs/>
          <w:lang w:val="es-ES"/>
        </w:rPr>
      </w:pPr>
      <w:r w:rsidRPr="005978DF">
        <w:rPr>
          <w:b w:val="0"/>
          <w:i/>
          <w:iCs/>
          <w:lang w:val="es-ES"/>
        </w:rPr>
        <w:lastRenderedPageBreak/>
        <w:t>A</w:t>
      </w:r>
      <w:r w:rsidRPr="005978DF">
        <w:rPr>
          <w:b w:val="0"/>
          <w:i/>
          <w:iCs/>
          <w:caps w:val="0"/>
          <w:lang w:val="es-ES"/>
        </w:rPr>
        <w:t>nexo</w:t>
      </w:r>
      <w:r w:rsidR="000F4C79">
        <w:rPr>
          <w:b w:val="0"/>
          <w:i/>
          <w:iCs/>
          <w:lang w:val="es-ES"/>
        </w:rPr>
        <w:t xml:space="preserve"> III</w:t>
      </w:r>
    </w:p>
    <w:p w14:paraId="40411722" w14:textId="77777777" w:rsidR="002809FB" w:rsidRPr="005978DF" w:rsidRDefault="002809FB" w:rsidP="002809FB">
      <w:pPr>
        <w:pStyle w:val="Heading1"/>
        <w:rPr>
          <w:rFonts w:asciiTheme="majorBidi" w:hAnsiTheme="majorBidi" w:cstheme="majorBidi"/>
          <w:lang w:val="es-ES"/>
        </w:rPr>
      </w:pPr>
      <w:r w:rsidRPr="005978DF">
        <w:rPr>
          <w:lang w:val="es-ES"/>
        </w:rPr>
        <w:t>Contribuciones al Fondo Fiduciario para el Convenio sobre la Diversidad Biológica y sus Protocolos para 2023</w:t>
      </w:r>
    </w:p>
    <w:p w14:paraId="40411723" w14:textId="77777777" w:rsidR="002809FB" w:rsidRPr="005978DF" w:rsidRDefault="002809FB" w:rsidP="002809FB">
      <w:pPr>
        <w:pStyle w:val="Heading2"/>
        <w:rPr>
          <w:rFonts w:eastAsia="Calibri"/>
          <w:lang w:val="es-ES"/>
        </w:rPr>
      </w:pPr>
      <w:r w:rsidRPr="005978DF">
        <w:rPr>
          <w:lang w:val="es-ES"/>
        </w:rPr>
        <w:t>A.</w:t>
      </w:r>
      <w:r w:rsidRPr="005978DF">
        <w:rPr>
          <w:lang w:val="es-ES"/>
        </w:rPr>
        <w:tab/>
        <w:t>Fondo Fiduciario para el Convenio sobre la Diversidad Biológica</w:t>
      </w:r>
    </w:p>
    <w:p w14:paraId="40411724" w14:textId="77777777" w:rsidR="002809FB" w:rsidRPr="005978DF" w:rsidRDefault="002809FB" w:rsidP="002809FB">
      <w:pPr>
        <w:rPr>
          <w:rFonts w:eastAsia="Calibri"/>
          <w:lang w:val="es-ES"/>
        </w:rPr>
      </w:pPr>
    </w:p>
    <w:tbl>
      <w:tblPr>
        <w:tblW w:w="5263" w:type="pct"/>
        <w:tblInd w:w="-572" w:type="dxa"/>
        <w:tblLayout w:type="fixed"/>
        <w:tblCellMar>
          <w:top w:w="15" w:type="dxa"/>
          <w:bottom w:w="15" w:type="dxa"/>
        </w:tblCellMar>
        <w:tblLook w:val="04A0" w:firstRow="1" w:lastRow="0" w:firstColumn="1" w:lastColumn="0" w:noHBand="0" w:noVBand="1"/>
      </w:tblPr>
      <w:tblGrid>
        <w:gridCol w:w="1291"/>
        <w:gridCol w:w="1224"/>
        <w:gridCol w:w="1377"/>
        <w:gridCol w:w="267"/>
        <w:gridCol w:w="1564"/>
        <w:gridCol w:w="1532"/>
        <w:gridCol w:w="308"/>
        <w:gridCol w:w="1526"/>
        <w:gridCol w:w="1521"/>
      </w:tblGrid>
      <w:tr w:rsidR="002809FB" w:rsidRPr="005978DF" w14:paraId="4041172C" w14:textId="77777777" w:rsidTr="000F4C79">
        <w:tc>
          <w:tcPr>
            <w:tcW w:w="608" w:type="pct"/>
            <w:vMerge w:val="restart"/>
            <w:tcBorders>
              <w:top w:val="single" w:sz="4" w:space="0" w:color="auto"/>
              <w:left w:val="single" w:sz="4" w:space="0" w:color="auto"/>
              <w:bottom w:val="nil"/>
              <w:right w:val="single" w:sz="4" w:space="0" w:color="auto"/>
            </w:tcBorders>
            <w:noWrap/>
            <w:tcMar>
              <w:left w:w="58" w:type="dxa"/>
              <w:right w:w="58" w:type="dxa"/>
            </w:tcMar>
            <w:vAlign w:val="center"/>
            <w:hideMark/>
          </w:tcPr>
          <w:p w14:paraId="40411725"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País Miembro</w:t>
            </w:r>
          </w:p>
        </w:tc>
        <w:tc>
          <w:tcPr>
            <w:tcW w:w="577" w:type="pct"/>
            <w:vMerge w:val="restart"/>
            <w:tcBorders>
              <w:top w:val="single" w:sz="4" w:space="0" w:color="auto"/>
              <w:left w:val="single" w:sz="4" w:space="0" w:color="auto"/>
              <w:bottom w:val="nil"/>
              <w:right w:val="nil"/>
            </w:tcBorders>
            <w:tcMar>
              <w:left w:w="29" w:type="dxa"/>
              <w:right w:w="29" w:type="dxa"/>
            </w:tcMar>
            <w:vAlign w:val="center"/>
            <w:hideMark/>
          </w:tcPr>
          <w:p w14:paraId="40411726"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Escala de cuotas 2022-2024</w:t>
            </w:r>
          </w:p>
        </w:tc>
        <w:tc>
          <w:tcPr>
            <w:tcW w:w="649" w:type="pct"/>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727"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Escala con un límite máximo de 22</w:t>
            </w:r>
            <w:r w:rsidR="000F4C79">
              <w:rPr>
                <w:rFonts w:asciiTheme="minorHAnsi" w:hAnsiTheme="minorHAnsi" w:cstheme="minorHAnsi"/>
                <w:b/>
                <w:bCs/>
                <w:sz w:val="16"/>
                <w:szCs w:val="16"/>
                <w:lang w:val="es-ES"/>
              </w:rPr>
              <w:t> </w:t>
            </w:r>
            <w:r w:rsidRPr="000F4C79">
              <w:rPr>
                <w:rFonts w:asciiTheme="minorHAnsi" w:hAnsiTheme="minorHAnsi" w:cstheme="minorHAnsi"/>
                <w:b/>
                <w:bCs/>
                <w:sz w:val="16"/>
                <w:szCs w:val="16"/>
                <w:lang w:val="es-ES"/>
              </w:rPr>
              <w:t>%, ningún PMA paga más del 0,01</w:t>
            </w:r>
            <w:r w:rsidR="000F4C79" w:rsidRPr="000F4C79">
              <w:rPr>
                <w:rFonts w:asciiTheme="minorHAnsi" w:hAnsiTheme="minorHAnsi" w:cstheme="minorHAnsi"/>
                <w:b/>
                <w:bCs/>
                <w:sz w:val="16"/>
                <w:szCs w:val="16"/>
                <w:lang w:val="es-ES"/>
              </w:rPr>
              <w:t> </w:t>
            </w:r>
            <w:r w:rsidRPr="000F4C79">
              <w:rPr>
                <w:rFonts w:asciiTheme="minorHAnsi" w:hAnsiTheme="minorHAnsi" w:cstheme="minorHAnsi"/>
                <w:b/>
                <w:bCs/>
                <w:sz w:val="16"/>
                <w:szCs w:val="16"/>
                <w:lang w:val="es-ES"/>
              </w:rPr>
              <w:t>%</w:t>
            </w:r>
          </w:p>
        </w:tc>
        <w:tc>
          <w:tcPr>
            <w:tcW w:w="126" w:type="pct"/>
            <w:tcBorders>
              <w:top w:val="nil"/>
              <w:left w:val="nil"/>
              <w:bottom w:val="nil"/>
              <w:right w:val="nil"/>
            </w:tcBorders>
            <w:noWrap/>
            <w:tcMar>
              <w:left w:w="58" w:type="dxa"/>
              <w:right w:w="58" w:type="dxa"/>
            </w:tcMar>
            <w:vAlign w:val="center"/>
            <w:hideMark/>
          </w:tcPr>
          <w:p w14:paraId="40411728" w14:textId="77777777" w:rsidR="002809FB" w:rsidRPr="000F4C79" w:rsidRDefault="002809FB" w:rsidP="0049064A">
            <w:pPr>
              <w:jc w:val="center"/>
              <w:rPr>
                <w:rFonts w:asciiTheme="minorHAnsi" w:hAnsiTheme="minorHAnsi" w:cstheme="minorHAnsi"/>
                <w:b/>
                <w:bCs/>
                <w:sz w:val="16"/>
                <w:szCs w:val="16"/>
                <w:lang w:val="es-ES" w:eastAsia="zh-CN"/>
              </w:rPr>
            </w:pPr>
          </w:p>
        </w:tc>
        <w:tc>
          <w:tcPr>
            <w:tcW w:w="1459" w:type="pct"/>
            <w:gridSpan w:val="2"/>
            <w:tcBorders>
              <w:top w:val="single" w:sz="4" w:space="0" w:color="auto"/>
              <w:left w:val="single" w:sz="4" w:space="0" w:color="auto"/>
              <w:bottom w:val="single" w:sz="4" w:space="0" w:color="auto"/>
              <w:right w:val="nil"/>
            </w:tcBorders>
            <w:shd w:val="clear" w:color="000000" w:fill="595959"/>
            <w:noWrap/>
            <w:tcMar>
              <w:left w:w="58" w:type="dxa"/>
              <w:right w:w="58" w:type="dxa"/>
            </w:tcMar>
            <w:vAlign w:val="center"/>
            <w:hideMark/>
          </w:tcPr>
          <w:p w14:paraId="40411729" w14:textId="77777777" w:rsidR="002809FB" w:rsidRPr="000F4C79" w:rsidRDefault="002809FB" w:rsidP="0049064A">
            <w:pPr>
              <w:spacing w:before="20" w:after="20"/>
              <w:jc w:val="center"/>
              <w:rPr>
                <w:rFonts w:asciiTheme="minorHAnsi" w:hAnsiTheme="minorHAnsi" w:cstheme="minorHAnsi"/>
                <w:b/>
                <w:bCs/>
                <w:sz w:val="16"/>
                <w:szCs w:val="16"/>
                <w:lang w:val="es-ES"/>
              </w:rPr>
            </w:pPr>
            <w:r w:rsidRPr="000F4C79">
              <w:rPr>
                <w:rFonts w:asciiTheme="minorHAnsi" w:hAnsiTheme="minorHAnsi" w:cstheme="minorHAnsi"/>
                <w:b/>
                <w:bCs/>
                <w:color w:val="FFFFFF"/>
                <w:sz w:val="16"/>
                <w:szCs w:val="16"/>
                <w:lang w:val="es-ES"/>
              </w:rPr>
              <w:t>Crecimiento real nulo</w:t>
            </w:r>
          </w:p>
        </w:tc>
        <w:tc>
          <w:tcPr>
            <w:tcW w:w="145" w:type="pct"/>
            <w:tcBorders>
              <w:top w:val="nil"/>
              <w:left w:val="nil"/>
              <w:bottom w:val="nil"/>
              <w:right w:val="nil"/>
            </w:tcBorders>
            <w:noWrap/>
            <w:tcMar>
              <w:left w:w="58" w:type="dxa"/>
              <w:right w:w="58" w:type="dxa"/>
            </w:tcMar>
            <w:vAlign w:val="center"/>
            <w:hideMark/>
          </w:tcPr>
          <w:p w14:paraId="4041172A" w14:textId="77777777" w:rsidR="002809FB" w:rsidRPr="000F4C79" w:rsidRDefault="002809FB" w:rsidP="0049064A">
            <w:pPr>
              <w:spacing w:before="20" w:after="20"/>
              <w:jc w:val="center"/>
              <w:rPr>
                <w:rFonts w:asciiTheme="minorHAnsi" w:hAnsiTheme="minorHAnsi" w:cstheme="minorHAnsi"/>
                <w:b/>
                <w:bCs/>
                <w:sz w:val="16"/>
                <w:szCs w:val="16"/>
                <w:lang w:val="es-ES" w:eastAsia="zh-CN"/>
              </w:rPr>
            </w:pPr>
          </w:p>
        </w:tc>
        <w:tc>
          <w:tcPr>
            <w:tcW w:w="1437" w:type="pct"/>
            <w:gridSpan w:val="2"/>
            <w:tcBorders>
              <w:top w:val="single" w:sz="4" w:space="0" w:color="auto"/>
              <w:left w:val="single" w:sz="4" w:space="0" w:color="auto"/>
              <w:bottom w:val="single" w:sz="4" w:space="0" w:color="auto"/>
              <w:right w:val="single" w:sz="4" w:space="0" w:color="auto"/>
            </w:tcBorders>
            <w:shd w:val="clear" w:color="000000" w:fill="D9D9D9"/>
            <w:noWrap/>
            <w:tcMar>
              <w:left w:w="58" w:type="dxa"/>
              <w:right w:w="58" w:type="dxa"/>
            </w:tcMar>
            <w:vAlign w:val="center"/>
            <w:hideMark/>
          </w:tcPr>
          <w:p w14:paraId="4041172B" w14:textId="77777777" w:rsidR="002809FB" w:rsidRPr="000F4C79" w:rsidRDefault="002809FB" w:rsidP="0049064A">
            <w:pPr>
              <w:spacing w:before="20" w:after="20"/>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Crecimiento nominal nulo</w:t>
            </w:r>
          </w:p>
        </w:tc>
      </w:tr>
      <w:tr w:rsidR="002809FB" w:rsidRPr="006A6E89" w14:paraId="40411736" w14:textId="77777777" w:rsidTr="000F4C79">
        <w:tc>
          <w:tcPr>
            <w:tcW w:w="608" w:type="pct"/>
            <w:vMerge/>
            <w:tcBorders>
              <w:top w:val="single" w:sz="4" w:space="0" w:color="auto"/>
              <w:left w:val="single" w:sz="4" w:space="0" w:color="auto"/>
              <w:bottom w:val="nil"/>
              <w:right w:val="single" w:sz="4" w:space="0" w:color="auto"/>
            </w:tcBorders>
            <w:tcMar>
              <w:left w:w="58" w:type="dxa"/>
              <w:right w:w="58" w:type="dxa"/>
            </w:tcMar>
            <w:vAlign w:val="center"/>
            <w:hideMark/>
          </w:tcPr>
          <w:p w14:paraId="4041172D" w14:textId="77777777" w:rsidR="002809FB" w:rsidRPr="000F4C79" w:rsidRDefault="002809FB" w:rsidP="0049064A">
            <w:pPr>
              <w:rPr>
                <w:rFonts w:asciiTheme="minorHAnsi" w:hAnsiTheme="minorHAnsi" w:cstheme="minorHAnsi"/>
                <w:b/>
                <w:bCs/>
                <w:sz w:val="16"/>
                <w:szCs w:val="16"/>
                <w:lang w:val="es-ES" w:eastAsia="zh-CN"/>
              </w:rPr>
            </w:pPr>
          </w:p>
        </w:tc>
        <w:tc>
          <w:tcPr>
            <w:tcW w:w="577" w:type="pct"/>
            <w:vMerge/>
            <w:tcBorders>
              <w:top w:val="single" w:sz="4" w:space="0" w:color="auto"/>
              <w:left w:val="single" w:sz="4" w:space="0" w:color="auto"/>
              <w:bottom w:val="nil"/>
              <w:right w:val="nil"/>
            </w:tcBorders>
            <w:tcMar>
              <w:left w:w="58" w:type="dxa"/>
              <w:right w:w="58" w:type="dxa"/>
            </w:tcMar>
            <w:vAlign w:val="center"/>
            <w:hideMark/>
          </w:tcPr>
          <w:p w14:paraId="4041172E" w14:textId="77777777" w:rsidR="002809FB" w:rsidRPr="000F4C79" w:rsidRDefault="002809FB" w:rsidP="0049064A">
            <w:pPr>
              <w:rPr>
                <w:rFonts w:asciiTheme="minorHAnsi" w:hAnsiTheme="minorHAnsi" w:cstheme="minorHAnsi"/>
                <w:b/>
                <w:bCs/>
                <w:sz w:val="16"/>
                <w:szCs w:val="16"/>
                <w:lang w:val="es-ES" w:eastAsia="zh-CN"/>
              </w:rPr>
            </w:pPr>
          </w:p>
        </w:tc>
        <w:tc>
          <w:tcPr>
            <w:tcW w:w="649" w:type="pct"/>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72F" w14:textId="77777777" w:rsidR="002809FB" w:rsidRPr="000F4C79" w:rsidRDefault="002809FB" w:rsidP="0049064A">
            <w:pPr>
              <w:rPr>
                <w:rFonts w:asciiTheme="minorHAnsi" w:hAnsiTheme="minorHAnsi" w:cstheme="minorHAnsi"/>
                <w:b/>
                <w:bCs/>
                <w:sz w:val="16"/>
                <w:szCs w:val="16"/>
                <w:lang w:val="es-ES" w:eastAsia="zh-CN"/>
              </w:rPr>
            </w:pPr>
          </w:p>
        </w:tc>
        <w:tc>
          <w:tcPr>
            <w:tcW w:w="126" w:type="pct"/>
            <w:tcBorders>
              <w:top w:val="nil"/>
              <w:left w:val="nil"/>
              <w:bottom w:val="nil"/>
              <w:right w:val="nil"/>
            </w:tcBorders>
            <w:noWrap/>
            <w:tcMar>
              <w:left w:w="58" w:type="dxa"/>
              <w:right w:w="58" w:type="dxa"/>
            </w:tcMar>
            <w:vAlign w:val="center"/>
            <w:hideMark/>
          </w:tcPr>
          <w:p w14:paraId="40411730" w14:textId="77777777" w:rsidR="002809FB" w:rsidRPr="000F4C79" w:rsidRDefault="002809FB" w:rsidP="0049064A">
            <w:pPr>
              <w:jc w:val="center"/>
              <w:rPr>
                <w:rFonts w:asciiTheme="minorHAnsi" w:hAnsiTheme="minorHAnsi" w:cstheme="minorHAnsi"/>
                <w:b/>
                <w:bCs/>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731"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Contribuciones al 1 de enero de 2023</w:t>
            </w:r>
          </w:p>
        </w:tc>
        <w:tc>
          <w:tcPr>
            <w:tcW w:w="721" w:type="pct"/>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732"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Contribuciones al 1 de enero de 2024</w:t>
            </w:r>
          </w:p>
        </w:tc>
        <w:tc>
          <w:tcPr>
            <w:tcW w:w="145" w:type="pct"/>
            <w:tcBorders>
              <w:top w:val="nil"/>
              <w:left w:val="nil"/>
              <w:bottom w:val="nil"/>
              <w:right w:val="nil"/>
            </w:tcBorders>
            <w:noWrap/>
            <w:tcMar>
              <w:left w:w="58" w:type="dxa"/>
              <w:right w:w="58" w:type="dxa"/>
            </w:tcMar>
            <w:vAlign w:val="center"/>
            <w:hideMark/>
          </w:tcPr>
          <w:p w14:paraId="40411733" w14:textId="77777777" w:rsidR="002809FB" w:rsidRPr="000F4C79" w:rsidRDefault="002809FB" w:rsidP="0049064A">
            <w:pPr>
              <w:jc w:val="center"/>
              <w:rPr>
                <w:rFonts w:asciiTheme="minorHAnsi" w:hAnsiTheme="minorHAnsi" w:cstheme="minorHAnsi"/>
                <w:b/>
                <w:bCs/>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734"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Contribuciones al 1 de enero de 2023</w:t>
            </w:r>
          </w:p>
        </w:tc>
        <w:tc>
          <w:tcPr>
            <w:tcW w:w="717" w:type="pct"/>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735"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Contribuciones al 1 de enero de 2024</w:t>
            </w:r>
          </w:p>
        </w:tc>
      </w:tr>
      <w:tr w:rsidR="002809FB" w:rsidRPr="005978DF" w14:paraId="4041174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3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Afganistán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3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3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26" w:type="pct"/>
            <w:tcBorders>
              <w:top w:val="nil"/>
              <w:left w:val="nil"/>
              <w:bottom w:val="nil"/>
              <w:right w:val="nil"/>
            </w:tcBorders>
            <w:noWrap/>
            <w:vAlign w:val="center"/>
            <w:hideMark/>
          </w:tcPr>
          <w:p w14:paraId="4041173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3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1 006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1 000 </w:t>
            </w:r>
          </w:p>
        </w:tc>
        <w:tc>
          <w:tcPr>
            <w:tcW w:w="145" w:type="pct"/>
            <w:tcBorders>
              <w:top w:val="nil"/>
              <w:left w:val="nil"/>
              <w:bottom w:val="nil"/>
              <w:right w:val="nil"/>
            </w:tcBorders>
            <w:noWrap/>
            <w:vAlign w:val="center"/>
            <w:hideMark/>
          </w:tcPr>
          <w:p w14:paraId="4041173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3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912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917 </w:t>
            </w:r>
          </w:p>
        </w:tc>
      </w:tr>
      <w:tr w:rsidR="002809FB" w:rsidRPr="005978DF" w14:paraId="4041174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4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Albania </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4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4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74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4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74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4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75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4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Alemania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4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6,111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4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7,639</w:t>
            </w:r>
          </w:p>
        </w:tc>
        <w:tc>
          <w:tcPr>
            <w:tcW w:w="126" w:type="pct"/>
            <w:tcBorders>
              <w:top w:val="nil"/>
              <w:left w:val="nil"/>
              <w:bottom w:val="nil"/>
              <w:right w:val="nil"/>
            </w:tcBorders>
            <w:noWrap/>
            <w:vAlign w:val="center"/>
            <w:hideMark/>
          </w:tcPr>
          <w:p w14:paraId="4041174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4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1 025 094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1 018 013 </w:t>
            </w:r>
          </w:p>
        </w:tc>
        <w:tc>
          <w:tcPr>
            <w:tcW w:w="145" w:type="pct"/>
            <w:tcBorders>
              <w:top w:val="nil"/>
              <w:left w:val="nil"/>
              <w:bottom w:val="nil"/>
              <w:right w:val="nil"/>
            </w:tcBorders>
            <w:noWrap/>
            <w:vAlign w:val="center"/>
            <w:hideMark/>
          </w:tcPr>
          <w:p w14:paraId="4041175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5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929 222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934 440 </w:t>
            </w:r>
          </w:p>
        </w:tc>
      </w:tr>
      <w:tr w:rsidR="002809FB" w:rsidRPr="005978DF" w14:paraId="4041175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5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Andorra </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5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5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26" w:type="pct"/>
            <w:tcBorders>
              <w:top w:val="nil"/>
              <w:left w:val="nil"/>
              <w:bottom w:val="nil"/>
              <w:right w:val="nil"/>
            </w:tcBorders>
            <w:noWrap/>
            <w:vAlign w:val="center"/>
            <w:hideMark/>
          </w:tcPr>
          <w:p w14:paraId="4041175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5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833 </w:t>
            </w:r>
          </w:p>
        </w:tc>
        <w:tc>
          <w:tcPr>
            <w:tcW w:w="145" w:type="pct"/>
            <w:tcBorders>
              <w:top w:val="nil"/>
              <w:left w:val="nil"/>
              <w:bottom w:val="nil"/>
              <w:right w:val="nil"/>
            </w:tcBorders>
            <w:noWrap/>
            <w:vAlign w:val="center"/>
            <w:hideMark/>
          </w:tcPr>
          <w:p w14:paraId="4041175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5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765 </w:t>
            </w:r>
          </w:p>
        </w:tc>
      </w:tr>
      <w:tr w:rsidR="002809FB" w:rsidRPr="005978DF" w14:paraId="4041176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5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Angola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6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6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76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6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76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6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77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6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Antigua y Barbuda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6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6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76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6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76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7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77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7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Arabia Saudita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7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1,184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7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1,480</w:t>
            </w:r>
          </w:p>
        </w:tc>
        <w:tc>
          <w:tcPr>
            <w:tcW w:w="126" w:type="pct"/>
            <w:tcBorders>
              <w:top w:val="nil"/>
              <w:left w:val="nil"/>
              <w:bottom w:val="nil"/>
              <w:right w:val="nil"/>
            </w:tcBorders>
            <w:noWrap/>
            <w:vAlign w:val="center"/>
            <w:hideMark/>
          </w:tcPr>
          <w:p w14:paraId="4041177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7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198 611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197 238 </w:t>
            </w:r>
          </w:p>
        </w:tc>
        <w:tc>
          <w:tcPr>
            <w:tcW w:w="145" w:type="pct"/>
            <w:tcBorders>
              <w:top w:val="nil"/>
              <w:left w:val="nil"/>
              <w:bottom w:val="nil"/>
              <w:right w:val="nil"/>
            </w:tcBorders>
            <w:noWrap/>
            <w:vAlign w:val="center"/>
            <w:hideMark/>
          </w:tcPr>
          <w:p w14:paraId="4041177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7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180 036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181 047 </w:t>
            </w:r>
          </w:p>
        </w:tc>
      </w:tr>
      <w:tr w:rsidR="002809FB" w:rsidRPr="005978DF" w14:paraId="4041178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7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Argelia </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7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7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0,136</w:t>
            </w:r>
          </w:p>
        </w:tc>
        <w:tc>
          <w:tcPr>
            <w:tcW w:w="126" w:type="pct"/>
            <w:tcBorders>
              <w:top w:val="nil"/>
              <w:left w:val="nil"/>
              <w:bottom w:val="nil"/>
              <w:right w:val="nil"/>
            </w:tcBorders>
            <w:noWrap/>
            <w:vAlign w:val="center"/>
            <w:hideMark/>
          </w:tcPr>
          <w:p w14:paraId="4041178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8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18 284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18 158 </w:t>
            </w:r>
          </w:p>
        </w:tc>
        <w:tc>
          <w:tcPr>
            <w:tcW w:w="145" w:type="pct"/>
            <w:tcBorders>
              <w:top w:val="nil"/>
              <w:left w:val="nil"/>
              <w:bottom w:val="nil"/>
              <w:right w:val="nil"/>
            </w:tcBorders>
            <w:noWrap/>
            <w:vAlign w:val="center"/>
            <w:hideMark/>
          </w:tcPr>
          <w:p w14:paraId="4041178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8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16 574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16 667 </w:t>
            </w:r>
          </w:p>
        </w:tc>
      </w:tr>
      <w:tr w:rsidR="002809FB" w:rsidRPr="005978DF" w14:paraId="4041179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8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Argentina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8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0,719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8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0,899</w:t>
            </w:r>
          </w:p>
        </w:tc>
        <w:tc>
          <w:tcPr>
            <w:tcW w:w="126" w:type="pct"/>
            <w:tcBorders>
              <w:top w:val="nil"/>
              <w:left w:val="nil"/>
              <w:bottom w:val="nil"/>
              <w:right w:val="nil"/>
            </w:tcBorders>
            <w:noWrap/>
            <w:vAlign w:val="center"/>
            <w:hideMark/>
          </w:tcPr>
          <w:p w14:paraId="4041178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8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120 609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119 776 </w:t>
            </w:r>
          </w:p>
        </w:tc>
        <w:tc>
          <w:tcPr>
            <w:tcW w:w="145" w:type="pct"/>
            <w:tcBorders>
              <w:top w:val="nil"/>
              <w:left w:val="nil"/>
              <w:bottom w:val="nil"/>
              <w:right w:val="nil"/>
            </w:tcBorders>
            <w:noWrap/>
            <w:vAlign w:val="center"/>
            <w:hideMark/>
          </w:tcPr>
          <w:p w14:paraId="4041178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8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109 329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109 943 </w:t>
            </w:r>
          </w:p>
        </w:tc>
      </w:tr>
      <w:tr w:rsidR="002809FB" w:rsidRPr="005978DF" w14:paraId="4041179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9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Armenia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9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9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26" w:type="pct"/>
            <w:tcBorders>
              <w:top w:val="nil"/>
              <w:left w:val="nil"/>
              <w:bottom w:val="nil"/>
              <w:right w:val="nil"/>
            </w:tcBorders>
            <w:noWrap/>
            <w:vAlign w:val="center"/>
            <w:hideMark/>
          </w:tcPr>
          <w:p w14:paraId="4041179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9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1 166 </w:t>
            </w:r>
          </w:p>
        </w:tc>
        <w:tc>
          <w:tcPr>
            <w:tcW w:w="145" w:type="pct"/>
            <w:tcBorders>
              <w:top w:val="nil"/>
              <w:left w:val="nil"/>
              <w:bottom w:val="nil"/>
              <w:right w:val="nil"/>
            </w:tcBorders>
            <w:noWrap/>
            <w:vAlign w:val="center"/>
            <w:hideMark/>
          </w:tcPr>
          <w:p w14:paraId="4041179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9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1 064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1 070 </w:t>
            </w:r>
          </w:p>
        </w:tc>
      </w:tr>
      <w:tr w:rsidR="002809FB" w:rsidRPr="005978DF" w14:paraId="404117A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9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Australia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9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2,111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9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2,639</w:t>
            </w:r>
          </w:p>
        </w:tc>
        <w:tc>
          <w:tcPr>
            <w:tcW w:w="126" w:type="pct"/>
            <w:tcBorders>
              <w:top w:val="nil"/>
              <w:left w:val="nil"/>
              <w:bottom w:val="nil"/>
              <w:right w:val="nil"/>
            </w:tcBorders>
            <w:noWrap/>
            <w:vAlign w:val="center"/>
            <w:hideMark/>
          </w:tcPr>
          <w:p w14:paraId="4041179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9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354 111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351 665 </w:t>
            </w:r>
          </w:p>
        </w:tc>
        <w:tc>
          <w:tcPr>
            <w:tcW w:w="145" w:type="pct"/>
            <w:tcBorders>
              <w:top w:val="nil"/>
              <w:left w:val="nil"/>
              <w:bottom w:val="nil"/>
              <w:right w:val="nil"/>
            </w:tcBorders>
            <w:noWrap/>
            <w:vAlign w:val="center"/>
            <w:hideMark/>
          </w:tcPr>
          <w:p w14:paraId="404117A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A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320 993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322 795 </w:t>
            </w:r>
          </w:p>
        </w:tc>
      </w:tr>
      <w:tr w:rsidR="002809FB" w:rsidRPr="005978DF" w14:paraId="404117A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A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Austria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A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0,679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A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0,849</w:t>
            </w:r>
          </w:p>
        </w:tc>
        <w:tc>
          <w:tcPr>
            <w:tcW w:w="126" w:type="pct"/>
            <w:tcBorders>
              <w:top w:val="nil"/>
              <w:left w:val="nil"/>
              <w:bottom w:val="nil"/>
              <w:right w:val="nil"/>
            </w:tcBorders>
            <w:noWrap/>
            <w:vAlign w:val="center"/>
            <w:hideMark/>
          </w:tcPr>
          <w:p w14:paraId="404117A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A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113 899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113 113 </w:t>
            </w:r>
          </w:p>
        </w:tc>
        <w:tc>
          <w:tcPr>
            <w:tcW w:w="145" w:type="pct"/>
            <w:tcBorders>
              <w:top w:val="nil"/>
              <w:left w:val="nil"/>
              <w:bottom w:val="nil"/>
              <w:right w:val="nil"/>
            </w:tcBorders>
            <w:noWrap/>
            <w:vAlign w:val="center"/>
            <w:hideMark/>
          </w:tcPr>
          <w:p w14:paraId="404117A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A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103 247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103 827 </w:t>
            </w:r>
          </w:p>
        </w:tc>
      </w:tr>
      <w:tr w:rsidR="002809FB" w:rsidRPr="005978DF" w14:paraId="404117B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A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Azerbaiyán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B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B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0,038</w:t>
            </w:r>
          </w:p>
        </w:tc>
        <w:tc>
          <w:tcPr>
            <w:tcW w:w="126" w:type="pct"/>
            <w:tcBorders>
              <w:top w:val="nil"/>
              <w:left w:val="nil"/>
              <w:bottom w:val="nil"/>
              <w:right w:val="nil"/>
            </w:tcBorders>
            <w:noWrap/>
            <w:vAlign w:val="center"/>
            <w:hideMark/>
          </w:tcPr>
          <w:p w14:paraId="404117B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B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5 032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4 998 </w:t>
            </w:r>
          </w:p>
        </w:tc>
        <w:tc>
          <w:tcPr>
            <w:tcW w:w="145" w:type="pct"/>
            <w:tcBorders>
              <w:top w:val="nil"/>
              <w:left w:val="nil"/>
              <w:bottom w:val="nil"/>
              <w:right w:val="nil"/>
            </w:tcBorders>
            <w:noWrap/>
            <w:vAlign w:val="center"/>
            <w:hideMark/>
          </w:tcPr>
          <w:p w14:paraId="404117B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B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4 562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4 587 </w:t>
            </w:r>
          </w:p>
        </w:tc>
      </w:tr>
      <w:tr w:rsidR="002809FB" w:rsidRPr="005978DF" w14:paraId="404117C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B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Bahamas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B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B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0,024</w:t>
            </w:r>
          </w:p>
        </w:tc>
        <w:tc>
          <w:tcPr>
            <w:tcW w:w="126" w:type="pct"/>
            <w:tcBorders>
              <w:top w:val="nil"/>
              <w:left w:val="nil"/>
              <w:bottom w:val="nil"/>
              <w:right w:val="nil"/>
            </w:tcBorders>
            <w:noWrap/>
            <w:vAlign w:val="center"/>
            <w:hideMark/>
          </w:tcPr>
          <w:p w14:paraId="404117B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B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3 187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3 165 </w:t>
            </w:r>
          </w:p>
        </w:tc>
        <w:tc>
          <w:tcPr>
            <w:tcW w:w="145" w:type="pct"/>
            <w:tcBorders>
              <w:top w:val="nil"/>
              <w:left w:val="nil"/>
              <w:bottom w:val="nil"/>
              <w:right w:val="nil"/>
            </w:tcBorders>
            <w:noWrap/>
            <w:vAlign w:val="center"/>
            <w:hideMark/>
          </w:tcPr>
          <w:p w14:paraId="404117B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C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2 889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2 905 </w:t>
            </w:r>
          </w:p>
        </w:tc>
      </w:tr>
      <w:tr w:rsidR="002809FB" w:rsidRPr="005978DF" w14:paraId="404117C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C3"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Bahrein</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7C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C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0,068</w:t>
            </w:r>
          </w:p>
        </w:tc>
        <w:tc>
          <w:tcPr>
            <w:tcW w:w="126" w:type="pct"/>
            <w:tcBorders>
              <w:top w:val="nil"/>
              <w:left w:val="nil"/>
              <w:bottom w:val="nil"/>
              <w:right w:val="nil"/>
            </w:tcBorders>
            <w:noWrap/>
            <w:vAlign w:val="center"/>
            <w:hideMark/>
          </w:tcPr>
          <w:p w14:paraId="404117C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C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9 058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8 996 </w:t>
            </w:r>
          </w:p>
        </w:tc>
        <w:tc>
          <w:tcPr>
            <w:tcW w:w="145" w:type="pct"/>
            <w:tcBorders>
              <w:top w:val="nil"/>
              <w:left w:val="nil"/>
              <w:bottom w:val="nil"/>
              <w:right w:val="nil"/>
            </w:tcBorders>
            <w:noWrap/>
            <w:vAlign w:val="center"/>
            <w:hideMark/>
          </w:tcPr>
          <w:p w14:paraId="404117C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C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8 211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8 257 </w:t>
            </w:r>
          </w:p>
        </w:tc>
      </w:tr>
      <w:tr w:rsidR="002809FB" w:rsidRPr="005978DF" w14:paraId="404117D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C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Bangladesh</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C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C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7D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D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7D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D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7E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D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Barbados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D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D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7D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D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7D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D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7E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E1"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Belarús</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7E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E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0,051</w:t>
            </w:r>
          </w:p>
        </w:tc>
        <w:tc>
          <w:tcPr>
            <w:tcW w:w="126" w:type="pct"/>
            <w:tcBorders>
              <w:top w:val="nil"/>
              <w:left w:val="nil"/>
              <w:bottom w:val="nil"/>
              <w:right w:val="nil"/>
            </w:tcBorders>
            <w:noWrap/>
            <w:vAlign w:val="center"/>
            <w:hideMark/>
          </w:tcPr>
          <w:p w14:paraId="404117E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E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6 878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E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6 830 </w:t>
            </w:r>
          </w:p>
        </w:tc>
        <w:tc>
          <w:tcPr>
            <w:tcW w:w="145" w:type="pct"/>
            <w:tcBorders>
              <w:top w:val="nil"/>
              <w:left w:val="nil"/>
              <w:bottom w:val="nil"/>
              <w:right w:val="nil"/>
            </w:tcBorders>
            <w:noWrap/>
            <w:vAlign w:val="center"/>
            <w:hideMark/>
          </w:tcPr>
          <w:p w14:paraId="404117E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E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6 234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6 269 </w:t>
            </w:r>
          </w:p>
        </w:tc>
      </w:tr>
      <w:tr w:rsidR="002809FB" w:rsidRPr="005978DF" w14:paraId="404117F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E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Bélgica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E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0,828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E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1,035</w:t>
            </w:r>
          </w:p>
        </w:tc>
        <w:tc>
          <w:tcPr>
            <w:tcW w:w="126" w:type="pct"/>
            <w:tcBorders>
              <w:top w:val="nil"/>
              <w:left w:val="nil"/>
              <w:bottom w:val="nil"/>
              <w:right w:val="nil"/>
            </w:tcBorders>
            <w:noWrap/>
            <w:vAlign w:val="center"/>
            <w:hideMark/>
          </w:tcPr>
          <w:p w14:paraId="404117E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E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138 893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F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137 934 </w:t>
            </w:r>
          </w:p>
        </w:tc>
        <w:tc>
          <w:tcPr>
            <w:tcW w:w="145" w:type="pct"/>
            <w:tcBorders>
              <w:top w:val="nil"/>
              <w:left w:val="nil"/>
              <w:bottom w:val="nil"/>
              <w:right w:val="nil"/>
            </w:tcBorders>
            <w:noWrap/>
            <w:vAlign w:val="center"/>
            <w:hideMark/>
          </w:tcPr>
          <w:p w14:paraId="404117F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F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125 903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126 610 </w:t>
            </w:r>
          </w:p>
        </w:tc>
      </w:tr>
      <w:tr w:rsidR="002809FB" w:rsidRPr="005978DF" w14:paraId="404117F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F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Belice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7F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7F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7F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7F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7F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7F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7F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7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80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7FF"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Benin</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80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0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26" w:type="pct"/>
            <w:tcBorders>
              <w:top w:val="nil"/>
              <w:left w:val="nil"/>
              <w:bottom w:val="nil"/>
              <w:right w:val="nil"/>
            </w:tcBorders>
            <w:noWrap/>
            <w:vAlign w:val="center"/>
            <w:hideMark/>
          </w:tcPr>
          <w:p w14:paraId="4041180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0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0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833 </w:t>
            </w:r>
          </w:p>
        </w:tc>
        <w:tc>
          <w:tcPr>
            <w:tcW w:w="145" w:type="pct"/>
            <w:tcBorders>
              <w:top w:val="nil"/>
              <w:left w:val="nil"/>
              <w:bottom w:val="nil"/>
              <w:right w:val="nil"/>
            </w:tcBorders>
            <w:noWrap/>
            <w:vAlign w:val="center"/>
            <w:hideMark/>
          </w:tcPr>
          <w:p w14:paraId="4041180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0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765 </w:t>
            </w:r>
          </w:p>
        </w:tc>
      </w:tr>
      <w:tr w:rsidR="002809FB" w:rsidRPr="005978DF" w14:paraId="4041181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09"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Bhután</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80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0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80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0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80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1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81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1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Bolivia (Estado Plurinacional de)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1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1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0,024</w:t>
            </w:r>
          </w:p>
        </w:tc>
        <w:tc>
          <w:tcPr>
            <w:tcW w:w="126" w:type="pct"/>
            <w:tcBorders>
              <w:top w:val="nil"/>
              <w:left w:val="nil"/>
              <w:bottom w:val="nil"/>
              <w:right w:val="nil"/>
            </w:tcBorders>
            <w:noWrap/>
            <w:vAlign w:val="center"/>
            <w:hideMark/>
          </w:tcPr>
          <w:p w14:paraId="4041181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1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3 187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3 165 </w:t>
            </w:r>
          </w:p>
        </w:tc>
        <w:tc>
          <w:tcPr>
            <w:tcW w:w="145" w:type="pct"/>
            <w:tcBorders>
              <w:top w:val="nil"/>
              <w:left w:val="nil"/>
              <w:bottom w:val="nil"/>
              <w:right w:val="nil"/>
            </w:tcBorders>
            <w:noWrap/>
            <w:vAlign w:val="center"/>
            <w:hideMark/>
          </w:tcPr>
          <w:p w14:paraId="4041181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1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2 889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2 905 </w:t>
            </w:r>
          </w:p>
        </w:tc>
      </w:tr>
      <w:tr w:rsidR="002809FB" w:rsidRPr="005978DF" w14:paraId="4041182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1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Bosnia y Herzegovina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1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1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0,015</w:t>
            </w:r>
          </w:p>
        </w:tc>
        <w:tc>
          <w:tcPr>
            <w:tcW w:w="126" w:type="pct"/>
            <w:tcBorders>
              <w:top w:val="nil"/>
              <w:left w:val="nil"/>
              <w:bottom w:val="nil"/>
              <w:right w:val="nil"/>
            </w:tcBorders>
            <w:noWrap/>
            <w:vAlign w:val="center"/>
            <w:hideMark/>
          </w:tcPr>
          <w:p w14:paraId="4041182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2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2 013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1 999 </w:t>
            </w:r>
          </w:p>
        </w:tc>
        <w:tc>
          <w:tcPr>
            <w:tcW w:w="145" w:type="pct"/>
            <w:tcBorders>
              <w:top w:val="nil"/>
              <w:left w:val="nil"/>
              <w:bottom w:val="nil"/>
              <w:right w:val="nil"/>
            </w:tcBorders>
            <w:noWrap/>
            <w:vAlign w:val="center"/>
            <w:hideMark/>
          </w:tcPr>
          <w:p w14:paraId="4041182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2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1 825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1 835 </w:t>
            </w:r>
          </w:p>
        </w:tc>
      </w:tr>
      <w:tr w:rsidR="002809FB" w:rsidRPr="005978DF" w14:paraId="4041183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27"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Botswana</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82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2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126" w:type="pct"/>
            <w:tcBorders>
              <w:top w:val="nil"/>
              <w:left w:val="nil"/>
              <w:bottom w:val="nil"/>
              <w:right w:val="nil"/>
            </w:tcBorders>
            <w:noWrap/>
            <w:vAlign w:val="center"/>
            <w:hideMark/>
          </w:tcPr>
          <w:p w14:paraId="4041182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2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2 516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2 499 </w:t>
            </w:r>
          </w:p>
        </w:tc>
        <w:tc>
          <w:tcPr>
            <w:tcW w:w="145" w:type="pct"/>
            <w:tcBorders>
              <w:top w:val="nil"/>
              <w:left w:val="nil"/>
              <w:bottom w:val="nil"/>
              <w:right w:val="nil"/>
            </w:tcBorders>
            <w:noWrap/>
            <w:vAlign w:val="center"/>
            <w:hideMark/>
          </w:tcPr>
          <w:p w14:paraId="4041182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2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2 281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2 294 </w:t>
            </w:r>
          </w:p>
        </w:tc>
      </w:tr>
      <w:tr w:rsidR="002809FB" w:rsidRPr="005978DF" w14:paraId="4041183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3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Brasil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3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2 013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3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2 516</w:t>
            </w:r>
          </w:p>
        </w:tc>
        <w:tc>
          <w:tcPr>
            <w:tcW w:w="126" w:type="pct"/>
            <w:tcBorders>
              <w:top w:val="nil"/>
              <w:left w:val="nil"/>
              <w:bottom w:val="nil"/>
              <w:right w:val="nil"/>
            </w:tcBorders>
            <w:noWrap/>
            <w:vAlign w:val="center"/>
            <w:hideMark/>
          </w:tcPr>
          <w:p w14:paraId="4041183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3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337 672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335 340 </w:t>
            </w:r>
          </w:p>
        </w:tc>
        <w:tc>
          <w:tcPr>
            <w:tcW w:w="145" w:type="pct"/>
            <w:tcBorders>
              <w:top w:val="nil"/>
              <w:left w:val="nil"/>
              <w:bottom w:val="nil"/>
              <w:right w:val="nil"/>
            </w:tcBorders>
            <w:noWrap/>
            <w:vAlign w:val="center"/>
            <w:hideMark/>
          </w:tcPr>
          <w:p w14:paraId="4041183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3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306 091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307 810 </w:t>
            </w:r>
          </w:p>
        </w:tc>
      </w:tr>
      <w:tr w:rsidR="002809FB" w:rsidRPr="005978DF" w14:paraId="4041184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3B"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Brunei</w:t>
            </w:r>
            <w:proofErr w:type="spellEnd"/>
            <w:r w:rsidRPr="000F4C79">
              <w:rPr>
                <w:rFonts w:asciiTheme="minorHAnsi" w:hAnsiTheme="minorHAnsi" w:cstheme="minorHAnsi"/>
                <w:sz w:val="16"/>
                <w:szCs w:val="16"/>
                <w:lang w:val="es-ES"/>
              </w:rPr>
              <w:t xml:space="preserve"> Darussalam</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3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3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0,026</w:t>
            </w:r>
          </w:p>
        </w:tc>
        <w:tc>
          <w:tcPr>
            <w:tcW w:w="126" w:type="pct"/>
            <w:tcBorders>
              <w:top w:val="nil"/>
              <w:left w:val="nil"/>
              <w:bottom w:val="nil"/>
              <w:right w:val="nil"/>
            </w:tcBorders>
            <w:noWrap/>
            <w:vAlign w:val="center"/>
            <w:hideMark/>
          </w:tcPr>
          <w:p w14:paraId="4041183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3 523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3 498 </w:t>
            </w:r>
          </w:p>
        </w:tc>
        <w:tc>
          <w:tcPr>
            <w:tcW w:w="145" w:type="pct"/>
            <w:tcBorders>
              <w:top w:val="nil"/>
              <w:left w:val="nil"/>
              <w:bottom w:val="nil"/>
              <w:right w:val="nil"/>
            </w:tcBorders>
            <w:noWrap/>
            <w:vAlign w:val="center"/>
            <w:hideMark/>
          </w:tcPr>
          <w:p w14:paraId="4041184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4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3 193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3 211 </w:t>
            </w:r>
          </w:p>
        </w:tc>
      </w:tr>
      <w:tr w:rsidR="002809FB" w:rsidRPr="005978DF" w14:paraId="4041184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4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Bulgaria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4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4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0,070</w:t>
            </w:r>
          </w:p>
        </w:tc>
        <w:tc>
          <w:tcPr>
            <w:tcW w:w="126" w:type="pct"/>
            <w:tcBorders>
              <w:top w:val="nil"/>
              <w:left w:val="nil"/>
              <w:bottom w:val="nil"/>
              <w:right w:val="nil"/>
            </w:tcBorders>
            <w:noWrap/>
            <w:vAlign w:val="center"/>
            <w:hideMark/>
          </w:tcPr>
          <w:p w14:paraId="4041184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9 394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9 329 </w:t>
            </w:r>
          </w:p>
        </w:tc>
        <w:tc>
          <w:tcPr>
            <w:tcW w:w="145" w:type="pct"/>
            <w:tcBorders>
              <w:top w:val="nil"/>
              <w:left w:val="nil"/>
              <w:bottom w:val="nil"/>
              <w:right w:val="nil"/>
            </w:tcBorders>
            <w:noWrap/>
            <w:vAlign w:val="center"/>
            <w:hideMark/>
          </w:tcPr>
          <w:p w14:paraId="4041184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4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8 515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8 563 </w:t>
            </w:r>
          </w:p>
        </w:tc>
      </w:tr>
      <w:tr w:rsidR="002809FB" w:rsidRPr="005978DF" w14:paraId="4041185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4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Burkina Faso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5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5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85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85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5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86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5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Burundi</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5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5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85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85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6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86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6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Cabo Verde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6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6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86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86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6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87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6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Camboya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6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6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26" w:type="pct"/>
            <w:tcBorders>
              <w:top w:val="nil"/>
              <w:left w:val="nil"/>
              <w:bottom w:val="nil"/>
              <w:right w:val="nil"/>
            </w:tcBorders>
            <w:noWrap/>
            <w:vAlign w:val="center"/>
            <w:hideMark/>
          </w:tcPr>
          <w:p w14:paraId="4041187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1 166 </w:t>
            </w:r>
          </w:p>
        </w:tc>
        <w:tc>
          <w:tcPr>
            <w:tcW w:w="145" w:type="pct"/>
            <w:tcBorders>
              <w:top w:val="nil"/>
              <w:left w:val="nil"/>
              <w:bottom w:val="nil"/>
              <w:right w:val="nil"/>
            </w:tcBorders>
            <w:noWrap/>
            <w:vAlign w:val="center"/>
            <w:hideMark/>
          </w:tcPr>
          <w:p w14:paraId="4041187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7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1 064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1 070 </w:t>
            </w:r>
          </w:p>
        </w:tc>
      </w:tr>
      <w:tr w:rsidR="002809FB" w:rsidRPr="005978DF" w14:paraId="4041188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7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Camerún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7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7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0,016</w:t>
            </w:r>
          </w:p>
        </w:tc>
        <w:tc>
          <w:tcPr>
            <w:tcW w:w="126" w:type="pct"/>
            <w:tcBorders>
              <w:top w:val="nil"/>
              <w:left w:val="nil"/>
              <w:bottom w:val="nil"/>
              <w:right w:val="nil"/>
            </w:tcBorders>
            <w:noWrap/>
            <w:vAlign w:val="center"/>
            <w:hideMark/>
          </w:tcPr>
          <w:p w14:paraId="4041187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2 181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7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2 166 </w:t>
            </w:r>
          </w:p>
        </w:tc>
        <w:tc>
          <w:tcPr>
            <w:tcW w:w="145" w:type="pct"/>
            <w:tcBorders>
              <w:top w:val="nil"/>
              <w:left w:val="nil"/>
              <w:bottom w:val="nil"/>
              <w:right w:val="nil"/>
            </w:tcBorders>
            <w:noWrap/>
            <w:vAlign w:val="center"/>
            <w:hideMark/>
          </w:tcPr>
          <w:p w14:paraId="4041187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7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1 977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1 988 </w:t>
            </w:r>
          </w:p>
        </w:tc>
      </w:tr>
      <w:tr w:rsidR="002809FB" w:rsidRPr="005978DF" w14:paraId="4041188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8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Canadá</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8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2,628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8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3,285</w:t>
            </w:r>
          </w:p>
        </w:tc>
        <w:tc>
          <w:tcPr>
            <w:tcW w:w="126" w:type="pct"/>
            <w:tcBorders>
              <w:top w:val="nil"/>
              <w:left w:val="nil"/>
              <w:bottom w:val="nil"/>
              <w:right w:val="nil"/>
            </w:tcBorders>
            <w:noWrap/>
            <w:vAlign w:val="center"/>
            <w:hideMark/>
          </w:tcPr>
          <w:p w14:paraId="4041188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440 836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437 790 </w:t>
            </w:r>
          </w:p>
        </w:tc>
        <w:tc>
          <w:tcPr>
            <w:tcW w:w="145" w:type="pct"/>
            <w:tcBorders>
              <w:top w:val="nil"/>
              <w:left w:val="nil"/>
              <w:bottom w:val="nil"/>
              <w:right w:val="nil"/>
            </w:tcBorders>
            <w:noWrap/>
            <w:vAlign w:val="center"/>
            <w:hideMark/>
          </w:tcPr>
          <w:p w14:paraId="4041188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8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399 606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401 850 </w:t>
            </w:r>
          </w:p>
        </w:tc>
      </w:tr>
      <w:tr w:rsidR="002809FB" w:rsidRPr="005978DF" w14:paraId="4041189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8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Chad</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8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8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26" w:type="pct"/>
            <w:tcBorders>
              <w:top w:val="nil"/>
              <w:left w:val="nil"/>
              <w:bottom w:val="nil"/>
              <w:right w:val="nil"/>
            </w:tcBorders>
            <w:noWrap/>
            <w:vAlign w:val="center"/>
            <w:hideMark/>
          </w:tcPr>
          <w:p w14:paraId="4041188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500 </w:t>
            </w:r>
          </w:p>
        </w:tc>
        <w:tc>
          <w:tcPr>
            <w:tcW w:w="145" w:type="pct"/>
            <w:tcBorders>
              <w:top w:val="nil"/>
              <w:left w:val="nil"/>
              <w:bottom w:val="nil"/>
              <w:right w:val="nil"/>
            </w:tcBorders>
            <w:noWrap/>
            <w:vAlign w:val="center"/>
            <w:hideMark/>
          </w:tcPr>
          <w:p w14:paraId="4041189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9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459 </w:t>
            </w:r>
          </w:p>
        </w:tc>
      </w:tr>
      <w:tr w:rsidR="002809FB" w:rsidRPr="005978DF" w14:paraId="4041189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9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Chequia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9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0,340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9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0,425</w:t>
            </w:r>
          </w:p>
        </w:tc>
        <w:tc>
          <w:tcPr>
            <w:tcW w:w="126" w:type="pct"/>
            <w:tcBorders>
              <w:top w:val="nil"/>
              <w:left w:val="nil"/>
              <w:bottom w:val="nil"/>
              <w:right w:val="nil"/>
            </w:tcBorders>
            <w:noWrap/>
            <w:vAlign w:val="center"/>
            <w:hideMark/>
          </w:tcPr>
          <w:p w14:paraId="4041189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57 034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56 640 </w:t>
            </w:r>
          </w:p>
        </w:tc>
        <w:tc>
          <w:tcPr>
            <w:tcW w:w="145" w:type="pct"/>
            <w:tcBorders>
              <w:top w:val="nil"/>
              <w:left w:val="nil"/>
              <w:bottom w:val="nil"/>
              <w:right w:val="nil"/>
            </w:tcBorders>
            <w:noWrap/>
            <w:vAlign w:val="center"/>
            <w:hideMark/>
          </w:tcPr>
          <w:p w14:paraId="4041189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9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51 699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51 990 </w:t>
            </w:r>
          </w:p>
        </w:tc>
      </w:tr>
      <w:tr w:rsidR="002809FB" w:rsidRPr="005978DF" w14:paraId="404118A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9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Chile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A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0,420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A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0,525</w:t>
            </w:r>
          </w:p>
        </w:tc>
        <w:tc>
          <w:tcPr>
            <w:tcW w:w="126" w:type="pct"/>
            <w:tcBorders>
              <w:top w:val="nil"/>
              <w:left w:val="nil"/>
              <w:bottom w:val="nil"/>
              <w:right w:val="nil"/>
            </w:tcBorders>
            <w:noWrap/>
            <w:vAlign w:val="center"/>
            <w:hideMark/>
          </w:tcPr>
          <w:p w14:paraId="404118A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70 453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69 967 </w:t>
            </w:r>
          </w:p>
        </w:tc>
        <w:tc>
          <w:tcPr>
            <w:tcW w:w="145" w:type="pct"/>
            <w:tcBorders>
              <w:top w:val="nil"/>
              <w:left w:val="nil"/>
              <w:bottom w:val="nil"/>
              <w:right w:val="nil"/>
            </w:tcBorders>
            <w:noWrap/>
            <w:vAlign w:val="center"/>
            <w:hideMark/>
          </w:tcPr>
          <w:p w14:paraId="404118A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A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63 864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64 223 </w:t>
            </w:r>
          </w:p>
        </w:tc>
      </w:tr>
      <w:tr w:rsidR="002809FB" w:rsidRPr="005978DF" w14:paraId="404118B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A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China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A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15,254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A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19,069</w:t>
            </w:r>
          </w:p>
        </w:tc>
        <w:tc>
          <w:tcPr>
            <w:tcW w:w="126" w:type="pct"/>
            <w:tcBorders>
              <w:top w:val="nil"/>
              <w:left w:val="nil"/>
              <w:bottom w:val="nil"/>
              <w:right w:val="nil"/>
            </w:tcBorders>
            <w:noWrap/>
            <w:vAlign w:val="center"/>
            <w:hideMark/>
          </w:tcPr>
          <w:p w14:paraId="404118A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2 558 794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2 541 117 </w:t>
            </w:r>
          </w:p>
        </w:tc>
        <w:tc>
          <w:tcPr>
            <w:tcW w:w="145" w:type="pct"/>
            <w:tcBorders>
              <w:top w:val="nil"/>
              <w:left w:val="nil"/>
              <w:bottom w:val="nil"/>
              <w:right w:val="nil"/>
            </w:tcBorders>
            <w:noWrap/>
            <w:vAlign w:val="center"/>
            <w:hideMark/>
          </w:tcPr>
          <w:p w14:paraId="404118A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B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2 319 481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2 332 505 </w:t>
            </w:r>
          </w:p>
        </w:tc>
      </w:tr>
      <w:tr w:rsidR="002809FB" w:rsidRPr="005978DF" w14:paraId="404118B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B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Chipre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B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B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0,045</w:t>
            </w:r>
          </w:p>
        </w:tc>
        <w:tc>
          <w:tcPr>
            <w:tcW w:w="126" w:type="pct"/>
            <w:tcBorders>
              <w:top w:val="nil"/>
              <w:left w:val="nil"/>
              <w:bottom w:val="nil"/>
              <w:right w:val="nil"/>
            </w:tcBorders>
            <w:noWrap/>
            <w:vAlign w:val="center"/>
            <w:hideMark/>
          </w:tcPr>
          <w:p w14:paraId="404118B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6 039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5 997 </w:t>
            </w:r>
          </w:p>
        </w:tc>
        <w:tc>
          <w:tcPr>
            <w:tcW w:w="145" w:type="pct"/>
            <w:tcBorders>
              <w:top w:val="nil"/>
              <w:left w:val="nil"/>
              <w:bottom w:val="nil"/>
              <w:right w:val="nil"/>
            </w:tcBorders>
            <w:noWrap/>
            <w:vAlign w:val="center"/>
            <w:hideMark/>
          </w:tcPr>
          <w:p w14:paraId="404118B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B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5 474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5 505 </w:t>
            </w:r>
          </w:p>
        </w:tc>
      </w:tr>
      <w:tr w:rsidR="002809FB" w:rsidRPr="005978DF" w14:paraId="404118C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B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Colombia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B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0,246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B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0,308</w:t>
            </w:r>
          </w:p>
        </w:tc>
        <w:tc>
          <w:tcPr>
            <w:tcW w:w="126" w:type="pct"/>
            <w:tcBorders>
              <w:top w:val="nil"/>
              <w:left w:val="nil"/>
              <w:bottom w:val="nil"/>
              <w:right w:val="nil"/>
            </w:tcBorders>
            <w:noWrap/>
            <w:vAlign w:val="center"/>
            <w:hideMark/>
          </w:tcPr>
          <w:p w14:paraId="404118C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41 265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40 980 </w:t>
            </w:r>
          </w:p>
        </w:tc>
        <w:tc>
          <w:tcPr>
            <w:tcW w:w="145" w:type="pct"/>
            <w:tcBorders>
              <w:top w:val="nil"/>
              <w:left w:val="nil"/>
              <w:bottom w:val="nil"/>
              <w:right w:val="nil"/>
            </w:tcBorders>
            <w:noWrap/>
            <w:vAlign w:val="center"/>
            <w:hideMark/>
          </w:tcPr>
          <w:p w14:paraId="404118C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C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37 406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37 616 </w:t>
            </w:r>
          </w:p>
        </w:tc>
      </w:tr>
      <w:tr w:rsidR="002809FB" w:rsidRPr="005978DF" w14:paraId="404118D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C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lastRenderedPageBreak/>
              <w:t>Comoras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C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C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8C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C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8C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C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8D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D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Congo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D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D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26" w:type="pct"/>
            <w:tcBorders>
              <w:top w:val="nil"/>
              <w:left w:val="nil"/>
              <w:bottom w:val="nil"/>
              <w:right w:val="nil"/>
            </w:tcBorders>
            <w:noWrap/>
            <w:vAlign w:val="center"/>
            <w:hideMark/>
          </w:tcPr>
          <w:p w14:paraId="404118D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D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833 </w:t>
            </w:r>
          </w:p>
        </w:tc>
        <w:tc>
          <w:tcPr>
            <w:tcW w:w="145" w:type="pct"/>
            <w:tcBorders>
              <w:top w:val="nil"/>
              <w:left w:val="nil"/>
              <w:bottom w:val="nil"/>
              <w:right w:val="nil"/>
            </w:tcBorders>
            <w:noWrap/>
            <w:vAlign w:val="center"/>
            <w:hideMark/>
          </w:tcPr>
          <w:p w14:paraId="404118D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D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765 </w:t>
            </w:r>
          </w:p>
        </w:tc>
      </w:tr>
      <w:tr w:rsidR="002809FB" w:rsidRPr="005978DF" w14:paraId="404118E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D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Costa Rica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D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0,069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D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0,086</w:t>
            </w:r>
          </w:p>
        </w:tc>
        <w:tc>
          <w:tcPr>
            <w:tcW w:w="126" w:type="pct"/>
            <w:tcBorders>
              <w:top w:val="nil"/>
              <w:left w:val="nil"/>
              <w:bottom w:val="nil"/>
              <w:right w:val="nil"/>
            </w:tcBorders>
            <w:noWrap/>
            <w:vAlign w:val="center"/>
            <w:hideMark/>
          </w:tcPr>
          <w:p w14:paraId="404118D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11 574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E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11 494 </w:t>
            </w:r>
          </w:p>
        </w:tc>
        <w:tc>
          <w:tcPr>
            <w:tcW w:w="145" w:type="pct"/>
            <w:tcBorders>
              <w:top w:val="nil"/>
              <w:left w:val="nil"/>
              <w:bottom w:val="nil"/>
              <w:right w:val="nil"/>
            </w:tcBorders>
            <w:noWrap/>
            <w:vAlign w:val="center"/>
            <w:hideMark/>
          </w:tcPr>
          <w:p w14:paraId="404118E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E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10 492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E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10 551 </w:t>
            </w:r>
          </w:p>
        </w:tc>
      </w:tr>
      <w:tr w:rsidR="002809FB" w:rsidRPr="005978DF" w14:paraId="404118E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E5"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Côte</w:t>
            </w:r>
            <w:proofErr w:type="spellEnd"/>
            <w:r w:rsidRPr="000F4C79">
              <w:rPr>
                <w:rFonts w:asciiTheme="minorHAnsi" w:hAnsiTheme="minorHAnsi" w:cstheme="minorHAnsi"/>
                <w:sz w:val="16"/>
                <w:szCs w:val="16"/>
                <w:lang w:val="es-ES"/>
              </w:rPr>
              <w:t xml:space="preserve"> </w:t>
            </w:r>
            <w:proofErr w:type="spellStart"/>
            <w:r w:rsidRPr="000F4C79">
              <w:rPr>
                <w:rFonts w:asciiTheme="minorHAnsi" w:hAnsiTheme="minorHAnsi" w:cstheme="minorHAnsi"/>
                <w:sz w:val="16"/>
                <w:szCs w:val="16"/>
                <w:lang w:val="es-ES"/>
              </w:rPr>
              <w:t>d’Ivoire</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8E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E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0,028</w:t>
            </w:r>
          </w:p>
        </w:tc>
        <w:tc>
          <w:tcPr>
            <w:tcW w:w="126" w:type="pct"/>
            <w:tcBorders>
              <w:top w:val="nil"/>
              <w:left w:val="nil"/>
              <w:bottom w:val="nil"/>
              <w:right w:val="nil"/>
            </w:tcBorders>
            <w:noWrap/>
            <w:vAlign w:val="center"/>
            <w:hideMark/>
          </w:tcPr>
          <w:p w14:paraId="404118E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3 690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E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3 665 </w:t>
            </w:r>
          </w:p>
        </w:tc>
        <w:tc>
          <w:tcPr>
            <w:tcW w:w="145" w:type="pct"/>
            <w:tcBorders>
              <w:top w:val="nil"/>
              <w:left w:val="nil"/>
              <w:bottom w:val="nil"/>
              <w:right w:val="nil"/>
            </w:tcBorders>
            <w:noWrap/>
            <w:vAlign w:val="center"/>
            <w:hideMark/>
          </w:tcPr>
          <w:p w14:paraId="404118E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E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3 345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E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3 364 </w:t>
            </w:r>
          </w:p>
        </w:tc>
      </w:tr>
      <w:tr w:rsidR="002809FB" w:rsidRPr="005978DF" w14:paraId="404118F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E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Croacia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F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F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0,114</w:t>
            </w:r>
          </w:p>
        </w:tc>
        <w:tc>
          <w:tcPr>
            <w:tcW w:w="126" w:type="pct"/>
            <w:tcBorders>
              <w:top w:val="nil"/>
              <w:left w:val="nil"/>
              <w:bottom w:val="nil"/>
              <w:right w:val="nil"/>
            </w:tcBorders>
            <w:noWrap/>
            <w:vAlign w:val="center"/>
            <w:hideMark/>
          </w:tcPr>
          <w:p w14:paraId="404118F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15 265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F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15 159 </w:t>
            </w:r>
          </w:p>
        </w:tc>
        <w:tc>
          <w:tcPr>
            <w:tcW w:w="145" w:type="pct"/>
            <w:tcBorders>
              <w:top w:val="nil"/>
              <w:left w:val="nil"/>
              <w:bottom w:val="nil"/>
              <w:right w:val="nil"/>
            </w:tcBorders>
            <w:noWrap/>
            <w:vAlign w:val="center"/>
            <w:hideMark/>
          </w:tcPr>
          <w:p w14:paraId="404118F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8F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13 837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8F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13 915 </w:t>
            </w:r>
          </w:p>
        </w:tc>
      </w:tr>
      <w:tr w:rsidR="002809FB" w:rsidRPr="005978DF" w14:paraId="4041190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8F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Cuba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8F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8F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0,119</w:t>
            </w:r>
          </w:p>
        </w:tc>
        <w:tc>
          <w:tcPr>
            <w:tcW w:w="126" w:type="pct"/>
            <w:tcBorders>
              <w:top w:val="nil"/>
              <w:left w:val="nil"/>
              <w:bottom w:val="nil"/>
              <w:right w:val="nil"/>
            </w:tcBorders>
            <w:noWrap/>
            <w:vAlign w:val="center"/>
            <w:hideMark/>
          </w:tcPr>
          <w:p w14:paraId="404118F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8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15 936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8F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15 826 </w:t>
            </w:r>
          </w:p>
        </w:tc>
        <w:tc>
          <w:tcPr>
            <w:tcW w:w="145" w:type="pct"/>
            <w:tcBorders>
              <w:top w:val="nil"/>
              <w:left w:val="nil"/>
              <w:bottom w:val="nil"/>
              <w:right w:val="nil"/>
            </w:tcBorders>
            <w:noWrap/>
            <w:vAlign w:val="center"/>
            <w:hideMark/>
          </w:tcPr>
          <w:p w14:paraId="404118F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0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14 445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0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14 527 </w:t>
            </w:r>
          </w:p>
        </w:tc>
      </w:tr>
      <w:tr w:rsidR="002809FB" w:rsidRPr="005978DF" w14:paraId="4041190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0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Dinamarca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0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0,553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0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0,691</w:t>
            </w:r>
          </w:p>
        </w:tc>
        <w:tc>
          <w:tcPr>
            <w:tcW w:w="126" w:type="pct"/>
            <w:tcBorders>
              <w:top w:val="nil"/>
              <w:left w:val="nil"/>
              <w:bottom w:val="nil"/>
              <w:right w:val="nil"/>
            </w:tcBorders>
            <w:noWrap/>
            <w:vAlign w:val="center"/>
            <w:hideMark/>
          </w:tcPr>
          <w:p w14:paraId="4041190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92 763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0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92 123 </w:t>
            </w:r>
          </w:p>
        </w:tc>
        <w:tc>
          <w:tcPr>
            <w:tcW w:w="145" w:type="pct"/>
            <w:tcBorders>
              <w:top w:val="nil"/>
              <w:left w:val="nil"/>
              <w:bottom w:val="nil"/>
              <w:right w:val="nil"/>
            </w:tcBorders>
            <w:noWrap/>
            <w:vAlign w:val="center"/>
            <w:hideMark/>
          </w:tcPr>
          <w:p w14:paraId="4041190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84 088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84 560 </w:t>
            </w:r>
          </w:p>
        </w:tc>
      </w:tr>
      <w:tr w:rsidR="002809FB" w:rsidRPr="005978DF" w14:paraId="4041191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0D"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Djibouti</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90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0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91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1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91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92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1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Dominica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1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1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91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1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91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92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2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Ecuador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2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0,077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2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0,096</w:t>
            </w:r>
          </w:p>
        </w:tc>
        <w:tc>
          <w:tcPr>
            <w:tcW w:w="126" w:type="pct"/>
            <w:tcBorders>
              <w:top w:val="nil"/>
              <w:left w:val="nil"/>
              <w:bottom w:val="nil"/>
              <w:right w:val="nil"/>
            </w:tcBorders>
            <w:noWrap/>
            <w:vAlign w:val="center"/>
            <w:hideMark/>
          </w:tcPr>
          <w:p w14:paraId="4041192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12 916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2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12 827 </w:t>
            </w:r>
          </w:p>
        </w:tc>
        <w:tc>
          <w:tcPr>
            <w:tcW w:w="145" w:type="pct"/>
            <w:tcBorders>
              <w:top w:val="nil"/>
              <w:left w:val="nil"/>
              <w:bottom w:val="nil"/>
              <w:right w:val="nil"/>
            </w:tcBorders>
            <w:noWrap/>
            <w:vAlign w:val="center"/>
            <w:hideMark/>
          </w:tcPr>
          <w:p w14:paraId="4041192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11 708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11 774 </w:t>
            </w:r>
          </w:p>
        </w:tc>
      </w:tr>
      <w:tr w:rsidR="002809FB" w:rsidRPr="005978DF" w14:paraId="4041193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2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Egipto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2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0,139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2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0,174</w:t>
            </w:r>
          </w:p>
        </w:tc>
        <w:tc>
          <w:tcPr>
            <w:tcW w:w="126" w:type="pct"/>
            <w:tcBorders>
              <w:top w:val="nil"/>
              <w:left w:val="nil"/>
              <w:bottom w:val="nil"/>
              <w:right w:val="nil"/>
            </w:tcBorders>
            <w:noWrap/>
            <w:vAlign w:val="center"/>
            <w:hideMark/>
          </w:tcPr>
          <w:p w14:paraId="4041192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23 317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3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23 156 </w:t>
            </w:r>
          </w:p>
        </w:tc>
        <w:tc>
          <w:tcPr>
            <w:tcW w:w="145" w:type="pct"/>
            <w:tcBorders>
              <w:top w:val="nil"/>
              <w:left w:val="nil"/>
              <w:bottom w:val="nil"/>
              <w:right w:val="nil"/>
            </w:tcBorders>
            <w:noWrap/>
            <w:vAlign w:val="center"/>
            <w:hideMark/>
          </w:tcPr>
          <w:p w14:paraId="4041193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21 136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21 255 </w:t>
            </w:r>
          </w:p>
        </w:tc>
      </w:tr>
      <w:tr w:rsidR="002809FB" w:rsidRPr="005978DF" w14:paraId="4041193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3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El Salvador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3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3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0,016</w:t>
            </w:r>
          </w:p>
        </w:tc>
        <w:tc>
          <w:tcPr>
            <w:tcW w:w="126" w:type="pct"/>
            <w:tcBorders>
              <w:top w:val="nil"/>
              <w:left w:val="nil"/>
              <w:bottom w:val="nil"/>
              <w:right w:val="nil"/>
            </w:tcBorders>
            <w:noWrap/>
            <w:vAlign w:val="center"/>
            <w:hideMark/>
          </w:tcPr>
          <w:p w14:paraId="4041193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2 181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3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2 166 </w:t>
            </w:r>
          </w:p>
        </w:tc>
        <w:tc>
          <w:tcPr>
            <w:tcW w:w="145" w:type="pct"/>
            <w:tcBorders>
              <w:top w:val="nil"/>
              <w:left w:val="nil"/>
              <w:bottom w:val="nil"/>
              <w:right w:val="nil"/>
            </w:tcBorders>
            <w:noWrap/>
            <w:vAlign w:val="center"/>
            <w:hideMark/>
          </w:tcPr>
          <w:p w14:paraId="4041193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1 977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1 988 </w:t>
            </w:r>
          </w:p>
        </w:tc>
      </w:tr>
      <w:tr w:rsidR="002809FB" w:rsidRPr="005978DF" w14:paraId="4041194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3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Emiratos Árabes Unidos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4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0,635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4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0,794</w:t>
            </w:r>
          </w:p>
        </w:tc>
        <w:tc>
          <w:tcPr>
            <w:tcW w:w="126" w:type="pct"/>
            <w:tcBorders>
              <w:top w:val="nil"/>
              <w:left w:val="nil"/>
              <w:bottom w:val="nil"/>
              <w:right w:val="nil"/>
            </w:tcBorders>
            <w:noWrap/>
            <w:vAlign w:val="center"/>
            <w:hideMark/>
          </w:tcPr>
          <w:p w14:paraId="4041194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106 519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4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105 782 </w:t>
            </w:r>
          </w:p>
        </w:tc>
        <w:tc>
          <w:tcPr>
            <w:tcW w:w="145" w:type="pct"/>
            <w:tcBorders>
              <w:top w:val="nil"/>
              <w:left w:val="nil"/>
              <w:bottom w:val="nil"/>
              <w:right w:val="nil"/>
            </w:tcBorders>
            <w:noWrap/>
            <w:vAlign w:val="center"/>
            <w:hideMark/>
          </w:tcPr>
          <w:p w14:paraId="4041194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96 556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97 099 </w:t>
            </w:r>
          </w:p>
        </w:tc>
      </w:tr>
      <w:tr w:rsidR="002809FB" w:rsidRPr="005978DF" w14:paraId="4041195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4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Eritrea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4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4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94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4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94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95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5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Eslovaquia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5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0,155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5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0,194</w:t>
            </w:r>
          </w:p>
        </w:tc>
        <w:tc>
          <w:tcPr>
            <w:tcW w:w="126" w:type="pct"/>
            <w:tcBorders>
              <w:top w:val="nil"/>
              <w:left w:val="nil"/>
              <w:bottom w:val="nil"/>
              <w:right w:val="nil"/>
            </w:tcBorders>
            <w:noWrap/>
            <w:vAlign w:val="center"/>
            <w:hideMark/>
          </w:tcPr>
          <w:p w14:paraId="4041195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26 001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5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25 820 </w:t>
            </w:r>
          </w:p>
        </w:tc>
        <w:tc>
          <w:tcPr>
            <w:tcW w:w="145" w:type="pct"/>
            <w:tcBorders>
              <w:top w:val="nil"/>
              <w:left w:val="nil"/>
              <w:bottom w:val="nil"/>
              <w:right w:val="nil"/>
            </w:tcBorders>
            <w:noWrap/>
            <w:vAlign w:val="center"/>
            <w:hideMark/>
          </w:tcPr>
          <w:p w14:paraId="4041195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23 569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23 701 </w:t>
            </w:r>
          </w:p>
        </w:tc>
      </w:tr>
      <w:tr w:rsidR="002809FB" w:rsidRPr="005978DF" w14:paraId="4041196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5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Eslovenia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5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0,079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5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0,099</w:t>
            </w:r>
          </w:p>
        </w:tc>
        <w:tc>
          <w:tcPr>
            <w:tcW w:w="126" w:type="pct"/>
            <w:tcBorders>
              <w:top w:val="nil"/>
              <w:left w:val="nil"/>
              <w:bottom w:val="nil"/>
              <w:right w:val="nil"/>
            </w:tcBorders>
            <w:noWrap/>
            <w:vAlign w:val="center"/>
            <w:hideMark/>
          </w:tcPr>
          <w:p w14:paraId="4041196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13 252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6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13 159 </w:t>
            </w:r>
          </w:p>
        </w:tc>
        <w:tc>
          <w:tcPr>
            <w:tcW w:w="145" w:type="pct"/>
            <w:tcBorders>
              <w:top w:val="nil"/>
              <w:left w:val="nil"/>
              <w:bottom w:val="nil"/>
              <w:right w:val="nil"/>
            </w:tcBorders>
            <w:noWrap/>
            <w:vAlign w:val="center"/>
            <w:hideMark/>
          </w:tcPr>
          <w:p w14:paraId="4041196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12 013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12 080 </w:t>
            </w:r>
          </w:p>
        </w:tc>
      </w:tr>
      <w:tr w:rsidR="002809FB" w:rsidRPr="005978DF" w14:paraId="4041197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6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España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6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2,134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6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2,668</w:t>
            </w:r>
          </w:p>
        </w:tc>
        <w:tc>
          <w:tcPr>
            <w:tcW w:w="126" w:type="pct"/>
            <w:tcBorders>
              <w:top w:val="nil"/>
              <w:left w:val="nil"/>
              <w:bottom w:val="nil"/>
              <w:right w:val="nil"/>
            </w:tcBorders>
            <w:noWrap/>
            <w:vAlign w:val="center"/>
            <w:hideMark/>
          </w:tcPr>
          <w:p w14:paraId="4041196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357 969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6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355 496 </w:t>
            </w:r>
          </w:p>
        </w:tc>
        <w:tc>
          <w:tcPr>
            <w:tcW w:w="145" w:type="pct"/>
            <w:tcBorders>
              <w:top w:val="nil"/>
              <w:left w:val="nil"/>
              <w:bottom w:val="nil"/>
              <w:right w:val="nil"/>
            </w:tcBorders>
            <w:noWrap/>
            <w:vAlign w:val="center"/>
            <w:hideMark/>
          </w:tcPr>
          <w:p w14:paraId="4041196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324 490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326 311 </w:t>
            </w:r>
          </w:p>
        </w:tc>
      </w:tr>
      <w:tr w:rsidR="002809FB" w:rsidRPr="005978DF" w14:paraId="4041197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7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Estado de Palestina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7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7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0,014</w:t>
            </w:r>
          </w:p>
        </w:tc>
        <w:tc>
          <w:tcPr>
            <w:tcW w:w="126" w:type="pct"/>
            <w:tcBorders>
              <w:top w:val="nil"/>
              <w:left w:val="nil"/>
              <w:bottom w:val="nil"/>
              <w:right w:val="nil"/>
            </w:tcBorders>
            <w:noWrap/>
            <w:vAlign w:val="center"/>
            <w:hideMark/>
          </w:tcPr>
          <w:p w14:paraId="4041197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1 845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7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1 832 </w:t>
            </w:r>
          </w:p>
        </w:tc>
        <w:tc>
          <w:tcPr>
            <w:tcW w:w="145" w:type="pct"/>
            <w:tcBorders>
              <w:top w:val="nil"/>
              <w:left w:val="nil"/>
              <w:bottom w:val="nil"/>
              <w:right w:val="nil"/>
            </w:tcBorders>
            <w:noWrap/>
            <w:vAlign w:val="center"/>
            <w:hideMark/>
          </w:tcPr>
          <w:p w14:paraId="4041197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1 673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1 681 </w:t>
            </w:r>
          </w:p>
        </w:tc>
      </w:tr>
      <w:tr w:rsidR="002809FB" w:rsidRPr="005978DF" w14:paraId="4041198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7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Estonia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7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7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0,055</w:t>
            </w:r>
          </w:p>
        </w:tc>
        <w:tc>
          <w:tcPr>
            <w:tcW w:w="126" w:type="pct"/>
            <w:tcBorders>
              <w:top w:val="nil"/>
              <w:left w:val="nil"/>
              <w:bottom w:val="nil"/>
              <w:right w:val="nil"/>
            </w:tcBorders>
            <w:noWrap/>
            <w:vAlign w:val="center"/>
            <w:hideMark/>
          </w:tcPr>
          <w:p w14:paraId="4041197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7 381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8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7 330 </w:t>
            </w:r>
          </w:p>
        </w:tc>
        <w:tc>
          <w:tcPr>
            <w:tcW w:w="145" w:type="pct"/>
            <w:tcBorders>
              <w:top w:val="nil"/>
              <w:left w:val="nil"/>
              <w:bottom w:val="nil"/>
              <w:right w:val="nil"/>
            </w:tcBorders>
            <w:noWrap/>
            <w:vAlign w:val="center"/>
            <w:hideMark/>
          </w:tcPr>
          <w:p w14:paraId="4041198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6 691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6 728 </w:t>
            </w:r>
          </w:p>
        </w:tc>
      </w:tr>
      <w:tr w:rsidR="002809FB" w:rsidRPr="005978DF" w14:paraId="4041198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85"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Eswatini</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98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8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98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8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98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99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8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Etiopía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9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9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99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9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99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9A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99" w14:textId="77777777" w:rsidR="002809FB" w:rsidRPr="000F4C79" w:rsidRDefault="002809FB" w:rsidP="0049064A">
            <w:pPr>
              <w:rPr>
                <w:rFonts w:asciiTheme="minorHAnsi" w:hAnsiTheme="minorHAnsi" w:cstheme="minorHAnsi"/>
                <w:sz w:val="16"/>
                <w:szCs w:val="16"/>
                <w:lang w:val="es-ES"/>
              </w:rPr>
            </w:pPr>
            <w:proofErr w:type="gramStart"/>
            <w:r w:rsidRPr="000F4C79">
              <w:rPr>
                <w:rFonts w:asciiTheme="minorHAnsi" w:hAnsiTheme="minorHAnsi" w:cstheme="minorHAnsi"/>
                <w:sz w:val="16"/>
                <w:szCs w:val="16"/>
                <w:lang w:val="es-ES"/>
              </w:rPr>
              <w:t>Ex República</w:t>
            </w:r>
            <w:proofErr w:type="gramEnd"/>
            <w:r w:rsidRPr="000F4C79">
              <w:rPr>
                <w:rFonts w:asciiTheme="minorHAnsi" w:hAnsiTheme="minorHAnsi" w:cstheme="minorHAnsi"/>
                <w:sz w:val="16"/>
                <w:szCs w:val="16"/>
                <w:lang w:val="es-ES"/>
              </w:rPr>
              <w:t xml:space="preserve"> Yugoslava de Macedonia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9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9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26" w:type="pct"/>
            <w:tcBorders>
              <w:top w:val="nil"/>
              <w:left w:val="nil"/>
              <w:bottom w:val="nil"/>
              <w:right w:val="nil"/>
            </w:tcBorders>
            <w:noWrap/>
            <w:vAlign w:val="center"/>
            <w:hideMark/>
          </w:tcPr>
          <w:p w14:paraId="4041199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9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1 166 </w:t>
            </w:r>
          </w:p>
        </w:tc>
        <w:tc>
          <w:tcPr>
            <w:tcW w:w="145" w:type="pct"/>
            <w:tcBorders>
              <w:top w:val="nil"/>
              <w:left w:val="nil"/>
              <w:bottom w:val="nil"/>
              <w:right w:val="nil"/>
            </w:tcBorders>
            <w:noWrap/>
            <w:vAlign w:val="center"/>
            <w:hideMark/>
          </w:tcPr>
          <w:p w14:paraId="4041199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1 064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1 070 </w:t>
            </w:r>
          </w:p>
        </w:tc>
      </w:tr>
      <w:tr w:rsidR="002809FB" w:rsidRPr="005978DF" w14:paraId="404119A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A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Federación de Rusia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A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1,866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A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2,333</w:t>
            </w:r>
          </w:p>
        </w:tc>
        <w:tc>
          <w:tcPr>
            <w:tcW w:w="126" w:type="pct"/>
            <w:tcBorders>
              <w:top w:val="nil"/>
              <w:left w:val="nil"/>
              <w:bottom w:val="nil"/>
              <w:right w:val="nil"/>
            </w:tcBorders>
            <w:noWrap/>
            <w:vAlign w:val="center"/>
            <w:hideMark/>
          </w:tcPr>
          <w:p w14:paraId="404119A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313 014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A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310 850 </w:t>
            </w:r>
          </w:p>
        </w:tc>
        <w:tc>
          <w:tcPr>
            <w:tcW w:w="145" w:type="pct"/>
            <w:tcBorders>
              <w:top w:val="nil"/>
              <w:left w:val="nil"/>
              <w:bottom w:val="nil"/>
              <w:right w:val="nil"/>
            </w:tcBorders>
            <w:noWrap/>
            <w:vAlign w:val="center"/>
            <w:hideMark/>
          </w:tcPr>
          <w:p w14:paraId="404119A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283 739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285 332 </w:t>
            </w:r>
          </w:p>
        </w:tc>
      </w:tr>
      <w:tr w:rsidR="002809FB" w:rsidRPr="005978DF" w14:paraId="404119B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AD"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Fiji</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9A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A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9B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B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9B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9C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B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Filipinas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B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B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0,265</w:t>
            </w:r>
          </w:p>
        </w:tc>
        <w:tc>
          <w:tcPr>
            <w:tcW w:w="126" w:type="pct"/>
            <w:tcBorders>
              <w:top w:val="nil"/>
              <w:left w:val="nil"/>
              <w:bottom w:val="nil"/>
              <w:right w:val="nil"/>
            </w:tcBorders>
            <w:noWrap/>
            <w:vAlign w:val="center"/>
            <w:hideMark/>
          </w:tcPr>
          <w:p w14:paraId="404119B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35 562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B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35 315 </w:t>
            </w:r>
          </w:p>
        </w:tc>
        <w:tc>
          <w:tcPr>
            <w:tcW w:w="145" w:type="pct"/>
            <w:tcBorders>
              <w:top w:val="nil"/>
              <w:left w:val="nil"/>
              <w:bottom w:val="nil"/>
              <w:right w:val="nil"/>
            </w:tcBorders>
            <w:noWrap/>
            <w:vAlign w:val="center"/>
            <w:hideMark/>
          </w:tcPr>
          <w:p w14:paraId="404119B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32 236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32 417 </w:t>
            </w:r>
          </w:p>
        </w:tc>
      </w:tr>
      <w:tr w:rsidR="002809FB" w:rsidRPr="005978DF" w14:paraId="404119C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C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Finlandia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C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0,417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C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0,521</w:t>
            </w:r>
          </w:p>
        </w:tc>
        <w:tc>
          <w:tcPr>
            <w:tcW w:w="126" w:type="pct"/>
            <w:tcBorders>
              <w:top w:val="nil"/>
              <w:left w:val="nil"/>
              <w:bottom w:val="nil"/>
              <w:right w:val="nil"/>
            </w:tcBorders>
            <w:noWrap/>
            <w:vAlign w:val="center"/>
            <w:hideMark/>
          </w:tcPr>
          <w:p w14:paraId="404119C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69 950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C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69 467 </w:t>
            </w:r>
          </w:p>
        </w:tc>
        <w:tc>
          <w:tcPr>
            <w:tcW w:w="145" w:type="pct"/>
            <w:tcBorders>
              <w:top w:val="nil"/>
              <w:left w:val="nil"/>
              <w:bottom w:val="nil"/>
              <w:right w:val="nil"/>
            </w:tcBorders>
            <w:noWrap/>
            <w:vAlign w:val="center"/>
            <w:hideMark/>
          </w:tcPr>
          <w:p w14:paraId="404119C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63 408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63 764 </w:t>
            </w:r>
          </w:p>
        </w:tc>
      </w:tr>
      <w:tr w:rsidR="002809FB" w:rsidRPr="005978DF" w14:paraId="404119D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C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Francia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C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4,318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C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5,398</w:t>
            </w:r>
          </w:p>
        </w:tc>
        <w:tc>
          <w:tcPr>
            <w:tcW w:w="126" w:type="pct"/>
            <w:tcBorders>
              <w:top w:val="nil"/>
              <w:left w:val="nil"/>
              <w:bottom w:val="nil"/>
              <w:right w:val="nil"/>
            </w:tcBorders>
            <w:noWrap/>
            <w:vAlign w:val="center"/>
            <w:hideMark/>
          </w:tcPr>
          <w:p w14:paraId="404119C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724 326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D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719 322 </w:t>
            </w:r>
          </w:p>
        </w:tc>
        <w:tc>
          <w:tcPr>
            <w:tcW w:w="145" w:type="pct"/>
            <w:tcBorders>
              <w:top w:val="nil"/>
              <w:left w:val="nil"/>
              <w:bottom w:val="nil"/>
              <w:right w:val="nil"/>
            </w:tcBorders>
            <w:noWrap/>
            <w:vAlign w:val="center"/>
            <w:hideMark/>
          </w:tcPr>
          <w:p w14:paraId="404119D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656 583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D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660 270 </w:t>
            </w:r>
          </w:p>
        </w:tc>
      </w:tr>
      <w:tr w:rsidR="002809FB" w:rsidRPr="005978DF" w14:paraId="404119D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D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Gabón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D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D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0,016</w:t>
            </w:r>
          </w:p>
        </w:tc>
        <w:tc>
          <w:tcPr>
            <w:tcW w:w="126" w:type="pct"/>
            <w:tcBorders>
              <w:top w:val="nil"/>
              <w:left w:val="nil"/>
              <w:bottom w:val="nil"/>
              <w:right w:val="nil"/>
            </w:tcBorders>
            <w:noWrap/>
            <w:vAlign w:val="center"/>
            <w:hideMark/>
          </w:tcPr>
          <w:p w14:paraId="404119D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2 181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D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2 166 </w:t>
            </w:r>
          </w:p>
        </w:tc>
        <w:tc>
          <w:tcPr>
            <w:tcW w:w="145" w:type="pct"/>
            <w:tcBorders>
              <w:top w:val="nil"/>
              <w:left w:val="nil"/>
              <w:bottom w:val="nil"/>
              <w:right w:val="nil"/>
            </w:tcBorders>
            <w:noWrap/>
            <w:vAlign w:val="center"/>
            <w:hideMark/>
          </w:tcPr>
          <w:p w14:paraId="404119D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1 977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D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1 988 </w:t>
            </w:r>
          </w:p>
        </w:tc>
      </w:tr>
      <w:tr w:rsidR="002809FB" w:rsidRPr="005978DF" w14:paraId="404119E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D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Gambia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E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E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9E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E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E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9E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E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E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9F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E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Georgia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E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E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9E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E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E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9E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F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F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9F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F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Ghana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F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F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0,030</w:t>
            </w:r>
          </w:p>
        </w:tc>
        <w:tc>
          <w:tcPr>
            <w:tcW w:w="126" w:type="pct"/>
            <w:tcBorders>
              <w:top w:val="nil"/>
              <w:left w:val="nil"/>
              <w:bottom w:val="nil"/>
              <w:right w:val="nil"/>
            </w:tcBorders>
            <w:noWrap/>
            <w:vAlign w:val="center"/>
            <w:hideMark/>
          </w:tcPr>
          <w:p w14:paraId="404119F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9F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4 026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9F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3 998 </w:t>
            </w:r>
          </w:p>
        </w:tc>
        <w:tc>
          <w:tcPr>
            <w:tcW w:w="145" w:type="pct"/>
            <w:tcBorders>
              <w:top w:val="nil"/>
              <w:left w:val="nil"/>
              <w:bottom w:val="nil"/>
              <w:right w:val="nil"/>
            </w:tcBorders>
            <w:noWrap/>
            <w:vAlign w:val="center"/>
            <w:hideMark/>
          </w:tcPr>
          <w:p w14:paraId="404119F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9F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3 649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9F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3 670 </w:t>
            </w:r>
          </w:p>
        </w:tc>
      </w:tr>
      <w:tr w:rsidR="002809FB" w:rsidRPr="005978DF" w14:paraId="40411A0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9F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Granada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9F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9F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A0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0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0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A0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0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0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A1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0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Grecia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0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0,325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0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0,406</w:t>
            </w:r>
          </w:p>
        </w:tc>
        <w:tc>
          <w:tcPr>
            <w:tcW w:w="126" w:type="pct"/>
            <w:tcBorders>
              <w:top w:val="nil"/>
              <w:left w:val="nil"/>
              <w:bottom w:val="nil"/>
              <w:right w:val="nil"/>
            </w:tcBorders>
            <w:noWrap/>
            <w:vAlign w:val="center"/>
            <w:hideMark/>
          </w:tcPr>
          <w:p w14:paraId="40411A0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54 517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0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54 141 </w:t>
            </w:r>
          </w:p>
        </w:tc>
        <w:tc>
          <w:tcPr>
            <w:tcW w:w="145" w:type="pct"/>
            <w:tcBorders>
              <w:top w:val="nil"/>
              <w:left w:val="nil"/>
              <w:bottom w:val="nil"/>
              <w:right w:val="nil"/>
            </w:tcBorders>
            <w:noWrap/>
            <w:vAlign w:val="center"/>
            <w:hideMark/>
          </w:tcPr>
          <w:p w14:paraId="40411A0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49 419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0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49 696 </w:t>
            </w:r>
          </w:p>
        </w:tc>
      </w:tr>
      <w:tr w:rsidR="002809FB" w:rsidRPr="005978DF" w14:paraId="40411A1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1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Guatemala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1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1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0,051</w:t>
            </w:r>
          </w:p>
        </w:tc>
        <w:tc>
          <w:tcPr>
            <w:tcW w:w="126" w:type="pct"/>
            <w:tcBorders>
              <w:top w:val="nil"/>
              <w:left w:val="nil"/>
              <w:bottom w:val="nil"/>
              <w:right w:val="nil"/>
            </w:tcBorders>
            <w:noWrap/>
            <w:vAlign w:val="center"/>
            <w:hideMark/>
          </w:tcPr>
          <w:p w14:paraId="40411A1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6 878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1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6 830 </w:t>
            </w:r>
          </w:p>
        </w:tc>
        <w:tc>
          <w:tcPr>
            <w:tcW w:w="145" w:type="pct"/>
            <w:tcBorders>
              <w:top w:val="nil"/>
              <w:left w:val="nil"/>
              <w:bottom w:val="nil"/>
              <w:right w:val="nil"/>
            </w:tcBorders>
            <w:noWrap/>
            <w:vAlign w:val="center"/>
            <w:hideMark/>
          </w:tcPr>
          <w:p w14:paraId="40411A1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6 234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1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6 269 </w:t>
            </w:r>
          </w:p>
        </w:tc>
      </w:tr>
      <w:tr w:rsidR="002809FB" w:rsidRPr="005978DF" w14:paraId="40411A2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1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Guinea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1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1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26" w:type="pct"/>
            <w:tcBorders>
              <w:top w:val="nil"/>
              <w:left w:val="nil"/>
              <w:bottom w:val="nil"/>
              <w:right w:val="nil"/>
            </w:tcBorders>
            <w:noWrap/>
            <w:vAlign w:val="center"/>
            <w:hideMark/>
          </w:tcPr>
          <w:p w14:paraId="40411A1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2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500 </w:t>
            </w:r>
          </w:p>
        </w:tc>
        <w:tc>
          <w:tcPr>
            <w:tcW w:w="145" w:type="pct"/>
            <w:tcBorders>
              <w:top w:val="nil"/>
              <w:left w:val="nil"/>
              <w:bottom w:val="nil"/>
              <w:right w:val="nil"/>
            </w:tcBorders>
            <w:noWrap/>
            <w:vAlign w:val="center"/>
            <w:hideMark/>
          </w:tcPr>
          <w:p w14:paraId="40411A2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2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459 </w:t>
            </w:r>
          </w:p>
        </w:tc>
      </w:tr>
      <w:tr w:rsidR="002809FB" w:rsidRPr="005978DF" w14:paraId="40411A2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2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Guinea Ecuatorial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2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2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0,015</w:t>
            </w:r>
          </w:p>
        </w:tc>
        <w:tc>
          <w:tcPr>
            <w:tcW w:w="126" w:type="pct"/>
            <w:tcBorders>
              <w:top w:val="nil"/>
              <w:left w:val="nil"/>
              <w:bottom w:val="nil"/>
              <w:right w:val="nil"/>
            </w:tcBorders>
            <w:noWrap/>
            <w:vAlign w:val="center"/>
            <w:hideMark/>
          </w:tcPr>
          <w:p w14:paraId="40411A2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2.013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2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1 999 </w:t>
            </w:r>
          </w:p>
        </w:tc>
        <w:tc>
          <w:tcPr>
            <w:tcW w:w="145" w:type="pct"/>
            <w:tcBorders>
              <w:top w:val="nil"/>
              <w:left w:val="nil"/>
              <w:bottom w:val="nil"/>
              <w:right w:val="nil"/>
            </w:tcBorders>
            <w:noWrap/>
            <w:vAlign w:val="center"/>
            <w:hideMark/>
          </w:tcPr>
          <w:p w14:paraId="40411A2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1 825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2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1 835 </w:t>
            </w:r>
          </w:p>
        </w:tc>
      </w:tr>
      <w:tr w:rsidR="002809FB" w:rsidRPr="005978DF" w14:paraId="40411A3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2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Guinea-Bissau</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3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3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A3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3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A3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3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A4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3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Guyana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3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3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A3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3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A3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4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A4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4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Haití</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4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4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26" w:type="pct"/>
            <w:tcBorders>
              <w:top w:val="nil"/>
              <w:left w:val="nil"/>
              <w:bottom w:val="nil"/>
              <w:right w:val="nil"/>
            </w:tcBorders>
            <w:noWrap/>
            <w:vAlign w:val="center"/>
            <w:hideMark/>
          </w:tcPr>
          <w:p w14:paraId="40411A4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1 006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4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1 000 </w:t>
            </w:r>
          </w:p>
        </w:tc>
        <w:tc>
          <w:tcPr>
            <w:tcW w:w="145" w:type="pct"/>
            <w:tcBorders>
              <w:top w:val="nil"/>
              <w:left w:val="nil"/>
              <w:bottom w:val="nil"/>
              <w:right w:val="nil"/>
            </w:tcBorders>
            <w:noWrap/>
            <w:vAlign w:val="center"/>
            <w:hideMark/>
          </w:tcPr>
          <w:p w14:paraId="40411A4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912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4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917 </w:t>
            </w:r>
          </w:p>
        </w:tc>
      </w:tr>
      <w:tr w:rsidR="002809FB" w:rsidRPr="005978DF" w14:paraId="40411A5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4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Honduras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4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4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126" w:type="pct"/>
            <w:tcBorders>
              <w:top w:val="nil"/>
              <w:left w:val="nil"/>
              <w:bottom w:val="nil"/>
              <w:right w:val="nil"/>
            </w:tcBorders>
            <w:noWrap/>
            <w:vAlign w:val="center"/>
            <w:hideMark/>
          </w:tcPr>
          <w:p w14:paraId="40411A5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1 510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5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1 499 </w:t>
            </w:r>
          </w:p>
        </w:tc>
        <w:tc>
          <w:tcPr>
            <w:tcW w:w="145" w:type="pct"/>
            <w:tcBorders>
              <w:top w:val="nil"/>
              <w:left w:val="nil"/>
              <w:bottom w:val="nil"/>
              <w:right w:val="nil"/>
            </w:tcBorders>
            <w:noWrap/>
            <w:vAlign w:val="center"/>
            <w:hideMark/>
          </w:tcPr>
          <w:p w14:paraId="40411A5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1 369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5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1 376 </w:t>
            </w:r>
          </w:p>
        </w:tc>
      </w:tr>
      <w:tr w:rsidR="002809FB" w:rsidRPr="005978DF" w14:paraId="40411A6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5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Hungría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5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5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0,285</w:t>
            </w:r>
          </w:p>
        </w:tc>
        <w:tc>
          <w:tcPr>
            <w:tcW w:w="126" w:type="pct"/>
            <w:tcBorders>
              <w:top w:val="nil"/>
              <w:left w:val="nil"/>
              <w:bottom w:val="nil"/>
              <w:right w:val="nil"/>
            </w:tcBorders>
            <w:noWrap/>
            <w:vAlign w:val="center"/>
            <w:hideMark/>
          </w:tcPr>
          <w:p w14:paraId="40411A5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38 246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5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37 982 </w:t>
            </w:r>
          </w:p>
        </w:tc>
        <w:tc>
          <w:tcPr>
            <w:tcW w:w="145" w:type="pct"/>
            <w:tcBorders>
              <w:top w:val="nil"/>
              <w:left w:val="nil"/>
              <w:bottom w:val="nil"/>
              <w:right w:val="nil"/>
            </w:tcBorders>
            <w:noWrap/>
            <w:vAlign w:val="center"/>
            <w:hideMark/>
          </w:tcPr>
          <w:p w14:paraId="40411A5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34 669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5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34 864 </w:t>
            </w:r>
          </w:p>
        </w:tc>
      </w:tr>
      <w:tr w:rsidR="002809FB" w:rsidRPr="005978DF" w14:paraId="40411A6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6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India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6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1,044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6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1,305</w:t>
            </w:r>
          </w:p>
        </w:tc>
        <w:tc>
          <w:tcPr>
            <w:tcW w:w="126" w:type="pct"/>
            <w:tcBorders>
              <w:top w:val="nil"/>
              <w:left w:val="nil"/>
              <w:bottom w:val="nil"/>
              <w:right w:val="nil"/>
            </w:tcBorders>
            <w:noWrap/>
            <w:vAlign w:val="center"/>
            <w:hideMark/>
          </w:tcPr>
          <w:p w14:paraId="40411A6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175 127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6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173 917 </w:t>
            </w:r>
          </w:p>
        </w:tc>
        <w:tc>
          <w:tcPr>
            <w:tcW w:w="145" w:type="pct"/>
            <w:tcBorders>
              <w:top w:val="nil"/>
              <w:left w:val="nil"/>
              <w:bottom w:val="nil"/>
              <w:right w:val="nil"/>
            </w:tcBorders>
            <w:noWrap/>
            <w:vAlign w:val="center"/>
            <w:hideMark/>
          </w:tcPr>
          <w:p w14:paraId="40411A6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158 749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6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159 639 </w:t>
            </w:r>
          </w:p>
        </w:tc>
      </w:tr>
      <w:tr w:rsidR="002809FB" w:rsidRPr="005978DF" w14:paraId="40411A7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6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Indonesia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6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0,549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6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0,686</w:t>
            </w:r>
          </w:p>
        </w:tc>
        <w:tc>
          <w:tcPr>
            <w:tcW w:w="126" w:type="pct"/>
            <w:tcBorders>
              <w:top w:val="nil"/>
              <w:left w:val="nil"/>
              <w:bottom w:val="nil"/>
              <w:right w:val="nil"/>
            </w:tcBorders>
            <w:noWrap/>
            <w:vAlign w:val="center"/>
            <w:hideMark/>
          </w:tcPr>
          <w:p w14:paraId="40411A6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92 092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7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91 456 </w:t>
            </w:r>
          </w:p>
        </w:tc>
        <w:tc>
          <w:tcPr>
            <w:tcW w:w="145" w:type="pct"/>
            <w:tcBorders>
              <w:top w:val="nil"/>
              <w:left w:val="nil"/>
              <w:bottom w:val="nil"/>
              <w:right w:val="nil"/>
            </w:tcBorders>
            <w:noWrap/>
            <w:vAlign w:val="center"/>
            <w:hideMark/>
          </w:tcPr>
          <w:p w14:paraId="40411A7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83 480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7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83 948 </w:t>
            </w:r>
          </w:p>
        </w:tc>
      </w:tr>
      <w:tr w:rsidR="002809FB" w:rsidRPr="005978DF" w14:paraId="40411A7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7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Irán (República Islámica del)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7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0,371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7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0,464</w:t>
            </w:r>
          </w:p>
        </w:tc>
        <w:tc>
          <w:tcPr>
            <w:tcW w:w="126" w:type="pct"/>
            <w:tcBorders>
              <w:top w:val="nil"/>
              <w:left w:val="nil"/>
              <w:bottom w:val="nil"/>
              <w:right w:val="nil"/>
            </w:tcBorders>
            <w:noWrap/>
            <w:vAlign w:val="center"/>
            <w:hideMark/>
          </w:tcPr>
          <w:p w14:paraId="40411A7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62 234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7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61 804 </w:t>
            </w:r>
          </w:p>
        </w:tc>
        <w:tc>
          <w:tcPr>
            <w:tcW w:w="145" w:type="pct"/>
            <w:tcBorders>
              <w:top w:val="nil"/>
              <w:left w:val="nil"/>
              <w:bottom w:val="nil"/>
              <w:right w:val="nil"/>
            </w:tcBorders>
            <w:noWrap/>
            <w:vAlign w:val="center"/>
            <w:hideMark/>
          </w:tcPr>
          <w:p w14:paraId="40411A7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7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56 414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7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56 730 </w:t>
            </w:r>
          </w:p>
        </w:tc>
      </w:tr>
      <w:tr w:rsidR="002809FB" w:rsidRPr="005978DF" w14:paraId="40411A8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7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Iraq</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8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8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0,160</w:t>
            </w:r>
          </w:p>
        </w:tc>
        <w:tc>
          <w:tcPr>
            <w:tcW w:w="126" w:type="pct"/>
            <w:tcBorders>
              <w:top w:val="nil"/>
              <w:left w:val="nil"/>
              <w:bottom w:val="nil"/>
              <w:right w:val="nil"/>
            </w:tcBorders>
            <w:noWrap/>
            <w:vAlign w:val="center"/>
            <w:hideMark/>
          </w:tcPr>
          <w:p w14:paraId="40411A8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21 471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8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21 323 </w:t>
            </w:r>
          </w:p>
        </w:tc>
        <w:tc>
          <w:tcPr>
            <w:tcW w:w="145" w:type="pct"/>
            <w:tcBorders>
              <w:top w:val="nil"/>
              <w:left w:val="nil"/>
              <w:bottom w:val="nil"/>
              <w:right w:val="nil"/>
            </w:tcBorders>
            <w:noWrap/>
            <w:vAlign w:val="center"/>
            <w:hideMark/>
          </w:tcPr>
          <w:p w14:paraId="40411A8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19 464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8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19 573 </w:t>
            </w:r>
          </w:p>
        </w:tc>
      </w:tr>
      <w:tr w:rsidR="002809FB" w:rsidRPr="005978DF" w14:paraId="40411A9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8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Irlanda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8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0,439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8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0,549</w:t>
            </w:r>
          </w:p>
        </w:tc>
        <w:tc>
          <w:tcPr>
            <w:tcW w:w="126" w:type="pct"/>
            <w:tcBorders>
              <w:top w:val="nil"/>
              <w:left w:val="nil"/>
              <w:bottom w:val="nil"/>
              <w:right w:val="nil"/>
            </w:tcBorders>
            <w:noWrap/>
            <w:vAlign w:val="center"/>
            <w:hideMark/>
          </w:tcPr>
          <w:p w14:paraId="40411A8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73 640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8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73 132 </w:t>
            </w:r>
          </w:p>
        </w:tc>
        <w:tc>
          <w:tcPr>
            <w:tcW w:w="145" w:type="pct"/>
            <w:tcBorders>
              <w:top w:val="nil"/>
              <w:left w:val="nil"/>
              <w:bottom w:val="nil"/>
              <w:right w:val="nil"/>
            </w:tcBorders>
            <w:noWrap/>
            <w:vAlign w:val="center"/>
            <w:hideMark/>
          </w:tcPr>
          <w:p w14:paraId="40411A8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66 754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9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67 128 </w:t>
            </w:r>
          </w:p>
        </w:tc>
      </w:tr>
      <w:tr w:rsidR="002809FB" w:rsidRPr="005978DF" w14:paraId="40411A9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9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Islandia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9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9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0,045</w:t>
            </w:r>
          </w:p>
        </w:tc>
        <w:tc>
          <w:tcPr>
            <w:tcW w:w="126" w:type="pct"/>
            <w:tcBorders>
              <w:top w:val="nil"/>
              <w:left w:val="nil"/>
              <w:bottom w:val="nil"/>
              <w:right w:val="nil"/>
            </w:tcBorders>
            <w:noWrap/>
            <w:vAlign w:val="center"/>
            <w:hideMark/>
          </w:tcPr>
          <w:p w14:paraId="40411A9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6 039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9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5 997 </w:t>
            </w:r>
          </w:p>
        </w:tc>
        <w:tc>
          <w:tcPr>
            <w:tcW w:w="145" w:type="pct"/>
            <w:tcBorders>
              <w:top w:val="nil"/>
              <w:left w:val="nil"/>
              <w:bottom w:val="nil"/>
              <w:right w:val="nil"/>
            </w:tcBorders>
            <w:noWrap/>
            <w:vAlign w:val="center"/>
            <w:hideMark/>
          </w:tcPr>
          <w:p w14:paraId="40411A9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5 474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9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5 505 </w:t>
            </w:r>
          </w:p>
        </w:tc>
      </w:tr>
      <w:tr w:rsidR="002809FB" w:rsidRPr="005978DF" w14:paraId="40411AA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9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Islas Cook</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9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9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AA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A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AA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A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AB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A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Islas Marshall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A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A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AA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A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AA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A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AB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B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Islas Salomón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B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B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AB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B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AB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B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AC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B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lastRenderedPageBreak/>
              <w:t>Israel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B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0,561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B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0,701</w:t>
            </w:r>
          </w:p>
        </w:tc>
        <w:tc>
          <w:tcPr>
            <w:tcW w:w="126" w:type="pct"/>
            <w:tcBorders>
              <w:top w:val="nil"/>
              <w:left w:val="nil"/>
              <w:bottom w:val="nil"/>
              <w:right w:val="nil"/>
            </w:tcBorders>
            <w:noWrap/>
            <w:vAlign w:val="center"/>
            <w:hideMark/>
          </w:tcPr>
          <w:p w14:paraId="40411AB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94 105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C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93 455 </w:t>
            </w:r>
          </w:p>
        </w:tc>
        <w:tc>
          <w:tcPr>
            <w:tcW w:w="145" w:type="pct"/>
            <w:tcBorders>
              <w:top w:val="nil"/>
              <w:left w:val="nil"/>
              <w:bottom w:val="nil"/>
              <w:right w:val="nil"/>
            </w:tcBorders>
            <w:noWrap/>
            <w:vAlign w:val="center"/>
            <w:hideMark/>
          </w:tcPr>
          <w:p w14:paraId="40411AC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85 305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C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85 783 </w:t>
            </w:r>
          </w:p>
        </w:tc>
      </w:tr>
      <w:tr w:rsidR="002809FB" w:rsidRPr="005978DF" w14:paraId="40411AC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C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Italia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C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3,189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C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3,987</w:t>
            </w:r>
          </w:p>
        </w:tc>
        <w:tc>
          <w:tcPr>
            <w:tcW w:w="126" w:type="pct"/>
            <w:tcBorders>
              <w:top w:val="nil"/>
              <w:left w:val="nil"/>
              <w:bottom w:val="nil"/>
              <w:right w:val="nil"/>
            </w:tcBorders>
            <w:noWrap/>
            <w:vAlign w:val="center"/>
            <w:hideMark/>
          </w:tcPr>
          <w:p w14:paraId="40411AC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534 941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C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531 246 </w:t>
            </w:r>
          </w:p>
        </w:tc>
        <w:tc>
          <w:tcPr>
            <w:tcW w:w="145" w:type="pct"/>
            <w:tcBorders>
              <w:top w:val="nil"/>
              <w:left w:val="nil"/>
              <w:bottom w:val="nil"/>
              <w:right w:val="nil"/>
            </w:tcBorders>
            <w:noWrap/>
            <w:vAlign w:val="center"/>
            <w:hideMark/>
          </w:tcPr>
          <w:p w14:paraId="40411AC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C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484 912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C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487 633 </w:t>
            </w:r>
          </w:p>
        </w:tc>
      </w:tr>
      <w:tr w:rsidR="002809FB" w:rsidRPr="005978DF" w14:paraId="40411AD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C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Jamaica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D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D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AD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D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D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AD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D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D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AE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D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Japón</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40411AD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8,033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D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10,042</w:t>
            </w:r>
          </w:p>
        </w:tc>
        <w:tc>
          <w:tcPr>
            <w:tcW w:w="126" w:type="pct"/>
            <w:tcBorders>
              <w:top w:val="nil"/>
              <w:left w:val="nil"/>
              <w:bottom w:val="nil"/>
              <w:right w:val="nil"/>
            </w:tcBorders>
            <w:noWrap/>
            <w:vAlign w:val="center"/>
            <w:hideMark/>
          </w:tcPr>
          <w:p w14:paraId="40411AD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D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1 347 502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D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1 338 193 </w:t>
            </w:r>
          </w:p>
        </w:tc>
        <w:tc>
          <w:tcPr>
            <w:tcW w:w="145" w:type="pct"/>
            <w:tcBorders>
              <w:top w:val="nil"/>
              <w:left w:val="nil"/>
              <w:bottom w:val="nil"/>
              <w:right w:val="nil"/>
            </w:tcBorders>
            <w:noWrap/>
            <w:vAlign w:val="center"/>
            <w:hideMark/>
          </w:tcPr>
          <w:p w14:paraId="40411AD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E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1 221 477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E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1 228 335 </w:t>
            </w:r>
          </w:p>
        </w:tc>
      </w:tr>
      <w:tr w:rsidR="002809FB" w:rsidRPr="005978DF" w14:paraId="40411AE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E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Jordania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E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E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0,028</w:t>
            </w:r>
          </w:p>
        </w:tc>
        <w:tc>
          <w:tcPr>
            <w:tcW w:w="126" w:type="pct"/>
            <w:tcBorders>
              <w:top w:val="nil"/>
              <w:left w:val="nil"/>
              <w:bottom w:val="nil"/>
              <w:right w:val="nil"/>
            </w:tcBorders>
            <w:noWrap/>
            <w:vAlign w:val="center"/>
            <w:hideMark/>
          </w:tcPr>
          <w:p w14:paraId="40411AE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E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3 690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E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3 665 </w:t>
            </w:r>
          </w:p>
        </w:tc>
        <w:tc>
          <w:tcPr>
            <w:tcW w:w="145" w:type="pct"/>
            <w:tcBorders>
              <w:top w:val="nil"/>
              <w:left w:val="nil"/>
              <w:bottom w:val="nil"/>
              <w:right w:val="nil"/>
            </w:tcBorders>
            <w:noWrap/>
            <w:vAlign w:val="center"/>
            <w:hideMark/>
          </w:tcPr>
          <w:p w14:paraId="40411AE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E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3 346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E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3 364 </w:t>
            </w:r>
          </w:p>
        </w:tc>
      </w:tr>
      <w:tr w:rsidR="002809FB" w:rsidRPr="005978DF" w14:paraId="40411AF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E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Kazajstán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AE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0,133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E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0,166</w:t>
            </w:r>
          </w:p>
        </w:tc>
        <w:tc>
          <w:tcPr>
            <w:tcW w:w="126" w:type="pct"/>
            <w:tcBorders>
              <w:top w:val="nil"/>
              <w:left w:val="nil"/>
              <w:bottom w:val="nil"/>
              <w:right w:val="nil"/>
            </w:tcBorders>
            <w:noWrap/>
            <w:vAlign w:val="center"/>
            <w:hideMark/>
          </w:tcPr>
          <w:p w14:paraId="40411AF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F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22 310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F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22 156 </w:t>
            </w:r>
          </w:p>
        </w:tc>
        <w:tc>
          <w:tcPr>
            <w:tcW w:w="145" w:type="pct"/>
            <w:tcBorders>
              <w:top w:val="nil"/>
              <w:left w:val="nil"/>
              <w:bottom w:val="nil"/>
              <w:right w:val="nil"/>
            </w:tcBorders>
            <w:noWrap/>
            <w:vAlign w:val="center"/>
            <w:hideMark/>
          </w:tcPr>
          <w:p w14:paraId="40411AF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F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20 225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F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20 337 </w:t>
            </w:r>
          </w:p>
        </w:tc>
      </w:tr>
      <w:tr w:rsidR="002809FB" w:rsidRPr="005978DF" w14:paraId="40411B0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AF7"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Kenya</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AF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AF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0,038</w:t>
            </w:r>
          </w:p>
        </w:tc>
        <w:tc>
          <w:tcPr>
            <w:tcW w:w="126" w:type="pct"/>
            <w:tcBorders>
              <w:top w:val="nil"/>
              <w:left w:val="nil"/>
              <w:bottom w:val="nil"/>
              <w:right w:val="nil"/>
            </w:tcBorders>
            <w:noWrap/>
            <w:vAlign w:val="center"/>
            <w:hideMark/>
          </w:tcPr>
          <w:p w14:paraId="40411AF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AF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5 032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AF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4 998 </w:t>
            </w:r>
          </w:p>
        </w:tc>
        <w:tc>
          <w:tcPr>
            <w:tcW w:w="145" w:type="pct"/>
            <w:tcBorders>
              <w:top w:val="nil"/>
              <w:left w:val="nil"/>
              <w:bottom w:val="nil"/>
              <w:right w:val="nil"/>
            </w:tcBorders>
            <w:noWrap/>
            <w:vAlign w:val="center"/>
            <w:hideMark/>
          </w:tcPr>
          <w:p w14:paraId="40411AF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AF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4 563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AF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4 587 </w:t>
            </w:r>
          </w:p>
        </w:tc>
      </w:tr>
      <w:tr w:rsidR="002809FB" w:rsidRPr="005978DF" w14:paraId="40411B0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0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Kirguistán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0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0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B0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0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0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B0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0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0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B1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0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Kiribati</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0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0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B0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0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1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B1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1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1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B1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1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Kuwait</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1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1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0,293</w:t>
            </w:r>
          </w:p>
        </w:tc>
        <w:tc>
          <w:tcPr>
            <w:tcW w:w="126" w:type="pct"/>
            <w:tcBorders>
              <w:top w:val="nil"/>
              <w:left w:val="nil"/>
              <w:bottom w:val="nil"/>
              <w:right w:val="nil"/>
            </w:tcBorders>
            <w:noWrap/>
            <w:vAlign w:val="center"/>
            <w:hideMark/>
          </w:tcPr>
          <w:p w14:paraId="40411B1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1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39 253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1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38 981 </w:t>
            </w:r>
          </w:p>
        </w:tc>
        <w:tc>
          <w:tcPr>
            <w:tcW w:w="145" w:type="pct"/>
            <w:tcBorders>
              <w:top w:val="nil"/>
              <w:left w:val="nil"/>
              <w:bottom w:val="nil"/>
              <w:right w:val="nil"/>
            </w:tcBorders>
            <w:noWrap/>
            <w:vAlign w:val="center"/>
            <w:hideMark/>
          </w:tcPr>
          <w:p w14:paraId="40411B1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1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35 582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1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35 781 </w:t>
            </w:r>
          </w:p>
        </w:tc>
      </w:tr>
      <w:tr w:rsidR="002809FB" w:rsidRPr="005978DF" w14:paraId="40411B2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1F"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Lesotho</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B2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2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B2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2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2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B2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2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2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B3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2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Letonia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2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2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0,063</w:t>
            </w:r>
          </w:p>
        </w:tc>
        <w:tc>
          <w:tcPr>
            <w:tcW w:w="126" w:type="pct"/>
            <w:tcBorders>
              <w:top w:val="nil"/>
              <w:left w:val="nil"/>
              <w:bottom w:val="nil"/>
              <w:right w:val="nil"/>
            </w:tcBorders>
            <w:noWrap/>
            <w:vAlign w:val="center"/>
            <w:hideMark/>
          </w:tcPr>
          <w:p w14:paraId="40411B2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2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8 387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2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8 329 </w:t>
            </w:r>
          </w:p>
        </w:tc>
        <w:tc>
          <w:tcPr>
            <w:tcW w:w="145" w:type="pct"/>
            <w:tcBorders>
              <w:top w:val="nil"/>
              <w:left w:val="nil"/>
              <w:bottom w:val="nil"/>
              <w:right w:val="nil"/>
            </w:tcBorders>
            <w:noWrap/>
            <w:vAlign w:val="center"/>
            <w:hideMark/>
          </w:tcPr>
          <w:p w14:paraId="40411B2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3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7 604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3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7 646 </w:t>
            </w:r>
          </w:p>
        </w:tc>
      </w:tr>
      <w:tr w:rsidR="002809FB" w:rsidRPr="005978DF" w14:paraId="40411B3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3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Líbano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3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3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0,045</w:t>
            </w:r>
          </w:p>
        </w:tc>
        <w:tc>
          <w:tcPr>
            <w:tcW w:w="126" w:type="pct"/>
            <w:tcBorders>
              <w:top w:val="nil"/>
              <w:left w:val="nil"/>
              <w:bottom w:val="nil"/>
              <w:right w:val="nil"/>
            </w:tcBorders>
            <w:noWrap/>
            <w:vAlign w:val="center"/>
            <w:hideMark/>
          </w:tcPr>
          <w:p w14:paraId="40411B3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3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6 039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3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5 997 </w:t>
            </w:r>
          </w:p>
        </w:tc>
        <w:tc>
          <w:tcPr>
            <w:tcW w:w="145" w:type="pct"/>
            <w:tcBorders>
              <w:top w:val="nil"/>
              <w:left w:val="nil"/>
              <w:bottom w:val="nil"/>
              <w:right w:val="nil"/>
            </w:tcBorders>
            <w:noWrap/>
            <w:vAlign w:val="center"/>
            <w:hideMark/>
          </w:tcPr>
          <w:p w14:paraId="40411B3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3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5 475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3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5 505 </w:t>
            </w:r>
          </w:p>
        </w:tc>
      </w:tr>
      <w:tr w:rsidR="002809FB" w:rsidRPr="005978DF" w14:paraId="40411B4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3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Liberia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3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3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B4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4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4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B4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4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4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B5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4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Libia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4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4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0,023</w:t>
            </w:r>
          </w:p>
        </w:tc>
        <w:tc>
          <w:tcPr>
            <w:tcW w:w="126" w:type="pct"/>
            <w:tcBorders>
              <w:top w:val="nil"/>
              <w:left w:val="nil"/>
              <w:bottom w:val="nil"/>
              <w:right w:val="nil"/>
            </w:tcBorders>
            <w:noWrap/>
            <w:vAlign w:val="center"/>
            <w:hideMark/>
          </w:tcPr>
          <w:p w14:paraId="40411B4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4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3 019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4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2 999 </w:t>
            </w:r>
          </w:p>
        </w:tc>
        <w:tc>
          <w:tcPr>
            <w:tcW w:w="145" w:type="pct"/>
            <w:tcBorders>
              <w:top w:val="nil"/>
              <w:left w:val="nil"/>
              <w:bottom w:val="nil"/>
              <w:right w:val="nil"/>
            </w:tcBorders>
            <w:noWrap/>
            <w:vAlign w:val="center"/>
            <w:hideMark/>
          </w:tcPr>
          <w:p w14:paraId="40411B4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4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2 738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4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2 752 </w:t>
            </w:r>
          </w:p>
        </w:tc>
      </w:tr>
      <w:tr w:rsidR="002809FB" w:rsidRPr="005978DF" w14:paraId="40411B5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5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Liechtenstein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5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5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126" w:type="pct"/>
            <w:tcBorders>
              <w:top w:val="nil"/>
              <w:left w:val="nil"/>
              <w:bottom w:val="nil"/>
              <w:right w:val="nil"/>
            </w:tcBorders>
            <w:noWrap/>
            <w:vAlign w:val="center"/>
            <w:hideMark/>
          </w:tcPr>
          <w:p w14:paraId="40411B5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5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1 677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5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1 666 </w:t>
            </w:r>
          </w:p>
        </w:tc>
        <w:tc>
          <w:tcPr>
            <w:tcW w:w="145" w:type="pct"/>
            <w:tcBorders>
              <w:top w:val="nil"/>
              <w:left w:val="nil"/>
              <w:bottom w:val="nil"/>
              <w:right w:val="nil"/>
            </w:tcBorders>
            <w:noWrap/>
            <w:vAlign w:val="center"/>
            <w:hideMark/>
          </w:tcPr>
          <w:p w14:paraId="40411B5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5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1 522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5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1 529 </w:t>
            </w:r>
          </w:p>
        </w:tc>
      </w:tr>
      <w:tr w:rsidR="002809FB" w:rsidRPr="005978DF" w14:paraId="40411B6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5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Lituania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5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0,077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5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0,096</w:t>
            </w:r>
          </w:p>
        </w:tc>
        <w:tc>
          <w:tcPr>
            <w:tcW w:w="126" w:type="pct"/>
            <w:tcBorders>
              <w:top w:val="nil"/>
              <w:left w:val="nil"/>
              <w:bottom w:val="nil"/>
              <w:right w:val="nil"/>
            </w:tcBorders>
            <w:noWrap/>
            <w:vAlign w:val="center"/>
            <w:hideMark/>
          </w:tcPr>
          <w:p w14:paraId="40411B5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5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12 916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6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12 827 </w:t>
            </w:r>
          </w:p>
        </w:tc>
        <w:tc>
          <w:tcPr>
            <w:tcW w:w="145" w:type="pct"/>
            <w:tcBorders>
              <w:top w:val="nil"/>
              <w:left w:val="nil"/>
              <w:bottom w:val="nil"/>
              <w:right w:val="nil"/>
            </w:tcBorders>
            <w:noWrap/>
            <w:vAlign w:val="center"/>
            <w:hideMark/>
          </w:tcPr>
          <w:p w14:paraId="40411B6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6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11 709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6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11 774 </w:t>
            </w:r>
          </w:p>
        </w:tc>
      </w:tr>
      <w:tr w:rsidR="002809FB" w:rsidRPr="005978DF" w14:paraId="40411B6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6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Luxemburgo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6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0,068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6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0,085</w:t>
            </w:r>
          </w:p>
        </w:tc>
        <w:tc>
          <w:tcPr>
            <w:tcW w:w="126" w:type="pct"/>
            <w:tcBorders>
              <w:top w:val="nil"/>
              <w:left w:val="nil"/>
              <w:bottom w:val="nil"/>
              <w:right w:val="nil"/>
            </w:tcBorders>
            <w:noWrap/>
            <w:vAlign w:val="center"/>
            <w:hideMark/>
          </w:tcPr>
          <w:p w14:paraId="40411B6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6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11 407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6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11 328 </w:t>
            </w:r>
          </w:p>
        </w:tc>
        <w:tc>
          <w:tcPr>
            <w:tcW w:w="145" w:type="pct"/>
            <w:tcBorders>
              <w:top w:val="nil"/>
              <w:left w:val="nil"/>
              <w:bottom w:val="nil"/>
              <w:right w:val="nil"/>
            </w:tcBorders>
            <w:noWrap/>
            <w:vAlign w:val="center"/>
            <w:hideMark/>
          </w:tcPr>
          <w:p w14:paraId="40411B6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6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10 340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6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10 398 </w:t>
            </w:r>
          </w:p>
        </w:tc>
      </w:tr>
      <w:tr w:rsidR="002809FB" w:rsidRPr="005978DF" w14:paraId="40411B7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6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Madagascar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7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7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B7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7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7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B7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7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7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B8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7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Malasia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7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0,348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7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0,435</w:t>
            </w:r>
          </w:p>
        </w:tc>
        <w:tc>
          <w:tcPr>
            <w:tcW w:w="126" w:type="pct"/>
            <w:tcBorders>
              <w:top w:val="nil"/>
              <w:left w:val="nil"/>
              <w:bottom w:val="nil"/>
              <w:right w:val="nil"/>
            </w:tcBorders>
            <w:noWrap/>
            <w:vAlign w:val="center"/>
            <w:hideMark/>
          </w:tcPr>
          <w:p w14:paraId="40411B7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7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58 376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7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57 972 </w:t>
            </w:r>
          </w:p>
        </w:tc>
        <w:tc>
          <w:tcPr>
            <w:tcW w:w="145" w:type="pct"/>
            <w:tcBorders>
              <w:top w:val="nil"/>
              <w:left w:val="nil"/>
              <w:bottom w:val="nil"/>
              <w:right w:val="nil"/>
            </w:tcBorders>
            <w:noWrap/>
            <w:vAlign w:val="center"/>
            <w:hideMark/>
          </w:tcPr>
          <w:p w14:paraId="40411B7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8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52 916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8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53 213 </w:t>
            </w:r>
          </w:p>
        </w:tc>
      </w:tr>
      <w:tr w:rsidR="002809FB" w:rsidRPr="005978DF" w14:paraId="40411B8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8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Malawi</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8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8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B8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8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8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B8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8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8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B9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8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Maldivas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8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8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B9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9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9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B9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9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9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BA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9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Malí</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9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9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26" w:type="pct"/>
            <w:tcBorders>
              <w:top w:val="nil"/>
              <w:left w:val="nil"/>
              <w:bottom w:val="nil"/>
              <w:right w:val="nil"/>
            </w:tcBorders>
            <w:noWrap/>
            <w:vAlign w:val="center"/>
            <w:hideMark/>
          </w:tcPr>
          <w:p w14:paraId="40411B9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9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9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833 </w:t>
            </w:r>
          </w:p>
        </w:tc>
        <w:tc>
          <w:tcPr>
            <w:tcW w:w="145" w:type="pct"/>
            <w:tcBorders>
              <w:top w:val="nil"/>
              <w:left w:val="nil"/>
              <w:bottom w:val="nil"/>
              <w:right w:val="nil"/>
            </w:tcBorders>
            <w:noWrap/>
            <w:vAlign w:val="center"/>
            <w:hideMark/>
          </w:tcPr>
          <w:p w14:paraId="40411B9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9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9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765 </w:t>
            </w:r>
          </w:p>
        </w:tc>
      </w:tr>
      <w:tr w:rsidR="002809FB" w:rsidRPr="005978DF" w14:paraId="40411BA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A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Malta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A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A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0,024</w:t>
            </w:r>
          </w:p>
        </w:tc>
        <w:tc>
          <w:tcPr>
            <w:tcW w:w="126" w:type="pct"/>
            <w:tcBorders>
              <w:top w:val="nil"/>
              <w:left w:val="nil"/>
              <w:bottom w:val="nil"/>
              <w:right w:val="nil"/>
            </w:tcBorders>
            <w:noWrap/>
            <w:vAlign w:val="center"/>
            <w:hideMark/>
          </w:tcPr>
          <w:p w14:paraId="40411BA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A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3 187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A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3 165 </w:t>
            </w:r>
          </w:p>
        </w:tc>
        <w:tc>
          <w:tcPr>
            <w:tcW w:w="145" w:type="pct"/>
            <w:tcBorders>
              <w:top w:val="nil"/>
              <w:left w:val="nil"/>
              <w:bottom w:val="nil"/>
              <w:right w:val="nil"/>
            </w:tcBorders>
            <w:noWrap/>
            <w:vAlign w:val="center"/>
            <w:hideMark/>
          </w:tcPr>
          <w:p w14:paraId="40411BA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A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2 889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A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2 905 </w:t>
            </w:r>
          </w:p>
        </w:tc>
      </w:tr>
      <w:tr w:rsidR="002809FB" w:rsidRPr="005978DF" w14:paraId="40411BB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A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Marruecos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A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A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0,069</w:t>
            </w:r>
          </w:p>
        </w:tc>
        <w:tc>
          <w:tcPr>
            <w:tcW w:w="126" w:type="pct"/>
            <w:tcBorders>
              <w:top w:val="nil"/>
              <w:left w:val="nil"/>
              <w:bottom w:val="nil"/>
              <w:right w:val="nil"/>
            </w:tcBorders>
            <w:noWrap/>
            <w:vAlign w:val="center"/>
            <w:hideMark/>
          </w:tcPr>
          <w:p w14:paraId="40411BA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A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9 226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B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9 162 </w:t>
            </w:r>
          </w:p>
        </w:tc>
        <w:tc>
          <w:tcPr>
            <w:tcW w:w="145" w:type="pct"/>
            <w:tcBorders>
              <w:top w:val="nil"/>
              <w:left w:val="nil"/>
              <w:bottom w:val="nil"/>
              <w:right w:val="nil"/>
            </w:tcBorders>
            <w:noWrap/>
            <w:vAlign w:val="center"/>
            <w:hideMark/>
          </w:tcPr>
          <w:p w14:paraId="40411BB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B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8 363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B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8 410 </w:t>
            </w:r>
          </w:p>
        </w:tc>
      </w:tr>
      <w:tr w:rsidR="002809FB" w:rsidRPr="005978DF" w14:paraId="40411BB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B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Mauricio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B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B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0,024</w:t>
            </w:r>
          </w:p>
        </w:tc>
        <w:tc>
          <w:tcPr>
            <w:tcW w:w="126" w:type="pct"/>
            <w:tcBorders>
              <w:top w:val="nil"/>
              <w:left w:val="nil"/>
              <w:bottom w:val="nil"/>
              <w:right w:val="nil"/>
            </w:tcBorders>
            <w:noWrap/>
            <w:vAlign w:val="center"/>
            <w:hideMark/>
          </w:tcPr>
          <w:p w14:paraId="40411BB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B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3 187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B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3 165 </w:t>
            </w:r>
          </w:p>
        </w:tc>
        <w:tc>
          <w:tcPr>
            <w:tcW w:w="145" w:type="pct"/>
            <w:tcBorders>
              <w:top w:val="nil"/>
              <w:left w:val="nil"/>
              <w:bottom w:val="nil"/>
              <w:right w:val="nil"/>
            </w:tcBorders>
            <w:noWrap/>
            <w:vAlign w:val="center"/>
            <w:hideMark/>
          </w:tcPr>
          <w:p w14:paraId="40411BB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B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2 889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B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2 905 </w:t>
            </w:r>
          </w:p>
        </w:tc>
      </w:tr>
      <w:tr w:rsidR="002809FB" w:rsidRPr="005978DF" w14:paraId="40411BC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B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Mauritania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C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C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BC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C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C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BC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C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C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BD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C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México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C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1,221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C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1,526</w:t>
            </w:r>
          </w:p>
        </w:tc>
        <w:tc>
          <w:tcPr>
            <w:tcW w:w="126" w:type="pct"/>
            <w:tcBorders>
              <w:top w:val="nil"/>
              <w:left w:val="nil"/>
              <w:bottom w:val="nil"/>
              <w:right w:val="nil"/>
            </w:tcBorders>
            <w:noWrap/>
            <w:vAlign w:val="center"/>
            <w:hideMark/>
          </w:tcPr>
          <w:p w14:paraId="40411BC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C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204 818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C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203 403 </w:t>
            </w:r>
          </w:p>
        </w:tc>
        <w:tc>
          <w:tcPr>
            <w:tcW w:w="145" w:type="pct"/>
            <w:tcBorders>
              <w:top w:val="nil"/>
              <w:left w:val="nil"/>
              <w:bottom w:val="nil"/>
              <w:right w:val="nil"/>
            </w:tcBorders>
            <w:noWrap/>
            <w:vAlign w:val="center"/>
            <w:hideMark/>
          </w:tcPr>
          <w:p w14:paraId="40411BC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D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185 662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D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186 704 </w:t>
            </w:r>
          </w:p>
        </w:tc>
      </w:tr>
      <w:tr w:rsidR="002809FB" w:rsidRPr="005978DF" w14:paraId="40411BD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D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Micronesia (Estados Federados de)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D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D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BD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D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D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BD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D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D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BE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D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Mónaco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D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D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0,014</w:t>
            </w:r>
          </w:p>
        </w:tc>
        <w:tc>
          <w:tcPr>
            <w:tcW w:w="126" w:type="pct"/>
            <w:tcBorders>
              <w:top w:val="nil"/>
              <w:left w:val="nil"/>
              <w:bottom w:val="nil"/>
              <w:right w:val="nil"/>
            </w:tcBorders>
            <w:noWrap/>
            <w:vAlign w:val="center"/>
            <w:hideMark/>
          </w:tcPr>
          <w:p w14:paraId="40411BE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E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1 845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E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1 832 </w:t>
            </w:r>
          </w:p>
        </w:tc>
        <w:tc>
          <w:tcPr>
            <w:tcW w:w="145" w:type="pct"/>
            <w:tcBorders>
              <w:top w:val="nil"/>
              <w:left w:val="nil"/>
              <w:bottom w:val="nil"/>
              <w:right w:val="nil"/>
            </w:tcBorders>
            <w:noWrap/>
            <w:vAlign w:val="center"/>
            <w:hideMark/>
          </w:tcPr>
          <w:p w14:paraId="40411BE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E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1 673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E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1 682 </w:t>
            </w:r>
          </w:p>
        </w:tc>
      </w:tr>
      <w:tr w:rsidR="002809FB" w:rsidRPr="005978DF" w14:paraId="40411BF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E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Mongolia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E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E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BE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E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E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BE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E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E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BF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F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Montenegro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F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F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BF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F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BF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BF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BF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BF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C0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BF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Mozambique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BF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BF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26" w:type="pct"/>
            <w:tcBorders>
              <w:top w:val="nil"/>
              <w:left w:val="nil"/>
              <w:bottom w:val="nil"/>
              <w:right w:val="nil"/>
            </w:tcBorders>
            <w:noWrap/>
            <w:vAlign w:val="center"/>
            <w:hideMark/>
          </w:tcPr>
          <w:p w14:paraId="40411BF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BF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671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0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666 </w:t>
            </w:r>
          </w:p>
        </w:tc>
        <w:tc>
          <w:tcPr>
            <w:tcW w:w="145" w:type="pct"/>
            <w:tcBorders>
              <w:top w:val="nil"/>
              <w:left w:val="nil"/>
              <w:bottom w:val="nil"/>
              <w:right w:val="nil"/>
            </w:tcBorders>
            <w:noWrap/>
            <w:vAlign w:val="center"/>
            <w:hideMark/>
          </w:tcPr>
          <w:p w14:paraId="40411C0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0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0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612 </w:t>
            </w:r>
          </w:p>
        </w:tc>
      </w:tr>
      <w:tr w:rsidR="002809FB" w:rsidRPr="005978DF" w14:paraId="40411C0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0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Myanmar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0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0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C0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0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C0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0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0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C1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0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Namibia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1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1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126" w:type="pct"/>
            <w:tcBorders>
              <w:top w:val="nil"/>
              <w:left w:val="nil"/>
              <w:bottom w:val="nil"/>
              <w:right w:val="nil"/>
            </w:tcBorders>
            <w:noWrap/>
            <w:vAlign w:val="center"/>
            <w:hideMark/>
          </w:tcPr>
          <w:p w14:paraId="40411C1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1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1 510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1 499 </w:t>
            </w:r>
          </w:p>
        </w:tc>
        <w:tc>
          <w:tcPr>
            <w:tcW w:w="145" w:type="pct"/>
            <w:tcBorders>
              <w:top w:val="nil"/>
              <w:left w:val="nil"/>
              <w:bottom w:val="nil"/>
              <w:right w:val="nil"/>
            </w:tcBorders>
            <w:noWrap/>
            <w:vAlign w:val="center"/>
            <w:hideMark/>
          </w:tcPr>
          <w:p w14:paraId="40411C1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1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1 369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1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1 376 </w:t>
            </w:r>
          </w:p>
        </w:tc>
      </w:tr>
      <w:tr w:rsidR="002809FB" w:rsidRPr="005978DF" w14:paraId="40411C2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1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Nauru</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1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1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C1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1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C1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2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2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C2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2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Nepal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2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2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C2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2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C2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2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2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C3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2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Nicaragua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2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2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26" w:type="pct"/>
            <w:tcBorders>
              <w:top w:val="nil"/>
              <w:left w:val="nil"/>
              <w:bottom w:val="nil"/>
              <w:right w:val="nil"/>
            </w:tcBorders>
            <w:noWrap/>
            <w:vAlign w:val="center"/>
            <w:hideMark/>
          </w:tcPr>
          <w:p w14:paraId="40411C3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3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833 </w:t>
            </w:r>
          </w:p>
        </w:tc>
        <w:tc>
          <w:tcPr>
            <w:tcW w:w="145" w:type="pct"/>
            <w:tcBorders>
              <w:top w:val="nil"/>
              <w:left w:val="nil"/>
              <w:bottom w:val="nil"/>
              <w:right w:val="nil"/>
            </w:tcBorders>
            <w:noWrap/>
            <w:vAlign w:val="center"/>
            <w:hideMark/>
          </w:tcPr>
          <w:p w14:paraId="40411C3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3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3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765 </w:t>
            </w:r>
          </w:p>
        </w:tc>
      </w:tr>
      <w:tr w:rsidR="002809FB" w:rsidRPr="005978DF" w14:paraId="40411C4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3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Níger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3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3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26" w:type="pct"/>
            <w:tcBorders>
              <w:top w:val="nil"/>
              <w:left w:val="nil"/>
              <w:bottom w:val="nil"/>
              <w:right w:val="nil"/>
            </w:tcBorders>
            <w:noWrap/>
            <w:vAlign w:val="center"/>
            <w:hideMark/>
          </w:tcPr>
          <w:p w14:paraId="40411C3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3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500 </w:t>
            </w:r>
          </w:p>
        </w:tc>
        <w:tc>
          <w:tcPr>
            <w:tcW w:w="145" w:type="pct"/>
            <w:tcBorders>
              <w:top w:val="nil"/>
              <w:left w:val="nil"/>
              <w:bottom w:val="nil"/>
              <w:right w:val="nil"/>
            </w:tcBorders>
            <w:noWrap/>
            <w:vAlign w:val="center"/>
            <w:hideMark/>
          </w:tcPr>
          <w:p w14:paraId="40411C3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3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459 </w:t>
            </w:r>
          </w:p>
        </w:tc>
      </w:tr>
      <w:tr w:rsidR="002809FB" w:rsidRPr="005978DF" w14:paraId="40411C4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4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Nigeria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4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0,182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4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0,228</w:t>
            </w:r>
          </w:p>
        </w:tc>
        <w:tc>
          <w:tcPr>
            <w:tcW w:w="126" w:type="pct"/>
            <w:tcBorders>
              <w:top w:val="nil"/>
              <w:left w:val="nil"/>
              <w:bottom w:val="nil"/>
              <w:right w:val="nil"/>
            </w:tcBorders>
            <w:noWrap/>
            <w:vAlign w:val="center"/>
            <w:hideMark/>
          </w:tcPr>
          <w:p w14:paraId="40411C4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4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30 530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30 319 </w:t>
            </w:r>
          </w:p>
        </w:tc>
        <w:tc>
          <w:tcPr>
            <w:tcW w:w="145" w:type="pct"/>
            <w:tcBorders>
              <w:top w:val="nil"/>
              <w:left w:val="nil"/>
              <w:bottom w:val="nil"/>
              <w:right w:val="nil"/>
            </w:tcBorders>
            <w:noWrap/>
            <w:vAlign w:val="center"/>
            <w:hideMark/>
          </w:tcPr>
          <w:p w14:paraId="40411C4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4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27 674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27 830 </w:t>
            </w:r>
          </w:p>
        </w:tc>
      </w:tr>
      <w:tr w:rsidR="002809FB" w:rsidRPr="005978DF" w14:paraId="40411C5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4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Niue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4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4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C4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4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C5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5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C5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5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Noruega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5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0,679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5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0,849</w:t>
            </w:r>
          </w:p>
        </w:tc>
        <w:tc>
          <w:tcPr>
            <w:tcW w:w="126" w:type="pct"/>
            <w:tcBorders>
              <w:top w:val="nil"/>
              <w:left w:val="nil"/>
              <w:bottom w:val="nil"/>
              <w:right w:val="nil"/>
            </w:tcBorders>
            <w:noWrap/>
            <w:vAlign w:val="center"/>
            <w:hideMark/>
          </w:tcPr>
          <w:p w14:paraId="40411C5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5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113 899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113 113 </w:t>
            </w:r>
          </w:p>
        </w:tc>
        <w:tc>
          <w:tcPr>
            <w:tcW w:w="145" w:type="pct"/>
            <w:tcBorders>
              <w:top w:val="nil"/>
              <w:left w:val="nil"/>
              <w:bottom w:val="nil"/>
              <w:right w:val="nil"/>
            </w:tcBorders>
            <w:noWrap/>
            <w:vAlign w:val="center"/>
            <w:hideMark/>
          </w:tcPr>
          <w:p w14:paraId="40411C5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5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103 247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103 827 </w:t>
            </w:r>
          </w:p>
        </w:tc>
      </w:tr>
      <w:tr w:rsidR="002809FB" w:rsidRPr="005978DF" w14:paraId="40411C6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5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Nueva Zelandia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6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6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0,386</w:t>
            </w:r>
          </w:p>
        </w:tc>
        <w:tc>
          <w:tcPr>
            <w:tcW w:w="126" w:type="pct"/>
            <w:tcBorders>
              <w:top w:val="nil"/>
              <w:left w:val="nil"/>
              <w:bottom w:val="nil"/>
              <w:right w:val="nil"/>
            </w:tcBorders>
            <w:noWrap/>
            <w:vAlign w:val="center"/>
            <w:hideMark/>
          </w:tcPr>
          <w:p w14:paraId="40411C6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6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51 833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51 475 </w:t>
            </w:r>
          </w:p>
        </w:tc>
        <w:tc>
          <w:tcPr>
            <w:tcW w:w="145" w:type="pct"/>
            <w:tcBorders>
              <w:top w:val="nil"/>
              <w:left w:val="nil"/>
              <w:bottom w:val="nil"/>
              <w:right w:val="nil"/>
            </w:tcBorders>
            <w:noWrap/>
            <w:vAlign w:val="center"/>
            <w:hideMark/>
          </w:tcPr>
          <w:p w14:paraId="40411C6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6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46 986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47 250 </w:t>
            </w:r>
          </w:p>
        </w:tc>
      </w:tr>
      <w:tr w:rsidR="002809FB" w:rsidRPr="005978DF" w14:paraId="40411C7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6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Omán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6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6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0,139</w:t>
            </w:r>
          </w:p>
        </w:tc>
        <w:tc>
          <w:tcPr>
            <w:tcW w:w="126" w:type="pct"/>
            <w:tcBorders>
              <w:top w:val="nil"/>
              <w:left w:val="nil"/>
              <w:bottom w:val="nil"/>
              <w:right w:val="nil"/>
            </w:tcBorders>
            <w:noWrap/>
            <w:vAlign w:val="center"/>
            <w:hideMark/>
          </w:tcPr>
          <w:p w14:paraId="40411C6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6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18 620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18 491 </w:t>
            </w:r>
          </w:p>
        </w:tc>
        <w:tc>
          <w:tcPr>
            <w:tcW w:w="145" w:type="pct"/>
            <w:tcBorders>
              <w:top w:val="nil"/>
              <w:left w:val="nil"/>
              <w:bottom w:val="nil"/>
              <w:right w:val="nil"/>
            </w:tcBorders>
            <w:noWrap/>
            <w:vAlign w:val="center"/>
            <w:hideMark/>
          </w:tcPr>
          <w:p w14:paraId="40411C6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7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16 878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16 973 </w:t>
            </w:r>
          </w:p>
        </w:tc>
      </w:tr>
      <w:tr w:rsidR="002809FB" w:rsidRPr="005978DF" w14:paraId="40411C7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7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Países Bajos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7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1,377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7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1,721</w:t>
            </w:r>
          </w:p>
        </w:tc>
        <w:tc>
          <w:tcPr>
            <w:tcW w:w="126" w:type="pct"/>
            <w:tcBorders>
              <w:top w:val="nil"/>
              <w:left w:val="nil"/>
              <w:bottom w:val="nil"/>
              <w:right w:val="nil"/>
            </w:tcBorders>
            <w:noWrap/>
            <w:vAlign w:val="center"/>
            <w:hideMark/>
          </w:tcPr>
          <w:p w14:paraId="40411C7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7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230 986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229 390 </w:t>
            </w:r>
          </w:p>
        </w:tc>
        <w:tc>
          <w:tcPr>
            <w:tcW w:w="145" w:type="pct"/>
            <w:tcBorders>
              <w:top w:val="nil"/>
              <w:left w:val="nil"/>
              <w:bottom w:val="nil"/>
              <w:right w:val="nil"/>
            </w:tcBorders>
            <w:noWrap/>
            <w:vAlign w:val="center"/>
            <w:hideMark/>
          </w:tcPr>
          <w:p w14:paraId="40411C7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7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209 383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210 559 </w:t>
            </w:r>
          </w:p>
        </w:tc>
      </w:tr>
      <w:tr w:rsidR="002809FB" w:rsidRPr="005978DF" w14:paraId="40411C8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7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Pakistán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7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0,114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7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0,143</w:t>
            </w:r>
          </w:p>
        </w:tc>
        <w:tc>
          <w:tcPr>
            <w:tcW w:w="126" w:type="pct"/>
            <w:tcBorders>
              <w:top w:val="nil"/>
              <w:left w:val="nil"/>
              <w:bottom w:val="nil"/>
              <w:right w:val="nil"/>
            </w:tcBorders>
            <w:noWrap/>
            <w:vAlign w:val="center"/>
            <w:hideMark/>
          </w:tcPr>
          <w:p w14:paraId="40411C8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8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19 123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18 991 </w:t>
            </w:r>
          </w:p>
        </w:tc>
        <w:tc>
          <w:tcPr>
            <w:tcW w:w="145" w:type="pct"/>
            <w:tcBorders>
              <w:top w:val="nil"/>
              <w:left w:val="nil"/>
              <w:bottom w:val="nil"/>
              <w:right w:val="nil"/>
            </w:tcBorders>
            <w:noWrap/>
            <w:vAlign w:val="center"/>
            <w:hideMark/>
          </w:tcPr>
          <w:p w14:paraId="40411C8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8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17 335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17 432 </w:t>
            </w:r>
          </w:p>
        </w:tc>
      </w:tr>
      <w:tr w:rsidR="002809FB" w:rsidRPr="005978DF" w14:paraId="40411C9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8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Palau</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8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8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C8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8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C8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8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C9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9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Panamá</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9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9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0,113</w:t>
            </w:r>
          </w:p>
        </w:tc>
        <w:tc>
          <w:tcPr>
            <w:tcW w:w="126" w:type="pct"/>
            <w:tcBorders>
              <w:top w:val="nil"/>
              <w:left w:val="nil"/>
              <w:bottom w:val="nil"/>
              <w:right w:val="nil"/>
            </w:tcBorders>
            <w:noWrap/>
            <w:vAlign w:val="center"/>
            <w:hideMark/>
          </w:tcPr>
          <w:p w14:paraId="40411C9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9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15 097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14 993 </w:t>
            </w:r>
          </w:p>
        </w:tc>
        <w:tc>
          <w:tcPr>
            <w:tcW w:w="145" w:type="pct"/>
            <w:tcBorders>
              <w:top w:val="nil"/>
              <w:left w:val="nil"/>
              <w:bottom w:val="nil"/>
              <w:right w:val="nil"/>
            </w:tcBorders>
            <w:noWrap/>
            <w:vAlign w:val="center"/>
            <w:hideMark/>
          </w:tcPr>
          <w:p w14:paraId="40411C9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9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13 685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13 762 </w:t>
            </w:r>
          </w:p>
        </w:tc>
      </w:tr>
      <w:tr w:rsidR="002809FB" w:rsidRPr="005978DF" w14:paraId="40411CA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9B"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Papua</w:t>
            </w:r>
            <w:proofErr w:type="spellEnd"/>
            <w:r w:rsidRPr="000F4C79">
              <w:rPr>
                <w:rFonts w:asciiTheme="minorHAnsi" w:hAnsiTheme="minorHAnsi" w:cstheme="minorHAnsi"/>
                <w:sz w:val="16"/>
                <w:szCs w:val="16"/>
                <w:lang w:val="es-ES"/>
              </w:rPr>
              <w:t xml:space="preserve"> Nueva Guinea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9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9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126" w:type="pct"/>
            <w:tcBorders>
              <w:top w:val="nil"/>
              <w:left w:val="nil"/>
              <w:bottom w:val="nil"/>
              <w:right w:val="nil"/>
            </w:tcBorders>
            <w:noWrap/>
            <w:vAlign w:val="center"/>
            <w:hideMark/>
          </w:tcPr>
          <w:p w14:paraId="40411C9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9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1 677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1 665 </w:t>
            </w:r>
          </w:p>
        </w:tc>
        <w:tc>
          <w:tcPr>
            <w:tcW w:w="145" w:type="pct"/>
            <w:tcBorders>
              <w:top w:val="nil"/>
              <w:left w:val="nil"/>
              <w:bottom w:val="nil"/>
              <w:right w:val="nil"/>
            </w:tcBorders>
            <w:noWrap/>
            <w:vAlign w:val="center"/>
            <w:hideMark/>
          </w:tcPr>
          <w:p w14:paraId="40411CA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A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1 521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1 529 </w:t>
            </w:r>
          </w:p>
        </w:tc>
      </w:tr>
      <w:tr w:rsidR="002809FB" w:rsidRPr="005978DF" w14:paraId="40411CA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A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Paraguay</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A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A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0,033</w:t>
            </w:r>
          </w:p>
        </w:tc>
        <w:tc>
          <w:tcPr>
            <w:tcW w:w="126" w:type="pct"/>
            <w:tcBorders>
              <w:top w:val="nil"/>
              <w:left w:val="nil"/>
              <w:bottom w:val="nil"/>
              <w:right w:val="nil"/>
            </w:tcBorders>
            <w:noWrap/>
            <w:vAlign w:val="center"/>
            <w:hideMark/>
          </w:tcPr>
          <w:p w14:paraId="40411CA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A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4 361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4 330 </w:t>
            </w:r>
          </w:p>
        </w:tc>
        <w:tc>
          <w:tcPr>
            <w:tcW w:w="145" w:type="pct"/>
            <w:tcBorders>
              <w:top w:val="nil"/>
              <w:left w:val="nil"/>
              <w:bottom w:val="nil"/>
              <w:right w:val="nil"/>
            </w:tcBorders>
            <w:noWrap/>
            <w:vAlign w:val="center"/>
            <w:hideMark/>
          </w:tcPr>
          <w:p w14:paraId="40411CA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A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3 953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3 976 </w:t>
            </w:r>
          </w:p>
        </w:tc>
      </w:tr>
      <w:tr w:rsidR="002809FB" w:rsidRPr="005978DF" w14:paraId="40411CB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A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Perú</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B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0,163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B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0,204</w:t>
            </w:r>
          </w:p>
        </w:tc>
        <w:tc>
          <w:tcPr>
            <w:tcW w:w="126" w:type="pct"/>
            <w:tcBorders>
              <w:top w:val="nil"/>
              <w:left w:val="nil"/>
              <w:bottom w:val="nil"/>
              <w:right w:val="nil"/>
            </w:tcBorders>
            <w:noWrap/>
            <w:vAlign w:val="center"/>
            <w:hideMark/>
          </w:tcPr>
          <w:p w14:paraId="40411CB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B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27 343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27 153 </w:t>
            </w:r>
          </w:p>
        </w:tc>
        <w:tc>
          <w:tcPr>
            <w:tcW w:w="145" w:type="pct"/>
            <w:tcBorders>
              <w:top w:val="nil"/>
              <w:left w:val="nil"/>
              <w:bottom w:val="nil"/>
              <w:right w:val="nil"/>
            </w:tcBorders>
            <w:noWrap/>
            <w:vAlign w:val="center"/>
            <w:hideMark/>
          </w:tcPr>
          <w:p w14:paraId="40411CB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B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24 785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24 925 </w:t>
            </w:r>
          </w:p>
        </w:tc>
      </w:tr>
      <w:tr w:rsidR="002809FB" w:rsidRPr="005978DF" w14:paraId="40411CC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B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Polonia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B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0,837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B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1,046</w:t>
            </w:r>
          </w:p>
        </w:tc>
        <w:tc>
          <w:tcPr>
            <w:tcW w:w="126" w:type="pct"/>
            <w:tcBorders>
              <w:top w:val="nil"/>
              <w:left w:val="nil"/>
              <w:bottom w:val="nil"/>
              <w:right w:val="nil"/>
            </w:tcBorders>
            <w:noWrap/>
            <w:vAlign w:val="center"/>
            <w:hideMark/>
          </w:tcPr>
          <w:p w14:paraId="40411CB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B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140 403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139 432 </w:t>
            </w:r>
          </w:p>
        </w:tc>
        <w:tc>
          <w:tcPr>
            <w:tcW w:w="145" w:type="pct"/>
            <w:tcBorders>
              <w:top w:val="nil"/>
              <w:left w:val="nil"/>
              <w:bottom w:val="nil"/>
              <w:right w:val="nil"/>
            </w:tcBorders>
            <w:noWrap/>
            <w:vAlign w:val="center"/>
            <w:hideMark/>
          </w:tcPr>
          <w:p w14:paraId="40411CB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C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127 272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127 987 </w:t>
            </w:r>
          </w:p>
        </w:tc>
      </w:tr>
      <w:tr w:rsidR="002809FB" w:rsidRPr="005978DF" w14:paraId="40411CC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C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Portugal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C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0,353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C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0,441</w:t>
            </w:r>
          </w:p>
        </w:tc>
        <w:tc>
          <w:tcPr>
            <w:tcW w:w="126" w:type="pct"/>
            <w:tcBorders>
              <w:top w:val="nil"/>
              <w:left w:val="nil"/>
              <w:bottom w:val="nil"/>
              <w:right w:val="nil"/>
            </w:tcBorders>
            <w:noWrap/>
            <w:vAlign w:val="center"/>
            <w:hideMark/>
          </w:tcPr>
          <w:p w14:paraId="40411CC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C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59 214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58 804 </w:t>
            </w:r>
          </w:p>
        </w:tc>
        <w:tc>
          <w:tcPr>
            <w:tcW w:w="145" w:type="pct"/>
            <w:tcBorders>
              <w:top w:val="nil"/>
              <w:left w:val="nil"/>
              <w:bottom w:val="nil"/>
              <w:right w:val="nil"/>
            </w:tcBorders>
            <w:noWrap/>
            <w:vAlign w:val="center"/>
            <w:hideMark/>
          </w:tcPr>
          <w:p w14:paraId="40411CC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C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53 676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53 978 </w:t>
            </w:r>
          </w:p>
        </w:tc>
      </w:tr>
      <w:tr w:rsidR="002809FB" w:rsidRPr="005978DF" w14:paraId="40411CD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C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lastRenderedPageBreak/>
              <w:t>Qatar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C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0,269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C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0,336</w:t>
            </w:r>
          </w:p>
        </w:tc>
        <w:tc>
          <w:tcPr>
            <w:tcW w:w="126" w:type="pct"/>
            <w:tcBorders>
              <w:top w:val="nil"/>
              <w:left w:val="nil"/>
              <w:bottom w:val="nil"/>
              <w:right w:val="nil"/>
            </w:tcBorders>
            <w:noWrap/>
            <w:vAlign w:val="center"/>
            <w:hideMark/>
          </w:tcPr>
          <w:p w14:paraId="40411CD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D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45 124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44 811 </w:t>
            </w:r>
          </w:p>
        </w:tc>
        <w:tc>
          <w:tcPr>
            <w:tcW w:w="145" w:type="pct"/>
            <w:tcBorders>
              <w:top w:val="nil"/>
              <w:left w:val="nil"/>
              <w:bottom w:val="nil"/>
              <w:right w:val="nil"/>
            </w:tcBorders>
            <w:noWrap/>
            <w:vAlign w:val="center"/>
            <w:hideMark/>
          </w:tcPr>
          <w:p w14:paraId="40411CD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D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40 903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41 133 </w:t>
            </w:r>
          </w:p>
        </w:tc>
      </w:tr>
      <w:tr w:rsidR="002809FB" w:rsidRPr="005978DF" w14:paraId="40411CE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D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Reino Unido de Gran Bretaña e Irlanda del Norte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D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4,375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D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5,469</w:t>
            </w:r>
          </w:p>
        </w:tc>
        <w:tc>
          <w:tcPr>
            <w:tcW w:w="126" w:type="pct"/>
            <w:tcBorders>
              <w:top w:val="nil"/>
              <w:left w:val="nil"/>
              <w:bottom w:val="nil"/>
              <w:right w:val="nil"/>
            </w:tcBorders>
            <w:noWrap/>
            <w:vAlign w:val="center"/>
            <w:hideMark/>
          </w:tcPr>
          <w:p w14:paraId="40411CD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D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733 887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728 817 </w:t>
            </w:r>
          </w:p>
        </w:tc>
        <w:tc>
          <w:tcPr>
            <w:tcW w:w="145" w:type="pct"/>
            <w:tcBorders>
              <w:top w:val="nil"/>
              <w:left w:val="nil"/>
              <w:bottom w:val="nil"/>
              <w:right w:val="nil"/>
            </w:tcBorders>
            <w:noWrap/>
            <w:vAlign w:val="center"/>
            <w:hideMark/>
          </w:tcPr>
          <w:p w14:paraId="40411CD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D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665 251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668 986 </w:t>
            </w:r>
          </w:p>
        </w:tc>
      </w:tr>
      <w:tr w:rsidR="002809FB" w:rsidRPr="005978DF" w14:paraId="40411CE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E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Árabe Siria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E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E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126" w:type="pct"/>
            <w:tcBorders>
              <w:top w:val="nil"/>
              <w:left w:val="nil"/>
              <w:bottom w:val="nil"/>
              <w:right w:val="nil"/>
            </w:tcBorders>
            <w:noWrap/>
            <w:vAlign w:val="center"/>
            <w:hideMark/>
          </w:tcPr>
          <w:p w14:paraId="40411CE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E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1 510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E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1 499 </w:t>
            </w:r>
          </w:p>
        </w:tc>
        <w:tc>
          <w:tcPr>
            <w:tcW w:w="145" w:type="pct"/>
            <w:tcBorders>
              <w:top w:val="nil"/>
              <w:left w:val="nil"/>
              <w:bottom w:val="nil"/>
              <w:right w:val="nil"/>
            </w:tcBorders>
            <w:noWrap/>
            <w:vAlign w:val="center"/>
            <w:hideMark/>
          </w:tcPr>
          <w:p w14:paraId="40411CE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E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1 369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1 375 </w:t>
            </w:r>
          </w:p>
        </w:tc>
      </w:tr>
      <w:tr w:rsidR="002809FB" w:rsidRPr="005978DF" w14:paraId="40411CF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E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Centroafricana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E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E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CE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E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F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CF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F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CF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F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 Corea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CF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2,574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CF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3,218</w:t>
            </w:r>
          </w:p>
        </w:tc>
        <w:tc>
          <w:tcPr>
            <w:tcW w:w="126" w:type="pct"/>
            <w:tcBorders>
              <w:top w:val="nil"/>
              <w:left w:val="nil"/>
              <w:bottom w:val="nil"/>
              <w:right w:val="nil"/>
            </w:tcBorders>
            <w:noWrap/>
            <w:vAlign w:val="center"/>
            <w:hideMark/>
          </w:tcPr>
          <w:p w14:paraId="40411CF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CF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431 778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CF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428 794 </w:t>
            </w:r>
          </w:p>
        </w:tc>
        <w:tc>
          <w:tcPr>
            <w:tcW w:w="145" w:type="pct"/>
            <w:tcBorders>
              <w:top w:val="nil"/>
              <w:left w:val="nil"/>
              <w:bottom w:val="nil"/>
              <w:right w:val="nil"/>
            </w:tcBorders>
            <w:noWrap/>
            <w:vAlign w:val="center"/>
            <w:hideMark/>
          </w:tcPr>
          <w:p w14:paraId="40411CF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CF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391 395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C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393 593 </w:t>
            </w:r>
          </w:p>
        </w:tc>
      </w:tr>
      <w:tr w:rsidR="002809FB" w:rsidRPr="005978DF" w14:paraId="40411D0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CF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 Moldova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0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0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26" w:type="pct"/>
            <w:tcBorders>
              <w:top w:val="nil"/>
              <w:left w:val="nil"/>
              <w:bottom w:val="nil"/>
              <w:right w:val="nil"/>
            </w:tcBorders>
            <w:noWrap/>
            <w:vAlign w:val="center"/>
            <w:hideMark/>
          </w:tcPr>
          <w:p w14:paraId="40411D0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0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0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833 </w:t>
            </w:r>
          </w:p>
        </w:tc>
        <w:tc>
          <w:tcPr>
            <w:tcW w:w="145" w:type="pct"/>
            <w:tcBorders>
              <w:top w:val="nil"/>
              <w:left w:val="nil"/>
              <w:bottom w:val="nil"/>
              <w:right w:val="nil"/>
            </w:tcBorders>
            <w:noWrap/>
            <w:vAlign w:val="center"/>
            <w:hideMark/>
          </w:tcPr>
          <w:p w14:paraId="40411D0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0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765 </w:t>
            </w:r>
          </w:p>
        </w:tc>
      </w:tr>
      <w:tr w:rsidR="002809FB" w:rsidRPr="005978DF" w14:paraId="40411D1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0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Democrática del Congo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0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0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D0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0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D0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1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D1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1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Democrática Popular Lao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1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1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26" w:type="pct"/>
            <w:tcBorders>
              <w:top w:val="nil"/>
              <w:left w:val="nil"/>
              <w:bottom w:val="nil"/>
              <w:right w:val="nil"/>
            </w:tcBorders>
            <w:noWrap/>
            <w:vAlign w:val="center"/>
            <w:hideMark/>
          </w:tcPr>
          <w:p w14:paraId="40411D1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1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1 166 </w:t>
            </w:r>
          </w:p>
        </w:tc>
        <w:tc>
          <w:tcPr>
            <w:tcW w:w="145" w:type="pct"/>
            <w:tcBorders>
              <w:top w:val="nil"/>
              <w:left w:val="nil"/>
              <w:bottom w:val="nil"/>
              <w:right w:val="nil"/>
            </w:tcBorders>
            <w:noWrap/>
            <w:vAlign w:val="center"/>
            <w:hideMark/>
          </w:tcPr>
          <w:p w14:paraId="40411D1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1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1 065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1 070 </w:t>
            </w:r>
          </w:p>
        </w:tc>
      </w:tr>
      <w:tr w:rsidR="002809FB" w:rsidRPr="005978DF" w14:paraId="40411D2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1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Dominicana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1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0,067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1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0,084</w:t>
            </w:r>
          </w:p>
        </w:tc>
        <w:tc>
          <w:tcPr>
            <w:tcW w:w="126" w:type="pct"/>
            <w:tcBorders>
              <w:top w:val="nil"/>
              <w:left w:val="nil"/>
              <w:bottom w:val="nil"/>
              <w:right w:val="nil"/>
            </w:tcBorders>
            <w:noWrap/>
            <w:vAlign w:val="center"/>
            <w:hideMark/>
          </w:tcPr>
          <w:p w14:paraId="40411D2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2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11 239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11 161 </w:t>
            </w:r>
          </w:p>
        </w:tc>
        <w:tc>
          <w:tcPr>
            <w:tcW w:w="145" w:type="pct"/>
            <w:tcBorders>
              <w:top w:val="nil"/>
              <w:left w:val="nil"/>
              <w:bottom w:val="nil"/>
              <w:right w:val="nil"/>
            </w:tcBorders>
            <w:noWrap/>
            <w:vAlign w:val="center"/>
            <w:hideMark/>
          </w:tcPr>
          <w:p w14:paraId="40411D2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2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10 188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10 245 </w:t>
            </w:r>
          </w:p>
        </w:tc>
      </w:tr>
      <w:tr w:rsidR="002809FB" w:rsidRPr="005978DF" w14:paraId="40411D3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2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Popular Democrática de Corea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2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2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26" w:type="pct"/>
            <w:tcBorders>
              <w:top w:val="nil"/>
              <w:left w:val="nil"/>
              <w:bottom w:val="nil"/>
              <w:right w:val="nil"/>
            </w:tcBorders>
            <w:noWrap/>
            <w:vAlign w:val="center"/>
            <w:hideMark/>
          </w:tcPr>
          <w:p w14:paraId="40411D2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2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833 </w:t>
            </w:r>
          </w:p>
        </w:tc>
        <w:tc>
          <w:tcPr>
            <w:tcW w:w="145" w:type="pct"/>
            <w:tcBorders>
              <w:top w:val="nil"/>
              <w:left w:val="nil"/>
              <w:bottom w:val="nil"/>
              <w:right w:val="nil"/>
            </w:tcBorders>
            <w:noWrap/>
            <w:vAlign w:val="center"/>
            <w:hideMark/>
          </w:tcPr>
          <w:p w14:paraId="40411D2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2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765 </w:t>
            </w:r>
          </w:p>
        </w:tc>
      </w:tr>
      <w:tr w:rsidR="002809FB" w:rsidRPr="005978DF" w14:paraId="40411D3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3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República Unida de </w:t>
            </w:r>
            <w:proofErr w:type="spellStart"/>
            <w:r w:rsidRPr="000F4C79">
              <w:rPr>
                <w:rFonts w:asciiTheme="minorHAnsi" w:hAnsiTheme="minorHAnsi" w:cstheme="minorHAnsi"/>
                <w:sz w:val="16"/>
                <w:szCs w:val="16"/>
                <w:lang w:val="es-ES"/>
              </w:rPr>
              <w:t>Tanzanía</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D3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3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D3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3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D3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3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D4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3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Ruanda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3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3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26" w:type="pct"/>
            <w:tcBorders>
              <w:top w:val="nil"/>
              <w:left w:val="nil"/>
              <w:bottom w:val="nil"/>
              <w:right w:val="nil"/>
            </w:tcBorders>
            <w:noWrap/>
            <w:vAlign w:val="center"/>
            <w:hideMark/>
          </w:tcPr>
          <w:p w14:paraId="40411D3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500 </w:t>
            </w:r>
          </w:p>
        </w:tc>
        <w:tc>
          <w:tcPr>
            <w:tcW w:w="145" w:type="pct"/>
            <w:tcBorders>
              <w:top w:val="nil"/>
              <w:left w:val="nil"/>
              <w:bottom w:val="nil"/>
              <w:right w:val="nil"/>
            </w:tcBorders>
            <w:noWrap/>
            <w:vAlign w:val="center"/>
            <w:hideMark/>
          </w:tcPr>
          <w:p w14:paraId="40411D4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4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459 </w:t>
            </w:r>
          </w:p>
        </w:tc>
      </w:tr>
      <w:tr w:rsidR="002809FB" w:rsidRPr="005978DF" w14:paraId="40411D4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4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Rumania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4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4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0,390</w:t>
            </w:r>
          </w:p>
        </w:tc>
        <w:tc>
          <w:tcPr>
            <w:tcW w:w="126" w:type="pct"/>
            <w:tcBorders>
              <w:top w:val="nil"/>
              <w:left w:val="nil"/>
              <w:bottom w:val="nil"/>
              <w:right w:val="nil"/>
            </w:tcBorders>
            <w:noWrap/>
            <w:vAlign w:val="center"/>
            <w:hideMark/>
          </w:tcPr>
          <w:p w14:paraId="40411D4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52 337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51 975 </w:t>
            </w:r>
          </w:p>
        </w:tc>
        <w:tc>
          <w:tcPr>
            <w:tcW w:w="145" w:type="pct"/>
            <w:tcBorders>
              <w:top w:val="nil"/>
              <w:left w:val="nil"/>
              <w:bottom w:val="nil"/>
              <w:right w:val="nil"/>
            </w:tcBorders>
            <w:noWrap/>
            <w:vAlign w:val="center"/>
            <w:hideMark/>
          </w:tcPr>
          <w:p w14:paraId="40411D4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4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47 442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47 708 </w:t>
            </w:r>
          </w:p>
        </w:tc>
      </w:tr>
      <w:tr w:rsidR="002809FB" w:rsidRPr="005978DF" w14:paraId="40411D5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4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Saint </w:t>
            </w:r>
            <w:proofErr w:type="spellStart"/>
            <w:r w:rsidRPr="000F4C79">
              <w:rPr>
                <w:rFonts w:asciiTheme="minorHAnsi" w:hAnsiTheme="minorHAnsi" w:cstheme="minorHAnsi"/>
                <w:sz w:val="16"/>
                <w:szCs w:val="16"/>
                <w:lang w:val="es-ES"/>
              </w:rPr>
              <w:t>Kitts</w:t>
            </w:r>
            <w:proofErr w:type="spellEnd"/>
            <w:r w:rsidRPr="000F4C79">
              <w:rPr>
                <w:rFonts w:asciiTheme="minorHAnsi" w:hAnsiTheme="minorHAnsi" w:cstheme="minorHAnsi"/>
                <w:sz w:val="16"/>
                <w:szCs w:val="16"/>
                <w:lang w:val="es-ES"/>
              </w:rPr>
              <w:t xml:space="preserve"> y </w:t>
            </w:r>
            <w:proofErr w:type="spellStart"/>
            <w:r w:rsidRPr="000F4C79">
              <w:rPr>
                <w:rFonts w:asciiTheme="minorHAnsi" w:hAnsiTheme="minorHAnsi" w:cstheme="minorHAnsi"/>
                <w:sz w:val="16"/>
                <w:szCs w:val="16"/>
                <w:lang w:val="es-ES"/>
              </w:rPr>
              <w:t>Nevis</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D5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5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D5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D5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5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D6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5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Samoa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5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5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D5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D5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6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D6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6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San Marino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6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6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D6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D6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6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D7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6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San Vicente y las </w:t>
            </w:r>
            <w:proofErr w:type="gramStart"/>
            <w:r w:rsidRPr="000F4C79">
              <w:rPr>
                <w:rFonts w:asciiTheme="minorHAnsi" w:hAnsiTheme="minorHAnsi" w:cstheme="minorHAnsi"/>
                <w:sz w:val="16"/>
                <w:szCs w:val="16"/>
                <w:lang w:val="es-ES"/>
              </w:rPr>
              <w:t>Granadinas</w:t>
            </w:r>
            <w:proofErr w:type="gram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D6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6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D7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D7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7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D8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7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Santa Lucía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7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7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D7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7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D7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7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D8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8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Santo Tomé y Príncipe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8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8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D8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D8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8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D9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8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Senegal</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8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8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26" w:type="pct"/>
            <w:tcBorders>
              <w:top w:val="nil"/>
              <w:left w:val="nil"/>
              <w:bottom w:val="nil"/>
              <w:right w:val="nil"/>
            </w:tcBorders>
            <w:noWrap/>
            <w:vAlign w:val="center"/>
            <w:hideMark/>
          </w:tcPr>
          <w:p w14:paraId="40411D8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1 166 </w:t>
            </w:r>
          </w:p>
        </w:tc>
        <w:tc>
          <w:tcPr>
            <w:tcW w:w="145" w:type="pct"/>
            <w:tcBorders>
              <w:top w:val="nil"/>
              <w:left w:val="nil"/>
              <w:bottom w:val="nil"/>
              <w:right w:val="nil"/>
            </w:tcBorders>
            <w:noWrap/>
            <w:vAlign w:val="center"/>
            <w:hideMark/>
          </w:tcPr>
          <w:p w14:paraId="40411D9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9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1 064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1 070 </w:t>
            </w:r>
          </w:p>
        </w:tc>
      </w:tr>
      <w:tr w:rsidR="002809FB" w:rsidRPr="005978DF" w14:paraId="40411D9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9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Serbia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9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9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0,040</w:t>
            </w:r>
          </w:p>
        </w:tc>
        <w:tc>
          <w:tcPr>
            <w:tcW w:w="126" w:type="pct"/>
            <w:tcBorders>
              <w:top w:val="nil"/>
              <w:left w:val="nil"/>
              <w:bottom w:val="nil"/>
              <w:right w:val="nil"/>
            </w:tcBorders>
            <w:noWrap/>
            <w:vAlign w:val="center"/>
            <w:hideMark/>
          </w:tcPr>
          <w:p w14:paraId="40411D9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5 368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5 331 </w:t>
            </w:r>
          </w:p>
        </w:tc>
        <w:tc>
          <w:tcPr>
            <w:tcW w:w="145" w:type="pct"/>
            <w:tcBorders>
              <w:top w:val="nil"/>
              <w:left w:val="nil"/>
              <w:bottom w:val="nil"/>
              <w:right w:val="nil"/>
            </w:tcBorders>
            <w:noWrap/>
            <w:vAlign w:val="center"/>
            <w:hideMark/>
          </w:tcPr>
          <w:p w14:paraId="40411D9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9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4 866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4 893 </w:t>
            </w:r>
          </w:p>
        </w:tc>
      </w:tr>
      <w:tr w:rsidR="002809FB" w:rsidRPr="005978DF" w14:paraId="40411DA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9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Seychelles</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A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A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DA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DA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A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DB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A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Sierra Leona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A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A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DA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DA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B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DB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B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Singapur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B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0,504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B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0,630</w:t>
            </w:r>
          </w:p>
        </w:tc>
        <w:tc>
          <w:tcPr>
            <w:tcW w:w="126" w:type="pct"/>
            <w:tcBorders>
              <w:top w:val="nil"/>
              <w:left w:val="nil"/>
              <w:bottom w:val="nil"/>
              <w:right w:val="nil"/>
            </w:tcBorders>
            <w:noWrap/>
            <w:vAlign w:val="center"/>
            <w:hideMark/>
          </w:tcPr>
          <w:p w14:paraId="40411DB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84 544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83 959 </w:t>
            </w:r>
          </w:p>
        </w:tc>
        <w:tc>
          <w:tcPr>
            <w:tcW w:w="145" w:type="pct"/>
            <w:tcBorders>
              <w:top w:val="nil"/>
              <w:left w:val="nil"/>
              <w:bottom w:val="nil"/>
              <w:right w:val="nil"/>
            </w:tcBorders>
            <w:noWrap/>
            <w:vAlign w:val="center"/>
            <w:hideMark/>
          </w:tcPr>
          <w:p w14:paraId="40411DB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B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76 637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77 067 </w:t>
            </w:r>
          </w:p>
        </w:tc>
      </w:tr>
      <w:tr w:rsidR="002809FB" w:rsidRPr="005978DF" w14:paraId="40411DC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B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Somalia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B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B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DC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DC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C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DD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C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Sri Lanka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C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C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0,056</w:t>
            </w:r>
          </w:p>
        </w:tc>
        <w:tc>
          <w:tcPr>
            <w:tcW w:w="126" w:type="pct"/>
            <w:tcBorders>
              <w:top w:val="nil"/>
              <w:left w:val="nil"/>
              <w:bottom w:val="nil"/>
              <w:right w:val="nil"/>
            </w:tcBorders>
            <w:noWrap/>
            <w:vAlign w:val="center"/>
            <w:hideMark/>
          </w:tcPr>
          <w:p w14:paraId="40411DC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7 549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C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7 496 </w:t>
            </w:r>
          </w:p>
        </w:tc>
        <w:tc>
          <w:tcPr>
            <w:tcW w:w="145" w:type="pct"/>
            <w:tcBorders>
              <w:top w:val="nil"/>
              <w:left w:val="nil"/>
              <w:bottom w:val="nil"/>
              <w:right w:val="nil"/>
            </w:tcBorders>
            <w:noWrap/>
            <w:vAlign w:val="center"/>
            <w:hideMark/>
          </w:tcPr>
          <w:p w14:paraId="40411DC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C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6 843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6 880 </w:t>
            </w:r>
          </w:p>
        </w:tc>
      </w:tr>
      <w:tr w:rsidR="002809FB" w:rsidRPr="005978DF" w14:paraId="40411DD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D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Sudáfrica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D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0,244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D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0,305</w:t>
            </w:r>
          </w:p>
        </w:tc>
        <w:tc>
          <w:tcPr>
            <w:tcW w:w="126" w:type="pct"/>
            <w:tcBorders>
              <w:top w:val="nil"/>
              <w:left w:val="nil"/>
              <w:bottom w:val="nil"/>
              <w:right w:val="nil"/>
            </w:tcBorders>
            <w:noWrap/>
            <w:vAlign w:val="center"/>
            <w:hideMark/>
          </w:tcPr>
          <w:p w14:paraId="40411DD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40 930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D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40 646 </w:t>
            </w:r>
          </w:p>
        </w:tc>
        <w:tc>
          <w:tcPr>
            <w:tcW w:w="145" w:type="pct"/>
            <w:tcBorders>
              <w:top w:val="nil"/>
              <w:left w:val="nil"/>
              <w:bottom w:val="nil"/>
              <w:right w:val="nil"/>
            </w:tcBorders>
            <w:noWrap/>
            <w:vAlign w:val="center"/>
            <w:hideMark/>
          </w:tcPr>
          <w:p w14:paraId="40411DD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D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37 102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37 310 </w:t>
            </w:r>
          </w:p>
        </w:tc>
      </w:tr>
      <w:tr w:rsidR="002809FB" w:rsidRPr="005978DF" w14:paraId="40411DE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D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Sudán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D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D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DD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E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DE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E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E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1 222 </w:t>
            </w:r>
          </w:p>
        </w:tc>
      </w:tr>
      <w:tr w:rsidR="002809FB" w:rsidRPr="005978DF" w14:paraId="40411DE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E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Sudán del Sur</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E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E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DE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E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DE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E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E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DF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E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Suecia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F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0,871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F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1,089</w:t>
            </w:r>
          </w:p>
        </w:tc>
        <w:tc>
          <w:tcPr>
            <w:tcW w:w="126" w:type="pct"/>
            <w:tcBorders>
              <w:top w:val="nil"/>
              <w:left w:val="nil"/>
              <w:bottom w:val="nil"/>
              <w:right w:val="nil"/>
            </w:tcBorders>
            <w:noWrap/>
            <w:vAlign w:val="center"/>
            <w:hideMark/>
          </w:tcPr>
          <w:p w14:paraId="40411DF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146 107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F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145 097 </w:t>
            </w:r>
          </w:p>
        </w:tc>
        <w:tc>
          <w:tcPr>
            <w:tcW w:w="145" w:type="pct"/>
            <w:tcBorders>
              <w:top w:val="nil"/>
              <w:left w:val="nil"/>
              <w:bottom w:val="nil"/>
              <w:right w:val="nil"/>
            </w:tcBorders>
            <w:noWrap/>
            <w:vAlign w:val="center"/>
            <w:hideMark/>
          </w:tcPr>
          <w:p w14:paraId="40411DF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DF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132 442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DF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133 185 </w:t>
            </w:r>
          </w:p>
        </w:tc>
      </w:tr>
      <w:tr w:rsidR="002809FB" w:rsidRPr="005978DF" w14:paraId="40411E0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DF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Suiza </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DF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1,134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DF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1,418</w:t>
            </w:r>
          </w:p>
        </w:tc>
        <w:tc>
          <w:tcPr>
            <w:tcW w:w="126" w:type="pct"/>
            <w:tcBorders>
              <w:top w:val="nil"/>
              <w:left w:val="nil"/>
              <w:bottom w:val="nil"/>
              <w:right w:val="nil"/>
            </w:tcBorders>
            <w:noWrap/>
            <w:vAlign w:val="center"/>
            <w:hideMark/>
          </w:tcPr>
          <w:p w14:paraId="40411DF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D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190 224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DF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188 910 </w:t>
            </w:r>
          </w:p>
        </w:tc>
        <w:tc>
          <w:tcPr>
            <w:tcW w:w="145" w:type="pct"/>
            <w:tcBorders>
              <w:top w:val="nil"/>
              <w:left w:val="nil"/>
              <w:bottom w:val="nil"/>
              <w:right w:val="nil"/>
            </w:tcBorders>
            <w:noWrap/>
            <w:vAlign w:val="center"/>
            <w:hideMark/>
          </w:tcPr>
          <w:p w14:paraId="40411DF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0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172 433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0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173 400 </w:t>
            </w:r>
          </w:p>
        </w:tc>
      </w:tr>
      <w:tr w:rsidR="002809FB" w:rsidRPr="005978DF" w14:paraId="40411E0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03"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Suriname</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E0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0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26" w:type="pct"/>
            <w:tcBorders>
              <w:top w:val="nil"/>
              <w:left w:val="nil"/>
              <w:bottom w:val="nil"/>
              <w:right w:val="nil"/>
            </w:tcBorders>
            <w:noWrap/>
            <w:vAlign w:val="center"/>
            <w:hideMark/>
          </w:tcPr>
          <w:p w14:paraId="40411E0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0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500 </w:t>
            </w:r>
          </w:p>
        </w:tc>
        <w:tc>
          <w:tcPr>
            <w:tcW w:w="145" w:type="pct"/>
            <w:tcBorders>
              <w:top w:val="nil"/>
              <w:left w:val="nil"/>
              <w:bottom w:val="nil"/>
              <w:right w:val="nil"/>
            </w:tcBorders>
            <w:noWrap/>
            <w:vAlign w:val="center"/>
            <w:hideMark/>
          </w:tcPr>
          <w:p w14:paraId="40411E0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459 </w:t>
            </w:r>
          </w:p>
        </w:tc>
      </w:tr>
      <w:tr w:rsidR="002809FB" w:rsidRPr="005978DF" w14:paraId="40411E1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0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Tailandia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0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0,368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0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0,460</w:t>
            </w:r>
          </w:p>
        </w:tc>
        <w:tc>
          <w:tcPr>
            <w:tcW w:w="126" w:type="pct"/>
            <w:tcBorders>
              <w:top w:val="nil"/>
              <w:left w:val="nil"/>
              <w:bottom w:val="nil"/>
              <w:right w:val="nil"/>
            </w:tcBorders>
            <w:noWrap/>
            <w:vAlign w:val="center"/>
            <w:hideMark/>
          </w:tcPr>
          <w:p w14:paraId="40411E1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61 730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1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61 303 </w:t>
            </w:r>
          </w:p>
        </w:tc>
        <w:tc>
          <w:tcPr>
            <w:tcW w:w="145" w:type="pct"/>
            <w:tcBorders>
              <w:top w:val="nil"/>
              <w:left w:val="nil"/>
              <w:bottom w:val="nil"/>
              <w:right w:val="nil"/>
            </w:tcBorders>
            <w:noWrap/>
            <w:vAlign w:val="center"/>
            <w:hideMark/>
          </w:tcPr>
          <w:p w14:paraId="40411E1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55 957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56 271 </w:t>
            </w:r>
          </w:p>
        </w:tc>
      </w:tr>
      <w:tr w:rsidR="002809FB" w:rsidRPr="005978DF" w14:paraId="40411E2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1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Tayikistán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1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1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26" w:type="pct"/>
            <w:tcBorders>
              <w:top w:val="nil"/>
              <w:left w:val="nil"/>
              <w:bottom w:val="nil"/>
              <w:right w:val="nil"/>
            </w:tcBorders>
            <w:noWrap/>
            <w:vAlign w:val="center"/>
            <w:hideMark/>
          </w:tcPr>
          <w:p w14:paraId="40411E1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1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500 </w:t>
            </w:r>
          </w:p>
        </w:tc>
        <w:tc>
          <w:tcPr>
            <w:tcW w:w="145" w:type="pct"/>
            <w:tcBorders>
              <w:top w:val="nil"/>
              <w:left w:val="nil"/>
              <w:bottom w:val="nil"/>
              <w:right w:val="nil"/>
            </w:tcBorders>
            <w:noWrap/>
            <w:vAlign w:val="center"/>
            <w:hideMark/>
          </w:tcPr>
          <w:p w14:paraId="40411E1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459 </w:t>
            </w:r>
          </w:p>
        </w:tc>
      </w:tr>
      <w:tr w:rsidR="002809FB" w:rsidRPr="005978DF" w14:paraId="40411E2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2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Timor-Leste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2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2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E2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2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E2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E3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2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Togo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2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2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26" w:type="pct"/>
            <w:tcBorders>
              <w:top w:val="nil"/>
              <w:left w:val="nil"/>
              <w:bottom w:val="nil"/>
              <w:right w:val="nil"/>
            </w:tcBorders>
            <w:noWrap/>
            <w:vAlign w:val="center"/>
            <w:hideMark/>
          </w:tcPr>
          <w:p w14:paraId="40411E2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3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w:t>
            </w:r>
          </w:p>
        </w:tc>
        <w:tc>
          <w:tcPr>
            <w:tcW w:w="145" w:type="pct"/>
            <w:tcBorders>
              <w:top w:val="nil"/>
              <w:left w:val="nil"/>
              <w:bottom w:val="nil"/>
              <w:right w:val="nil"/>
            </w:tcBorders>
            <w:noWrap/>
            <w:vAlign w:val="center"/>
            <w:hideMark/>
          </w:tcPr>
          <w:p w14:paraId="40411E3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306 </w:t>
            </w:r>
          </w:p>
        </w:tc>
      </w:tr>
      <w:tr w:rsidR="002809FB" w:rsidRPr="005978DF" w14:paraId="40411E3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3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Tonga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3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3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E3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3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E3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E4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3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Trinidad y Tobago</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4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4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0,046</w:t>
            </w:r>
          </w:p>
        </w:tc>
        <w:tc>
          <w:tcPr>
            <w:tcW w:w="126" w:type="pct"/>
            <w:tcBorders>
              <w:top w:val="nil"/>
              <w:left w:val="nil"/>
              <w:bottom w:val="nil"/>
              <w:right w:val="nil"/>
            </w:tcBorders>
            <w:noWrap/>
            <w:vAlign w:val="center"/>
            <w:hideMark/>
          </w:tcPr>
          <w:p w14:paraId="40411E4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6 207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4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6 164 </w:t>
            </w:r>
          </w:p>
        </w:tc>
        <w:tc>
          <w:tcPr>
            <w:tcW w:w="145" w:type="pct"/>
            <w:tcBorders>
              <w:top w:val="nil"/>
              <w:left w:val="nil"/>
              <w:bottom w:val="nil"/>
              <w:right w:val="nil"/>
            </w:tcBorders>
            <w:noWrap/>
            <w:vAlign w:val="center"/>
            <w:hideMark/>
          </w:tcPr>
          <w:p w14:paraId="40411E4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5 626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5 658 </w:t>
            </w:r>
          </w:p>
        </w:tc>
      </w:tr>
      <w:tr w:rsidR="002809FB" w:rsidRPr="005978DF" w14:paraId="40411E5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4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Túnez</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4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4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0,024</w:t>
            </w:r>
          </w:p>
        </w:tc>
        <w:tc>
          <w:tcPr>
            <w:tcW w:w="126" w:type="pct"/>
            <w:tcBorders>
              <w:top w:val="nil"/>
              <w:left w:val="nil"/>
              <w:bottom w:val="nil"/>
              <w:right w:val="nil"/>
            </w:tcBorders>
            <w:noWrap/>
            <w:vAlign w:val="center"/>
            <w:hideMark/>
          </w:tcPr>
          <w:p w14:paraId="40411E4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3 187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4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3 165 </w:t>
            </w:r>
          </w:p>
        </w:tc>
        <w:tc>
          <w:tcPr>
            <w:tcW w:w="145" w:type="pct"/>
            <w:tcBorders>
              <w:top w:val="nil"/>
              <w:left w:val="nil"/>
              <w:bottom w:val="nil"/>
              <w:right w:val="nil"/>
            </w:tcBorders>
            <w:noWrap/>
            <w:vAlign w:val="center"/>
            <w:hideMark/>
          </w:tcPr>
          <w:p w14:paraId="40411E4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2 889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2 905 </w:t>
            </w:r>
          </w:p>
        </w:tc>
      </w:tr>
      <w:tr w:rsidR="002809FB" w:rsidRPr="005978DF" w14:paraId="40411E5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5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lastRenderedPageBreak/>
              <w:t>Turkmenistán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5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5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0,043</w:t>
            </w:r>
          </w:p>
        </w:tc>
        <w:tc>
          <w:tcPr>
            <w:tcW w:w="126" w:type="pct"/>
            <w:tcBorders>
              <w:top w:val="nil"/>
              <w:left w:val="nil"/>
              <w:bottom w:val="nil"/>
              <w:right w:val="nil"/>
            </w:tcBorders>
            <w:noWrap/>
            <w:vAlign w:val="center"/>
            <w:hideMark/>
          </w:tcPr>
          <w:p w14:paraId="40411E5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5 703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5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5 664 </w:t>
            </w:r>
          </w:p>
        </w:tc>
        <w:tc>
          <w:tcPr>
            <w:tcW w:w="145" w:type="pct"/>
            <w:tcBorders>
              <w:top w:val="nil"/>
              <w:left w:val="nil"/>
              <w:bottom w:val="nil"/>
              <w:right w:val="nil"/>
            </w:tcBorders>
            <w:noWrap/>
            <w:vAlign w:val="center"/>
            <w:hideMark/>
          </w:tcPr>
          <w:p w14:paraId="40411E5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5 170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5 199 </w:t>
            </w:r>
          </w:p>
        </w:tc>
      </w:tr>
      <w:tr w:rsidR="002809FB" w:rsidRPr="005978DF" w14:paraId="40411E6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5D" w14:textId="77777777" w:rsidR="002809FB" w:rsidRPr="000F4C79" w:rsidRDefault="00275B21"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Türkiye</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E5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0,845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5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1,056</w:t>
            </w:r>
          </w:p>
        </w:tc>
        <w:tc>
          <w:tcPr>
            <w:tcW w:w="126" w:type="pct"/>
            <w:tcBorders>
              <w:top w:val="nil"/>
              <w:left w:val="nil"/>
              <w:bottom w:val="nil"/>
              <w:right w:val="nil"/>
            </w:tcBorders>
            <w:noWrap/>
            <w:vAlign w:val="center"/>
            <w:hideMark/>
          </w:tcPr>
          <w:p w14:paraId="40411E6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141 745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6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140 766 </w:t>
            </w:r>
          </w:p>
        </w:tc>
        <w:tc>
          <w:tcPr>
            <w:tcW w:w="145" w:type="pct"/>
            <w:tcBorders>
              <w:top w:val="nil"/>
              <w:left w:val="nil"/>
              <w:bottom w:val="nil"/>
              <w:right w:val="nil"/>
            </w:tcBorders>
            <w:noWrap/>
            <w:vAlign w:val="center"/>
            <w:hideMark/>
          </w:tcPr>
          <w:p w14:paraId="40411E6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128 488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129 210 </w:t>
            </w:r>
          </w:p>
        </w:tc>
      </w:tr>
      <w:tr w:rsidR="002809FB" w:rsidRPr="005978DF" w14:paraId="40411E7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6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Tuvalu</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6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6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E6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6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E6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E7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7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Ucrania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7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0,056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7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0,070</w:t>
            </w:r>
          </w:p>
        </w:tc>
        <w:tc>
          <w:tcPr>
            <w:tcW w:w="126" w:type="pct"/>
            <w:tcBorders>
              <w:top w:val="nil"/>
              <w:left w:val="nil"/>
              <w:bottom w:val="nil"/>
              <w:right w:val="nil"/>
            </w:tcBorders>
            <w:noWrap/>
            <w:vAlign w:val="center"/>
            <w:hideMark/>
          </w:tcPr>
          <w:p w14:paraId="40411E7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9 394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7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9 329 </w:t>
            </w:r>
          </w:p>
        </w:tc>
        <w:tc>
          <w:tcPr>
            <w:tcW w:w="145" w:type="pct"/>
            <w:tcBorders>
              <w:top w:val="nil"/>
              <w:left w:val="nil"/>
              <w:bottom w:val="nil"/>
              <w:right w:val="nil"/>
            </w:tcBorders>
            <w:noWrap/>
            <w:vAlign w:val="center"/>
            <w:hideMark/>
          </w:tcPr>
          <w:p w14:paraId="40411E7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8 515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8 563 </w:t>
            </w:r>
          </w:p>
        </w:tc>
      </w:tr>
      <w:tr w:rsidR="002809FB" w:rsidRPr="005978DF" w14:paraId="40411E8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7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Uganda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7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7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E7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8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E8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E8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8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Unión Europea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86" w14:textId="77777777" w:rsidR="002809FB" w:rsidRPr="000F4C79" w:rsidRDefault="002809FB" w:rsidP="0049064A">
            <w:pPr>
              <w:jc w:val="center"/>
              <w:rPr>
                <w:rFonts w:asciiTheme="minorHAnsi" w:hAnsiTheme="minorHAnsi" w:cstheme="minorHAnsi"/>
                <w:sz w:val="16"/>
                <w:szCs w:val="16"/>
                <w:lang w:val="es-ES"/>
              </w:rPr>
            </w:pP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8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2,500</w:t>
            </w:r>
          </w:p>
        </w:tc>
        <w:tc>
          <w:tcPr>
            <w:tcW w:w="126" w:type="pct"/>
            <w:tcBorders>
              <w:top w:val="nil"/>
              <w:left w:val="nil"/>
              <w:bottom w:val="nil"/>
              <w:right w:val="nil"/>
            </w:tcBorders>
            <w:noWrap/>
            <w:vAlign w:val="center"/>
            <w:hideMark/>
          </w:tcPr>
          <w:p w14:paraId="40411E8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335 470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8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333 153 </w:t>
            </w:r>
          </w:p>
        </w:tc>
        <w:tc>
          <w:tcPr>
            <w:tcW w:w="145" w:type="pct"/>
            <w:tcBorders>
              <w:top w:val="nil"/>
              <w:left w:val="nil"/>
              <w:bottom w:val="nil"/>
              <w:right w:val="nil"/>
            </w:tcBorders>
            <w:noWrap/>
            <w:vAlign w:val="center"/>
            <w:hideMark/>
          </w:tcPr>
          <w:p w14:paraId="40411E8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304 095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305 803 </w:t>
            </w:r>
          </w:p>
        </w:tc>
      </w:tr>
      <w:tr w:rsidR="002809FB" w:rsidRPr="005978DF" w14:paraId="40411E98"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8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Uruguay</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90"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91"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0,115</w:t>
            </w:r>
          </w:p>
        </w:tc>
        <w:tc>
          <w:tcPr>
            <w:tcW w:w="126" w:type="pct"/>
            <w:tcBorders>
              <w:top w:val="nil"/>
              <w:left w:val="nil"/>
              <w:bottom w:val="nil"/>
              <w:right w:val="nil"/>
            </w:tcBorders>
            <w:noWrap/>
            <w:vAlign w:val="center"/>
            <w:hideMark/>
          </w:tcPr>
          <w:p w14:paraId="40411E92"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15 433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9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15 326 </w:t>
            </w:r>
          </w:p>
        </w:tc>
        <w:tc>
          <w:tcPr>
            <w:tcW w:w="145" w:type="pct"/>
            <w:tcBorders>
              <w:top w:val="nil"/>
              <w:left w:val="nil"/>
              <w:bottom w:val="nil"/>
              <w:right w:val="nil"/>
            </w:tcBorders>
            <w:noWrap/>
            <w:vAlign w:val="center"/>
            <w:hideMark/>
          </w:tcPr>
          <w:p w14:paraId="40411E95"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13 989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14 068 </w:t>
            </w:r>
          </w:p>
        </w:tc>
      </w:tr>
      <w:tr w:rsidR="002809FB" w:rsidRPr="005978DF" w14:paraId="40411EA2"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9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Uzbekistán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9A"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0,027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9B"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0,034</w:t>
            </w:r>
          </w:p>
        </w:tc>
        <w:tc>
          <w:tcPr>
            <w:tcW w:w="126" w:type="pct"/>
            <w:tcBorders>
              <w:top w:val="nil"/>
              <w:left w:val="nil"/>
              <w:bottom w:val="nil"/>
              <w:right w:val="nil"/>
            </w:tcBorders>
            <w:noWrap/>
            <w:vAlign w:val="center"/>
            <w:hideMark/>
          </w:tcPr>
          <w:p w14:paraId="40411E9C"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4 529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9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4 498 </w:t>
            </w:r>
          </w:p>
        </w:tc>
        <w:tc>
          <w:tcPr>
            <w:tcW w:w="145" w:type="pct"/>
            <w:tcBorders>
              <w:top w:val="nil"/>
              <w:left w:val="nil"/>
              <w:bottom w:val="nil"/>
              <w:right w:val="nil"/>
            </w:tcBorders>
            <w:noWrap/>
            <w:vAlign w:val="center"/>
            <w:hideMark/>
          </w:tcPr>
          <w:p w14:paraId="40411E9F"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4 106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4 129 </w:t>
            </w:r>
          </w:p>
        </w:tc>
      </w:tr>
      <w:tr w:rsidR="002809FB" w:rsidRPr="005978DF" w14:paraId="40411EAC"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A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Vanuatu</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A4"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A5"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26" w:type="pct"/>
            <w:tcBorders>
              <w:top w:val="nil"/>
              <w:left w:val="nil"/>
              <w:bottom w:val="nil"/>
              <w:right w:val="nil"/>
            </w:tcBorders>
            <w:noWrap/>
            <w:vAlign w:val="center"/>
            <w:hideMark/>
          </w:tcPr>
          <w:p w14:paraId="40411EA6"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168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A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167 </w:t>
            </w:r>
          </w:p>
        </w:tc>
        <w:tc>
          <w:tcPr>
            <w:tcW w:w="145" w:type="pct"/>
            <w:tcBorders>
              <w:top w:val="nil"/>
              <w:left w:val="nil"/>
              <w:bottom w:val="nil"/>
              <w:right w:val="nil"/>
            </w:tcBorders>
            <w:noWrap/>
            <w:vAlign w:val="center"/>
            <w:hideMark/>
          </w:tcPr>
          <w:p w14:paraId="40411EA9"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152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153 </w:t>
            </w:r>
          </w:p>
        </w:tc>
      </w:tr>
      <w:tr w:rsidR="002809FB" w:rsidRPr="005978DF" w14:paraId="40411EB6"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A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Venezuela (República Bolivariana de)</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AE"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0,175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AF"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0,219</w:t>
            </w:r>
          </w:p>
        </w:tc>
        <w:tc>
          <w:tcPr>
            <w:tcW w:w="126" w:type="pct"/>
            <w:tcBorders>
              <w:top w:val="nil"/>
              <w:left w:val="nil"/>
              <w:bottom w:val="nil"/>
              <w:right w:val="nil"/>
            </w:tcBorders>
            <w:noWrap/>
            <w:vAlign w:val="center"/>
            <w:hideMark/>
          </w:tcPr>
          <w:p w14:paraId="40411EB0"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29 356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B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29 153 </w:t>
            </w:r>
          </w:p>
        </w:tc>
        <w:tc>
          <w:tcPr>
            <w:tcW w:w="145" w:type="pct"/>
            <w:tcBorders>
              <w:top w:val="nil"/>
              <w:left w:val="nil"/>
              <w:bottom w:val="nil"/>
              <w:right w:val="nil"/>
            </w:tcBorders>
            <w:noWrap/>
            <w:vAlign w:val="center"/>
            <w:hideMark/>
          </w:tcPr>
          <w:p w14:paraId="40411EB3"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26 610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26 759 </w:t>
            </w:r>
          </w:p>
        </w:tc>
      </w:tr>
      <w:tr w:rsidR="002809FB" w:rsidRPr="005978DF" w14:paraId="40411EC0"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B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Vietnam</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B8"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0,093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B9"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0,116</w:t>
            </w:r>
          </w:p>
        </w:tc>
        <w:tc>
          <w:tcPr>
            <w:tcW w:w="126" w:type="pct"/>
            <w:tcBorders>
              <w:top w:val="nil"/>
              <w:left w:val="nil"/>
              <w:bottom w:val="nil"/>
              <w:right w:val="nil"/>
            </w:tcBorders>
            <w:noWrap/>
            <w:vAlign w:val="center"/>
            <w:hideMark/>
          </w:tcPr>
          <w:p w14:paraId="40411EBA"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15 600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B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15 493 </w:t>
            </w:r>
          </w:p>
        </w:tc>
        <w:tc>
          <w:tcPr>
            <w:tcW w:w="145" w:type="pct"/>
            <w:tcBorders>
              <w:top w:val="nil"/>
              <w:left w:val="nil"/>
              <w:bottom w:val="nil"/>
              <w:right w:val="nil"/>
            </w:tcBorders>
            <w:noWrap/>
            <w:vAlign w:val="center"/>
            <w:hideMark/>
          </w:tcPr>
          <w:p w14:paraId="40411EBD"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14 141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14 221 </w:t>
            </w:r>
          </w:p>
        </w:tc>
      </w:tr>
      <w:tr w:rsidR="002809FB" w:rsidRPr="005978DF" w14:paraId="40411ECA"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C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Yemen</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C2"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C3"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EC4"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C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EC7"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ED4"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C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Zambia</w:t>
            </w:r>
          </w:p>
        </w:tc>
        <w:tc>
          <w:tcPr>
            <w:tcW w:w="577" w:type="pct"/>
            <w:tcBorders>
              <w:top w:val="single" w:sz="4" w:space="0" w:color="auto"/>
              <w:left w:val="single" w:sz="4" w:space="0" w:color="auto"/>
              <w:bottom w:val="single" w:sz="4" w:space="0" w:color="auto"/>
              <w:right w:val="single" w:sz="4" w:space="0" w:color="auto"/>
            </w:tcBorders>
            <w:vAlign w:val="center"/>
            <w:hideMark/>
          </w:tcPr>
          <w:p w14:paraId="40411ECC"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CD"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26" w:type="pct"/>
            <w:tcBorders>
              <w:top w:val="nil"/>
              <w:left w:val="nil"/>
              <w:bottom w:val="nil"/>
              <w:right w:val="nil"/>
            </w:tcBorders>
            <w:noWrap/>
            <w:vAlign w:val="center"/>
            <w:hideMark/>
          </w:tcPr>
          <w:p w14:paraId="40411ECE"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D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145" w:type="pct"/>
            <w:tcBorders>
              <w:top w:val="nil"/>
              <w:left w:val="nil"/>
              <w:bottom w:val="nil"/>
              <w:right w:val="nil"/>
            </w:tcBorders>
            <w:noWrap/>
            <w:vAlign w:val="center"/>
            <w:hideMark/>
          </w:tcPr>
          <w:p w14:paraId="40411ED1"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D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1EDE" w14:textId="77777777" w:rsidTr="0049064A">
        <w:tc>
          <w:tcPr>
            <w:tcW w:w="608" w:type="pct"/>
            <w:tcBorders>
              <w:top w:val="single" w:sz="4" w:space="0" w:color="auto"/>
              <w:left w:val="single" w:sz="4" w:space="0" w:color="auto"/>
              <w:bottom w:val="single" w:sz="4" w:space="0" w:color="auto"/>
              <w:right w:val="single" w:sz="4" w:space="0" w:color="auto"/>
            </w:tcBorders>
            <w:vAlign w:val="center"/>
            <w:hideMark/>
          </w:tcPr>
          <w:p w14:paraId="40411ED5"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Zimbabwe</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14:paraId="40411ED6"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D7" w14:textId="77777777" w:rsidR="002809FB" w:rsidRPr="000F4C79" w:rsidRDefault="002809FB" w:rsidP="0049064A">
            <w:pPr>
              <w:jc w:val="center"/>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26" w:type="pct"/>
            <w:tcBorders>
              <w:top w:val="nil"/>
              <w:left w:val="nil"/>
              <w:bottom w:val="nil"/>
              <w:right w:val="nil"/>
            </w:tcBorders>
            <w:noWrap/>
            <w:vAlign w:val="center"/>
            <w:hideMark/>
          </w:tcPr>
          <w:p w14:paraId="40411ED8" w14:textId="77777777" w:rsidR="002809FB" w:rsidRPr="000F4C79" w:rsidRDefault="002809FB" w:rsidP="0049064A">
            <w:pPr>
              <w:jc w:val="center"/>
              <w:rPr>
                <w:rFonts w:asciiTheme="minorHAnsi" w:hAnsiTheme="minorHAnsi" w:cstheme="minorHAnsi"/>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1 174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D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1 166 </w:t>
            </w:r>
          </w:p>
        </w:tc>
        <w:tc>
          <w:tcPr>
            <w:tcW w:w="145" w:type="pct"/>
            <w:tcBorders>
              <w:top w:val="nil"/>
              <w:left w:val="nil"/>
              <w:bottom w:val="nil"/>
              <w:right w:val="nil"/>
            </w:tcBorders>
            <w:noWrap/>
            <w:vAlign w:val="center"/>
            <w:hideMark/>
          </w:tcPr>
          <w:p w14:paraId="40411EDB" w14:textId="77777777" w:rsidR="002809FB" w:rsidRPr="000F4C79" w:rsidRDefault="002809FB" w:rsidP="0049064A">
            <w:pPr>
              <w:jc w:val="right"/>
              <w:rPr>
                <w:rFonts w:asciiTheme="minorHAnsi" w:hAnsiTheme="minorHAnsi" w:cstheme="minorHAnsi"/>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1 064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D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1 070 </w:t>
            </w:r>
          </w:p>
        </w:tc>
      </w:tr>
      <w:tr w:rsidR="002809FB" w:rsidRPr="005978DF" w14:paraId="40411EE8" w14:textId="77777777" w:rsidTr="0049064A">
        <w:tc>
          <w:tcPr>
            <w:tcW w:w="608" w:type="pct"/>
            <w:tcBorders>
              <w:top w:val="single" w:sz="4" w:space="0" w:color="auto"/>
              <w:left w:val="single" w:sz="4" w:space="0" w:color="auto"/>
              <w:bottom w:val="single" w:sz="4" w:space="0" w:color="auto"/>
              <w:right w:val="single" w:sz="4" w:space="0" w:color="auto"/>
            </w:tcBorders>
            <w:noWrap/>
            <w:vAlign w:val="center"/>
            <w:hideMark/>
          </w:tcPr>
          <w:p w14:paraId="40411EDF" w14:textId="77777777" w:rsidR="002809FB" w:rsidRPr="000F4C79" w:rsidRDefault="002809FB" w:rsidP="0049064A">
            <w:pP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Total</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40411EE0"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78,013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411EE1"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100,00</w:t>
            </w:r>
          </w:p>
        </w:tc>
        <w:tc>
          <w:tcPr>
            <w:tcW w:w="126" w:type="pct"/>
            <w:tcBorders>
              <w:top w:val="nil"/>
              <w:left w:val="nil"/>
              <w:bottom w:val="nil"/>
              <w:right w:val="nil"/>
            </w:tcBorders>
            <w:noWrap/>
            <w:vAlign w:val="center"/>
            <w:hideMark/>
          </w:tcPr>
          <w:p w14:paraId="40411EE2" w14:textId="77777777" w:rsidR="002809FB" w:rsidRPr="000F4C79" w:rsidRDefault="002809FB" w:rsidP="0049064A">
            <w:pPr>
              <w:jc w:val="center"/>
              <w:rPr>
                <w:rFonts w:asciiTheme="minorHAnsi" w:hAnsiTheme="minorHAnsi" w:cstheme="minorHAnsi"/>
                <w:b/>
                <w:bCs/>
                <w:sz w:val="16"/>
                <w:szCs w:val="16"/>
                <w:lang w:val="es-ES" w:eastAsia="zh-CN"/>
              </w:rPr>
            </w:pPr>
          </w:p>
        </w:tc>
        <w:tc>
          <w:tcPr>
            <w:tcW w:w="737" w:type="pct"/>
            <w:tcBorders>
              <w:top w:val="single" w:sz="4" w:space="0" w:color="auto"/>
              <w:left w:val="single" w:sz="4" w:space="0" w:color="auto"/>
              <w:bottom w:val="single" w:sz="4" w:space="0" w:color="auto"/>
              <w:right w:val="single" w:sz="4" w:space="0" w:color="auto"/>
            </w:tcBorders>
            <w:noWrap/>
            <w:vAlign w:val="center"/>
            <w:hideMark/>
          </w:tcPr>
          <w:p w14:paraId="40411EE3"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13 418 800 </w:t>
            </w:r>
          </w:p>
        </w:tc>
        <w:tc>
          <w:tcPr>
            <w:tcW w:w="721" w:type="pct"/>
            <w:tcBorders>
              <w:top w:val="single" w:sz="4" w:space="0" w:color="auto"/>
              <w:left w:val="single" w:sz="4" w:space="0" w:color="auto"/>
              <w:bottom w:val="single" w:sz="4" w:space="0" w:color="auto"/>
              <w:right w:val="single" w:sz="4" w:space="0" w:color="auto"/>
            </w:tcBorders>
            <w:noWrap/>
            <w:vAlign w:val="center"/>
            <w:hideMark/>
          </w:tcPr>
          <w:p w14:paraId="40411EE4"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13 326 100 </w:t>
            </w:r>
          </w:p>
        </w:tc>
        <w:tc>
          <w:tcPr>
            <w:tcW w:w="145" w:type="pct"/>
            <w:tcBorders>
              <w:top w:val="nil"/>
              <w:left w:val="nil"/>
              <w:bottom w:val="nil"/>
              <w:right w:val="nil"/>
            </w:tcBorders>
            <w:noWrap/>
            <w:vAlign w:val="center"/>
            <w:hideMark/>
          </w:tcPr>
          <w:p w14:paraId="40411EE5" w14:textId="77777777" w:rsidR="002809FB" w:rsidRPr="000F4C79" w:rsidRDefault="002809FB" w:rsidP="0049064A">
            <w:pPr>
              <w:jc w:val="right"/>
              <w:rPr>
                <w:rFonts w:asciiTheme="minorHAnsi" w:hAnsiTheme="minorHAnsi" w:cstheme="minorHAnsi"/>
                <w:b/>
                <w:bCs/>
                <w:sz w:val="16"/>
                <w:szCs w:val="16"/>
                <w:lang w:val="es-ES" w:eastAsia="zh-CN"/>
              </w:rPr>
            </w:pP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40411EE6"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12 163 800 </w:t>
            </w:r>
          </w:p>
        </w:tc>
        <w:tc>
          <w:tcPr>
            <w:tcW w:w="717" w:type="pct"/>
            <w:tcBorders>
              <w:top w:val="single" w:sz="4" w:space="0" w:color="auto"/>
              <w:left w:val="single" w:sz="4" w:space="0" w:color="auto"/>
              <w:bottom w:val="single" w:sz="4" w:space="0" w:color="auto"/>
              <w:right w:val="single" w:sz="4" w:space="0" w:color="auto"/>
            </w:tcBorders>
            <w:noWrap/>
            <w:vAlign w:val="center"/>
            <w:hideMark/>
          </w:tcPr>
          <w:p w14:paraId="40411EE7"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12 232 100 </w:t>
            </w:r>
          </w:p>
        </w:tc>
      </w:tr>
      <w:tr w:rsidR="002809FB" w:rsidRPr="005978DF" w14:paraId="40411EF2" w14:textId="77777777" w:rsidTr="0049064A">
        <w:tc>
          <w:tcPr>
            <w:tcW w:w="608" w:type="pct"/>
            <w:tcBorders>
              <w:top w:val="nil"/>
              <w:left w:val="nil"/>
              <w:bottom w:val="nil"/>
              <w:right w:val="nil"/>
            </w:tcBorders>
            <w:noWrap/>
            <w:vAlign w:val="center"/>
            <w:hideMark/>
          </w:tcPr>
          <w:p w14:paraId="40411EE9" w14:textId="77777777" w:rsidR="002809FB" w:rsidRPr="005978DF" w:rsidRDefault="002809FB" w:rsidP="0049064A">
            <w:pPr>
              <w:jc w:val="right"/>
              <w:rPr>
                <w:rFonts w:ascii="Calibri" w:hAnsi="Calibri" w:cstheme="majorBidi"/>
                <w:b/>
                <w:bCs/>
                <w:color w:val="000000"/>
                <w:sz w:val="16"/>
                <w:szCs w:val="16"/>
                <w:lang w:val="es-ES" w:eastAsia="zh-CN"/>
              </w:rPr>
            </w:pPr>
          </w:p>
        </w:tc>
        <w:tc>
          <w:tcPr>
            <w:tcW w:w="577" w:type="pct"/>
            <w:tcBorders>
              <w:top w:val="nil"/>
              <w:left w:val="nil"/>
              <w:bottom w:val="nil"/>
              <w:right w:val="nil"/>
            </w:tcBorders>
            <w:noWrap/>
            <w:vAlign w:val="center"/>
            <w:hideMark/>
          </w:tcPr>
          <w:p w14:paraId="40411EEA" w14:textId="77777777" w:rsidR="002809FB" w:rsidRPr="005978DF" w:rsidRDefault="002809FB" w:rsidP="0049064A">
            <w:pPr>
              <w:rPr>
                <w:rFonts w:ascii="Calibri" w:hAnsi="Calibri" w:cstheme="majorBidi"/>
                <w:sz w:val="16"/>
                <w:szCs w:val="16"/>
                <w:lang w:val="es-ES" w:eastAsia="zh-CN"/>
              </w:rPr>
            </w:pPr>
          </w:p>
        </w:tc>
        <w:tc>
          <w:tcPr>
            <w:tcW w:w="649" w:type="pct"/>
            <w:tcBorders>
              <w:top w:val="nil"/>
              <w:left w:val="nil"/>
              <w:bottom w:val="nil"/>
              <w:right w:val="nil"/>
            </w:tcBorders>
            <w:noWrap/>
            <w:vAlign w:val="center"/>
            <w:hideMark/>
          </w:tcPr>
          <w:p w14:paraId="40411EEB" w14:textId="77777777" w:rsidR="002809FB" w:rsidRPr="005978DF" w:rsidRDefault="002809FB" w:rsidP="0049064A">
            <w:pPr>
              <w:jc w:val="center"/>
              <w:rPr>
                <w:rFonts w:ascii="Calibri" w:hAnsi="Calibri" w:cstheme="majorBidi"/>
                <w:sz w:val="16"/>
                <w:szCs w:val="16"/>
                <w:lang w:val="es-ES" w:eastAsia="zh-CN"/>
              </w:rPr>
            </w:pPr>
          </w:p>
        </w:tc>
        <w:tc>
          <w:tcPr>
            <w:tcW w:w="126" w:type="pct"/>
            <w:tcBorders>
              <w:top w:val="nil"/>
              <w:left w:val="nil"/>
              <w:bottom w:val="nil"/>
              <w:right w:val="nil"/>
            </w:tcBorders>
            <w:noWrap/>
            <w:vAlign w:val="center"/>
            <w:hideMark/>
          </w:tcPr>
          <w:p w14:paraId="40411EEC" w14:textId="77777777" w:rsidR="002809FB" w:rsidRPr="005978DF" w:rsidRDefault="002809FB" w:rsidP="0049064A">
            <w:pPr>
              <w:jc w:val="center"/>
              <w:rPr>
                <w:rFonts w:ascii="Calibri" w:hAnsi="Calibri" w:cstheme="majorBidi"/>
                <w:sz w:val="16"/>
                <w:szCs w:val="16"/>
                <w:lang w:val="es-ES" w:eastAsia="zh-CN"/>
              </w:rPr>
            </w:pPr>
          </w:p>
        </w:tc>
        <w:tc>
          <w:tcPr>
            <w:tcW w:w="737" w:type="pct"/>
            <w:tcBorders>
              <w:top w:val="nil"/>
              <w:left w:val="nil"/>
              <w:bottom w:val="nil"/>
              <w:right w:val="nil"/>
            </w:tcBorders>
            <w:noWrap/>
            <w:vAlign w:val="center"/>
            <w:hideMark/>
          </w:tcPr>
          <w:p w14:paraId="40411EED" w14:textId="77777777" w:rsidR="002809FB" w:rsidRPr="005978DF" w:rsidRDefault="002809FB" w:rsidP="0049064A">
            <w:pPr>
              <w:jc w:val="center"/>
              <w:rPr>
                <w:rFonts w:ascii="Calibri" w:hAnsi="Calibri" w:cstheme="majorBidi"/>
                <w:sz w:val="16"/>
                <w:szCs w:val="16"/>
                <w:lang w:val="es-ES" w:eastAsia="zh-CN"/>
              </w:rPr>
            </w:pPr>
          </w:p>
        </w:tc>
        <w:tc>
          <w:tcPr>
            <w:tcW w:w="721" w:type="pct"/>
            <w:tcBorders>
              <w:top w:val="nil"/>
              <w:left w:val="nil"/>
              <w:bottom w:val="nil"/>
              <w:right w:val="nil"/>
            </w:tcBorders>
            <w:noWrap/>
            <w:vAlign w:val="center"/>
            <w:hideMark/>
          </w:tcPr>
          <w:p w14:paraId="40411EEE" w14:textId="77777777" w:rsidR="002809FB" w:rsidRPr="005978DF" w:rsidRDefault="002809FB" w:rsidP="0049064A">
            <w:pPr>
              <w:jc w:val="center"/>
              <w:rPr>
                <w:rFonts w:ascii="Calibri" w:hAnsi="Calibri" w:cstheme="majorBidi"/>
                <w:sz w:val="16"/>
                <w:szCs w:val="16"/>
                <w:lang w:val="es-ES" w:eastAsia="zh-CN"/>
              </w:rPr>
            </w:pPr>
          </w:p>
        </w:tc>
        <w:tc>
          <w:tcPr>
            <w:tcW w:w="145" w:type="pct"/>
            <w:tcBorders>
              <w:top w:val="nil"/>
              <w:left w:val="nil"/>
              <w:bottom w:val="nil"/>
              <w:right w:val="nil"/>
            </w:tcBorders>
            <w:noWrap/>
            <w:vAlign w:val="center"/>
            <w:hideMark/>
          </w:tcPr>
          <w:p w14:paraId="40411EEF" w14:textId="77777777" w:rsidR="002809FB" w:rsidRPr="005978DF" w:rsidRDefault="002809FB" w:rsidP="0049064A">
            <w:pPr>
              <w:jc w:val="center"/>
              <w:rPr>
                <w:rFonts w:ascii="Calibri" w:hAnsi="Calibri" w:cstheme="majorBidi"/>
                <w:sz w:val="16"/>
                <w:szCs w:val="16"/>
                <w:lang w:val="es-ES" w:eastAsia="zh-CN"/>
              </w:rPr>
            </w:pPr>
          </w:p>
        </w:tc>
        <w:tc>
          <w:tcPr>
            <w:tcW w:w="719" w:type="pct"/>
            <w:tcBorders>
              <w:top w:val="nil"/>
              <w:left w:val="nil"/>
              <w:bottom w:val="nil"/>
              <w:right w:val="nil"/>
            </w:tcBorders>
            <w:noWrap/>
            <w:vAlign w:val="center"/>
            <w:hideMark/>
          </w:tcPr>
          <w:p w14:paraId="40411EF0" w14:textId="77777777" w:rsidR="002809FB" w:rsidRPr="005978DF" w:rsidRDefault="002809FB" w:rsidP="0049064A">
            <w:pPr>
              <w:jc w:val="center"/>
              <w:rPr>
                <w:rFonts w:ascii="Calibri" w:hAnsi="Calibri" w:cstheme="majorBidi"/>
                <w:sz w:val="16"/>
                <w:szCs w:val="16"/>
                <w:lang w:val="es-ES" w:eastAsia="zh-CN"/>
              </w:rPr>
            </w:pPr>
          </w:p>
        </w:tc>
        <w:tc>
          <w:tcPr>
            <w:tcW w:w="717" w:type="pct"/>
            <w:tcBorders>
              <w:top w:val="nil"/>
              <w:left w:val="nil"/>
              <w:bottom w:val="nil"/>
              <w:right w:val="nil"/>
            </w:tcBorders>
            <w:noWrap/>
            <w:vAlign w:val="center"/>
            <w:hideMark/>
          </w:tcPr>
          <w:p w14:paraId="40411EF1" w14:textId="77777777" w:rsidR="002809FB" w:rsidRPr="005978DF" w:rsidRDefault="002809FB" w:rsidP="0049064A">
            <w:pPr>
              <w:jc w:val="center"/>
              <w:rPr>
                <w:rFonts w:ascii="Calibri" w:hAnsi="Calibri" w:cstheme="majorBidi"/>
                <w:sz w:val="16"/>
                <w:szCs w:val="16"/>
                <w:lang w:val="es-ES" w:eastAsia="zh-CN"/>
              </w:rPr>
            </w:pPr>
          </w:p>
        </w:tc>
      </w:tr>
    </w:tbl>
    <w:p w14:paraId="40411EF3" w14:textId="77777777" w:rsidR="002809FB" w:rsidRPr="005978DF" w:rsidRDefault="002809FB" w:rsidP="002809FB">
      <w:pPr>
        <w:rPr>
          <w:rFonts w:eastAsia="Calibri"/>
          <w:lang w:val="es-ES"/>
        </w:rPr>
      </w:pPr>
    </w:p>
    <w:p w14:paraId="40411EF4" w14:textId="77777777" w:rsidR="002809FB" w:rsidRPr="005978DF" w:rsidRDefault="002809FB" w:rsidP="002809FB">
      <w:pPr>
        <w:rPr>
          <w:rFonts w:eastAsia="Calibri"/>
          <w:lang w:val="es-ES"/>
        </w:rPr>
      </w:pPr>
      <w:r w:rsidRPr="005978DF">
        <w:rPr>
          <w:lang w:val="es-ES"/>
        </w:rPr>
        <w:br w:type="page"/>
      </w:r>
    </w:p>
    <w:p w14:paraId="40411EF5" w14:textId="77777777" w:rsidR="002809FB" w:rsidRPr="005978DF" w:rsidRDefault="002809FB" w:rsidP="002809FB">
      <w:pPr>
        <w:pStyle w:val="Heading2"/>
        <w:rPr>
          <w:rFonts w:eastAsia="Calibri"/>
          <w:w w:val="103"/>
          <w:lang w:val="es-ES"/>
        </w:rPr>
      </w:pPr>
      <w:r w:rsidRPr="005978DF">
        <w:rPr>
          <w:lang w:val="es-ES"/>
        </w:rPr>
        <w:lastRenderedPageBreak/>
        <w:t>B.</w:t>
      </w:r>
      <w:r w:rsidRPr="005978DF">
        <w:rPr>
          <w:lang w:val="es-ES"/>
        </w:rPr>
        <w:tab/>
        <w:t>Fondo Fiduciario para el Protocolo de Cartagena sobre Seguridad de la Biotecnología</w:t>
      </w:r>
    </w:p>
    <w:p w14:paraId="40411EF6" w14:textId="77777777" w:rsidR="002809FB" w:rsidRPr="005978DF" w:rsidRDefault="002809FB" w:rsidP="002809FB">
      <w:pPr>
        <w:rPr>
          <w:rFonts w:eastAsia="Calibri"/>
          <w:lang w:val="es-ES"/>
        </w:rPr>
      </w:pPr>
    </w:p>
    <w:tbl>
      <w:tblPr>
        <w:tblW w:w="10207" w:type="dxa"/>
        <w:tblInd w:w="-431" w:type="dxa"/>
        <w:tblCellMar>
          <w:top w:w="15" w:type="dxa"/>
          <w:bottom w:w="15" w:type="dxa"/>
        </w:tblCellMar>
        <w:tblLook w:val="04A0" w:firstRow="1" w:lastRow="0" w:firstColumn="1" w:lastColumn="0" w:noHBand="0" w:noVBand="1"/>
      </w:tblPr>
      <w:tblGrid>
        <w:gridCol w:w="1510"/>
        <w:gridCol w:w="853"/>
        <w:gridCol w:w="1323"/>
        <w:gridCol w:w="426"/>
        <w:gridCol w:w="1417"/>
        <w:gridCol w:w="1418"/>
        <w:gridCol w:w="425"/>
        <w:gridCol w:w="1417"/>
        <w:gridCol w:w="1418"/>
      </w:tblGrid>
      <w:tr w:rsidR="002809FB" w:rsidRPr="005978DF" w14:paraId="40411EFE" w14:textId="77777777" w:rsidTr="000F4C79">
        <w:tc>
          <w:tcPr>
            <w:tcW w:w="0" w:type="auto"/>
            <w:vMerge w:val="restart"/>
            <w:tcBorders>
              <w:top w:val="single" w:sz="4" w:space="0" w:color="auto"/>
              <w:left w:val="single" w:sz="4" w:space="0" w:color="auto"/>
              <w:bottom w:val="nil"/>
              <w:right w:val="single" w:sz="4" w:space="0" w:color="auto"/>
            </w:tcBorders>
            <w:noWrap/>
            <w:tcMar>
              <w:left w:w="58" w:type="dxa"/>
              <w:right w:w="58" w:type="dxa"/>
            </w:tcMar>
            <w:vAlign w:val="center"/>
            <w:hideMark/>
          </w:tcPr>
          <w:p w14:paraId="40411EF7"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País Miembro</w:t>
            </w:r>
          </w:p>
        </w:tc>
        <w:tc>
          <w:tcPr>
            <w:tcW w:w="0" w:type="auto"/>
            <w:vMerge w:val="restart"/>
            <w:tcBorders>
              <w:top w:val="single" w:sz="4" w:space="0" w:color="auto"/>
              <w:left w:val="single" w:sz="4" w:space="0" w:color="auto"/>
              <w:bottom w:val="nil"/>
              <w:right w:val="nil"/>
            </w:tcBorders>
            <w:tcMar>
              <w:left w:w="58" w:type="dxa"/>
              <w:right w:w="58" w:type="dxa"/>
            </w:tcMar>
            <w:vAlign w:val="center"/>
            <w:hideMark/>
          </w:tcPr>
          <w:p w14:paraId="40411EF8"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Escala de cuotas 2022-2024</w:t>
            </w:r>
          </w:p>
        </w:tc>
        <w:tc>
          <w:tcPr>
            <w:tcW w:w="1323"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EF9"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Escala con un límite máximo de 22</w:t>
            </w:r>
            <w:r w:rsidR="000F4C79" w:rsidRPr="000F4C79">
              <w:rPr>
                <w:rFonts w:asciiTheme="minorHAnsi" w:hAnsiTheme="minorHAnsi" w:cstheme="minorHAnsi"/>
                <w:b/>
                <w:bCs/>
                <w:sz w:val="16"/>
                <w:szCs w:val="16"/>
                <w:lang w:val="es-ES"/>
              </w:rPr>
              <w:t> </w:t>
            </w:r>
            <w:r w:rsidRPr="000F4C79">
              <w:rPr>
                <w:rFonts w:asciiTheme="minorHAnsi" w:hAnsiTheme="minorHAnsi" w:cstheme="minorHAnsi"/>
                <w:b/>
                <w:bCs/>
                <w:sz w:val="16"/>
                <w:szCs w:val="16"/>
                <w:lang w:val="es-ES"/>
              </w:rPr>
              <w:t>%, ningún PMA paga más del 0,01</w:t>
            </w:r>
            <w:r w:rsidR="000F4C79" w:rsidRPr="000F4C79">
              <w:rPr>
                <w:rFonts w:asciiTheme="minorHAnsi" w:hAnsiTheme="minorHAnsi" w:cstheme="minorHAnsi"/>
                <w:b/>
                <w:bCs/>
                <w:sz w:val="16"/>
                <w:szCs w:val="16"/>
                <w:lang w:val="es-ES"/>
              </w:rPr>
              <w:t> </w:t>
            </w:r>
            <w:r w:rsidRPr="000F4C79">
              <w:rPr>
                <w:rFonts w:asciiTheme="minorHAnsi" w:hAnsiTheme="minorHAnsi" w:cstheme="minorHAnsi"/>
                <w:b/>
                <w:bCs/>
                <w:sz w:val="16"/>
                <w:szCs w:val="16"/>
                <w:lang w:val="es-ES"/>
              </w:rPr>
              <w:t>%</w:t>
            </w:r>
          </w:p>
        </w:tc>
        <w:tc>
          <w:tcPr>
            <w:tcW w:w="426" w:type="dxa"/>
            <w:tcBorders>
              <w:top w:val="nil"/>
              <w:left w:val="nil"/>
              <w:bottom w:val="nil"/>
              <w:right w:val="nil"/>
            </w:tcBorders>
            <w:noWrap/>
            <w:tcMar>
              <w:left w:w="58" w:type="dxa"/>
              <w:right w:w="58" w:type="dxa"/>
            </w:tcMar>
            <w:vAlign w:val="center"/>
            <w:hideMark/>
          </w:tcPr>
          <w:p w14:paraId="40411EFA" w14:textId="77777777" w:rsidR="002809FB" w:rsidRPr="000F4C79" w:rsidRDefault="002809FB" w:rsidP="0049064A">
            <w:pPr>
              <w:jc w:val="center"/>
              <w:rPr>
                <w:rFonts w:asciiTheme="minorHAnsi" w:hAnsiTheme="minorHAnsi" w:cstheme="minorHAnsi"/>
                <w:b/>
                <w:bCs/>
                <w:sz w:val="16"/>
                <w:szCs w:val="16"/>
                <w:lang w:val="es-ES" w:eastAsia="zh-CN"/>
              </w:rPr>
            </w:pPr>
          </w:p>
        </w:tc>
        <w:tc>
          <w:tcPr>
            <w:tcW w:w="2835" w:type="dxa"/>
            <w:gridSpan w:val="2"/>
            <w:tcBorders>
              <w:top w:val="single" w:sz="4" w:space="0" w:color="auto"/>
              <w:left w:val="single" w:sz="4" w:space="0" w:color="auto"/>
              <w:bottom w:val="single" w:sz="4" w:space="0" w:color="auto"/>
              <w:right w:val="nil"/>
            </w:tcBorders>
            <w:shd w:val="clear" w:color="000000" w:fill="595959"/>
            <w:noWrap/>
            <w:tcMar>
              <w:left w:w="58" w:type="dxa"/>
              <w:right w:w="58" w:type="dxa"/>
            </w:tcMar>
            <w:vAlign w:val="center"/>
            <w:hideMark/>
          </w:tcPr>
          <w:p w14:paraId="40411EFB" w14:textId="77777777" w:rsidR="002809FB" w:rsidRPr="000F4C79" w:rsidRDefault="002809FB" w:rsidP="0049064A">
            <w:pPr>
              <w:spacing w:before="40" w:after="40"/>
              <w:jc w:val="center"/>
              <w:rPr>
                <w:rFonts w:asciiTheme="minorHAnsi" w:hAnsiTheme="minorHAnsi" w:cstheme="minorHAnsi"/>
                <w:b/>
                <w:bCs/>
                <w:color w:val="FFFFFF"/>
                <w:sz w:val="16"/>
                <w:szCs w:val="16"/>
                <w:lang w:val="es-ES"/>
              </w:rPr>
            </w:pPr>
            <w:r w:rsidRPr="000F4C79">
              <w:rPr>
                <w:rFonts w:asciiTheme="minorHAnsi" w:hAnsiTheme="minorHAnsi" w:cstheme="minorHAnsi"/>
                <w:b/>
                <w:bCs/>
                <w:color w:val="FFFFFF"/>
                <w:sz w:val="16"/>
                <w:szCs w:val="16"/>
                <w:lang w:val="es-ES"/>
              </w:rPr>
              <w:t xml:space="preserve">Crecimiento real nulo </w:t>
            </w:r>
          </w:p>
        </w:tc>
        <w:tc>
          <w:tcPr>
            <w:tcW w:w="425" w:type="dxa"/>
            <w:tcBorders>
              <w:top w:val="nil"/>
              <w:left w:val="nil"/>
              <w:bottom w:val="nil"/>
              <w:right w:val="nil"/>
            </w:tcBorders>
            <w:noWrap/>
            <w:tcMar>
              <w:left w:w="58" w:type="dxa"/>
              <w:right w:w="58" w:type="dxa"/>
            </w:tcMar>
            <w:vAlign w:val="center"/>
            <w:hideMark/>
          </w:tcPr>
          <w:p w14:paraId="40411EFC" w14:textId="77777777" w:rsidR="002809FB" w:rsidRPr="000F4C79" w:rsidRDefault="002809FB" w:rsidP="0049064A">
            <w:pPr>
              <w:jc w:val="center"/>
              <w:rPr>
                <w:rFonts w:asciiTheme="minorHAnsi" w:hAnsiTheme="minorHAnsi" w:cstheme="minorHAnsi"/>
                <w:b/>
                <w:bCs/>
                <w:color w:val="FFFFFF"/>
                <w:sz w:val="16"/>
                <w:szCs w:val="16"/>
                <w:lang w:val="es-ES"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tcMar>
              <w:left w:w="58" w:type="dxa"/>
              <w:right w:w="58" w:type="dxa"/>
            </w:tcMar>
            <w:vAlign w:val="center"/>
            <w:hideMark/>
          </w:tcPr>
          <w:p w14:paraId="40411EFD" w14:textId="77777777" w:rsidR="002809FB" w:rsidRPr="000F4C79" w:rsidRDefault="002809FB" w:rsidP="0049064A">
            <w:pPr>
              <w:jc w:val="cente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Crecimiento nominal nulo </w:t>
            </w:r>
          </w:p>
        </w:tc>
      </w:tr>
      <w:tr w:rsidR="002809FB" w:rsidRPr="006A6E89" w14:paraId="40411F08" w14:textId="77777777" w:rsidTr="000F4C79">
        <w:tc>
          <w:tcPr>
            <w:tcW w:w="0" w:type="auto"/>
            <w:vMerge/>
            <w:tcBorders>
              <w:top w:val="single" w:sz="4" w:space="0" w:color="auto"/>
              <w:left w:val="single" w:sz="4" w:space="0" w:color="auto"/>
              <w:bottom w:val="nil"/>
              <w:right w:val="single" w:sz="4" w:space="0" w:color="auto"/>
            </w:tcBorders>
            <w:tcMar>
              <w:left w:w="58" w:type="dxa"/>
              <w:right w:w="58" w:type="dxa"/>
            </w:tcMar>
            <w:vAlign w:val="center"/>
            <w:hideMark/>
          </w:tcPr>
          <w:p w14:paraId="40411EFF" w14:textId="77777777" w:rsidR="002809FB" w:rsidRPr="000F4C79" w:rsidRDefault="002809FB" w:rsidP="0049064A">
            <w:pPr>
              <w:rPr>
                <w:rFonts w:asciiTheme="minorHAnsi" w:hAnsiTheme="minorHAnsi" w:cstheme="minorHAnsi"/>
                <w:b/>
                <w:bCs/>
                <w:sz w:val="16"/>
                <w:szCs w:val="16"/>
                <w:lang w:val="es-ES" w:eastAsia="zh-CN"/>
              </w:rPr>
            </w:pPr>
          </w:p>
        </w:tc>
        <w:tc>
          <w:tcPr>
            <w:tcW w:w="0" w:type="auto"/>
            <w:vMerge/>
            <w:tcBorders>
              <w:top w:val="single" w:sz="4" w:space="0" w:color="auto"/>
              <w:left w:val="single" w:sz="4" w:space="0" w:color="auto"/>
              <w:bottom w:val="nil"/>
              <w:right w:val="nil"/>
            </w:tcBorders>
            <w:tcMar>
              <w:left w:w="58" w:type="dxa"/>
              <w:right w:w="58" w:type="dxa"/>
            </w:tcMar>
            <w:vAlign w:val="center"/>
            <w:hideMark/>
          </w:tcPr>
          <w:p w14:paraId="40411F00" w14:textId="77777777" w:rsidR="002809FB" w:rsidRPr="000F4C79" w:rsidRDefault="002809FB" w:rsidP="0049064A">
            <w:pPr>
              <w:rPr>
                <w:rFonts w:asciiTheme="minorHAnsi" w:hAnsiTheme="minorHAnsi" w:cstheme="minorHAnsi"/>
                <w:b/>
                <w:bCs/>
                <w:sz w:val="16"/>
                <w:szCs w:val="16"/>
                <w:lang w:val="es-ES" w:eastAsia="zh-CN"/>
              </w:rPr>
            </w:pPr>
          </w:p>
        </w:tc>
        <w:tc>
          <w:tcPr>
            <w:tcW w:w="1323"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F01" w14:textId="77777777" w:rsidR="002809FB" w:rsidRPr="000F4C79" w:rsidRDefault="002809FB" w:rsidP="0049064A">
            <w:pPr>
              <w:rPr>
                <w:rFonts w:asciiTheme="minorHAnsi" w:hAnsiTheme="minorHAnsi" w:cstheme="minorHAnsi"/>
                <w:b/>
                <w:bCs/>
                <w:sz w:val="16"/>
                <w:szCs w:val="16"/>
                <w:lang w:val="es-ES" w:eastAsia="zh-CN"/>
              </w:rPr>
            </w:pPr>
          </w:p>
        </w:tc>
        <w:tc>
          <w:tcPr>
            <w:tcW w:w="426" w:type="dxa"/>
            <w:tcBorders>
              <w:top w:val="nil"/>
              <w:left w:val="nil"/>
              <w:bottom w:val="nil"/>
              <w:right w:val="nil"/>
            </w:tcBorders>
            <w:noWrap/>
            <w:tcMar>
              <w:left w:w="58" w:type="dxa"/>
              <w:right w:w="58" w:type="dxa"/>
            </w:tcMar>
            <w:vAlign w:val="center"/>
            <w:hideMark/>
          </w:tcPr>
          <w:p w14:paraId="40411F02" w14:textId="77777777" w:rsidR="002809FB" w:rsidRPr="000F4C79" w:rsidRDefault="002809FB" w:rsidP="0049064A">
            <w:pPr>
              <w:jc w:val="center"/>
              <w:rPr>
                <w:rFonts w:asciiTheme="minorHAnsi" w:hAnsiTheme="minorHAnsi" w:cstheme="minorHAnsi"/>
                <w:b/>
                <w:bCs/>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F03" w14:textId="77777777" w:rsidR="002809FB" w:rsidRPr="000F4C79" w:rsidRDefault="002809FB" w:rsidP="0049064A">
            <w:pPr>
              <w:jc w:val="center"/>
              <w:rPr>
                <w:rFonts w:asciiTheme="minorHAnsi" w:hAnsiTheme="minorHAnsi" w:cstheme="minorHAnsi"/>
                <w:b/>
                <w:bCs/>
                <w:color w:val="000000"/>
                <w:sz w:val="16"/>
                <w:szCs w:val="16"/>
                <w:lang w:val="es-ES"/>
              </w:rPr>
            </w:pPr>
            <w:r w:rsidRPr="000F4C79">
              <w:rPr>
                <w:rFonts w:asciiTheme="minorHAnsi" w:hAnsiTheme="minorHAnsi" w:cstheme="minorHAnsi"/>
                <w:b/>
                <w:bCs/>
                <w:color w:val="000000"/>
                <w:sz w:val="16"/>
                <w:szCs w:val="16"/>
                <w:lang w:val="es-ES"/>
              </w:rPr>
              <w:t>Contribuciones al 1 de enero de 2023</w:t>
            </w:r>
          </w:p>
        </w:tc>
        <w:tc>
          <w:tcPr>
            <w:tcW w:w="1418"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F04" w14:textId="77777777" w:rsidR="002809FB" w:rsidRPr="000F4C79" w:rsidRDefault="002809FB" w:rsidP="0049064A">
            <w:pPr>
              <w:jc w:val="center"/>
              <w:rPr>
                <w:rFonts w:asciiTheme="minorHAnsi" w:hAnsiTheme="minorHAnsi" w:cstheme="minorHAnsi"/>
                <w:b/>
                <w:bCs/>
                <w:color w:val="000000"/>
                <w:sz w:val="16"/>
                <w:szCs w:val="16"/>
                <w:lang w:val="es-ES"/>
              </w:rPr>
            </w:pPr>
            <w:r w:rsidRPr="000F4C79">
              <w:rPr>
                <w:rFonts w:asciiTheme="minorHAnsi" w:hAnsiTheme="minorHAnsi" w:cstheme="minorHAnsi"/>
                <w:b/>
                <w:bCs/>
                <w:color w:val="000000"/>
                <w:sz w:val="16"/>
                <w:szCs w:val="16"/>
                <w:lang w:val="es-ES"/>
              </w:rPr>
              <w:t>Contribuciones al 1 de enero de 2024</w:t>
            </w:r>
          </w:p>
        </w:tc>
        <w:tc>
          <w:tcPr>
            <w:tcW w:w="425" w:type="dxa"/>
            <w:tcBorders>
              <w:top w:val="nil"/>
              <w:left w:val="nil"/>
              <w:bottom w:val="nil"/>
              <w:right w:val="nil"/>
            </w:tcBorders>
            <w:noWrap/>
            <w:tcMar>
              <w:left w:w="58" w:type="dxa"/>
              <w:right w:w="58" w:type="dxa"/>
            </w:tcMar>
            <w:vAlign w:val="center"/>
            <w:hideMark/>
          </w:tcPr>
          <w:p w14:paraId="40411F05" w14:textId="77777777" w:rsidR="002809FB" w:rsidRPr="000F4C79" w:rsidRDefault="002809FB" w:rsidP="0049064A">
            <w:pPr>
              <w:jc w:val="center"/>
              <w:rPr>
                <w:rFonts w:asciiTheme="minorHAnsi" w:hAnsiTheme="minorHAnsi" w:cstheme="minorHAnsi"/>
                <w:b/>
                <w:bCs/>
                <w:color w:val="000000"/>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F06" w14:textId="77777777" w:rsidR="002809FB" w:rsidRPr="000F4C79" w:rsidRDefault="002809FB" w:rsidP="0049064A">
            <w:pPr>
              <w:jc w:val="center"/>
              <w:rPr>
                <w:rFonts w:asciiTheme="minorHAnsi" w:hAnsiTheme="minorHAnsi" w:cstheme="minorHAnsi"/>
                <w:b/>
                <w:bCs/>
                <w:color w:val="000000"/>
                <w:sz w:val="16"/>
                <w:szCs w:val="16"/>
                <w:lang w:val="es-ES"/>
              </w:rPr>
            </w:pPr>
            <w:r w:rsidRPr="000F4C79">
              <w:rPr>
                <w:rFonts w:asciiTheme="minorHAnsi" w:hAnsiTheme="minorHAnsi" w:cstheme="minorHAnsi"/>
                <w:b/>
                <w:bCs/>
                <w:color w:val="000000"/>
                <w:sz w:val="16"/>
                <w:szCs w:val="16"/>
                <w:lang w:val="es-ES"/>
              </w:rPr>
              <w:t>Contribuciones al 1 de enero de 2023</w:t>
            </w:r>
          </w:p>
        </w:tc>
        <w:tc>
          <w:tcPr>
            <w:tcW w:w="1418" w:type="dxa"/>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0411F07" w14:textId="77777777" w:rsidR="002809FB" w:rsidRPr="000F4C79" w:rsidRDefault="002809FB" w:rsidP="0049064A">
            <w:pPr>
              <w:jc w:val="center"/>
              <w:rPr>
                <w:rFonts w:asciiTheme="minorHAnsi" w:hAnsiTheme="minorHAnsi" w:cstheme="minorHAnsi"/>
                <w:b/>
                <w:bCs/>
                <w:color w:val="000000"/>
                <w:sz w:val="16"/>
                <w:szCs w:val="16"/>
                <w:lang w:val="es-ES"/>
              </w:rPr>
            </w:pPr>
            <w:r w:rsidRPr="000F4C79">
              <w:rPr>
                <w:rFonts w:asciiTheme="minorHAnsi" w:hAnsiTheme="minorHAnsi" w:cstheme="minorHAnsi"/>
                <w:b/>
                <w:bCs/>
                <w:color w:val="000000"/>
                <w:sz w:val="16"/>
                <w:szCs w:val="16"/>
                <w:lang w:val="es-ES"/>
              </w:rPr>
              <w:t>Contribuciones al 1 de enero de 2024</w:t>
            </w:r>
          </w:p>
        </w:tc>
      </w:tr>
      <w:tr w:rsidR="002809FB" w:rsidRPr="005978DF" w14:paraId="40411F1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0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Afganistán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426" w:type="dxa"/>
            <w:tcBorders>
              <w:top w:val="nil"/>
              <w:left w:val="nil"/>
              <w:bottom w:val="nil"/>
              <w:right w:val="nil"/>
            </w:tcBorders>
            <w:noWrap/>
            <w:vAlign w:val="center"/>
            <w:hideMark/>
          </w:tcPr>
          <w:p w14:paraId="40411F0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0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235 </w:t>
            </w:r>
          </w:p>
        </w:tc>
        <w:tc>
          <w:tcPr>
            <w:tcW w:w="425" w:type="dxa"/>
            <w:tcBorders>
              <w:top w:val="nil"/>
              <w:left w:val="nil"/>
              <w:bottom w:val="nil"/>
              <w:right w:val="nil"/>
            </w:tcBorders>
            <w:noWrap/>
            <w:vAlign w:val="center"/>
            <w:hideMark/>
          </w:tcPr>
          <w:p w14:paraId="40411F0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1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216 </w:t>
            </w:r>
          </w:p>
        </w:tc>
      </w:tr>
      <w:tr w:rsidR="002809FB" w:rsidRPr="005978DF" w14:paraId="40411F1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1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Albania </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426" w:type="dxa"/>
            <w:tcBorders>
              <w:top w:val="nil"/>
              <w:left w:val="nil"/>
              <w:bottom w:val="nil"/>
              <w:right w:val="nil"/>
            </w:tcBorders>
            <w:noWrap/>
            <w:vAlign w:val="center"/>
            <w:hideMark/>
          </w:tcPr>
          <w:p w14:paraId="40411F1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1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314 </w:t>
            </w:r>
          </w:p>
        </w:tc>
        <w:tc>
          <w:tcPr>
            <w:tcW w:w="425" w:type="dxa"/>
            <w:tcBorders>
              <w:top w:val="nil"/>
              <w:left w:val="nil"/>
              <w:bottom w:val="nil"/>
              <w:right w:val="nil"/>
            </w:tcBorders>
            <w:noWrap/>
            <w:vAlign w:val="center"/>
            <w:hideMark/>
          </w:tcPr>
          <w:p w14:paraId="40411F1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1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288 </w:t>
            </w:r>
          </w:p>
        </w:tc>
      </w:tr>
      <w:tr w:rsidR="002809FB" w:rsidRPr="005978DF" w14:paraId="40411F2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1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Alemania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6,111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8,627</w:t>
            </w:r>
          </w:p>
        </w:tc>
        <w:tc>
          <w:tcPr>
            <w:tcW w:w="426" w:type="dxa"/>
            <w:tcBorders>
              <w:top w:val="nil"/>
              <w:left w:val="nil"/>
              <w:bottom w:val="nil"/>
              <w:right w:val="nil"/>
            </w:tcBorders>
            <w:noWrap/>
            <w:vAlign w:val="center"/>
            <w:hideMark/>
          </w:tcPr>
          <w:p w14:paraId="40411F2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2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241 180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239 515 </w:t>
            </w:r>
          </w:p>
        </w:tc>
        <w:tc>
          <w:tcPr>
            <w:tcW w:w="425" w:type="dxa"/>
            <w:tcBorders>
              <w:top w:val="nil"/>
              <w:left w:val="nil"/>
              <w:bottom w:val="nil"/>
              <w:right w:val="nil"/>
            </w:tcBorders>
            <w:noWrap/>
            <w:vAlign w:val="center"/>
            <w:hideMark/>
          </w:tcPr>
          <w:p w14:paraId="40411F2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2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218 620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219 852 </w:t>
            </w:r>
          </w:p>
        </w:tc>
      </w:tr>
      <w:tr w:rsidR="002809FB" w:rsidRPr="005978DF" w14:paraId="40411F3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2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Angola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1F2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2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1F2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2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1F3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3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Antigua y Barbuda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1F3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3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1F3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3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1F4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3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Arabia Saudita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1,184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1,671</w:t>
            </w:r>
          </w:p>
        </w:tc>
        <w:tc>
          <w:tcPr>
            <w:tcW w:w="426" w:type="dxa"/>
            <w:tcBorders>
              <w:top w:val="nil"/>
              <w:left w:val="nil"/>
              <w:bottom w:val="nil"/>
              <w:right w:val="nil"/>
            </w:tcBorders>
            <w:noWrap/>
            <w:vAlign w:val="center"/>
            <w:hideMark/>
          </w:tcPr>
          <w:p w14:paraId="40411F3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46 728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46 406 </w:t>
            </w:r>
          </w:p>
        </w:tc>
        <w:tc>
          <w:tcPr>
            <w:tcW w:w="425" w:type="dxa"/>
            <w:tcBorders>
              <w:top w:val="nil"/>
              <w:left w:val="nil"/>
              <w:bottom w:val="nil"/>
              <w:right w:val="nil"/>
            </w:tcBorders>
            <w:noWrap/>
            <w:vAlign w:val="center"/>
            <w:hideMark/>
          </w:tcPr>
          <w:p w14:paraId="40411F4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4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42 357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42 595 </w:t>
            </w:r>
          </w:p>
        </w:tc>
      </w:tr>
      <w:tr w:rsidR="002809FB" w:rsidRPr="005978DF" w14:paraId="40411F4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45" w14:textId="77777777" w:rsidR="002809FB" w:rsidRPr="000F4C79" w:rsidRDefault="002809FB" w:rsidP="000F4C79">
            <w:pPr>
              <w:rPr>
                <w:rFonts w:asciiTheme="minorHAnsi" w:hAnsiTheme="minorHAnsi" w:cstheme="minorHAnsi"/>
                <w:sz w:val="16"/>
                <w:szCs w:val="16"/>
                <w:lang w:val="es-ES"/>
              </w:rPr>
            </w:pPr>
            <w:r w:rsidRPr="000F4C79">
              <w:rPr>
                <w:rFonts w:asciiTheme="minorHAnsi" w:hAnsiTheme="minorHAnsi" w:cstheme="minorHAnsi"/>
                <w:sz w:val="16"/>
                <w:szCs w:val="16"/>
                <w:lang w:val="es-ES"/>
              </w:rPr>
              <w:t>Argelia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0,109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0,154</w:t>
            </w:r>
          </w:p>
        </w:tc>
        <w:tc>
          <w:tcPr>
            <w:tcW w:w="426" w:type="dxa"/>
            <w:tcBorders>
              <w:top w:val="nil"/>
              <w:left w:val="nil"/>
              <w:bottom w:val="nil"/>
              <w:right w:val="nil"/>
            </w:tcBorders>
            <w:noWrap/>
            <w:vAlign w:val="center"/>
            <w:hideMark/>
          </w:tcPr>
          <w:p w14:paraId="40411F4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4 302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4 272 </w:t>
            </w:r>
          </w:p>
        </w:tc>
        <w:tc>
          <w:tcPr>
            <w:tcW w:w="425" w:type="dxa"/>
            <w:tcBorders>
              <w:top w:val="nil"/>
              <w:left w:val="nil"/>
              <w:bottom w:val="nil"/>
              <w:right w:val="nil"/>
            </w:tcBorders>
            <w:noWrap/>
            <w:vAlign w:val="center"/>
            <w:hideMark/>
          </w:tcPr>
          <w:p w14:paraId="40411F4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4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3 899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3 921 </w:t>
            </w:r>
          </w:p>
        </w:tc>
      </w:tr>
      <w:tr w:rsidR="002809FB" w:rsidRPr="005978DF" w14:paraId="40411F5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4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Armenia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1F5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274 </w:t>
            </w:r>
          </w:p>
        </w:tc>
        <w:tc>
          <w:tcPr>
            <w:tcW w:w="425" w:type="dxa"/>
            <w:tcBorders>
              <w:top w:val="nil"/>
              <w:left w:val="nil"/>
              <w:bottom w:val="nil"/>
              <w:right w:val="nil"/>
            </w:tcBorders>
            <w:noWrap/>
            <w:vAlign w:val="center"/>
            <w:hideMark/>
          </w:tcPr>
          <w:p w14:paraId="40411F5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5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252 </w:t>
            </w:r>
          </w:p>
        </w:tc>
      </w:tr>
      <w:tr w:rsidR="002809FB" w:rsidRPr="005978DF" w14:paraId="40411F6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5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Austria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0,679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0,959</w:t>
            </w:r>
          </w:p>
        </w:tc>
        <w:tc>
          <w:tcPr>
            <w:tcW w:w="426" w:type="dxa"/>
            <w:tcBorders>
              <w:top w:val="nil"/>
              <w:left w:val="nil"/>
              <w:bottom w:val="nil"/>
              <w:right w:val="nil"/>
            </w:tcBorders>
            <w:noWrap/>
            <w:vAlign w:val="center"/>
            <w:hideMark/>
          </w:tcPr>
          <w:p w14:paraId="40411F5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26 798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26 613 </w:t>
            </w:r>
          </w:p>
        </w:tc>
        <w:tc>
          <w:tcPr>
            <w:tcW w:w="425" w:type="dxa"/>
            <w:tcBorders>
              <w:top w:val="nil"/>
              <w:left w:val="nil"/>
              <w:bottom w:val="nil"/>
              <w:right w:val="nil"/>
            </w:tcBorders>
            <w:noWrap/>
            <w:vAlign w:val="center"/>
            <w:hideMark/>
          </w:tcPr>
          <w:p w14:paraId="40411F5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6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24 291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24 428 </w:t>
            </w:r>
          </w:p>
        </w:tc>
      </w:tr>
      <w:tr w:rsidR="002809FB" w:rsidRPr="005978DF" w14:paraId="40411F6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6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Azerbaiyán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0,042</w:t>
            </w:r>
          </w:p>
        </w:tc>
        <w:tc>
          <w:tcPr>
            <w:tcW w:w="426" w:type="dxa"/>
            <w:tcBorders>
              <w:top w:val="nil"/>
              <w:left w:val="nil"/>
              <w:bottom w:val="nil"/>
              <w:right w:val="nil"/>
            </w:tcBorders>
            <w:noWrap/>
            <w:vAlign w:val="center"/>
            <w:hideMark/>
          </w:tcPr>
          <w:p w14:paraId="40411F6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1 176 </w:t>
            </w:r>
          </w:p>
        </w:tc>
        <w:tc>
          <w:tcPr>
            <w:tcW w:w="425" w:type="dxa"/>
            <w:tcBorders>
              <w:top w:val="nil"/>
              <w:left w:val="nil"/>
              <w:bottom w:val="nil"/>
              <w:right w:val="nil"/>
            </w:tcBorders>
            <w:noWrap/>
            <w:vAlign w:val="center"/>
            <w:hideMark/>
          </w:tcPr>
          <w:p w14:paraId="40411F6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6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1 079 </w:t>
            </w:r>
          </w:p>
        </w:tc>
      </w:tr>
      <w:tr w:rsidR="002809FB" w:rsidRPr="005978DF" w14:paraId="40411F7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6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Bahamas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0,027</w:t>
            </w:r>
          </w:p>
        </w:tc>
        <w:tc>
          <w:tcPr>
            <w:tcW w:w="426" w:type="dxa"/>
            <w:tcBorders>
              <w:top w:val="nil"/>
              <w:left w:val="nil"/>
              <w:bottom w:val="nil"/>
              <w:right w:val="nil"/>
            </w:tcBorders>
            <w:noWrap/>
            <w:vAlign w:val="center"/>
            <w:hideMark/>
          </w:tcPr>
          <w:p w14:paraId="40411F7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745 </w:t>
            </w:r>
          </w:p>
        </w:tc>
        <w:tc>
          <w:tcPr>
            <w:tcW w:w="425" w:type="dxa"/>
            <w:tcBorders>
              <w:top w:val="nil"/>
              <w:left w:val="nil"/>
              <w:bottom w:val="nil"/>
              <w:right w:val="nil"/>
            </w:tcBorders>
            <w:noWrap/>
            <w:vAlign w:val="center"/>
            <w:hideMark/>
          </w:tcPr>
          <w:p w14:paraId="40411F7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7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684 </w:t>
            </w:r>
          </w:p>
        </w:tc>
      </w:tr>
      <w:tr w:rsidR="002809FB" w:rsidRPr="005978DF" w14:paraId="40411F8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77"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Bahrein</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1F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0,076</w:t>
            </w:r>
          </w:p>
        </w:tc>
        <w:tc>
          <w:tcPr>
            <w:tcW w:w="426" w:type="dxa"/>
            <w:tcBorders>
              <w:top w:val="nil"/>
              <w:left w:val="nil"/>
              <w:bottom w:val="nil"/>
              <w:right w:val="nil"/>
            </w:tcBorders>
            <w:noWrap/>
            <w:vAlign w:val="center"/>
            <w:hideMark/>
          </w:tcPr>
          <w:p w14:paraId="40411F7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7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2 116 </w:t>
            </w:r>
          </w:p>
        </w:tc>
        <w:tc>
          <w:tcPr>
            <w:tcW w:w="425" w:type="dxa"/>
            <w:tcBorders>
              <w:top w:val="nil"/>
              <w:left w:val="nil"/>
              <w:bottom w:val="nil"/>
              <w:right w:val="nil"/>
            </w:tcBorders>
            <w:noWrap/>
            <w:vAlign w:val="center"/>
            <w:hideMark/>
          </w:tcPr>
          <w:p w14:paraId="40411F7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7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1 943 </w:t>
            </w:r>
          </w:p>
        </w:tc>
      </w:tr>
      <w:tr w:rsidR="002809FB" w:rsidRPr="005978DF" w14:paraId="40411F8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8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Bangladesh</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1F8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1F8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8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1F9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8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Barbados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426" w:type="dxa"/>
            <w:tcBorders>
              <w:top w:val="nil"/>
              <w:left w:val="nil"/>
              <w:bottom w:val="nil"/>
              <w:right w:val="nil"/>
            </w:tcBorders>
            <w:noWrap/>
            <w:vAlign w:val="center"/>
            <w:hideMark/>
          </w:tcPr>
          <w:p w14:paraId="40411F8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314 </w:t>
            </w:r>
          </w:p>
        </w:tc>
        <w:tc>
          <w:tcPr>
            <w:tcW w:w="425" w:type="dxa"/>
            <w:tcBorders>
              <w:top w:val="nil"/>
              <w:left w:val="nil"/>
              <w:bottom w:val="nil"/>
              <w:right w:val="nil"/>
            </w:tcBorders>
            <w:noWrap/>
            <w:vAlign w:val="center"/>
            <w:hideMark/>
          </w:tcPr>
          <w:p w14:paraId="40411F9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9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288 </w:t>
            </w:r>
          </w:p>
        </w:tc>
      </w:tr>
      <w:tr w:rsidR="002809FB" w:rsidRPr="005978DF" w14:paraId="40411F9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95"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Belarús</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1F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0,058</w:t>
            </w:r>
          </w:p>
        </w:tc>
        <w:tc>
          <w:tcPr>
            <w:tcW w:w="426" w:type="dxa"/>
            <w:tcBorders>
              <w:top w:val="nil"/>
              <w:left w:val="nil"/>
              <w:bottom w:val="nil"/>
              <w:right w:val="nil"/>
            </w:tcBorders>
            <w:noWrap/>
            <w:vAlign w:val="center"/>
            <w:hideMark/>
          </w:tcPr>
          <w:p w14:paraId="40411F9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1 607 </w:t>
            </w:r>
          </w:p>
        </w:tc>
        <w:tc>
          <w:tcPr>
            <w:tcW w:w="425" w:type="dxa"/>
            <w:tcBorders>
              <w:top w:val="nil"/>
              <w:left w:val="nil"/>
              <w:bottom w:val="nil"/>
              <w:right w:val="nil"/>
            </w:tcBorders>
            <w:noWrap/>
            <w:vAlign w:val="center"/>
            <w:hideMark/>
          </w:tcPr>
          <w:p w14:paraId="40411F9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9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1 475 </w:t>
            </w:r>
          </w:p>
        </w:tc>
      </w:tr>
      <w:tr w:rsidR="002809FB" w:rsidRPr="005978DF" w14:paraId="40411FA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9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Bélgica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0,828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1 169</w:t>
            </w:r>
          </w:p>
        </w:tc>
        <w:tc>
          <w:tcPr>
            <w:tcW w:w="426" w:type="dxa"/>
            <w:tcBorders>
              <w:top w:val="nil"/>
              <w:left w:val="nil"/>
              <w:bottom w:val="nil"/>
              <w:right w:val="nil"/>
            </w:tcBorders>
            <w:noWrap/>
            <w:vAlign w:val="center"/>
            <w:hideMark/>
          </w:tcPr>
          <w:p w14:paraId="40411FA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32 678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32 453 </w:t>
            </w:r>
          </w:p>
        </w:tc>
        <w:tc>
          <w:tcPr>
            <w:tcW w:w="425" w:type="dxa"/>
            <w:tcBorders>
              <w:top w:val="nil"/>
              <w:left w:val="nil"/>
              <w:bottom w:val="nil"/>
              <w:right w:val="nil"/>
            </w:tcBorders>
            <w:noWrap/>
            <w:vAlign w:val="center"/>
            <w:hideMark/>
          </w:tcPr>
          <w:p w14:paraId="40411FA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A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29 621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29 789 </w:t>
            </w:r>
          </w:p>
        </w:tc>
      </w:tr>
      <w:tr w:rsidR="002809FB" w:rsidRPr="005978DF" w14:paraId="40411FB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A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Belice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1FA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1FA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B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1FB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B3"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Benin</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1F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426" w:type="dxa"/>
            <w:tcBorders>
              <w:top w:val="nil"/>
              <w:left w:val="nil"/>
              <w:bottom w:val="nil"/>
              <w:right w:val="nil"/>
            </w:tcBorders>
            <w:noWrap/>
            <w:vAlign w:val="center"/>
            <w:hideMark/>
          </w:tcPr>
          <w:p w14:paraId="40411FB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196 </w:t>
            </w:r>
          </w:p>
        </w:tc>
        <w:tc>
          <w:tcPr>
            <w:tcW w:w="425" w:type="dxa"/>
            <w:tcBorders>
              <w:top w:val="nil"/>
              <w:left w:val="nil"/>
              <w:bottom w:val="nil"/>
              <w:right w:val="nil"/>
            </w:tcBorders>
            <w:noWrap/>
            <w:vAlign w:val="center"/>
            <w:hideMark/>
          </w:tcPr>
          <w:p w14:paraId="40411FB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B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180 </w:t>
            </w:r>
          </w:p>
        </w:tc>
      </w:tr>
      <w:tr w:rsidR="002809FB" w:rsidRPr="005978DF" w14:paraId="40411FC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BD"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Bhután</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1F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1FC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1FC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C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1FD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C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Bolivia (Estado Plurinacional de)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0,027</w:t>
            </w:r>
          </w:p>
        </w:tc>
        <w:tc>
          <w:tcPr>
            <w:tcW w:w="426" w:type="dxa"/>
            <w:tcBorders>
              <w:top w:val="nil"/>
              <w:left w:val="nil"/>
              <w:bottom w:val="nil"/>
              <w:right w:val="nil"/>
            </w:tcBorders>
            <w:noWrap/>
            <w:vAlign w:val="center"/>
            <w:hideMark/>
          </w:tcPr>
          <w:p w14:paraId="40411FC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C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745 </w:t>
            </w:r>
          </w:p>
        </w:tc>
        <w:tc>
          <w:tcPr>
            <w:tcW w:w="425" w:type="dxa"/>
            <w:tcBorders>
              <w:top w:val="nil"/>
              <w:left w:val="nil"/>
              <w:bottom w:val="nil"/>
              <w:right w:val="nil"/>
            </w:tcBorders>
            <w:noWrap/>
            <w:vAlign w:val="center"/>
            <w:hideMark/>
          </w:tcPr>
          <w:p w14:paraId="40411FC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C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684 </w:t>
            </w:r>
          </w:p>
        </w:tc>
      </w:tr>
      <w:tr w:rsidR="002809FB" w:rsidRPr="005978DF" w14:paraId="40411FD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D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Bosnia y Herzegovina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D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0,017</w:t>
            </w:r>
          </w:p>
        </w:tc>
        <w:tc>
          <w:tcPr>
            <w:tcW w:w="426" w:type="dxa"/>
            <w:tcBorders>
              <w:top w:val="nil"/>
              <w:left w:val="nil"/>
              <w:bottom w:val="nil"/>
              <w:right w:val="nil"/>
            </w:tcBorders>
            <w:noWrap/>
            <w:vAlign w:val="center"/>
            <w:hideMark/>
          </w:tcPr>
          <w:p w14:paraId="40411FD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D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470 </w:t>
            </w:r>
          </w:p>
        </w:tc>
        <w:tc>
          <w:tcPr>
            <w:tcW w:w="425" w:type="dxa"/>
            <w:tcBorders>
              <w:top w:val="nil"/>
              <w:left w:val="nil"/>
              <w:bottom w:val="nil"/>
              <w:right w:val="nil"/>
            </w:tcBorders>
            <w:noWrap/>
            <w:vAlign w:val="center"/>
            <w:hideMark/>
          </w:tcPr>
          <w:p w14:paraId="40411FD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D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432 </w:t>
            </w:r>
          </w:p>
        </w:tc>
      </w:tr>
      <w:tr w:rsidR="002809FB" w:rsidRPr="005978DF" w14:paraId="40411FE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DB"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Botswana</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1F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D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0,021</w:t>
            </w:r>
          </w:p>
        </w:tc>
        <w:tc>
          <w:tcPr>
            <w:tcW w:w="426" w:type="dxa"/>
            <w:tcBorders>
              <w:top w:val="nil"/>
              <w:left w:val="nil"/>
              <w:bottom w:val="nil"/>
              <w:right w:val="nil"/>
            </w:tcBorders>
            <w:noWrap/>
            <w:vAlign w:val="center"/>
            <w:hideMark/>
          </w:tcPr>
          <w:p w14:paraId="40411FD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592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E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588 </w:t>
            </w:r>
          </w:p>
        </w:tc>
        <w:tc>
          <w:tcPr>
            <w:tcW w:w="425" w:type="dxa"/>
            <w:tcBorders>
              <w:top w:val="nil"/>
              <w:left w:val="nil"/>
              <w:bottom w:val="nil"/>
              <w:right w:val="nil"/>
            </w:tcBorders>
            <w:noWrap/>
            <w:vAlign w:val="center"/>
            <w:hideMark/>
          </w:tcPr>
          <w:p w14:paraId="40411FE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E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E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540 </w:t>
            </w:r>
          </w:p>
        </w:tc>
      </w:tr>
      <w:tr w:rsidR="002809FB" w:rsidRPr="005978DF" w14:paraId="40411FE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E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Brasil</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E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2,013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E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2,842</w:t>
            </w:r>
          </w:p>
        </w:tc>
        <w:tc>
          <w:tcPr>
            <w:tcW w:w="426" w:type="dxa"/>
            <w:tcBorders>
              <w:top w:val="nil"/>
              <w:left w:val="nil"/>
              <w:bottom w:val="nil"/>
              <w:right w:val="nil"/>
            </w:tcBorders>
            <w:noWrap/>
            <w:vAlign w:val="center"/>
            <w:hideMark/>
          </w:tcPr>
          <w:p w14:paraId="40411FE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79 446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E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78 898 </w:t>
            </w:r>
          </w:p>
        </w:tc>
        <w:tc>
          <w:tcPr>
            <w:tcW w:w="425" w:type="dxa"/>
            <w:tcBorders>
              <w:top w:val="nil"/>
              <w:left w:val="nil"/>
              <w:bottom w:val="nil"/>
              <w:right w:val="nil"/>
            </w:tcBorders>
            <w:noWrap/>
            <w:vAlign w:val="center"/>
            <w:hideMark/>
          </w:tcPr>
          <w:p w14:paraId="40411FE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E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72 015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E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72 421 </w:t>
            </w:r>
          </w:p>
        </w:tc>
      </w:tr>
      <w:tr w:rsidR="002809FB" w:rsidRPr="005978DF" w14:paraId="40411FF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E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Bulgaria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F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0,056</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F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0,079</w:t>
            </w:r>
          </w:p>
        </w:tc>
        <w:tc>
          <w:tcPr>
            <w:tcW w:w="426" w:type="dxa"/>
            <w:tcBorders>
              <w:top w:val="nil"/>
              <w:left w:val="nil"/>
              <w:bottom w:val="nil"/>
              <w:right w:val="nil"/>
            </w:tcBorders>
            <w:noWrap/>
            <w:vAlign w:val="center"/>
            <w:hideMark/>
          </w:tcPr>
          <w:p w14:paraId="40411FF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2 210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F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2 195 </w:t>
            </w:r>
          </w:p>
        </w:tc>
        <w:tc>
          <w:tcPr>
            <w:tcW w:w="425" w:type="dxa"/>
            <w:tcBorders>
              <w:top w:val="nil"/>
              <w:left w:val="nil"/>
              <w:bottom w:val="nil"/>
              <w:right w:val="nil"/>
            </w:tcBorders>
            <w:noWrap/>
            <w:vAlign w:val="center"/>
            <w:hideMark/>
          </w:tcPr>
          <w:p w14:paraId="40411FF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F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2 003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F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2 015 </w:t>
            </w:r>
          </w:p>
        </w:tc>
      </w:tr>
      <w:tr w:rsidR="002809FB" w:rsidRPr="005978DF" w14:paraId="4041200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1FF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Burkina Faso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1FF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1FF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1FF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1F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1FF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1FF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0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0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00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0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Burundi</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0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0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00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0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00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01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0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Cabo Verde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0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01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1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01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02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1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Camboya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1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01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1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274 </w:t>
            </w:r>
          </w:p>
        </w:tc>
        <w:tc>
          <w:tcPr>
            <w:tcW w:w="425" w:type="dxa"/>
            <w:tcBorders>
              <w:top w:val="nil"/>
              <w:left w:val="nil"/>
              <w:bottom w:val="nil"/>
              <w:right w:val="nil"/>
            </w:tcBorders>
            <w:noWrap/>
            <w:vAlign w:val="center"/>
            <w:hideMark/>
          </w:tcPr>
          <w:p w14:paraId="4041201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252 </w:t>
            </w:r>
          </w:p>
        </w:tc>
      </w:tr>
      <w:tr w:rsidR="002809FB" w:rsidRPr="005978DF" w14:paraId="4041202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2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Camerún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2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0,018</w:t>
            </w:r>
          </w:p>
        </w:tc>
        <w:tc>
          <w:tcPr>
            <w:tcW w:w="426" w:type="dxa"/>
            <w:tcBorders>
              <w:top w:val="nil"/>
              <w:left w:val="nil"/>
              <w:bottom w:val="nil"/>
              <w:right w:val="nil"/>
            </w:tcBorders>
            <w:noWrap/>
            <w:vAlign w:val="center"/>
            <w:hideMark/>
          </w:tcPr>
          <w:p w14:paraId="4041202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2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510 </w:t>
            </w:r>
          </w:p>
        </w:tc>
        <w:tc>
          <w:tcPr>
            <w:tcW w:w="425" w:type="dxa"/>
            <w:tcBorders>
              <w:top w:val="nil"/>
              <w:left w:val="nil"/>
              <w:bottom w:val="nil"/>
              <w:right w:val="nil"/>
            </w:tcBorders>
            <w:noWrap/>
            <w:vAlign w:val="center"/>
            <w:hideMark/>
          </w:tcPr>
          <w:p w14:paraId="4041202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468 </w:t>
            </w:r>
          </w:p>
        </w:tc>
      </w:tr>
      <w:tr w:rsidR="002809FB" w:rsidRPr="005978DF" w14:paraId="4041203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2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Chad</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2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426" w:type="dxa"/>
            <w:tcBorders>
              <w:top w:val="nil"/>
              <w:left w:val="nil"/>
              <w:bottom w:val="nil"/>
              <w:right w:val="nil"/>
            </w:tcBorders>
            <w:noWrap/>
            <w:vAlign w:val="center"/>
            <w:hideMark/>
          </w:tcPr>
          <w:p w14:paraId="4041202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3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425" w:type="dxa"/>
            <w:tcBorders>
              <w:top w:val="nil"/>
              <w:left w:val="nil"/>
              <w:bottom w:val="nil"/>
              <w:right w:val="nil"/>
            </w:tcBorders>
            <w:noWrap/>
            <w:vAlign w:val="center"/>
            <w:hideMark/>
          </w:tcPr>
          <w:p w14:paraId="4041203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108 </w:t>
            </w:r>
          </w:p>
        </w:tc>
      </w:tr>
      <w:tr w:rsidR="002809FB" w:rsidRPr="005978DF" w14:paraId="4041203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3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Chequia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0,340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3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0,480</w:t>
            </w:r>
          </w:p>
        </w:tc>
        <w:tc>
          <w:tcPr>
            <w:tcW w:w="426" w:type="dxa"/>
            <w:tcBorders>
              <w:top w:val="nil"/>
              <w:left w:val="nil"/>
              <w:bottom w:val="nil"/>
              <w:right w:val="nil"/>
            </w:tcBorders>
            <w:noWrap/>
            <w:vAlign w:val="center"/>
            <w:hideMark/>
          </w:tcPr>
          <w:p w14:paraId="4041203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13 419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3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13 326 </w:t>
            </w:r>
          </w:p>
        </w:tc>
        <w:tc>
          <w:tcPr>
            <w:tcW w:w="425" w:type="dxa"/>
            <w:tcBorders>
              <w:top w:val="nil"/>
              <w:left w:val="nil"/>
              <w:bottom w:val="nil"/>
              <w:right w:val="nil"/>
            </w:tcBorders>
            <w:noWrap/>
            <w:vAlign w:val="center"/>
            <w:hideMark/>
          </w:tcPr>
          <w:p w14:paraId="4041203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12 163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12 232 </w:t>
            </w:r>
          </w:p>
        </w:tc>
      </w:tr>
      <w:tr w:rsidR="002809FB" w:rsidRPr="005978DF" w14:paraId="4041204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3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15 254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4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21 535</w:t>
            </w:r>
          </w:p>
        </w:tc>
        <w:tc>
          <w:tcPr>
            <w:tcW w:w="426" w:type="dxa"/>
            <w:tcBorders>
              <w:top w:val="nil"/>
              <w:left w:val="nil"/>
              <w:bottom w:val="nil"/>
              <w:right w:val="nil"/>
            </w:tcBorders>
            <w:noWrap/>
            <w:vAlign w:val="center"/>
            <w:hideMark/>
          </w:tcPr>
          <w:p w14:paraId="4041204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602 022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4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597 866 </w:t>
            </w:r>
          </w:p>
        </w:tc>
        <w:tc>
          <w:tcPr>
            <w:tcW w:w="425" w:type="dxa"/>
            <w:tcBorders>
              <w:top w:val="nil"/>
              <w:left w:val="nil"/>
              <w:bottom w:val="nil"/>
              <w:right w:val="nil"/>
            </w:tcBorders>
            <w:noWrap/>
            <w:vAlign w:val="center"/>
            <w:hideMark/>
          </w:tcPr>
          <w:p w14:paraId="4041204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545 708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548 787 </w:t>
            </w:r>
          </w:p>
        </w:tc>
      </w:tr>
      <w:tr w:rsidR="002809FB" w:rsidRPr="005978DF" w14:paraId="4041205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4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Chipre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0,036</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4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0,051</w:t>
            </w:r>
          </w:p>
        </w:tc>
        <w:tc>
          <w:tcPr>
            <w:tcW w:w="426" w:type="dxa"/>
            <w:tcBorders>
              <w:top w:val="nil"/>
              <w:left w:val="nil"/>
              <w:bottom w:val="nil"/>
              <w:right w:val="nil"/>
            </w:tcBorders>
            <w:noWrap/>
            <w:vAlign w:val="center"/>
            <w:hideMark/>
          </w:tcPr>
          <w:p w14:paraId="4041204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4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1 411 </w:t>
            </w:r>
          </w:p>
        </w:tc>
        <w:tc>
          <w:tcPr>
            <w:tcW w:w="425" w:type="dxa"/>
            <w:tcBorders>
              <w:top w:val="nil"/>
              <w:left w:val="nil"/>
              <w:bottom w:val="nil"/>
              <w:right w:val="nil"/>
            </w:tcBorders>
            <w:noWrap/>
            <w:vAlign w:val="center"/>
            <w:hideMark/>
          </w:tcPr>
          <w:p w14:paraId="4041204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1 295 </w:t>
            </w:r>
          </w:p>
        </w:tc>
      </w:tr>
      <w:tr w:rsidR="002809FB" w:rsidRPr="005978DF" w14:paraId="4041205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5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Colombia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0,246</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5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0,347</w:t>
            </w:r>
          </w:p>
        </w:tc>
        <w:tc>
          <w:tcPr>
            <w:tcW w:w="426" w:type="dxa"/>
            <w:tcBorders>
              <w:top w:val="nil"/>
              <w:left w:val="nil"/>
              <w:bottom w:val="nil"/>
              <w:right w:val="nil"/>
            </w:tcBorders>
            <w:noWrap/>
            <w:vAlign w:val="center"/>
            <w:hideMark/>
          </w:tcPr>
          <w:p w14:paraId="4041205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9 709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5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9 642 </w:t>
            </w:r>
          </w:p>
        </w:tc>
        <w:tc>
          <w:tcPr>
            <w:tcW w:w="425" w:type="dxa"/>
            <w:tcBorders>
              <w:top w:val="nil"/>
              <w:left w:val="nil"/>
              <w:bottom w:val="nil"/>
              <w:right w:val="nil"/>
            </w:tcBorders>
            <w:noWrap/>
            <w:vAlign w:val="center"/>
            <w:hideMark/>
          </w:tcPr>
          <w:p w14:paraId="4041205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8 801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8 850 </w:t>
            </w:r>
          </w:p>
        </w:tc>
      </w:tr>
      <w:tr w:rsidR="002809FB" w:rsidRPr="005978DF" w14:paraId="4041206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5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Comoras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5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06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6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06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07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6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Congo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6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426" w:type="dxa"/>
            <w:tcBorders>
              <w:top w:val="nil"/>
              <w:left w:val="nil"/>
              <w:bottom w:val="nil"/>
              <w:right w:val="nil"/>
            </w:tcBorders>
            <w:noWrap/>
            <w:vAlign w:val="center"/>
            <w:hideMark/>
          </w:tcPr>
          <w:p w14:paraId="4041206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6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196 </w:t>
            </w:r>
          </w:p>
        </w:tc>
        <w:tc>
          <w:tcPr>
            <w:tcW w:w="425" w:type="dxa"/>
            <w:tcBorders>
              <w:top w:val="nil"/>
              <w:left w:val="nil"/>
              <w:bottom w:val="nil"/>
              <w:right w:val="nil"/>
            </w:tcBorders>
            <w:noWrap/>
            <w:vAlign w:val="center"/>
            <w:hideMark/>
          </w:tcPr>
          <w:p w14:paraId="4041206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180 </w:t>
            </w:r>
          </w:p>
        </w:tc>
      </w:tr>
      <w:tr w:rsidR="002809FB" w:rsidRPr="005978DF" w14:paraId="4041207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7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Costa Rica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0,069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7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0,097</w:t>
            </w:r>
          </w:p>
        </w:tc>
        <w:tc>
          <w:tcPr>
            <w:tcW w:w="426" w:type="dxa"/>
            <w:tcBorders>
              <w:top w:val="nil"/>
              <w:left w:val="nil"/>
              <w:bottom w:val="nil"/>
              <w:right w:val="nil"/>
            </w:tcBorders>
            <w:noWrap/>
            <w:vAlign w:val="center"/>
            <w:hideMark/>
          </w:tcPr>
          <w:p w14:paraId="4041207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7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2 704 </w:t>
            </w:r>
          </w:p>
        </w:tc>
        <w:tc>
          <w:tcPr>
            <w:tcW w:w="425" w:type="dxa"/>
            <w:tcBorders>
              <w:top w:val="nil"/>
              <w:left w:val="nil"/>
              <w:bottom w:val="nil"/>
              <w:right w:val="nil"/>
            </w:tcBorders>
            <w:noWrap/>
            <w:vAlign w:val="center"/>
            <w:hideMark/>
          </w:tcPr>
          <w:p w14:paraId="4041207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2 468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2 482 </w:t>
            </w:r>
          </w:p>
        </w:tc>
      </w:tr>
      <w:tr w:rsidR="002809FB" w:rsidRPr="005978DF" w14:paraId="4041208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7B" w14:textId="77777777" w:rsidR="002809FB" w:rsidRPr="000F4C79" w:rsidRDefault="002809FB" w:rsidP="005978DF">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Côte</w:t>
            </w:r>
            <w:proofErr w:type="spellEnd"/>
            <w:r w:rsidRPr="000F4C79">
              <w:rPr>
                <w:rFonts w:asciiTheme="minorHAnsi" w:hAnsiTheme="minorHAnsi" w:cstheme="minorHAnsi"/>
                <w:sz w:val="16"/>
                <w:szCs w:val="16"/>
                <w:lang w:val="es-ES"/>
              </w:rPr>
              <w:t xml:space="preserve"> </w:t>
            </w:r>
            <w:proofErr w:type="spellStart"/>
            <w:r w:rsidRPr="000F4C79">
              <w:rPr>
                <w:rFonts w:asciiTheme="minorHAnsi" w:hAnsiTheme="minorHAnsi" w:cstheme="minorHAnsi"/>
                <w:sz w:val="16"/>
                <w:szCs w:val="16"/>
                <w:lang w:val="es-ES"/>
              </w:rPr>
              <w:t>d</w:t>
            </w:r>
            <w:r w:rsidR="005978DF" w:rsidRPr="000F4C79">
              <w:rPr>
                <w:rFonts w:asciiTheme="minorHAnsi" w:hAnsiTheme="minorHAnsi" w:cstheme="minorHAnsi"/>
                <w:sz w:val="16"/>
                <w:szCs w:val="16"/>
                <w:lang w:val="es-ES"/>
              </w:rPr>
              <w:t>’I</w:t>
            </w:r>
            <w:r w:rsidRPr="000F4C79">
              <w:rPr>
                <w:rFonts w:asciiTheme="minorHAnsi" w:hAnsiTheme="minorHAnsi" w:cstheme="minorHAnsi"/>
                <w:sz w:val="16"/>
                <w:szCs w:val="16"/>
                <w:lang w:val="es-ES"/>
              </w:rPr>
              <w:t>voire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07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7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0,031</w:t>
            </w:r>
          </w:p>
        </w:tc>
        <w:tc>
          <w:tcPr>
            <w:tcW w:w="426" w:type="dxa"/>
            <w:tcBorders>
              <w:top w:val="nil"/>
              <w:left w:val="nil"/>
              <w:bottom w:val="nil"/>
              <w:right w:val="nil"/>
            </w:tcBorders>
            <w:noWrap/>
            <w:vAlign w:val="center"/>
            <w:hideMark/>
          </w:tcPr>
          <w:p w14:paraId="4041207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8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862 </w:t>
            </w:r>
          </w:p>
        </w:tc>
        <w:tc>
          <w:tcPr>
            <w:tcW w:w="425" w:type="dxa"/>
            <w:tcBorders>
              <w:top w:val="nil"/>
              <w:left w:val="nil"/>
              <w:bottom w:val="nil"/>
              <w:right w:val="nil"/>
            </w:tcBorders>
            <w:noWrap/>
            <w:vAlign w:val="center"/>
            <w:hideMark/>
          </w:tcPr>
          <w:p w14:paraId="4041208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791 </w:t>
            </w:r>
          </w:p>
        </w:tc>
      </w:tr>
      <w:tr w:rsidR="002809FB" w:rsidRPr="005978DF" w14:paraId="4041208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8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Croacia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8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0,128</w:t>
            </w:r>
          </w:p>
        </w:tc>
        <w:tc>
          <w:tcPr>
            <w:tcW w:w="426" w:type="dxa"/>
            <w:tcBorders>
              <w:top w:val="nil"/>
              <w:left w:val="nil"/>
              <w:bottom w:val="nil"/>
              <w:right w:val="nil"/>
            </w:tcBorders>
            <w:noWrap/>
            <w:vAlign w:val="center"/>
            <w:hideMark/>
          </w:tcPr>
          <w:p w14:paraId="4041208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3 591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8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3 567 </w:t>
            </w:r>
          </w:p>
        </w:tc>
        <w:tc>
          <w:tcPr>
            <w:tcW w:w="425" w:type="dxa"/>
            <w:tcBorders>
              <w:top w:val="nil"/>
              <w:left w:val="nil"/>
              <w:bottom w:val="nil"/>
              <w:right w:val="nil"/>
            </w:tcBorders>
            <w:noWrap/>
            <w:vAlign w:val="center"/>
            <w:hideMark/>
          </w:tcPr>
          <w:p w14:paraId="4041208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3 256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3 274 </w:t>
            </w:r>
          </w:p>
        </w:tc>
      </w:tr>
      <w:tr w:rsidR="002809FB" w:rsidRPr="005978DF" w14:paraId="4041209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8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Cuba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9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0,134</w:t>
            </w:r>
          </w:p>
        </w:tc>
        <w:tc>
          <w:tcPr>
            <w:tcW w:w="426" w:type="dxa"/>
            <w:tcBorders>
              <w:top w:val="nil"/>
              <w:left w:val="nil"/>
              <w:bottom w:val="nil"/>
              <w:right w:val="nil"/>
            </w:tcBorders>
            <w:noWrap/>
            <w:vAlign w:val="center"/>
            <w:hideMark/>
          </w:tcPr>
          <w:p w14:paraId="4041209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3 749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9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3 723 </w:t>
            </w:r>
          </w:p>
        </w:tc>
        <w:tc>
          <w:tcPr>
            <w:tcW w:w="425" w:type="dxa"/>
            <w:tcBorders>
              <w:top w:val="nil"/>
              <w:left w:val="nil"/>
              <w:bottom w:val="nil"/>
              <w:right w:val="nil"/>
            </w:tcBorders>
            <w:noWrap/>
            <w:vAlign w:val="center"/>
            <w:hideMark/>
          </w:tcPr>
          <w:p w14:paraId="4041209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3 418 </w:t>
            </w:r>
          </w:p>
        </w:tc>
      </w:tr>
      <w:tr w:rsidR="002809FB" w:rsidRPr="005978DF" w14:paraId="404120A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9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Dinamarca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0,553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9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0,781</w:t>
            </w:r>
          </w:p>
        </w:tc>
        <w:tc>
          <w:tcPr>
            <w:tcW w:w="426" w:type="dxa"/>
            <w:tcBorders>
              <w:top w:val="nil"/>
              <w:left w:val="nil"/>
              <w:bottom w:val="nil"/>
              <w:right w:val="nil"/>
            </w:tcBorders>
            <w:noWrap/>
            <w:vAlign w:val="center"/>
            <w:hideMark/>
          </w:tcPr>
          <w:p w14:paraId="4041209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21 825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9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21 674 </w:t>
            </w:r>
          </w:p>
        </w:tc>
        <w:tc>
          <w:tcPr>
            <w:tcW w:w="425" w:type="dxa"/>
            <w:tcBorders>
              <w:top w:val="nil"/>
              <w:left w:val="nil"/>
              <w:bottom w:val="nil"/>
              <w:right w:val="nil"/>
            </w:tcBorders>
            <w:noWrap/>
            <w:vAlign w:val="center"/>
            <w:hideMark/>
          </w:tcPr>
          <w:p w14:paraId="4041209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19 782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19 895 </w:t>
            </w:r>
          </w:p>
        </w:tc>
      </w:tr>
      <w:tr w:rsidR="002809FB" w:rsidRPr="005978DF" w14:paraId="404120A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A3"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Djibouti</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0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A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0A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A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0A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0B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A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Dominica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A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0B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B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0B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0C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B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Ecuador</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B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0,109</w:t>
            </w:r>
          </w:p>
        </w:tc>
        <w:tc>
          <w:tcPr>
            <w:tcW w:w="426" w:type="dxa"/>
            <w:tcBorders>
              <w:top w:val="nil"/>
              <w:left w:val="nil"/>
              <w:bottom w:val="nil"/>
              <w:right w:val="nil"/>
            </w:tcBorders>
            <w:noWrap/>
            <w:vAlign w:val="center"/>
            <w:hideMark/>
          </w:tcPr>
          <w:p w14:paraId="404120B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3 039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B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3 018 </w:t>
            </w:r>
          </w:p>
        </w:tc>
        <w:tc>
          <w:tcPr>
            <w:tcW w:w="425" w:type="dxa"/>
            <w:tcBorders>
              <w:top w:val="nil"/>
              <w:left w:val="nil"/>
              <w:bottom w:val="nil"/>
              <w:right w:val="nil"/>
            </w:tcBorders>
            <w:noWrap/>
            <w:vAlign w:val="center"/>
            <w:hideMark/>
          </w:tcPr>
          <w:p w14:paraId="404120B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2 770 </w:t>
            </w:r>
          </w:p>
        </w:tc>
      </w:tr>
      <w:tr w:rsidR="002809FB" w:rsidRPr="005978DF" w14:paraId="404120C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C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Egipto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0,139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C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0,196</w:t>
            </w:r>
          </w:p>
        </w:tc>
        <w:tc>
          <w:tcPr>
            <w:tcW w:w="426" w:type="dxa"/>
            <w:tcBorders>
              <w:top w:val="nil"/>
              <w:left w:val="nil"/>
              <w:bottom w:val="nil"/>
              <w:right w:val="nil"/>
            </w:tcBorders>
            <w:noWrap/>
            <w:vAlign w:val="center"/>
            <w:hideMark/>
          </w:tcPr>
          <w:p w14:paraId="404120C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5 486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C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5 448 </w:t>
            </w:r>
          </w:p>
        </w:tc>
        <w:tc>
          <w:tcPr>
            <w:tcW w:w="425" w:type="dxa"/>
            <w:tcBorders>
              <w:top w:val="nil"/>
              <w:left w:val="nil"/>
              <w:bottom w:val="nil"/>
              <w:right w:val="nil"/>
            </w:tcBorders>
            <w:noWrap/>
            <w:vAlign w:val="center"/>
            <w:hideMark/>
          </w:tcPr>
          <w:p w14:paraId="404120C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4 973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5 001 </w:t>
            </w:r>
          </w:p>
        </w:tc>
      </w:tr>
      <w:tr w:rsidR="002809FB" w:rsidRPr="005978DF" w14:paraId="404120D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C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El Salvador</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C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C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0,018</w:t>
            </w:r>
          </w:p>
        </w:tc>
        <w:tc>
          <w:tcPr>
            <w:tcW w:w="426" w:type="dxa"/>
            <w:tcBorders>
              <w:top w:val="nil"/>
              <w:left w:val="nil"/>
              <w:bottom w:val="nil"/>
              <w:right w:val="nil"/>
            </w:tcBorders>
            <w:noWrap/>
            <w:vAlign w:val="center"/>
            <w:hideMark/>
          </w:tcPr>
          <w:p w14:paraId="404120C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D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510 </w:t>
            </w:r>
          </w:p>
        </w:tc>
        <w:tc>
          <w:tcPr>
            <w:tcW w:w="425" w:type="dxa"/>
            <w:tcBorders>
              <w:top w:val="nil"/>
              <w:left w:val="nil"/>
              <w:bottom w:val="nil"/>
              <w:right w:val="nil"/>
            </w:tcBorders>
            <w:noWrap/>
            <w:vAlign w:val="center"/>
            <w:hideMark/>
          </w:tcPr>
          <w:p w14:paraId="404120D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D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468 </w:t>
            </w:r>
          </w:p>
        </w:tc>
      </w:tr>
      <w:tr w:rsidR="002809FB" w:rsidRPr="005978DF" w14:paraId="404120DE" w14:textId="77777777" w:rsidTr="000F4C79">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04120D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lastRenderedPageBreak/>
              <w:t>Emiratos Árabes Unidos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D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0,635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D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0,896</w:t>
            </w:r>
          </w:p>
        </w:tc>
        <w:tc>
          <w:tcPr>
            <w:tcW w:w="426" w:type="dxa"/>
            <w:tcBorders>
              <w:top w:val="nil"/>
              <w:left w:val="nil"/>
              <w:bottom w:val="nil"/>
              <w:right w:val="nil"/>
            </w:tcBorders>
            <w:noWrap/>
            <w:vAlign w:val="center"/>
            <w:hideMark/>
          </w:tcPr>
          <w:p w14:paraId="404120D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25 061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D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24 887 </w:t>
            </w:r>
          </w:p>
        </w:tc>
        <w:tc>
          <w:tcPr>
            <w:tcW w:w="425" w:type="dxa"/>
            <w:tcBorders>
              <w:top w:val="nil"/>
              <w:left w:val="nil"/>
              <w:bottom w:val="nil"/>
              <w:right w:val="nil"/>
            </w:tcBorders>
            <w:noWrap/>
            <w:vAlign w:val="center"/>
            <w:hideMark/>
          </w:tcPr>
          <w:p w14:paraId="404120D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22 717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D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22 846 </w:t>
            </w:r>
          </w:p>
        </w:tc>
      </w:tr>
      <w:tr w:rsidR="002809FB" w:rsidRPr="005978DF" w14:paraId="404120E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D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Eritrea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E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E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0E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E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E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0E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E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E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0F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E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Eslovaquia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E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0,155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E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0,219</w:t>
            </w:r>
          </w:p>
        </w:tc>
        <w:tc>
          <w:tcPr>
            <w:tcW w:w="426" w:type="dxa"/>
            <w:tcBorders>
              <w:top w:val="nil"/>
              <w:left w:val="nil"/>
              <w:bottom w:val="nil"/>
              <w:right w:val="nil"/>
            </w:tcBorders>
            <w:noWrap/>
            <w:vAlign w:val="center"/>
            <w:hideMark/>
          </w:tcPr>
          <w:p w14:paraId="404120E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E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6 117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E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6 075 </w:t>
            </w:r>
          </w:p>
        </w:tc>
        <w:tc>
          <w:tcPr>
            <w:tcW w:w="425" w:type="dxa"/>
            <w:tcBorders>
              <w:top w:val="nil"/>
              <w:left w:val="nil"/>
              <w:bottom w:val="nil"/>
              <w:right w:val="nil"/>
            </w:tcBorders>
            <w:noWrap/>
            <w:vAlign w:val="center"/>
            <w:hideMark/>
          </w:tcPr>
          <w:p w14:paraId="404120E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F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5 545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F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5 577 </w:t>
            </w:r>
          </w:p>
        </w:tc>
      </w:tr>
      <w:tr w:rsidR="002809FB" w:rsidRPr="005978DF" w14:paraId="404120F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F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Eslovenia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F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F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0,112</w:t>
            </w:r>
          </w:p>
        </w:tc>
        <w:tc>
          <w:tcPr>
            <w:tcW w:w="426" w:type="dxa"/>
            <w:tcBorders>
              <w:top w:val="nil"/>
              <w:left w:val="nil"/>
              <w:bottom w:val="nil"/>
              <w:right w:val="nil"/>
            </w:tcBorders>
            <w:noWrap/>
            <w:vAlign w:val="center"/>
            <w:hideMark/>
          </w:tcPr>
          <w:p w14:paraId="404120F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F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F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3 096 </w:t>
            </w:r>
          </w:p>
        </w:tc>
        <w:tc>
          <w:tcPr>
            <w:tcW w:w="425" w:type="dxa"/>
            <w:tcBorders>
              <w:top w:val="nil"/>
              <w:left w:val="nil"/>
              <w:bottom w:val="nil"/>
              <w:right w:val="nil"/>
            </w:tcBorders>
            <w:noWrap/>
            <w:vAlign w:val="center"/>
            <w:hideMark/>
          </w:tcPr>
          <w:p w14:paraId="404120F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0F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2 826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0F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2 843 </w:t>
            </w:r>
          </w:p>
        </w:tc>
      </w:tr>
      <w:tr w:rsidR="002809FB" w:rsidRPr="005978DF" w14:paraId="4041210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0F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España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0F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2,134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0F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3,013</w:t>
            </w:r>
          </w:p>
        </w:tc>
        <w:tc>
          <w:tcPr>
            <w:tcW w:w="426" w:type="dxa"/>
            <w:tcBorders>
              <w:top w:val="nil"/>
              <w:left w:val="nil"/>
              <w:bottom w:val="nil"/>
              <w:right w:val="nil"/>
            </w:tcBorders>
            <w:noWrap/>
            <w:vAlign w:val="center"/>
            <w:hideMark/>
          </w:tcPr>
          <w:p w14:paraId="4041210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0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84 221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0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83 640 </w:t>
            </w:r>
          </w:p>
        </w:tc>
        <w:tc>
          <w:tcPr>
            <w:tcW w:w="425" w:type="dxa"/>
            <w:tcBorders>
              <w:top w:val="nil"/>
              <w:left w:val="nil"/>
              <w:bottom w:val="nil"/>
              <w:right w:val="nil"/>
            </w:tcBorders>
            <w:noWrap/>
            <w:vAlign w:val="center"/>
            <w:hideMark/>
          </w:tcPr>
          <w:p w14:paraId="4041210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0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76 343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0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76 774 </w:t>
            </w:r>
          </w:p>
        </w:tc>
      </w:tr>
      <w:tr w:rsidR="002809FB" w:rsidRPr="005978DF" w14:paraId="4041211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0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Estado de Palestina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0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0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0,016</w:t>
            </w:r>
          </w:p>
        </w:tc>
        <w:tc>
          <w:tcPr>
            <w:tcW w:w="426" w:type="dxa"/>
            <w:tcBorders>
              <w:top w:val="nil"/>
              <w:left w:val="nil"/>
              <w:bottom w:val="nil"/>
              <w:right w:val="nil"/>
            </w:tcBorders>
            <w:noWrap/>
            <w:vAlign w:val="center"/>
            <w:hideMark/>
          </w:tcPr>
          <w:p w14:paraId="4041210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0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431 </w:t>
            </w:r>
          </w:p>
        </w:tc>
        <w:tc>
          <w:tcPr>
            <w:tcW w:w="425" w:type="dxa"/>
            <w:tcBorders>
              <w:top w:val="nil"/>
              <w:left w:val="nil"/>
              <w:bottom w:val="nil"/>
              <w:right w:val="nil"/>
            </w:tcBorders>
            <w:noWrap/>
            <w:vAlign w:val="center"/>
            <w:hideMark/>
          </w:tcPr>
          <w:p w14:paraId="4041210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0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396 </w:t>
            </w:r>
          </w:p>
        </w:tc>
      </w:tr>
      <w:tr w:rsidR="002809FB" w:rsidRPr="005978DF" w14:paraId="4041211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1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Estonia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1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1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0,062</w:t>
            </w:r>
          </w:p>
        </w:tc>
        <w:tc>
          <w:tcPr>
            <w:tcW w:w="426" w:type="dxa"/>
            <w:tcBorders>
              <w:top w:val="nil"/>
              <w:left w:val="nil"/>
              <w:bottom w:val="nil"/>
              <w:right w:val="nil"/>
            </w:tcBorders>
            <w:noWrap/>
            <w:vAlign w:val="center"/>
            <w:hideMark/>
          </w:tcPr>
          <w:p w14:paraId="4041211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1 737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1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1 725 </w:t>
            </w:r>
          </w:p>
        </w:tc>
        <w:tc>
          <w:tcPr>
            <w:tcW w:w="425" w:type="dxa"/>
            <w:tcBorders>
              <w:top w:val="nil"/>
              <w:left w:val="nil"/>
              <w:bottom w:val="nil"/>
              <w:right w:val="nil"/>
            </w:tcBorders>
            <w:noWrap/>
            <w:vAlign w:val="center"/>
            <w:hideMark/>
          </w:tcPr>
          <w:p w14:paraId="4041211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1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1 583 </w:t>
            </w:r>
          </w:p>
        </w:tc>
      </w:tr>
      <w:tr w:rsidR="002809FB" w:rsidRPr="005978DF" w14:paraId="4041212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1B"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Eswatini</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11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1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11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2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12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2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12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2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Etiopía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2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2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12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2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12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2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13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2F" w14:textId="77777777" w:rsidR="002809FB" w:rsidRPr="000F4C79" w:rsidRDefault="002809FB" w:rsidP="0049064A">
            <w:pPr>
              <w:rPr>
                <w:rFonts w:asciiTheme="minorHAnsi" w:hAnsiTheme="minorHAnsi" w:cstheme="minorHAnsi"/>
                <w:sz w:val="16"/>
                <w:szCs w:val="16"/>
                <w:lang w:val="es-ES"/>
              </w:rPr>
            </w:pPr>
            <w:proofErr w:type="gramStart"/>
            <w:r w:rsidRPr="000F4C79">
              <w:rPr>
                <w:rFonts w:asciiTheme="minorHAnsi" w:hAnsiTheme="minorHAnsi" w:cstheme="minorHAnsi"/>
                <w:sz w:val="16"/>
                <w:szCs w:val="16"/>
                <w:lang w:val="es-ES"/>
              </w:rPr>
              <w:t>Ex República</w:t>
            </w:r>
            <w:proofErr w:type="gramEnd"/>
            <w:r w:rsidRPr="000F4C79">
              <w:rPr>
                <w:rFonts w:asciiTheme="minorHAnsi" w:hAnsiTheme="minorHAnsi" w:cstheme="minorHAnsi"/>
                <w:sz w:val="16"/>
                <w:szCs w:val="16"/>
                <w:lang w:val="es-ES"/>
              </w:rPr>
              <w:t xml:space="preserve"> Yugoslava de Macedonia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3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3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13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3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274 </w:t>
            </w:r>
          </w:p>
        </w:tc>
        <w:tc>
          <w:tcPr>
            <w:tcW w:w="425" w:type="dxa"/>
            <w:tcBorders>
              <w:top w:val="nil"/>
              <w:left w:val="nil"/>
              <w:bottom w:val="nil"/>
              <w:right w:val="nil"/>
            </w:tcBorders>
            <w:noWrap/>
            <w:vAlign w:val="center"/>
            <w:hideMark/>
          </w:tcPr>
          <w:p w14:paraId="4041213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3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252 </w:t>
            </w:r>
          </w:p>
        </w:tc>
      </w:tr>
      <w:tr w:rsidR="002809FB" w:rsidRPr="005978DF" w14:paraId="4041214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39"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Fiji</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13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3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213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3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213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4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14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4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Filipinas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4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0,212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4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0,299</w:t>
            </w:r>
          </w:p>
        </w:tc>
        <w:tc>
          <w:tcPr>
            <w:tcW w:w="426" w:type="dxa"/>
            <w:tcBorders>
              <w:top w:val="nil"/>
              <w:left w:val="nil"/>
              <w:bottom w:val="nil"/>
              <w:right w:val="nil"/>
            </w:tcBorders>
            <w:noWrap/>
            <w:vAlign w:val="center"/>
            <w:hideMark/>
          </w:tcPr>
          <w:p w14:paraId="4041214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8 367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4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8 309 </w:t>
            </w:r>
          </w:p>
        </w:tc>
        <w:tc>
          <w:tcPr>
            <w:tcW w:w="425" w:type="dxa"/>
            <w:tcBorders>
              <w:top w:val="nil"/>
              <w:left w:val="nil"/>
              <w:bottom w:val="nil"/>
              <w:right w:val="nil"/>
            </w:tcBorders>
            <w:noWrap/>
            <w:vAlign w:val="center"/>
            <w:hideMark/>
          </w:tcPr>
          <w:p w14:paraId="4041214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7 584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4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7 627 </w:t>
            </w:r>
          </w:p>
        </w:tc>
      </w:tr>
      <w:tr w:rsidR="002809FB" w:rsidRPr="005978DF" w14:paraId="4041215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4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Finlandia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4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0,417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4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0,589</w:t>
            </w:r>
          </w:p>
        </w:tc>
        <w:tc>
          <w:tcPr>
            <w:tcW w:w="426" w:type="dxa"/>
            <w:tcBorders>
              <w:top w:val="nil"/>
              <w:left w:val="nil"/>
              <w:bottom w:val="nil"/>
              <w:right w:val="nil"/>
            </w:tcBorders>
            <w:noWrap/>
            <w:vAlign w:val="center"/>
            <w:hideMark/>
          </w:tcPr>
          <w:p w14:paraId="4041215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16 458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5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16 344 </w:t>
            </w:r>
          </w:p>
        </w:tc>
        <w:tc>
          <w:tcPr>
            <w:tcW w:w="425" w:type="dxa"/>
            <w:tcBorders>
              <w:top w:val="nil"/>
              <w:left w:val="nil"/>
              <w:bottom w:val="nil"/>
              <w:right w:val="nil"/>
            </w:tcBorders>
            <w:noWrap/>
            <w:vAlign w:val="center"/>
            <w:hideMark/>
          </w:tcPr>
          <w:p w14:paraId="4041215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14 918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5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15 002 </w:t>
            </w:r>
          </w:p>
        </w:tc>
      </w:tr>
      <w:tr w:rsidR="002809FB" w:rsidRPr="005978DF" w14:paraId="4041216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5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Francia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5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4,318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5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6,096</w:t>
            </w:r>
          </w:p>
        </w:tc>
        <w:tc>
          <w:tcPr>
            <w:tcW w:w="426" w:type="dxa"/>
            <w:tcBorders>
              <w:top w:val="nil"/>
              <w:left w:val="nil"/>
              <w:bottom w:val="nil"/>
              <w:right w:val="nil"/>
            </w:tcBorders>
            <w:noWrap/>
            <w:vAlign w:val="center"/>
            <w:hideMark/>
          </w:tcPr>
          <w:p w14:paraId="4041215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170 416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5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169 240 </w:t>
            </w:r>
          </w:p>
        </w:tc>
        <w:tc>
          <w:tcPr>
            <w:tcW w:w="425" w:type="dxa"/>
            <w:tcBorders>
              <w:top w:val="nil"/>
              <w:left w:val="nil"/>
              <w:bottom w:val="nil"/>
              <w:right w:val="nil"/>
            </w:tcBorders>
            <w:noWrap/>
            <w:vAlign w:val="center"/>
            <w:hideMark/>
          </w:tcPr>
          <w:p w14:paraId="4041215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154 475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5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155 347 </w:t>
            </w:r>
          </w:p>
        </w:tc>
      </w:tr>
      <w:tr w:rsidR="002809FB" w:rsidRPr="005978DF" w14:paraId="4041216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6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Gabón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6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6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0,018</w:t>
            </w:r>
          </w:p>
        </w:tc>
        <w:tc>
          <w:tcPr>
            <w:tcW w:w="426" w:type="dxa"/>
            <w:tcBorders>
              <w:top w:val="nil"/>
              <w:left w:val="nil"/>
              <w:bottom w:val="nil"/>
              <w:right w:val="nil"/>
            </w:tcBorders>
            <w:noWrap/>
            <w:vAlign w:val="center"/>
            <w:hideMark/>
          </w:tcPr>
          <w:p w14:paraId="4041216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6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510 </w:t>
            </w:r>
          </w:p>
        </w:tc>
        <w:tc>
          <w:tcPr>
            <w:tcW w:w="425" w:type="dxa"/>
            <w:tcBorders>
              <w:top w:val="nil"/>
              <w:left w:val="nil"/>
              <w:bottom w:val="nil"/>
              <w:right w:val="nil"/>
            </w:tcBorders>
            <w:noWrap/>
            <w:vAlign w:val="center"/>
            <w:hideMark/>
          </w:tcPr>
          <w:p w14:paraId="4041216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6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468 </w:t>
            </w:r>
          </w:p>
        </w:tc>
      </w:tr>
      <w:tr w:rsidR="002809FB" w:rsidRPr="005978DF" w14:paraId="4041217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6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Gambia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6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6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16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7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17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7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17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7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Georgia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7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7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426" w:type="dxa"/>
            <w:tcBorders>
              <w:top w:val="nil"/>
              <w:left w:val="nil"/>
              <w:bottom w:val="nil"/>
              <w:right w:val="nil"/>
            </w:tcBorders>
            <w:noWrap/>
            <w:vAlign w:val="center"/>
            <w:hideMark/>
          </w:tcPr>
          <w:p w14:paraId="4041217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7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314 </w:t>
            </w:r>
          </w:p>
        </w:tc>
        <w:tc>
          <w:tcPr>
            <w:tcW w:w="425" w:type="dxa"/>
            <w:tcBorders>
              <w:top w:val="nil"/>
              <w:left w:val="nil"/>
              <w:bottom w:val="nil"/>
              <w:right w:val="nil"/>
            </w:tcBorders>
            <w:noWrap/>
            <w:vAlign w:val="center"/>
            <w:hideMark/>
          </w:tcPr>
          <w:p w14:paraId="4041217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7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7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288 </w:t>
            </w:r>
          </w:p>
        </w:tc>
      </w:tr>
      <w:tr w:rsidR="002809FB" w:rsidRPr="005978DF" w14:paraId="4041218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7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Ghana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8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8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0,034</w:t>
            </w:r>
          </w:p>
        </w:tc>
        <w:tc>
          <w:tcPr>
            <w:tcW w:w="426" w:type="dxa"/>
            <w:tcBorders>
              <w:top w:val="nil"/>
              <w:left w:val="nil"/>
              <w:bottom w:val="nil"/>
              <w:right w:val="nil"/>
            </w:tcBorders>
            <w:noWrap/>
            <w:vAlign w:val="center"/>
            <w:hideMark/>
          </w:tcPr>
          <w:p w14:paraId="4041218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8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941 </w:t>
            </w:r>
          </w:p>
        </w:tc>
        <w:tc>
          <w:tcPr>
            <w:tcW w:w="425" w:type="dxa"/>
            <w:tcBorders>
              <w:top w:val="nil"/>
              <w:left w:val="nil"/>
              <w:bottom w:val="nil"/>
              <w:right w:val="nil"/>
            </w:tcBorders>
            <w:noWrap/>
            <w:vAlign w:val="center"/>
            <w:hideMark/>
          </w:tcPr>
          <w:p w14:paraId="4041218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859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8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863 </w:t>
            </w:r>
          </w:p>
        </w:tc>
      </w:tr>
      <w:tr w:rsidR="002809FB" w:rsidRPr="005978DF" w14:paraId="4041219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8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Granada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8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8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18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8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18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9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19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9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Grecia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9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0,325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9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0,459</w:t>
            </w:r>
          </w:p>
        </w:tc>
        <w:tc>
          <w:tcPr>
            <w:tcW w:w="426" w:type="dxa"/>
            <w:tcBorders>
              <w:top w:val="nil"/>
              <w:left w:val="nil"/>
              <w:bottom w:val="nil"/>
              <w:right w:val="nil"/>
            </w:tcBorders>
            <w:noWrap/>
            <w:vAlign w:val="center"/>
            <w:hideMark/>
          </w:tcPr>
          <w:p w14:paraId="4041219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12 827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9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12 738 </w:t>
            </w:r>
          </w:p>
        </w:tc>
        <w:tc>
          <w:tcPr>
            <w:tcW w:w="425" w:type="dxa"/>
            <w:tcBorders>
              <w:top w:val="nil"/>
              <w:left w:val="nil"/>
              <w:bottom w:val="nil"/>
              <w:right w:val="nil"/>
            </w:tcBorders>
            <w:noWrap/>
            <w:vAlign w:val="center"/>
            <w:hideMark/>
          </w:tcPr>
          <w:p w14:paraId="4041219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11 627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9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11 692 </w:t>
            </w:r>
          </w:p>
        </w:tc>
      </w:tr>
      <w:tr w:rsidR="002809FB" w:rsidRPr="005978DF" w14:paraId="404121A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9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Guatemala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9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9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0,058</w:t>
            </w:r>
          </w:p>
        </w:tc>
        <w:tc>
          <w:tcPr>
            <w:tcW w:w="426" w:type="dxa"/>
            <w:tcBorders>
              <w:top w:val="nil"/>
              <w:left w:val="nil"/>
              <w:bottom w:val="nil"/>
              <w:right w:val="nil"/>
            </w:tcBorders>
            <w:noWrap/>
            <w:vAlign w:val="center"/>
            <w:hideMark/>
          </w:tcPr>
          <w:p w14:paraId="404121A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A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1 607 </w:t>
            </w:r>
          </w:p>
        </w:tc>
        <w:tc>
          <w:tcPr>
            <w:tcW w:w="425" w:type="dxa"/>
            <w:tcBorders>
              <w:top w:val="nil"/>
              <w:left w:val="nil"/>
              <w:bottom w:val="nil"/>
              <w:right w:val="nil"/>
            </w:tcBorders>
            <w:noWrap/>
            <w:vAlign w:val="center"/>
            <w:hideMark/>
          </w:tcPr>
          <w:p w14:paraId="404121A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A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1 475 </w:t>
            </w:r>
          </w:p>
        </w:tc>
      </w:tr>
      <w:tr w:rsidR="002809FB" w:rsidRPr="005978DF" w14:paraId="404121B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A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Guinea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A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A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426" w:type="dxa"/>
            <w:tcBorders>
              <w:top w:val="nil"/>
              <w:left w:val="nil"/>
              <w:bottom w:val="nil"/>
              <w:right w:val="nil"/>
            </w:tcBorders>
            <w:noWrap/>
            <w:vAlign w:val="center"/>
            <w:hideMark/>
          </w:tcPr>
          <w:p w14:paraId="404121A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A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425" w:type="dxa"/>
            <w:tcBorders>
              <w:top w:val="nil"/>
              <w:left w:val="nil"/>
              <w:bottom w:val="nil"/>
              <w:right w:val="nil"/>
            </w:tcBorders>
            <w:noWrap/>
            <w:vAlign w:val="center"/>
            <w:hideMark/>
          </w:tcPr>
          <w:p w14:paraId="404121A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A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108 </w:t>
            </w:r>
          </w:p>
        </w:tc>
      </w:tr>
      <w:tr w:rsidR="002809FB" w:rsidRPr="005978DF" w14:paraId="404121B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B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Guinea-Bissau</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B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B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1B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B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1B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B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1C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B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Guyana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B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B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21B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C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21C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C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1C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C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Honduras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C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C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426" w:type="dxa"/>
            <w:tcBorders>
              <w:top w:val="nil"/>
              <w:left w:val="nil"/>
              <w:bottom w:val="nil"/>
              <w:right w:val="nil"/>
            </w:tcBorders>
            <w:noWrap/>
            <w:vAlign w:val="center"/>
            <w:hideMark/>
          </w:tcPr>
          <w:p w14:paraId="404121C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C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353 </w:t>
            </w:r>
          </w:p>
        </w:tc>
        <w:tc>
          <w:tcPr>
            <w:tcW w:w="425" w:type="dxa"/>
            <w:tcBorders>
              <w:top w:val="nil"/>
              <w:left w:val="nil"/>
              <w:bottom w:val="nil"/>
              <w:right w:val="nil"/>
            </w:tcBorders>
            <w:noWrap/>
            <w:vAlign w:val="center"/>
            <w:hideMark/>
          </w:tcPr>
          <w:p w14:paraId="404121C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C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C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324 </w:t>
            </w:r>
          </w:p>
        </w:tc>
      </w:tr>
      <w:tr w:rsidR="002809FB" w:rsidRPr="005978DF" w14:paraId="404121D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C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Hungría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D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0,228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D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0,322</w:t>
            </w:r>
          </w:p>
        </w:tc>
        <w:tc>
          <w:tcPr>
            <w:tcW w:w="426" w:type="dxa"/>
            <w:tcBorders>
              <w:top w:val="nil"/>
              <w:left w:val="nil"/>
              <w:bottom w:val="nil"/>
              <w:right w:val="nil"/>
            </w:tcBorders>
            <w:noWrap/>
            <w:vAlign w:val="center"/>
            <w:hideMark/>
          </w:tcPr>
          <w:p w14:paraId="404121D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D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8 998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D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8 936 </w:t>
            </w:r>
          </w:p>
        </w:tc>
        <w:tc>
          <w:tcPr>
            <w:tcW w:w="425" w:type="dxa"/>
            <w:tcBorders>
              <w:top w:val="nil"/>
              <w:left w:val="nil"/>
              <w:bottom w:val="nil"/>
              <w:right w:val="nil"/>
            </w:tcBorders>
            <w:noWrap/>
            <w:vAlign w:val="center"/>
            <w:hideMark/>
          </w:tcPr>
          <w:p w14:paraId="404121D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D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8 157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D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8 203 </w:t>
            </w:r>
          </w:p>
        </w:tc>
      </w:tr>
      <w:tr w:rsidR="002809FB" w:rsidRPr="005978DF" w14:paraId="404121E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D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India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D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1,044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D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1,474</w:t>
            </w:r>
          </w:p>
        </w:tc>
        <w:tc>
          <w:tcPr>
            <w:tcW w:w="426" w:type="dxa"/>
            <w:tcBorders>
              <w:top w:val="nil"/>
              <w:left w:val="nil"/>
              <w:bottom w:val="nil"/>
              <w:right w:val="nil"/>
            </w:tcBorders>
            <w:noWrap/>
            <w:vAlign w:val="center"/>
            <w:hideMark/>
          </w:tcPr>
          <w:p w14:paraId="404121D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D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41 203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D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40 919 </w:t>
            </w:r>
          </w:p>
        </w:tc>
        <w:tc>
          <w:tcPr>
            <w:tcW w:w="425" w:type="dxa"/>
            <w:tcBorders>
              <w:top w:val="nil"/>
              <w:left w:val="nil"/>
              <w:bottom w:val="nil"/>
              <w:right w:val="nil"/>
            </w:tcBorders>
            <w:noWrap/>
            <w:vAlign w:val="center"/>
            <w:hideMark/>
          </w:tcPr>
          <w:p w14:paraId="404121D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E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37 349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E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37 560 </w:t>
            </w:r>
          </w:p>
        </w:tc>
      </w:tr>
      <w:tr w:rsidR="002809FB" w:rsidRPr="005978DF" w14:paraId="404121E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E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Indonesia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E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0,549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E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0,775</w:t>
            </w:r>
          </w:p>
        </w:tc>
        <w:tc>
          <w:tcPr>
            <w:tcW w:w="426" w:type="dxa"/>
            <w:tcBorders>
              <w:top w:val="nil"/>
              <w:left w:val="nil"/>
              <w:bottom w:val="nil"/>
              <w:right w:val="nil"/>
            </w:tcBorders>
            <w:noWrap/>
            <w:vAlign w:val="center"/>
            <w:hideMark/>
          </w:tcPr>
          <w:p w14:paraId="404121E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E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E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21 518 </w:t>
            </w:r>
          </w:p>
        </w:tc>
        <w:tc>
          <w:tcPr>
            <w:tcW w:w="425" w:type="dxa"/>
            <w:tcBorders>
              <w:top w:val="nil"/>
              <w:left w:val="nil"/>
              <w:bottom w:val="nil"/>
              <w:right w:val="nil"/>
            </w:tcBorders>
            <w:noWrap/>
            <w:vAlign w:val="center"/>
            <w:hideMark/>
          </w:tcPr>
          <w:p w14:paraId="404121E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E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19 640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E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19 751 </w:t>
            </w:r>
          </w:p>
        </w:tc>
      </w:tr>
      <w:tr w:rsidR="002809FB" w:rsidRPr="005978DF" w14:paraId="404121F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E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Irán (República Islámica 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E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0,371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E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0,524</w:t>
            </w:r>
          </w:p>
        </w:tc>
        <w:tc>
          <w:tcPr>
            <w:tcW w:w="426" w:type="dxa"/>
            <w:tcBorders>
              <w:top w:val="nil"/>
              <w:left w:val="nil"/>
              <w:bottom w:val="nil"/>
              <w:right w:val="nil"/>
            </w:tcBorders>
            <w:noWrap/>
            <w:vAlign w:val="center"/>
            <w:hideMark/>
          </w:tcPr>
          <w:p w14:paraId="404121F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F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14 642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F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14 541</w:t>
            </w:r>
          </w:p>
        </w:tc>
        <w:tc>
          <w:tcPr>
            <w:tcW w:w="425" w:type="dxa"/>
            <w:tcBorders>
              <w:top w:val="nil"/>
              <w:left w:val="nil"/>
              <w:bottom w:val="nil"/>
              <w:right w:val="nil"/>
            </w:tcBorders>
            <w:noWrap/>
            <w:vAlign w:val="center"/>
            <w:hideMark/>
          </w:tcPr>
          <w:p w14:paraId="404121F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F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13 272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F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13 347 </w:t>
            </w:r>
          </w:p>
        </w:tc>
      </w:tr>
      <w:tr w:rsidR="002809FB" w:rsidRPr="005978DF" w14:paraId="4041220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1F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Iraq</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1F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0,128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1F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0,181</w:t>
            </w:r>
          </w:p>
        </w:tc>
        <w:tc>
          <w:tcPr>
            <w:tcW w:w="426" w:type="dxa"/>
            <w:tcBorders>
              <w:top w:val="nil"/>
              <w:left w:val="nil"/>
              <w:bottom w:val="nil"/>
              <w:right w:val="nil"/>
            </w:tcBorders>
            <w:noWrap/>
            <w:vAlign w:val="center"/>
            <w:hideMark/>
          </w:tcPr>
          <w:p w14:paraId="404121F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F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5 052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F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5 017 </w:t>
            </w:r>
          </w:p>
        </w:tc>
        <w:tc>
          <w:tcPr>
            <w:tcW w:w="425" w:type="dxa"/>
            <w:tcBorders>
              <w:top w:val="nil"/>
              <w:left w:val="nil"/>
              <w:bottom w:val="nil"/>
              <w:right w:val="nil"/>
            </w:tcBorders>
            <w:noWrap/>
            <w:vAlign w:val="center"/>
            <w:hideMark/>
          </w:tcPr>
          <w:p w14:paraId="404121F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1F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4 579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1F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4 605 </w:t>
            </w:r>
          </w:p>
        </w:tc>
      </w:tr>
      <w:tr w:rsidR="002809FB" w:rsidRPr="005978DF" w14:paraId="4041220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0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Irlanda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0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0,439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0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0,620</w:t>
            </w:r>
          </w:p>
        </w:tc>
        <w:tc>
          <w:tcPr>
            <w:tcW w:w="426" w:type="dxa"/>
            <w:tcBorders>
              <w:top w:val="nil"/>
              <w:left w:val="nil"/>
              <w:bottom w:val="nil"/>
              <w:right w:val="nil"/>
            </w:tcBorders>
            <w:noWrap/>
            <w:vAlign w:val="center"/>
            <w:hideMark/>
          </w:tcPr>
          <w:p w14:paraId="4041220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0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17 326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0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17 206 </w:t>
            </w:r>
          </w:p>
        </w:tc>
        <w:tc>
          <w:tcPr>
            <w:tcW w:w="425" w:type="dxa"/>
            <w:tcBorders>
              <w:top w:val="nil"/>
              <w:left w:val="nil"/>
              <w:bottom w:val="nil"/>
              <w:right w:val="nil"/>
            </w:tcBorders>
            <w:noWrap/>
            <w:vAlign w:val="center"/>
            <w:hideMark/>
          </w:tcPr>
          <w:p w14:paraId="4041220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0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15 705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0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15 794 </w:t>
            </w:r>
          </w:p>
        </w:tc>
      </w:tr>
      <w:tr w:rsidR="002809FB" w:rsidRPr="005978DF" w14:paraId="4041221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0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Islas Marshall</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0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0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20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0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1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21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1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1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21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1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Islas Salomón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1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1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21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1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1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21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1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1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22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1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Italia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2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3,189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2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4,502</w:t>
            </w:r>
          </w:p>
        </w:tc>
        <w:tc>
          <w:tcPr>
            <w:tcW w:w="426" w:type="dxa"/>
            <w:tcBorders>
              <w:top w:val="nil"/>
              <w:left w:val="nil"/>
              <w:bottom w:val="nil"/>
              <w:right w:val="nil"/>
            </w:tcBorders>
            <w:noWrap/>
            <w:vAlign w:val="center"/>
            <w:hideMark/>
          </w:tcPr>
          <w:p w14:paraId="4041222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2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125 859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2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124 990 </w:t>
            </w:r>
          </w:p>
        </w:tc>
        <w:tc>
          <w:tcPr>
            <w:tcW w:w="425" w:type="dxa"/>
            <w:tcBorders>
              <w:top w:val="nil"/>
              <w:left w:val="nil"/>
              <w:bottom w:val="nil"/>
              <w:right w:val="nil"/>
            </w:tcBorders>
            <w:noWrap/>
            <w:vAlign w:val="center"/>
            <w:hideMark/>
          </w:tcPr>
          <w:p w14:paraId="4041222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2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114 086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2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114 730 </w:t>
            </w:r>
          </w:p>
        </w:tc>
      </w:tr>
      <w:tr w:rsidR="002809FB" w:rsidRPr="005978DF" w14:paraId="4041223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2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Jamaica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2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2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0,011</w:t>
            </w:r>
          </w:p>
        </w:tc>
        <w:tc>
          <w:tcPr>
            <w:tcW w:w="426" w:type="dxa"/>
            <w:tcBorders>
              <w:top w:val="nil"/>
              <w:left w:val="nil"/>
              <w:bottom w:val="nil"/>
              <w:right w:val="nil"/>
            </w:tcBorders>
            <w:noWrap/>
            <w:vAlign w:val="center"/>
            <w:hideMark/>
          </w:tcPr>
          <w:p w14:paraId="4041222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2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2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314 </w:t>
            </w:r>
          </w:p>
        </w:tc>
        <w:tc>
          <w:tcPr>
            <w:tcW w:w="425" w:type="dxa"/>
            <w:tcBorders>
              <w:top w:val="nil"/>
              <w:left w:val="nil"/>
              <w:bottom w:val="nil"/>
              <w:right w:val="nil"/>
            </w:tcBorders>
            <w:noWrap/>
            <w:vAlign w:val="center"/>
            <w:hideMark/>
          </w:tcPr>
          <w:p w14:paraId="4041222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3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3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288 </w:t>
            </w:r>
          </w:p>
        </w:tc>
      </w:tr>
      <w:tr w:rsidR="002809FB" w:rsidRPr="005978DF" w14:paraId="4041223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3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Japón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3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8,033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3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11,340</w:t>
            </w:r>
          </w:p>
        </w:tc>
        <w:tc>
          <w:tcPr>
            <w:tcW w:w="426" w:type="dxa"/>
            <w:tcBorders>
              <w:top w:val="nil"/>
              <w:left w:val="nil"/>
              <w:bottom w:val="nil"/>
              <w:right w:val="nil"/>
            </w:tcBorders>
            <w:noWrap/>
            <w:vAlign w:val="center"/>
            <w:hideMark/>
          </w:tcPr>
          <w:p w14:paraId="4041223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3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317 034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3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314 846 </w:t>
            </w:r>
          </w:p>
        </w:tc>
        <w:tc>
          <w:tcPr>
            <w:tcW w:w="425" w:type="dxa"/>
            <w:tcBorders>
              <w:top w:val="nil"/>
              <w:left w:val="nil"/>
              <w:bottom w:val="nil"/>
              <w:right w:val="nil"/>
            </w:tcBorders>
            <w:noWrap/>
            <w:vAlign w:val="center"/>
            <w:hideMark/>
          </w:tcPr>
          <w:p w14:paraId="4041223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3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287 379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3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289 001 </w:t>
            </w:r>
          </w:p>
        </w:tc>
      </w:tr>
      <w:tr w:rsidR="002809FB" w:rsidRPr="005978DF" w14:paraId="4041224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3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Jordania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41223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0,031</w:t>
            </w:r>
          </w:p>
        </w:tc>
        <w:tc>
          <w:tcPr>
            <w:tcW w:w="426" w:type="dxa"/>
            <w:tcBorders>
              <w:top w:val="nil"/>
              <w:left w:val="nil"/>
              <w:bottom w:val="nil"/>
              <w:right w:val="nil"/>
            </w:tcBorders>
            <w:noWrap/>
            <w:vAlign w:val="center"/>
            <w:hideMark/>
          </w:tcPr>
          <w:p w14:paraId="4041224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4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4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862 </w:t>
            </w:r>
          </w:p>
        </w:tc>
        <w:tc>
          <w:tcPr>
            <w:tcW w:w="425" w:type="dxa"/>
            <w:tcBorders>
              <w:top w:val="nil"/>
              <w:left w:val="nil"/>
              <w:bottom w:val="nil"/>
              <w:right w:val="nil"/>
            </w:tcBorders>
            <w:noWrap/>
            <w:vAlign w:val="center"/>
            <w:hideMark/>
          </w:tcPr>
          <w:p w14:paraId="4041224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4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4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791 </w:t>
            </w:r>
          </w:p>
        </w:tc>
      </w:tr>
      <w:tr w:rsidR="002809FB" w:rsidRPr="005978DF" w14:paraId="4041225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4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Kazajstán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4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0,133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0,188</w:t>
            </w:r>
          </w:p>
        </w:tc>
        <w:tc>
          <w:tcPr>
            <w:tcW w:w="426" w:type="dxa"/>
            <w:tcBorders>
              <w:top w:val="nil"/>
              <w:left w:val="nil"/>
              <w:bottom w:val="nil"/>
              <w:right w:val="nil"/>
            </w:tcBorders>
            <w:noWrap/>
            <w:vAlign w:val="center"/>
            <w:hideMark/>
          </w:tcPr>
          <w:p w14:paraId="4041224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4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5 249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4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5 213 </w:t>
            </w:r>
          </w:p>
        </w:tc>
        <w:tc>
          <w:tcPr>
            <w:tcW w:w="425" w:type="dxa"/>
            <w:tcBorders>
              <w:top w:val="nil"/>
              <w:left w:val="nil"/>
              <w:bottom w:val="nil"/>
              <w:right w:val="nil"/>
            </w:tcBorders>
            <w:noWrap/>
            <w:vAlign w:val="center"/>
            <w:hideMark/>
          </w:tcPr>
          <w:p w14:paraId="4041224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4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4 758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4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4 785 </w:t>
            </w:r>
          </w:p>
        </w:tc>
      </w:tr>
      <w:tr w:rsidR="002809FB" w:rsidRPr="005978DF" w14:paraId="4041225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51"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Kenya</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25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0,042</w:t>
            </w:r>
          </w:p>
        </w:tc>
        <w:tc>
          <w:tcPr>
            <w:tcW w:w="426" w:type="dxa"/>
            <w:tcBorders>
              <w:top w:val="nil"/>
              <w:left w:val="nil"/>
              <w:bottom w:val="nil"/>
              <w:right w:val="nil"/>
            </w:tcBorders>
            <w:noWrap/>
            <w:vAlign w:val="center"/>
            <w:hideMark/>
          </w:tcPr>
          <w:p w14:paraId="4041225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5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5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1 176 </w:t>
            </w:r>
          </w:p>
        </w:tc>
        <w:tc>
          <w:tcPr>
            <w:tcW w:w="425" w:type="dxa"/>
            <w:tcBorders>
              <w:top w:val="nil"/>
              <w:left w:val="nil"/>
              <w:bottom w:val="nil"/>
              <w:right w:val="nil"/>
            </w:tcBorders>
            <w:noWrap/>
            <w:vAlign w:val="center"/>
            <w:hideMark/>
          </w:tcPr>
          <w:p w14:paraId="4041225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5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5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1 079 </w:t>
            </w:r>
          </w:p>
        </w:tc>
      </w:tr>
      <w:tr w:rsidR="002809FB" w:rsidRPr="005978DF" w14:paraId="4041226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5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Kirguistán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5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25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5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6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26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6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6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26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6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Kiribati</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6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26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6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6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26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6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6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27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6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Kuwait</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7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0,234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0,330</w:t>
            </w:r>
          </w:p>
        </w:tc>
        <w:tc>
          <w:tcPr>
            <w:tcW w:w="426" w:type="dxa"/>
            <w:tcBorders>
              <w:top w:val="nil"/>
              <w:left w:val="nil"/>
              <w:bottom w:val="nil"/>
              <w:right w:val="nil"/>
            </w:tcBorders>
            <w:noWrap/>
            <w:vAlign w:val="center"/>
            <w:hideMark/>
          </w:tcPr>
          <w:p w14:paraId="4041227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7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9 235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7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9 171 </w:t>
            </w:r>
          </w:p>
        </w:tc>
        <w:tc>
          <w:tcPr>
            <w:tcW w:w="425" w:type="dxa"/>
            <w:tcBorders>
              <w:top w:val="nil"/>
              <w:left w:val="nil"/>
              <w:bottom w:val="nil"/>
              <w:right w:val="nil"/>
            </w:tcBorders>
            <w:noWrap/>
            <w:vAlign w:val="center"/>
            <w:hideMark/>
          </w:tcPr>
          <w:p w14:paraId="4041227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7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8 371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7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8 419 </w:t>
            </w:r>
          </w:p>
        </w:tc>
      </w:tr>
      <w:tr w:rsidR="002809FB" w:rsidRPr="005978DF" w14:paraId="4041228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79"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Lesotho</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27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27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7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7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27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8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8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28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8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Letonia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8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0,071</w:t>
            </w:r>
          </w:p>
        </w:tc>
        <w:tc>
          <w:tcPr>
            <w:tcW w:w="426" w:type="dxa"/>
            <w:tcBorders>
              <w:top w:val="nil"/>
              <w:left w:val="nil"/>
              <w:bottom w:val="nil"/>
              <w:right w:val="nil"/>
            </w:tcBorders>
            <w:noWrap/>
            <w:vAlign w:val="center"/>
            <w:hideMark/>
          </w:tcPr>
          <w:p w14:paraId="4041228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8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8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1 960 </w:t>
            </w:r>
          </w:p>
        </w:tc>
        <w:tc>
          <w:tcPr>
            <w:tcW w:w="425" w:type="dxa"/>
            <w:tcBorders>
              <w:top w:val="nil"/>
              <w:left w:val="nil"/>
              <w:bottom w:val="nil"/>
              <w:right w:val="nil"/>
            </w:tcBorders>
            <w:noWrap/>
            <w:vAlign w:val="center"/>
            <w:hideMark/>
          </w:tcPr>
          <w:p w14:paraId="4041228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8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1 789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8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1 799 </w:t>
            </w:r>
          </w:p>
        </w:tc>
      </w:tr>
      <w:tr w:rsidR="002809FB" w:rsidRPr="005978DF" w14:paraId="4041229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8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Líbano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8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0,036</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0,051</w:t>
            </w:r>
          </w:p>
        </w:tc>
        <w:tc>
          <w:tcPr>
            <w:tcW w:w="426" w:type="dxa"/>
            <w:tcBorders>
              <w:top w:val="nil"/>
              <w:left w:val="nil"/>
              <w:bottom w:val="nil"/>
              <w:right w:val="nil"/>
            </w:tcBorders>
            <w:noWrap/>
            <w:vAlign w:val="center"/>
            <w:hideMark/>
          </w:tcPr>
          <w:p w14:paraId="4041229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9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9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1 411 </w:t>
            </w:r>
          </w:p>
        </w:tc>
        <w:tc>
          <w:tcPr>
            <w:tcW w:w="425" w:type="dxa"/>
            <w:tcBorders>
              <w:top w:val="nil"/>
              <w:left w:val="nil"/>
              <w:bottom w:val="nil"/>
              <w:right w:val="nil"/>
            </w:tcBorders>
            <w:noWrap/>
            <w:vAlign w:val="center"/>
            <w:hideMark/>
          </w:tcPr>
          <w:p w14:paraId="4041229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9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9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1 295 </w:t>
            </w:r>
          </w:p>
        </w:tc>
      </w:tr>
      <w:tr w:rsidR="002809FB" w:rsidRPr="005978DF" w14:paraId="404122A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9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Liberia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9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29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9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9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29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9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9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2A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A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Libia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A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0,025</w:t>
            </w:r>
          </w:p>
        </w:tc>
        <w:tc>
          <w:tcPr>
            <w:tcW w:w="426" w:type="dxa"/>
            <w:tcBorders>
              <w:top w:val="nil"/>
              <w:left w:val="nil"/>
              <w:bottom w:val="nil"/>
              <w:right w:val="nil"/>
            </w:tcBorders>
            <w:noWrap/>
            <w:vAlign w:val="center"/>
            <w:hideMark/>
          </w:tcPr>
          <w:p w14:paraId="404122A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A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A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705 </w:t>
            </w:r>
          </w:p>
        </w:tc>
        <w:tc>
          <w:tcPr>
            <w:tcW w:w="425" w:type="dxa"/>
            <w:tcBorders>
              <w:top w:val="nil"/>
              <w:left w:val="nil"/>
              <w:bottom w:val="nil"/>
              <w:right w:val="nil"/>
            </w:tcBorders>
            <w:noWrap/>
            <w:vAlign w:val="center"/>
            <w:hideMark/>
          </w:tcPr>
          <w:p w14:paraId="404122A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A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644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A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648 </w:t>
            </w:r>
          </w:p>
        </w:tc>
      </w:tr>
      <w:tr w:rsidR="002809FB" w:rsidRPr="005978DF" w14:paraId="404122B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A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Lituania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A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0,109</w:t>
            </w:r>
          </w:p>
        </w:tc>
        <w:tc>
          <w:tcPr>
            <w:tcW w:w="426" w:type="dxa"/>
            <w:tcBorders>
              <w:top w:val="nil"/>
              <w:left w:val="nil"/>
              <w:bottom w:val="nil"/>
              <w:right w:val="nil"/>
            </w:tcBorders>
            <w:noWrap/>
            <w:vAlign w:val="center"/>
            <w:hideMark/>
          </w:tcPr>
          <w:p w14:paraId="404122A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A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3 039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B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3 018 </w:t>
            </w:r>
          </w:p>
        </w:tc>
        <w:tc>
          <w:tcPr>
            <w:tcW w:w="425" w:type="dxa"/>
            <w:tcBorders>
              <w:top w:val="nil"/>
              <w:left w:val="nil"/>
              <w:bottom w:val="nil"/>
              <w:right w:val="nil"/>
            </w:tcBorders>
            <w:noWrap/>
            <w:vAlign w:val="center"/>
            <w:hideMark/>
          </w:tcPr>
          <w:p w14:paraId="404122B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B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B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2 770 </w:t>
            </w:r>
          </w:p>
        </w:tc>
      </w:tr>
      <w:tr w:rsidR="002809FB" w:rsidRPr="005978DF" w14:paraId="404122B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B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Luxemburgo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B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0,068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0,096</w:t>
            </w:r>
          </w:p>
        </w:tc>
        <w:tc>
          <w:tcPr>
            <w:tcW w:w="426" w:type="dxa"/>
            <w:tcBorders>
              <w:top w:val="nil"/>
              <w:left w:val="nil"/>
              <w:bottom w:val="nil"/>
              <w:right w:val="nil"/>
            </w:tcBorders>
            <w:noWrap/>
            <w:vAlign w:val="center"/>
            <w:hideMark/>
          </w:tcPr>
          <w:p w14:paraId="404122B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B9" w14:textId="77777777" w:rsidR="002809FB" w:rsidRPr="000F4C79" w:rsidRDefault="005515AE" w:rsidP="0049064A">
            <w:pPr>
              <w:jc w:val="right"/>
              <w:rPr>
                <w:rFonts w:asciiTheme="minorHAnsi" w:hAnsiTheme="minorHAnsi" w:cstheme="minorHAnsi"/>
                <w:sz w:val="16"/>
                <w:szCs w:val="16"/>
                <w:lang w:val="es-ES"/>
              </w:rPr>
            </w:pPr>
            <w:r>
              <w:rPr>
                <w:rFonts w:asciiTheme="minorHAnsi" w:hAnsiTheme="minorHAnsi" w:cstheme="minorHAnsi"/>
                <w:sz w:val="16"/>
                <w:szCs w:val="16"/>
                <w:lang w:val="es-ES"/>
              </w:rPr>
              <w:t xml:space="preserve">2 684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B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2 665 </w:t>
            </w:r>
          </w:p>
        </w:tc>
        <w:tc>
          <w:tcPr>
            <w:tcW w:w="425" w:type="dxa"/>
            <w:tcBorders>
              <w:top w:val="nil"/>
              <w:left w:val="nil"/>
              <w:bottom w:val="nil"/>
              <w:right w:val="nil"/>
            </w:tcBorders>
            <w:noWrap/>
            <w:vAlign w:val="center"/>
            <w:hideMark/>
          </w:tcPr>
          <w:p w14:paraId="404122B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B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2 433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B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2 446 </w:t>
            </w:r>
          </w:p>
        </w:tc>
      </w:tr>
      <w:tr w:rsidR="002809FB" w:rsidRPr="005978DF" w14:paraId="404122C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B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Madagascar</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C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22C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C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C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22C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C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C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2D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C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Malasia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C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0,348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0,491</w:t>
            </w:r>
          </w:p>
        </w:tc>
        <w:tc>
          <w:tcPr>
            <w:tcW w:w="426" w:type="dxa"/>
            <w:tcBorders>
              <w:top w:val="nil"/>
              <w:left w:val="nil"/>
              <w:bottom w:val="nil"/>
              <w:right w:val="nil"/>
            </w:tcBorders>
            <w:noWrap/>
            <w:vAlign w:val="center"/>
            <w:hideMark/>
          </w:tcPr>
          <w:p w14:paraId="404122C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C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13 734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C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13 640 </w:t>
            </w:r>
          </w:p>
        </w:tc>
        <w:tc>
          <w:tcPr>
            <w:tcW w:w="425" w:type="dxa"/>
            <w:tcBorders>
              <w:top w:val="nil"/>
              <w:left w:val="nil"/>
              <w:bottom w:val="nil"/>
              <w:right w:val="nil"/>
            </w:tcBorders>
            <w:noWrap/>
            <w:vAlign w:val="center"/>
            <w:hideMark/>
          </w:tcPr>
          <w:p w14:paraId="404122C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D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12 450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D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12 519 </w:t>
            </w:r>
          </w:p>
        </w:tc>
      </w:tr>
      <w:tr w:rsidR="002809FB" w:rsidRPr="005978DF" w14:paraId="404122D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D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Malawi</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D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2D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D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D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2D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D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D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2E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D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lastRenderedPageBreak/>
              <w:t>Maldivas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D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22E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E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E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22E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E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E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2F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E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Malí</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E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426" w:type="dxa"/>
            <w:tcBorders>
              <w:top w:val="nil"/>
              <w:left w:val="nil"/>
              <w:bottom w:val="nil"/>
              <w:right w:val="nil"/>
            </w:tcBorders>
            <w:noWrap/>
            <w:vAlign w:val="center"/>
            <w:hideMark/>
          </w:tcPr>
          <w:p w14:paraId="404122E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E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E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196 </w:t>
            </w:r>
          </w:p>
        </w:tc>
        <w:tc>
          <w:tcPr>
            <w:tcW w:w="425" w:type="dxa"/>
            <w:tcBorders>
              <w:top w:val="nil"/>
              <w:left w:val="nil"/>
              <w:bottom w:val="nil"/>
              <w:right w:val="nil"/>
            </w:tcBorders>
            <w:noWrap/>
            <w:vAlign w:val="center"/>
            <w:hideMark/>
          </w:tcPr>
          <w:p w14:paraId="404122E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E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E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180 </w:t>
            </w:r>
          </w:p>
        </w:tc>
      </w:tr>
      <w:tr w:rsidR="002809FB" w:rsidRPr="005978DF" w14:paraId="404122F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F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Malta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F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0,027</w:t>
            </w:r>
          </w:p>
        </w:tc>
        <w:tc>
          <w:tcPr>
            <w:tcW w:w="426" w:type="dxa"/>
            <w:tcBorders>
              <w:top w:val="nil"/>
              <w:left w:val="nil"/>
              <w:bottom w:val="nil"/>
              <w:right w:val="nil"/>
            </w:tcBorders>
            <w:noWrap/>
            <w:vAlign w:val="center"/>
            <w:hideMark/>
          </w:tcPr>
          <w:p w14:paraId="404122F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F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F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745 </w:t>
            </w:r>
          </w:p>
        </w:tc>
        <w:tc>
          <w:tcPr>
            <w:tcW w:w="425" w:type="dxa"/>
            <w:tcBorders>
              <w:top w:val="nil"/>
              <w:left w:val="nil"/>
              <w:bottom w:val="nil"/>
              <w:right w:val="nil"/>
            </w:tcBorders>
            <w:noWrap/>
            <w:vAlign w:val="center"/>
            <w:hideMark/>
          </w:tcPr>
          <w:p w14:paraId="404122F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F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2F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684 </w:t>
            </w:r>
          </w:p>
        </w:tc>
      </w:tr>
      <w:tr w:rsidR="002809FB" w:rsidRPr="005978DF" w14:paraId="4041230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2F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Marruecos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2F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2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0,078</w:t>
            </w:r>
          </w:p>
        </w:tc>
        <w:tc>
          <w:tcPr>
            <w:tcW w:w="426" w:type="dxa"/>
            <w:tcBorders>
              <w:top w:val="nil"/>
              <w:left w:val="nil"/>
              <w:bottom w:val="nil"/>
              <w:right w:val="nil"/>
            </w:tcBorders>
            <w:noWrap/>
            <w:vAlign w:val="center"/>
            <w:hideMark/>
          </w:tcPr>
          <w:p w14:paraId="404122F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2F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2 171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0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2 156 </w:t>
            </w:r>
          </w:p>
        </w:tc>
        <w:tc>
          <w:tcPr>
            <w:tcW w:w="425" w:type="dxa"/>
            <w:tcBorders>
              <w:top w:val="nil"/>
              <w:left w:val="nil"/>
              <w:bottom w:val="nil"/>
              <w:right w:val="nil"/>
            </w:tcBorders>
            <w:noWrap/>
            <w:vAlign w:val="center"/>
            <w:hideMark/>
          </w:tcPr>
          <w:p w14:paraId="4041230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0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0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1 979 </w:t>
            </w:r>
          </w:p>
        </w:tc>
      </w:tr>
      <w:tr w:rsidR="002809FB" w:rsidRPr="005978DF" w14:paraId="4041230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0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Mauricio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0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0,027</w:t>
            </w:r>
          </w:p>
        </w:tc>
        <w:tc>
          <w:tcPr>
            <w:tcW w:w="426" w:type="dxa"/>
            <w:tcBorders>
              <w:top w:val="nil"/>
              <w:left w:val="nil"/>
              <w:bottom w:val="nil"/>
              <w:right w:val="nil"/>
            </w:tcBorders>
            <w:noWrap/>
            <w:vAlign w:val="center"/>
            <w:hideMark/>
          </w:tcPr>
          <w:p w14:paraId="4041230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0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745 </w:t>
            </w:r>
          </w:p>
        </w:tc>
        <w:tc>
          <w:tcPr>
            <w:tcW w:w="425" w:type="dxa"/>
            <w:tcBorders>
              <w:top w:val="nil"/>
              <w:left w:val="nil"/>
              <w:bottom w:val="nil"/>
              <w:right w:val="nil"/>
            </w:tcBorders>
            <w:noWrap/>
            <w:vAlign w:val="center"/>
            <w:hideMark/>
          </w:tcPr>
          <w:p w14:paraId="4041230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0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0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684 </w:t>
            </w:r>
          </w:p>
        </w:tc>
      </w:tr>
      <w:tr w:rsidR="002809FB" w:rsidRPr="005978DF" w14:paraId="4041231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0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Mauritania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1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31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1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31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1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1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32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1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México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1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1,221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1,724</w:t>
            </w:r>
          </w:p>
        </w:tc>
        <w:tc>
          <w:tcPr>
            <w:tcW w:w="426" w:type="dxa"/>
            <w:tcBorders>
              <w:top w:val="nil"/>
              <w:left w:val="nil"/>
              <w:bottom w:val="nil"/>
              <w:right w:val="nil"/>
            </w:tcBorders>
            <w:noWrap/>
            <w:vAlign w:val="center"/>
            <w:hideMark/>
          </w:tcPr>
          <w:p w14:paraId="4041231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1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48 189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47 856 </w:t>
            </w:r>
          </w:p>
        </w:tc>
        <w:tc>
          <w:tcPr>
            <w:tcW w:w="425" w:type="dxa"/>
            <w:tcBorders>
              <w:top w:val="nil"/>
              <w:left w:val="nil"/>
              <w:bottom w:val="nil"/>
              <w:right w:val="nil"/>
            </w:tcBorders>
            <w:noWrap/>
            <w:vAlign w:val="center"/>
            <w:hideMark/>
          </w:tcPr>
          <w:p w14:paraId="4041231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2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43 681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2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43 928 </w:t>
            </w:r>
          </w:p>
        </w:tc>
      </w:tr>
      <w:tr w:rsidR="002809FB" w:rsidRPr="005978DF" w14:paraId="4041232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2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Mongolia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2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232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2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232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2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2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33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2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Montenegro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2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233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3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233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3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3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34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3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Mozambique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3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0,006</w:t>
            </w:r>
          </w:p>
        </w:tc>
        <w:tc>
          <w:tcPr>
            <w:tcW w:w="426" w:type="dxa"/>
            <w:tcBorders>
              <w:top w:val="nil"/>
              <w:left w:val="nil"/>
              <w:bottom w:val="nil"/>
              <w:right w:val="nil"/>
            </w:tcBorders>
            <w:noWrap/>
            <w:vAlign w:val="center"/>
            <w:hideMark/>
          </w:tcPr>
          <w:p w14:paraId="4041233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3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w:t>
            </w:r>
          </w:p>
        </w:tc>
        <w:tc>
          <w:tcPr>
            <w:tcW w:w="425" w:type="dxa"/>
            <w:tcBorders>
              <w:top w:val="nil"/>
              <w:left w:val="nil"/>
              <w:bottom w:val="nil"/>
              <w:right w:val="nil"/>
            </w:tcBorders>
            <w:noWrap/>
            <w:vAlign w:val="center"/>
            <w:hideMark/>
          </w:tcPr>
          <w:p w14:paraId="4041233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3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144 </w:t>
            </w:r>
          </w:p>
        </w:tc>
      </w:tr>
      <w:tr w:rsidR="002809FB" w:rsidRPr="005978DF" w14:paraId="4041234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4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Myanmar</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4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34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4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34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4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35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4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Namibia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4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426" w:type="dxa"/>
            <w:tcBorders>
              <w:top w:val="nil"/>
              <w:left w:val="nil"/>
              <w:bottom w:val="nil"/>
              <w:right w:val="nil"/>
            </w:tcBorders>
            <w:noWrap/>
            <w:vAlign w:val="center"/>
            <w:hideMark/>
          </w:tcPr>
          <w:p w14:paraId="4041234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4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353 </w:t>
            </w:r>
          </w:p>
        </w:tc>
        <w:tc>
          <w:tcPr>
            <w:tcW w:w="425" w:type="dxa"/>
            <w:tcBorders>
              <w:top w:val="nil"/>
              <w:left w:val="nil"/>
              <w:bottom w:val="nil"/>
              <w:right w:val="nil"/>
            </w:tcBorders>
            <w:noWrap/>
            <w:vAlign w:val="center"/>
            <w:hideMark/>
          </w:tcPr>
          <w:p w14:paraId="4041235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5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324 </w:t>
            </w:r>
          </w:p>
        </w:tc>
      </w:tr>
      <w:tr w:rsidR="002809FB" w:rsidRPr="005978DF" w14:paraId="4041235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5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Nauru</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5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35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5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35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5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36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5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Nicaragua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6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426" w:type="dxa"/>
            <w:tcBorders>
              <w:top w:val="nil"/>
              <w:left w:val="nil"/>
              <w:bottom w:val="nil"/>
              <w:right w:val="nil"/>
            </w:tcBorders>
            <w:noWrap/>
            <w:vAlign w:val="center"/>
            <w:hideMark/>
          </w:tcPr>
          <w:p w14:paraId="4041236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6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196 </w:t>
            </w:r>
          </w:p>
        </w:tc>
        <w:tc>
          <w:tcPr>
            <w:tcW w:w="425" w:type="dxa"/>
            <w:tcBorders>
              <w:top w:val="nil"/>
              <w:left w:val="nil"/>
              <w:bottom w:val="nil"/>
              <w:right w:val="nil"/>
            </w:tcBorders>
            <w:noWrap/>
            <w:vAlign w:val="center"/>
            <w:hideMark/>
          </w:tcPr>
          <w:p w14:paraId="4041236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6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180 </w:t>
            </w:r>
          </w:p>
        </w:tc>
      </w:tr>
      <w:tr w:rsidR="002809FB" w:rsidRPr="005978DF" w14:paraId="4041237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6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Níger</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6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426" w:type="dxa"/>
            <w:tcBorders>
              <w:top w:val="nil"/>
              <w:left w:val="nil"/>
              <w:bottom w:val="nil"/>
              <w:right w:val="nil"/>
            </w:tcBorders>
            <w:noWrap/>
            <w:vAlign w:val="center"/>
            <w:hideMark/>
          </w:tcPr>
          <w:p w14:paraId="4041236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6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425" w:type="dxa"/>
            <w:tcBorders>
              <w:top w:val="nil"/>
              <w:left w:val="nil"/>
              <w:bottom w:val="nil"/>
              <w:right w:val="nil"/>
            </w:tcBorders>
            <w:noWrap/>
            <w:vAlign w:val="center"/>
            <w:hideMark/>
          </w:tcPr>
          <w:p w14:paraId="4041236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7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108 </w:t>
            </w:r>
          </w:p>
        </w:tc>
      </w:tr>
      <w:tr w:rsidR="002809FB" w:rsidRPr="005978DF" w14:paraId="4041237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7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Nigeria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7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0,182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0,257</w:t>
            </w:r>
          </w:p>
        </w:tc>
        <w:tc>
          <w:tcPr>
            <w:tcW w:w="426" w:type="dxa"/>
            <w:tcBorders>
              <w:top w:val="nil"/>
              <w:left w:val="nil"/>
              <w:bottom w:val="nil"/>
              <w:right w:val="nil"/>
            </w:tcBorders>
            <w:noWrap/>
            <w:vAlign w:val="center"/>
            <w:hideMark/>
          </w:tcPr>
          <w:p w14:paraId="4041237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7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7 183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7 133 </w:t>
            </w:r>
          </w:p>
        </w:tc>
        <w:tc>
          <w:tcPr>
            <w:tcW w:w="425" w:type="dxa"/>
            <w:tcBorders>
              <w:top w:val="nil"/>
              <w:left w:val="nil"/>
              <w:bottom w:val="nil"/>
              <w:right w:val="nil"/>
            </w:tcBorders>
            <w:noWrap/>
            <w:vAlign w:val="center"/>
            <w:hideMark/>
          </w:tcPr>
          <w:p w14:paraId="4041237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7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6 511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6 548 </w:t>
            </w:r>
          </w:p>
        </w:tc>
      </w:tr>
      <w:tr w:rsidR="002809FB" w:rsidRPr="005978DF" w14:paraId="4041238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7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Niue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7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38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8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38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8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39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8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Noruega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8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0,679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0,959</w:t>
            </w:r>
          </w:p>
        </w:tc>
        <w:tc>
          <w:tcPr>
            <w:tcW w:w="426" w:type="dxa"/>
            <w:tcBorders>
              <w:top w:val="nil"/>
              <w:left w:val="nil"/>
              <w:bottom w:val="nil"/>
              <w:right w:val="nil"/>
            </w:tcBorders>
            <w:noWrap/>
            <w:vAlign w:val="center"/>
            <w:hideMark/>
          </w:tcPr>
          <w:p w14:paraId="4041238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8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26 799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26 613 </w:t>
            </w:r>
          </w:p>
        </w:tc>
        <w:tc>
          <w:tcPr>
            <w:tcW w:w="425" w:type="dxa"/>
            <w:tcBorders>
              <w:top w:val="nil"/>
              <w:left w:val="nil"/>
              <w:bottom w:val="nil"/>
              <w:right w:val="nil"/>
            </w:tcBorders>
            <w:noWrap/>
            <w:vAlign w:val="center"/>
            <w:hideMark/>
          </w:tcPr>
          <w:p w14:paraId="4041238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8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24 291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24 428 </w:t>
            </w:r>
          </w:p>
        </w:tc>
      </w:tr>
      <w:tr w:rsidR="002809FB" w:rsidRPr="005978DF" w14:paraId="4041239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9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Nueva Zelandia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9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0,309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0,436</w:t>
            </w:r>
          </w:p>
        </w:tc>
        <w:tc>
          <w:tcPr>
            <w:tcW w:w="426" w:type="dxa"/>
            <w:tcBorders>
              <w:top w:val="nil"/>
              <w:left w:val="nil"/>
              <w:bottom w:val="nil"/>
              <w:right w:val="nil"/>
            </w:tcBorders>
            <w:noWrap/>
            <w:vAlign w:val="center"/>
            <w:hideMark/>
          </w:tcPr>
          <w:p w14:paraId="4041239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9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12 195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12 111 </w:t>
            </w:r>
          </w:p>
        </w:tc>
        <w:tc>
          <w:tcPr>
            <w:tcW w:w="425" w:type="dxa"/>
            <w:tcBorders>
              <w:top w:val="nil"/>
              <w:left w:val="nil"/>
              <w:bottom w:val="nil"/>
              <w:right w:val="nil"/>
            </w:tcBorders>
            <w:noWrap/>
            <w:vAlign w:val="center"/>
            <w:hideMark/>
          </w:tcPr>
          <w:p w14:paraId="4041239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9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11 054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11 117 </w:t>
            </w:r>
          </w:p>
        </w:tc>
      </w:tr>
      <w:tr w:rsidR="002809FB" w:rsidRPr="005978DF" w14:paraId="404123A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9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Omán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9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0,111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0,157</w:t>
            </w:r>
          </w:p>
        </w:tc>
        <w:tc>
          <w:tcPr>
            <w:tcW w:w="426" w:type="dxa"/>
            <w:tcBorders>
              <w:top w:val="nil"/>
              <w:left w:val="nil"/>
              <w:bottom w:val="nil"/>
              <w:right w:val="nil"/>
            </w:tcBorders>
            <w:noWrap/>
            <w:vAlign w:val="center"/>
            <w:hideMark/>
          </w:tcPr>
          <w:p w14:paraId="4041239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9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4 381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4 351 </w:t>
            </w:r>
          </w:p>
        </w:tc>
        <w:tc>
          <w:tcPr>
            <w:tcW w:w="425" w:type="dxa"/>
            <w:tcBorders>
              <w:top w:val="nil"/>
              <w:left w:val="nil"/>
              <w:bottom w:val="nil"/>
              <w:right w:val="nil"/>
            </w:tcBorders>
            <w:noWrap/>
            <w:vAlign w:val="center"/>
            <w:hideMark/>
          </w:tcPr>
          <w:p w14:paraId="404123A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A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3 971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3 993 </w:t>
            </w:r>
          </w:p>
        </w:tc>
      </w:tr>
      <w:tr w:rsidR="002809FB" w:rsidRPr="005978DF" w14:paraId="404123A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A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Países Bajos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A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1,377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1,944</w:t>
            </w:r>
          </w:p>
        </w:tc>
        <w:tc>
          <w:tcPr>
            <w:tcW w:w="426" w:type="dxa"/>
            <w:tcBorders>
              <w:top w:val="nil"/>
              <w:left w:val="nil"/>
              <w:bottom w:val="nil"/>
              <w:right w:val="nil"/>
            </w:tcBorders>
            <w:noWrap/>
            <w:vAlign w:val="center"/>
            <w:hideMark/>
          </w:tcPr>
          <w:p w14:paraId="404123A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A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54 346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53 970 </w:t>
            </w:r>
          </w:p>
        </w:tc>
        <w:tc>
          <w:tcPr>
            <w:tcW w:w="425" w:type="dxa"/>
            <w:tcBorders>
              <w:top w:val="nil"/>
              <w:left w:val="nil"/>
              <w:bottom w:val="nil"/>
              <w:right w:val="nil"/>
            </w:tcBorders>
            <w:noWrap/>
            <w:vAlign w:val="center"/>
            <w:hideMark/>
          </w:tcPr>
          <w:p w14:paraId="404123A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A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49 262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49 540 </w:t>
            </w:r>
          </w:p>
        </w:tc>
      </w:tr>
      <w:tr w:rsidR="002809FB" w:rsidRPr="005978DF" w14:paraId="404123B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A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Pakistán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B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0,114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0,161</w:t>
            </w:r>
          </w:p>
        </w:tc>
        <w:tc>
          <w:tcPr>
            <w:tcW w:w="426" w:type="dxa"/>
            <w:tcBorders>
              <w:top w:val="nil"/>
              <w:left w:val="nil"/>
              <w:bottom w:val="nil"/>
              <w:right w:val="nil"/>
            </w:tcBorders>
            <w:noWrap/>
            <w:vAlign w:val="center"/>
            <w:hideMark/>
          </w:tcPr>
          <w:p w14:paraId="404123B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B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4 499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4 468 </w:t>
            </w:r>
          </w:p>
        </w:tc>
        <w:tc>
          <w:tcPr>
            <w:tcW w:w="425" w:type="dxa"/>
            <w:tcBorders>
              <w:top w:val="nil"/>
              <w:left w:val="nil"/>
              <w:bottom w:val="nil"/>
              <w:right w:val="nil"/>
            </w:tcBorders>
            <w:noWrap/>
            <w:vAlign w:val="center"/>
            <w:hideMark/>
          </w:tcPr>
          <w:p w14:paraId="404123B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B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4 078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4 101 </w:t>
            </w:r>
          </w:p>
        </w:tc>
      </w:tr>
      <w:tr w:rsidR="002809FB" w:rsidRPr="005978DF" w14:paraId="404123C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B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Palau</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B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3B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B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3B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C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3C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C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Panamá</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C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0,127</w:t>
            </w:r>
          </w:p>
        </w:tc>
        <w:tc>
          <w:tcPr>
            <w:tcW w:w="426" w:type="dxa"/>
            <w:tcBorders>
              <w:top w:val="nil"/>
              <w:left w:val="nil"/>
              <w:bottom w:val="nil"/>
              <w:right w:val="nil"/>
            </w:tcBorders>
            <w:noWrap/>
            <w:vAlign w:val="center"/>
            <w:hideMark/>
          </w:tcPr>
          <w:p w14:paraId="404123C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C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3 553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3 527 </w:t>
            </w:r>
          </w:p>
        </w:tc>
        <w:tc>
          <w:tcPr>
            <w:tcW w:w="425" w:type="dxa"/>
            <w:tcBorders>
              <w:top w:val="nil"/>
              <w:left w:val="nil"/>
              <w:bottom w:val="nil"/>
              <w:right w:val="nil"/>
            </w:tcBorders>
            <w:noWrap/>
            <w:vAlign w:val="center"/>
            <w:hideMark/>
          </w:tcPr>
          <w:p w14:paraId="404123C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C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3 238 </w:t>
            </w:r>
          </w:p>
        </w:tc>
      </w:tr>
      <w:tr w:rsidR="002809FB" w:rsidRPr="005978DF" w14:paraId="404123D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CD"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Papua</w:t>
            </w:r>
            <w:proofErr w:type="spellEnd"/>
            <w:r w:rsidRPr="000F4C79">
              <w:rPr>
                <w:rFonts w:asciiTheme="minorHAnsi" w:hAnsiTheme="minorHAnsi" w:cstheme="minorHAnsi"/>
                <w:sz w:val="16"/>
                <w:szCs w:val="16"/>
                <w:lang w:val="es-ES"/>
              </w:rPr>
              <w:t xml:space="preserve"> Nueva Guinea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C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0,014</w:t>
            </w:r>
          </w:p>
        </w:tc>
        <w:tc>
          <w:tcPr>
            <w:tcW w:w="426" w:type="dxa"/>
            <w:tcBorders>
              <w:top w:val="nil"/>
              <w:left w:val="nil"/>
              <w:bottom w:val="nil"/>
              <w:right w:val="nil"/>
            </w:tcBorders>
            <w:noWrap/>
            <w:vAlign w:val="center"/>
            <w:hideMark/>
          </w:tcPr>
          <w:p w14:paraId="404123D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D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392 </w:t>
            </w:r>
          </w:p>
        </w:tc>
        <w:tc>
          <w:tcPr>
            <w:tcW w:w="425" w:type="dxa"/>
            <w:tcBorders>
              <w:top w:val="nil"/>
              <w:left w:val="nil"/>
              <w:bottom w:val="nil"/>
              <w:right w:val="nil"/>
            </w:tcBorders>
            <w:noWrap/>
            <w:vAlign w:val="center"/>
            <w:hideMark/>
          </w:tcPr>
          <w:p w14:paraId="404123D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D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360 </w:t>
            </w:r>
          </w:p>
        </w:tc>
      </w:tr>
      <w:tr w:rsidR="002809FB" w:rsidRPr="005978DF" w14:paraId="404123E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D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Paraguay</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D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0,026</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0,037</w:t>
            </w:r>
          </w:p>
        </w:tc>
        <w:tc>
          <w:tcPr>
            <w:tcW w:w="426" w:type="dxa"/>
            <w:tcBorders>
              <w:top w:val="nil"/>
              <w:left w:val="nil"/>
              <w:bottom w:val="nil"/>
              <w:right w:val="nil"/>
            </w:tcBorders>
            <w:noWrap/>
            <w:vAlign w:val="center"/>
            <w:hideMark/>
          </w:tcPr>
          <w:p w14:paraId="404123D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D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1 019 </w:t>
            </w:r>
          </w:p>
        </w:tc>
        <w:tc>
          <w:tcPr>
            <w:tcW w:w="425" w:type="dxa"/>
            <w:tcBorders>
              <w:top w:val="nil"/>
              <w:left w:val="nil"/>
              <w:bottom w:val="nil"/>
              <w:right w:val="nil"/>
            </w:tcBorders>
            <w:noWrap/>
            <w:vAlign w:val="center"/>
            <w:hideMark/>
          </w:tcPr>
          <w:p w14:paraId="404123D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D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935 </w:t>
            </w:r>
          </w:p>
        </w:tc>
      </w:tr>
      <w:tr w:rsidR="002809FB" w:rsidRPr="005978DF" w14:paraId="404123E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E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Perú</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E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0,163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E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0,230</w:t>
            </w:r>
          </w:p>
        </w:tc>
        <w:tc>
          <w:tcPr>
            <w:tcW w:w="426" w:type="dxa"/>
            <w:tcBorders>
              <w:top w:val="nil"/>
              <w:left w:val="nil"/>
              <w:bottom w:val="nil"/>
              <w:right w:val="nil"/>
            </w:tcBorders>
            <w:noWrap/>
            <w:vAlign w:val="center"/>
            <w:hideMark/>
          </w:tcPr>
          <w:p w14:paraId="404123E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E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6 433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E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6 389 </w:t>
            </w:r>
          </w:p>
        </w:tc>
        <w:tc>
          <w:tcPr>
            <w:tcW w:w="425" w:type="dxa"/>
            <w:tcBorders>
              <w:top w:val="nil"/>
              <w:left w:val="nil"/>
              <w:bottom w:val="nil"/>
              <w:right w:val="nil"/>
            </w:tcBorders>
            <w:noWrap/>
            <w:vAlign w:val="center"/>
            <w:hideMark/>
          </w:tcPr>
          <w:p w14:paraId="404123E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E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5 831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5 863 </w:t>
            </w:r>
          </w:p>
        </w:tc>
      </w:tr>
      <w:tr w:rsidR="002809FB" w:rsidRPr="005978DF" w14:paraId="404123F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E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Polonia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E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0,837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E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1,182</w:t>
            </w:r>
          </w:p>
        </w:tc>
        <w:tc>
          <w:tcPr>
            <w:tcW w:w="426" w:type="dxa"/>
            <w:tcBorders>
              <w:top w:val="nil"/>
              <w:left w:val="nil"/>
              <w:bottom w:val="nil"/>
              <w:right w:val="nil"/>
            </w:tcBorders>
            <w:noWrap/>
            <w:vAlign w:val="center"/>
            <w:hideMark/>
          </w:tcPr>
          <w:p w14:paraId="404123E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E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33 034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F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32 805 </w:t>
            </w:r>
          </w:p>
        </w:tc>
        <w:tc>
          <w:tcPr>
            <w:tcW w:w="425" w:type="dxa"/>
            <w:tcBorders>
              <w:top w:val="nil"/>
              <w:left w:val="nil"/>
              <w:bottom w:val="nil"/>
              <w:right w:val="nil"/>
            </w:tcBorders>
            <w:noWrap/>
            <w:vAlign w:val="center"/>
            <w:hideMark/>
          </w:tcPr>
          <w:p w14:paraId="404123F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F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29 944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30 112 </w:t>
            </w:r>
          </w:p>
        </w:tc>
      </w:tr>
      <w:tr w:rsidR="002809FB" w:rsidRPr="005978DF" w14:paraId="404123F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F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Portugal</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3F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0,353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3F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0,498</w:t>
            </w:r>
          </w:p>
        </w:tc>
        <w:tc>
          <w:tcPr>
            <w:tcW w:w="426" w:type="dxa"/>
            <w:tcBorders>
              <w:top w:val="nil"/>
              <w:left w:val="nil"/>
              <w:bottom w:val="nil"/>
              <w:right w:val="nil"/>
            </w:tcBorders>
            <w:noWrap/>
            <w:vAlign w:val="center"/>
            <w:hideMark/>
          </w:tcPr>
          <w:p w14:paraId="404123F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F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13 932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F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13 835 </w:t>
            </w:r>
          </w:p>
        </w:tc>
        <w:tc>
          <w:tcPr>
            <w:tcW w:w="425" w:type="dxa"/>
            <w:tcBorders>
              <w:top w:val="nil"/>
              <w:left w:val="nil"/>
              <w:bottom w:val="nil"/>
              <w:right w:val="nil"/>
            </w:tcBorders>
            <w:noWrap/>
            <w:vAlign w:val="center"/>
            <w:hideMark/>
          </w:tcPr>
          <w:p w14:paraId="404123F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3F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12 629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3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12 700 </w:t>
            </w:r>
          </w:p>
        </w:tc>
      </w:tr>
      <w:tr w:rsidR="002809FB" w:rsidRPr="005978DF" w14:paraId="4041240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3F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Qatar</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0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0,269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0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0,380</w:t>
            </w:r>
          </w:p>
        </w:tc>
        <w:tc>
          <w:tcPr>
            <w:tcW w:w="426" w:type="dxa"/>
            <w:tcBorders>
              <w:top w:val="nil"/>
              <w:left w:val="nil"/>
              <w:bottom w:val="nil"/>
              <w:right w:val="nil"/>
            </w:tcBorders>
            <w:noWrap/>
            <w:vAlign w:val="center"/>
            <w:hideMark/>
          </w:tcPr>
          <w:p w14:paraId="4041240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0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10 616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0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10 543 </w:t>
            </w:r>
          </w:p>
        </w:tc>
        <w:tc>
          <w:tcPr>
            <w:tcW w:w="425" w:type="dxa"/>
            <w:tcBorders>
              <w:top w:val="nil"/>
              <w:left w:val="nil"/>
              <w:bottom w:val="nil"/>
              <w:right w:val="nil"/>
            </w:tcBorders>
            <w:noWrap/>
            <w:vAlign w:val="center"/>
            <w:hideMark/>
          </w:tcPr>
          <w:p w14:paraId="4041240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0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9 623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9 678 </w:t>
            </w:r>
          </w:p>
        </w:tc>
      </w:tr>
      <w:tr w:rsidR="002809FB" w:rsidRPr="005978DF" w14:paraId="4041241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0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Reino Unido de Gran Bretaña e Irlanda del Norte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4,375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6,176</w:t>
            </w:r>
          </w:p>
        </w:tc>
        <w:tc>
          <w:tcPr>
            <w:tcW w:w="426" w:type="dxa"/>
            <w:tcBorders>
              <w:top w:val="nil"/>
              <w:left w:val="nil"/>
              <w:bottom w:val="nil"/>
              <w:right w:val="nil"/>
            </w:tcBorders>
            <w:noWrap/>
            <w:vAlign w:val="center"/>
            <w:hideMark/>
          </w:tcPr>
          <w:p w14:paraId="4041240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0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172 667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171 473 </w:t>
            </w:r>
          </w:p>
        </w:tc>
        <w:tc>
          <w:tcPr>
            <w:tcW w:w="425" w:type="dxa"/>
            <w:tcBorders>
              <w:top w:val="nil"/>
              <w:left w:val="nil"/>
              <w:bottom w:val="nil"/>
              <w:right w:val="nil"/>
            </w:tcBorders>
            <w:noWrap/>
            <w:vAlign w:val="center"/>
            <w:hideMark/>
          </w:tcPr>
          <w:p w14:paraId="4041240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1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156 514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157 397 </w:t>
            </w:r>
          </w:p>
        </w:tc>
      </w:tr>
      <w:tr w:rsidR="002809FB" w:rsidRPr="005978DF" w14:paraId="4041241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1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Árabe Siria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0,013</w:t>
            </w:r>
          </w:p>
        </w:tc>
        <w:tc>
          <w:tcPr>
            <w:tcW w:w="426" w:type="dxa"/>
            <w:tcBorders>
              <w:top w:val="nil"/>
              <w:left w:val="nil"/>
              <w:bottom w:val="nil"/>
              <w:right w:val="nil"/>
            </w:tcBorders>
            <w:noWrap/>
            <w:vAlign w:val="center"/>
            <w:hideMark/>
          </w:tcPr>
          <w:p w14:paraId="4041241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1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353 </w:t>
            </w:r>
          </w:p>
        </w:tc>
        <w:tc>
          <w:tcPr>
            <w:tcW w:w="425" w:type="dxa"/>
            <w:tcBorders>
              <w:top w:val="nil"/>
              <w:left w:val="nil"/>
              <w:bottom w:val="nil"/>
              <w:right w:val="nil"/>
            </w:tcBorders>
            <w:noWrap/>
            <w:vAlign w:val="center"/>
            <w:hideMark/>
          </w:tcPr>
          <w:p w14:paraId="4041241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1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324 </w:t>
            </w:r>
          </w:p>
        </w:tc>
      </w:tr>
      <w:tr w:rsidR="002809FB" w:rsidRPr="005978DF" w14:paraId="4041242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1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Centroafricana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42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2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39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39</w:t>
            </w:r>
          </w:p>
        </w:tc>
        <w:tc>
          <w:tcPr>
            <w:tcW w:w="425" w:type="dxa"/>
            <w:tcBorders>
              <w:top w:val="nil"/>
              <w:left w:val="nil"/>
              <w:bottom w:val="nil"/>
              <w:right w:val="nil"/>
            </w:tcBorders>
            <w:noWrap/>
            <w:vAlign w:val="center"/>
            <w:hideMark/>
          </w:tcPr>
          <w:p w14:paraId="4041242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2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43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2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 Corea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2,574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3,634</w:t>
            </w:r>
          </w:p>
        </w:tc>
        <w:tc>
          <w:tcPr>
            <w:tcW w:w="426" w:type="dxa"/>
            <w:tcBorders>
              <w:top w:val="nil"/>
              <w:left w:val="nil"/>
              <w:bottom w:val="nil"/>
              <w:right w:val="nil"/>
            </w:tcBorders>
            <w:noWrap/>
            <w:vAlign w:val="center"/>
            <w:hideMark/>
          </w:tcPr>
          <w:p w14:paraId="4041242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2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eastAsia="zh-CN"/>
              </w:rPr>
              <w:t>101 588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eastAsia="zh-CN"/>
              </w:rPr>
              <w:t>100 884</w:t>
            </w:r>
          </w:p>
        </w:tc>
        <w:tc>
          <w:tcPr>
            <w:tcW w:w="425" w:type="dxa"/>
            <w:tcBorders>
              <w:top w:val="nil"/>
              <w:left w:val="nil"/>
              <w:bottom w:val="nil"/>
              <w:right w:val="nil"/>
            </w:tcBorders>
            <w:noWrap/>
            <w:vAlign w:val="center"/>
            <w:hideMark/>
          </w:tcPr>
          <w:p w14:paraId="4041242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2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92 084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92 603 </w:t>
            </w:r>
          </w:p>
        </w:tc>
      </w:tr>
      <w:tr w:rsidR="002809FB" w:rsidRPr="005978DF" w14:paraId="4041243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3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 Moldova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426" w:type="dxa"/>
            <w:tcBorders>
              <w:top w:val="nil"/>
              <w:left w:val="nil"/>
              <w:bottom w:val="nil"/>
              <w:right w:val="nil"/>
            </w:tcBorders>
            <w:noWrap/>
            <w:vAlign w:val="center"/>
            <w:hideMark/>
          </w:tcPr>
          <w:p w14:paraId="4041243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3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196 </w:t>
            </w:r>
          </w:p>
        </w:tc>
        <w:tc>
          <w:tcPr>
            <w:tcW w:w="425" w:type="dxa"/>
            <w:tcBorders>
              <w:top w:val="nil"/>
              <w:left w:val="nil"/>
              <w:bottom w:val="nil"/>
              <w:right w:val="nil"/>
            </w:tcBorders>
            <w:noWrap/>
            <w:vAlign w:val="center"/>
            <w:hideMark/>
          </w:tcPr>
          <w:p w14:paraId="4041243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3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180 </w:t>
            </w:r>
          </w:p>
        </w:tc>
      </w:tr>
      <w:tr w:rsidR="002809FB" w:rsidRPr="005978DF" w14:paraId="4041244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3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Democrática del Congo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43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3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44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4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44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4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Democrática Popular Lao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44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4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274 </w:t>
            </w:r>
          </w:p>
        </w:tc>
        <w:tc>
          <w:tcPr>
            <w:tcW w:w="425" w:type="dxa"/>
            <w:tcBorders>
              <w:top w:val="nil"/>
              <w:left w:val="nil"/>
              <w:bottom w:val="nil"/>
              <w:right w:val="nil"/>
            </w:tcBorders>
            <w:noWrap/>
            <w:vAlign w:val="center"/>
            <w:hideMark/>
          </w:tcPr>
          <w:p w14:paraId="4041244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4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252 </w:t>
            </w:r>
          </w:p>
        </w:tc>
      </w:tr>
      <w:tr w:rsidR="002809FB" w:rsidRPr="005978DF" w14:paraId="4041245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4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Dominicana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0,067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0,095</w:t>
            </w:r>
          </w:p>
        </w:tc>
        <w:tc>
          <w:tcPr>
            <w:tcW w:w="426" w:type="dxa"/>
            <w:tcBorders>
              <w:top w:val="nil"/>
              <w:left w:val="nil"/>
              <w:bottom w:val="nil"/>
              <w:right w:val="nil"/>
            </w:tcBorders>
            <w:noWrap/>
            <w:vAlign w:val="center"/>
            <w:hideMark/>
          </w:tcPr>
          <w:p w14:paraId="4041245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5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eastAsia="zh-CN"/>
              </w:rPr>
              <w:t>2 644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eastAsia="zh-CN"/>
              </w:rPr>
              <w:t>2 626</w:t>
            </w:r>
          </w:p>
        </w:tc>
        <w:tc>
          <w:tcPr>
            <w:tcW w:w="425" w:type="dxa"/>
            <w:tcBorders>
              <w:top w:val="nil"/>
              <w:left w:val="nil"/>
              <w:bottom w:val="nil"/>
              <w:right w:val="nil"/>
            </w:tcBorders>
            <w:noWrap/>
            <w:vAlign w:val="center"/>
            <w:hideMark/>
          </w:tcPr>
          <w:p w14:paraId="4041245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5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2 397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2 410 </w:t>
            </w:r>
          </w:p>
        </w:tc>
      </w:tr>
      <w:tr w:rsidR="002809FB" w:rsidRPr="005978DF" w14:paraId="4041246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5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República Popular Democrática de Corea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426" w:type="dxa"/>
            <w:tcBorders>
              <w:top w:val="nil"/>
              <w:left w:val="nil"/>
              <w:bottom w:val="nil"/>
              <w:right w:val="nil"/>
            </w:tcBorders>
            <w:noWrap/>
            <w:vAlign w:val="center"/>
            <w:hideMark/>
          </w:tcPr>
          <w:p w14:paraId="4041245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5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196 </w:t>
            </w:r>
          </w:p>
        </w:tc>
        <w:tc>
          <w:tcPr>
            <w:tcW w:w="425" w:type="dxa"/>
            <w:tcBorders>
              <w:top w:val="nil"/>
              <w:left w:val="nil"/>
              <w:bottom w:val="nil"/>
              <w:right w:val="nil"/>
            </w:tcBorders>
            <w:noWrap/>
            <w:vAlign w:val="center"/>
            <w:hideMark/>
          </w:tcPr>
          <w:p w14:paraId="4041245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6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180 </w:t>
            </w:r>
          </w:p>
        </w:tc>
      </w:tr>
      <w:tr w:rsidR="002809FB" w:rsidRPr="005978DF" w14:paraId="4041246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6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República Unida de </w:t>
            </w:r>
            <w:proofErr w:type="spellStart"/>
            <w:r w:rsidRPr="000F4C79">
              <w:rPr>
                <w:rFonts w:asciiTheme="minorHAnsi" w:hAnsiTheme="minorHAnsi" w:cstheme="minorHAnsi"/>
                <w:sz w:val="16"/>
                <w:szCs w:val="16"/>
                <w:lang w:val="es-ES"/>
              </w:rPr>
              <w:t>Tanzanía</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4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46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6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46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6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47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6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Ruanda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426" w:type="dxa"/>
            <w:tcBorders>
              <w:top w:val="nil"/>
              <w:left w:val="nil"/>
              <w:bottom w:val="nil"/>
              <w:right w:val="nil"/>
            </w:tcBorders>
            <w:noWrap/>
            <w:vAlign w:val="center"/>
            <w:hideMark/>
          </w:tcPr>
          <w:p w14:paraId="4041247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7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118</w:t>
            </w:r>
          </w:p>
        </w:tc>
        <w:tc>
          <w:tcPr>
            <w:tcW w:w="425" w:type="dxa"/>
            <w:tcBorders>
              <w:top w:val="nil"/>
              <w:left w:val="nil"/>
              <w:bottom w:val="nil"/>
              <w:right w:val="nil"/>
            </w:tcBorders>
            <w:noWrap/>
            <w:vAlign w:val="center"/>
            <w:hideMark/>
          </w:tcPr>
          <w:p w14:paraId="4041247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7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108 </w:t>
            </w:r>
          </w:p>
        </w:tc>
      </w:tr>
      <w:tr w:rsidR="002809FB" w:rsidRPr="005978DF" w14:paraId="4041248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7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Rumania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0,312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0,440</w:t>
            </w:r>
          </w:p>
        </w:tc>
        <w:tc>
          <w:tcPr>
            <w:tcW w:w="426" w:type="dxa"/>
            <w:tcBorders>
              <w:top w:val="nil"/>
              <w:left w:val="nil"/>
              <w:bottom w:val="nil"/>
              <w:right w:val="nil"/>
            </w:tcBorders>
            <w:noWrap/>
            <w:vAlign w:val="center"/>
            <w:hideMark/>
          </w:tcPr>
          <w:p w14:paraId="4041247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7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12 314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7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12 229</w:t>
            </w:r>
          </w:p>
        </w:tc>
        <w:tc>
          <w:tcPr>
            <w:tcW w:w="425" w:type="dxa"/>
            <w:tcBorders>
              <w:top w:val="nil"/>
              <w:left w:val="nil"/>
              <w:bottom w:val="nil"/>
              <w:right w:val="nil"/>
            </w:tcBorders>
            <w:noWrap/>
            <w:vAlign w:val="center"/>
            <w:hideMark/>
          </w:tcPr>
          <w:p w14:paraId="4041247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7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11 162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11 225 </w:t>
            </w:r>
          </w:p>
        </w:tc>
      </w:tr>
      <w:tr w:rsidR="002809FB" w:rsidRPr="005978DF" w14:paraId="4041248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8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Saint </w:t>
            </w:r>
            <w:proofErr w:type="spellStart"/>
            <w:r w:rsidRPr="000F4C79">
              <w:rPr>
                <w:rFonts w:asciiTheme="minorHAnsi" w:hAnsiTheme="minorHAnsi" w:cstheme="minorHAnsi"/>
                <w:sz w:val="16"/>
                <w:szCs w:val="16"/>
                <w:lang w:val="es-ES"/>
              </w:rPr>
              <w:t>Kitts</w:t>
            </w:r>
            <w:proofErr w:type="spellEnd"/>
            <w:r w:rsidRPr="000F4C79">
              <w:rPr>
                <w:rFonts w:asciiTheme="minorHAnsi" w:hAnsiTheme="minorHAnsi" w:cstheme="minorHAnsi"/>
                <w:sz w:val="16"/>
                <w:szCs w:val="16"/>
                <w:lang w:val="es-ES"/>
              </w:rPr>
              <w:t xml:space="preserve"> y </w:t>
            </w:r>
            <w:proofErr w:type="spellStart"/>
            <w:r w:rsidRPr="000F4C79">
              <w:rPr>
                <w:rFonts w:asciiTheme="minorHAnsi" w:hAnsiTheme="minorHAnsi" w:cstheme="minorHAnsi"/>
                <w:sz w:val="16"/>
                <w:szCs w:val="16"/>
                <w:lang w:val="es-ES"/>
              </w:rPr>
              <w:t>Nevis</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4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48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8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48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8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49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8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Samoa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48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8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49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9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49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9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lastRenderedPageBreak/>
              <w:t xml:space="preserve">San Vicente y las </w:t>
            </w:r>
            <w:proofErr w:type="gramStart"/>
            <w:r w:rsidRPr="000F4C79">
              <w:rPr>
                <w:rFonts w:asciiTheme="minorHAnsi" w:hAnsiTheme="minorHAnsi" w:cstheme="minorHAnsi"/>
                <w:sz w:val="16"/>
                <w:szCs w:val="16"/>
                <w:lang w:val="es-ES"/>
              </w:rPr>
              <w:t>Granadinas</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4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49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9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49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9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4A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9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Santa Lucía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4A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A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4A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A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4B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A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Senegal</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4A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A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274 </w:t>
            </w:r>
          </w:p>
        </w:tc>
        <w:tc>
          <w:tcPr>
            <w:tcW w:w="425" w:type="dxa"/>
            <w:tcBorders>
              <w:top w:val="nil"/>
              <w:left w:val="nil"/>
              <w:bottom w:val="nil"/>
              <w:right w:val="nil"/>
            </w:tcBorders>
            <w:noWrap/>
            <w:vAlign w:val="center"/>
            <w:hideMark/>
          </w:tcPr>
          <w:p w14:paraId="404124A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B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252 </w:t>
            </w:r>
          </w:p>
        </w:tc>
      </w:tr>
      <w:tr w:rsidR="002809FB" w:rsidRPr="005978DF" w14:paraId="404124B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B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Serbia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0,045</w:t>
            </w:r>
          </w:p>
        </w:tc>
        <w:tc>
          <w:tcPr>
            <w:tcW w:w="426" w:type="dxa"/>
            <w:tcBorders>
              <w:top w:val="nil"/>
              <w:left w:val="nil"/>
              <w:bottom w:val="nil"/>
              <w:right w:val="nil"/>
            </w:tcBorders>
            <w:noWrap/>
            <w:vAlign w:val="center"/>
            <w:hideMark/>
          </w:tcPr>
          <w:p w14:paraId="404124B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B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1 254 </w:t>
            </w:r>
          </w:p>
        </w:tc>
        <w:tc>
          <w:tcPr>
            <w:tcW w:w="425" w:type="dxa"/>
            <w:tcBorders>
              <w:top w:val="nil"/>
              <w:left w:val="nil"/>
              <w:bottom w:val="nil"/>
              <w:right w:val="nil"/>
            </w:tcBorders>
            <w:noWrap/>
            <w:vAlign w:val="center"/>
            <w:hideMark/>
          </w:tcPr>
          <w:p w14:paraId="404124B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B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1 151 </w:t>
            </w:r>
          </w:p>
        </w:tc>
      </w:tr>
      <w:tr w:rsidR="002809FB" w:rsidRPr="005978DF" w14:paraId="404124C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B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Seychelles</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4C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C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4C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C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4D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C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Sierra Leona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4C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C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C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4C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C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C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4D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D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Somalia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D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D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4D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D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D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4D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D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D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4E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D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Sri Lanka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D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D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0,064</w:t>
            </w:r>
          </w:p>
        </w:tc>
        <w:tc>
          <w:tcPr>
            <w:tcW w:w="426" w:type="dxa"/>
            <w:tcBorders>
              <w:top w:val="nil"/>
              <w:left w:val="nil"/>
              <w:bottom w:val="nil"/>
              <w:right w:val="nil"/>
            </w:tcBorders>
            <w:noWrap/>
            <w:vAlign w:val="center"/>
            <w:hideMark/>
          </w:tcPr>
          <w:p w14:paraId="404124D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D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1 776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E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1 764 </w:t>
            </w:r>
          </w:p>
        </w:tc>
        <w:tc>
          <w:tcPr>
            <w:tcW w:w="425" w:type="dxa"/>
            <w:tcBorders>
              <w:top w:val="nil"/>
              <w:left w:val="nil"/>
              <w:bottom w:val="nil"/>
              <w:right w:val="nil"/>
            </w:tcBorders>
            <w:noWrap/>
            <w:vAlign w:val="center"/>
            <w:hideMark/>
          </w:tcPr>
          <w:p w14:paraId="404124E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E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E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1 619 </w:t>
            </w:r>
          </w:p>
        </w:tc>
      </w:tr>
      <w:tr w:rsidR="002809FB" w:rsidRPr="005978DF" w14:paraId="404124E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E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Sudáfrica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E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0,244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E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0,344</w:t>
            </w:r>
          </w:p>
        </w:tc>
        <w:tc>
          <w:tcPr>
            <w:tcW w:w="426" w:type="dxa"/>
            <w:tcBorders>
              <w:top w:val="nil"/>
              <w:left w:val="nil"/>
              <w:bottom w:val="nil"/>
              <w:right w:val="nil"/>
            </w:tcBorders>
            <w:noWrap/>
            <w:vAlign w:val="center"/>
            <w:hideMark/>
          </w:tcPr>
          <w:p w14:paraId="404124E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E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9 630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E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9 563 </w:t>
            </w:r>
          </w:p>
        </w:tc>
        <w:tc>
          <w:tcPr>
            <w:tcW w:w="425" w:type="dxa"/>
            <w:tcBorders>
              <w:top w:val="nil"/>
              <w:left w:val="nil"/>
              <w:bottom w:val="nil"/>
              <w:right w:val="nil"/>
            </w:tcBorders>
            <w:noWrap/>
            <w:vAlign w:val="center"/>
            <w:hideMark/>
          </w:tcPr>
          <w:p w14:paraId="404124E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E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8 729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E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8 778 </w:t>
            </w:r>
          </w:p>
        </w:tc>
      </w:tr>
      <w:tr w:rsidR="002809FB" w:rsidRPr="005978DF" w14:paraId="404124F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E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Sudán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F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F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4F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F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F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278</w:t>
            </w:r>
          </w:p>
        </w:tc>
        <w:tc>
          <w:tcPr>
            <w:tcW w:w="425" w:type="dxa"/>
            <w:tcBorders>
              <w:top w:val="nil"/>
              <w:left w:val="nil"/>
              <w:bottom w:val="nil"/>
              <w:right w:val="nil"/>
            </w:tcBorders>
            <w:noWrap/>
            <w:vAlign w:val="center"/>
            <w:hideMark/>
          </w:tcPr>
          <w:p w14:paraId="404124F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F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F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50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4F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Suecia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4F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0,871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4F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1,230</w:t>
            </w:r>
          </w:p>
        </w:tc>
        <w:tc>
          <w:tcPr>
            <w:tcW w:w="426" w:type="dxa"/>
            <w:tcBorders>
              <w:top w:val="nil"/>
              <w:left w:val="nil"/>
              <w:bottom w:val="nil"/>
              <w:right w:val="nil"/>
            </w:tcBorders>
            <w:noWrap/>
            <w:vAlign w:val="center"/>
            <w:hideMark/>
          </w:tcPr>
          <w:p w14:paraId="404124F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4F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eastAsia="zh-CN"/>
              </w:rPr>
              <w:t>34 376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4F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34 137 </w:t>
            </w:r>
          </w:p>
        </w:tc>
        <w:tc>
          <w:tcPr>
            <w:tcW w:w="425" w:type="dxa"/>
            <w:tcBorders>
              <w:top w:val="nil"/>
              <w:left w:val="nil"/>
              <w:bottom w:val="nil"/>
              <w:right w:val="nil"/>
            </w:tcBorders>
            <w:noWrap/>
            <w:vAlign w:val="center"/>
            <w:hideMark/>
          </w:tcPr>
          <w:p w14:paraId="404124F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0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31 160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0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31 335 </w:t>
            </w:r>
          </w:p>
        </w:tc>
      </w:tr>
      <w:tr w:rsidR="002809FB" w:rsidRPr="005978DF" w14:paraId="4041250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0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Suiza </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0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1,134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0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1,601</w:t>
            </w:r>
          </w:p>
        </w:tc>
        <w:tc>
          <w:tcPr>
            <w:tcW w:w="426" w:type="dxa"/>
            <w:tcBorders>
              <w:top w:val="nil"/>
              <w:left w:val="nil"/>
              <w:bottom w:val="nil"/>
              <w:right w:val="nil"/>
            </w:tcBorders>
            <w:noWrap/>
            <w:vAlign w:val="center"/>
            <w:hideMark/>
          </w:tcPr>
          <w:p w14:paraId="4041250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0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44 756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0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44 446 </w:t>
            </w:r>
          </w:p>
        </w:tc>
        <w:tc>
          <w:tcPr>
            <w:tcW w:w="425" w:type="dxa"/>
            <w:tcBorders>
              <w:top w:val="nil"/>
              <w:left w:val="nil"/>
              <w:bottom w:val="nil"/>
              <w:right w:val="nil"/>
            </w:tcBorders>
            <w:noWrap/>
            <w:vAlign w:val="center"/>
            <w:hideMark/>
          </w:tcPr>
          <w:p w14:paraId="4041250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0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40 569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0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40 797 </w:t>
            </w:r>
          </w:p>
        </w:tc>
      </w:tr>
      <w:tr w:rsidR="002809FB" w:rsidRPr="005978DF" w14:paraId="4041251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0D"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Suriname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50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0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426" w:type="dxa"/>
            <w:tcBorders>
              <w:top w:val="nil"/>
              <w:left w:val="nil"/>
              <w:bottom w:val="nil"/>
              <w:right w:val="nil"/>
            </w:tcBorders>
            <w:noWrap/>
            <w:vAlign w:val="center"/>
            <w:hideMark/>
          </w:tcPr>
          <w:p w14:paraId="4041251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1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1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425" w:type="dxa"/>
            <w:tcBorders>
              <w:top w:val="nil"/>
              <w:left w:val="nil"/>
              <w:bottom w:val="nil"/>
              <w:right w:val="nil"/>
            </w:tcBorders>
            <w:noWrap/>
            <w:vAlign w:val="center"/>
            <w:hideMark/>
          </w:tcPr>
          <w:p w14:paraId="4041251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1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1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108 </w:t>
            </w:r>
          </w:p>
        </w:tc>
      </w:tr>
      <w:tr w:rsidR="002809FB" w:rsidRPr="005978DF" w14:paraId="4041252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1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Tailandia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1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0,368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1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0,520</w:t>
            </w:r>
          </w:p>
        </w:tc>
        <w:tc>
          <w:tcPr>
            <w:tcW w:w="426" w:type="dxa"/>
            <w:tcBorders>
              <w:top w:val="nil"/>
              <w:left w:val="nil"/>
              <w:bottom w:val="nil"/>
              <w:right w:val="nil"/>
            </w:tcBorders>
            <w:noWrap/>
            <w:vAlign w:val="center"/>
            <w:hideMark/>
          </w:tcPr>
          <w:p w14:paraId="4041251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1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14 524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1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14 422 </w:t>
            </w:r>
          </w:p>
        </w:tc>
        <w:tc>
          <w:tcPr>
            <w:tcW w:w="425" w:type="dxa"/>
            <w:tcBorders>
              <w:top w:val="nil"/>
              <w:left w:val="nil"/>
              <w:bottom w:val="nil"/>
              <w:right w:val="nil"/>
            </w:tcBorders>
            <w:noWrap/>
            <w:vAlign w:val="center"/>
            <w:hideMark/>
          </w:tcPr>
          <w:p w14:paraId="4041251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1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13 165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1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13 239 </w:t>
            </w:r>
          </w:p>
        </w:tc>
      </w:tr>
      <w:tr w:rsidR="002809FB" w:rsidRPr="005978DF" w14:paraId="4041252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2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Tayikistán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2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2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0,004</w:t>
            </w:r>
          </w:p>
        </w:tc>
        <w:tc>
          <w:tcPr>
            <w:tcW w:w="426" w:type="dxa"/>
            <w:tcBorders>
              <w:top w:val="nil"/>
              <w:left w:val="nil"/>
              <w:bottom w:val="nil"/>
              <w:right w:val="nil"/>
            </w:tcBorders>
            <w:noWrap/>
            <w:vAlign w:val="center"/>
            <w:hideMark/>
          </w:tcPr>
          <w:p w14:paraId="4041252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2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2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118 </w:t>
            </w:r>
          </w:p>
        </w:tc>
        <w:tc>
          <w:tcPr>
            <w:tcW w:w="425" w:type="dxa"/>
            <w:tcBorders>
              <w:top w:val="nil"/>
              <w:left w:val="nil"/>
              <w:bottom w:val="nil"/>
              <w:right w:val="nil"/>
            </w:tcBorders>
            <w:noWrap/>
            <w:vAlign w:val="center"/>
            <w:hideMark/>
          </w:tcPr>
          <w:p w14:paraId="4041252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2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2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108 </w:t>
            </w:r>
          </w:p>
        </w:tc>
      </w:tr>
      <w:tr w:rsidR="002809FB" w:rsidRPr="005978DF" w14:paraId="4041253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2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Togo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2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2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0,003</w:t>
            </w:r>
          </w:p>
        </w:tc>
        <w:tc>
          <w:tcPr>
            <w:tcW w:w="426" w:type="dxa"/>
            <w:tcBorders>
              <w:top w:val="nil"/>
              <w:left w:val="nil"/>
              <w:bottom w:val="nil"/>
              <w:right w:val="nil"/>
            </w:tcBorders>
            <w:noWrap/>
            <w:vAlign w:val="center"/>
            <w:hideMark/>
          </w:tcPr>
          <w:p w14:paraId="4041252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2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3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78 </w:t>
            </w:r>
          </w:p>
        </w:tc>
        <w:tc>
          <w:tcPr>
            <w:tcW w:w="425" w:type="dxa"/>
            <w:tcBorders>
              <w:top w:val="nil"/>
              <w:left w:val="nil"/>
              <w:bottom w:val="nil"/>
              <w:right w:val="nil"/>
            </w:tcBorders>
            <w:noWrap/>
            <w:vAlign w:val="center"/>
            <w:hideMark/>
          </w:tcPr>
          <w:p w14:paraId="4041253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3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3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72 </w:t>
            </w:r>
          </w:p>
        </w:tc>
      </w:tr>
      <w:tr w:rsidR="002809FB" w:rsidRPr="005978DF" w14:paraId="4041253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3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Tonga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3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3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0,001</w:t>
            </w:r>
          </w:p>
        </w:tc>
        <w:tc>
          <w:tcPr>
            <w:tcW w:w="426" w:type="dxa"/>
            <w:tcBorders>
              <w:top w:val="nil"/>
              <w:left w:val="nil"/>
              <w:bottom w:val="nil"/>
              <w:right w:val="nil"/>
            </w:tcBorders>
            <w:noWrap/>
            <w:vAlign w:val="center"/>
            <w:hideMark/>
          </w:tcPr>
          <w:p w14:paraId="4041253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3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3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39 </w:t>
            </w:r>
          </w:p>
        </w:tc>
        <w:tc>
          <w:tcPr>
            <w:tcW w:w="425" w:type="dxa"/>
            <w:tcBorders>
              <w:top w:val="nil"/>
              <w:left w:val="nil"/>
              <w:bottom w:val="nil"/>
              <w:right w:val="nil"/>
            </w:tcBorders>
            <w:noWrap/>
            <w:vAlign w:val="center"/>
            <w:hideMark/>
          </w:tcPr>
          <w:p w14:paraId="4041253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3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3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36 </w:t>
            </w:r>
          </w:p>
        </w:tc>
      </w:tr>
      <w:tr w:rsidR="002809FB" w:rsidRPr="005978DF" w14:paraId="4041254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3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Trinidad y Tobago</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4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4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0,052</w:t>
            </w:r>
          </w:p>
        </w:tc>
        <w:tc>
          <w:tcPr>
            <w:tcW w:w="426" w:type="dxa"/>
            <w:tcBorders>
              <w:top w:val="nil"/>
              <w:left w:val="nil"/>
              <w:bottom w:val="nil"/>
              <w:right w:val="nil"/>
            </w:tcBorders>
            <w:noWrap/>
            <w:vAlign w:val="center"/>
            <w:hideMark/>
          </w:tcPr>
          <w:p w14:paraId="4041254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4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4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1 450 </w:t>
            </w:r>
          </w:p>
        </w:tc>
        <w:tc>
          <w:tcPr>
            <w:tcW w:w="425" w:type="dxa"/>
            <w:tcBorders>
              <w:top w:val="nil"/>
              <w:left w:val="nil"/>
              <w:bottom w:val="nil"/>
              <w:right w:val="nil"/>
            </w:tcBorders>
            <w:noWrap/>
            <w:vAlign w:val="center"/>
            <w:hideMark/>
          </w:tcPr>
          <w:p w14:paraId="4041254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4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4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1 331 </w:t>
            </w:r>
          </w:p>
        </w:tc>
      </w:tr>
      <w:tr w:rsidR="002809FB" w:rsidRPr="005978DF" w14:paraId="4041255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4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Túnez</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4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0,019</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4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0,027</w:t>
            </w:r>
          </w:p>
        </w:tc>
        <w:tc>
          <w:tcPr>
            <w:tcW w:w="426" w:type="dxa"/>
            <w:tcBorders>
              <w:top w:val="nil"/>
              <w:left w:val="nil"/>
              <w:bottom w:val="nil"/>
              <w:right w:val="nil"/>
            </w:tcBorders>
            <w:noWrap/>
            <w:vAlign w:val="center"/>
            <w:hideMark/>
          </w:tcPr>
          <w:p w14:paraId="4041254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4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4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745 </w:t>
            </w:r>
          </w:p>
        </w:tc>
        <w:tc>
          <w:tcPr>
            <w:tcW w:w="425" w:type="dxa"/>
            <w:tcBorders>
              <w:top w:val="nil"/>
              <w:left w:val="nil"/>
              <w:bottom w:val="nil"/>
              <w:right w:val="nil"/>
            </w:tcBorders>
            <w:noWrap/>
            <w:vAlign w:val="center"/>
            <w:hideMark/>
          </w:tcPr>
          <w:p w14:paraId="4041254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5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5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684 </w:t>
            </w:r>
          </w:p>
        </w:tc>
      </w:tr>
      <w:tr w:rsidR="002809FB" w:rsidRPr="005978DF" w14:paraId="4041255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5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Turkmenistán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5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0,034</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5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0,048</w:t>
            </w:r>
          </w:p>
        </w:tc>
        <w:tc>
          <w:tcPr>
            <w:tcW w:w="426" w:type="dxa"/>
            <w:tcBorders>
              <w:top w:val="nil"/>
              <w:left w:val="nil"/>
              <w:bottom w:val="nil"/>
              <w:right w:val="nil"/>
            </w:tcBorders>
            <w:noWrap/>
            <w:vAlign w:val="center"/>
            <w:hideMark/>
          </w:tcPr>
          <w:p w14:paraId="4041255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5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5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1 333 </w:t>
            </w:r>
          </w:p>
        </w:tc>
        <w:tc>
          <w:tcPr>
            <w:tcW w:w="425" w:type="dxa"/>
            <w:tcBorders>
              <w:top w:val="nil"/>
              <w:left w:val="nil"/>
              <w:bottom w:val="nil"/>
              <w:right w:val="nil"/>
            </w:tcBorders>
            <w:noWrap/>
            <w:vAlign w:val="center"/>
            <w:hideMark/>
          </w:tcPr>
          <w:p w14:paraId="4041255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5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5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1 223 </w:t>
            </w:r>
          </w:p>
        </w:tc>
      </w:tr>
      <w:tr w:rsidR="002809FB" w:rsidRPr="005978DF" w14:paraId="4041256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5D" w14:textId="77777777" w:rsidR="002809FB" w:rsidRPr="000F4C79" w:rsidRDefault="00275B21"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Türkiye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55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0,845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5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1,193</w:t>
            </w:r>
          </w:p>
        </w:tc>
        <w:tc>
          <w:tcPr>
            <w:tcW w:w="426" w:type="dxa"/>
            <w:tcBorders>
              <w:top w:val="nil"/>
              <w:left w:val="nil"/>
              <w:bottom w:val="nil"/>
              <w:right w:val="nil"/>
            </w:tcBorders>
            <w:noWrap/>
            <w:vAlign w:val="center"/>
            <w:hideMark/>
          </w:tcPr>
          <w:p w14:paraId="4041256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6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33 350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6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33 118 </w:t>
            </w:r>
          </w:p>
        </w:tc>
        <w:tc>
          <w:tcPr>
            <w:tcW w:w="425" w:type="dxa"/>
            <w:tcBorders>
              <w:top w:val="nil"/>
              <w:left w:val="nil"/>
              <w:bottom w:val="nil"/>
              <w:right w:val="nil"/>
            </w:tcBorders>
            <w:noWrap/>
            <w:vAlign w:val="center"/>
            <w:hideMark/>
          </w:tcPr>
          <w:p w14:paraId="4041256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6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30 230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6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30 399 </w:t>
            </w:r>
          </w:p>
        </w:tc>
      </w:tr>
      <w:tr w:rsidR="002809FB" w:rsidRPr="005978DF" w14:paraId="4041257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6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Ucrania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6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0,056</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6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0,079</w:t>
            </w:r>
          </w:p>
        </w:tc>
        <w:tc>
          <w:tcPr>
            <w:tcW w:w="426" w:type="dxa"/>
            <w:tcBorders>
              <w:top w:val="nil"/>
              <w:left w:val="nil"/>
              <w:bottom w:val="nil"/>
              <w:right w:val="nil"/>
            </w:tcBorders>
            <w:noWrap/>
            <w:vAlign w:val="center"/>
            <w:hideMark/>
          </w:tcPr>
          <w:p w14:paraId="4041256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6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2 210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6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2 195 </w:t>
            </w:r>
          </w:p>
        </w:tc>
        <w:tc>
          <w:tcPr>
            <w:tcW w:w="425" w:type="dxa"/>
            <w:tcBorders>
              <w:top w:val="nil"/>
              <w:left w:val="nil"/>
              <w:bottom w:val="nil"/>
              <w:right w:val="nil"/>
            </w:tcBorders>
            <w:noWrap/>
            <w:vAlign w:val="center"/>
            <w:hideMark/>
          </w:tcPr>
          <w:p w14:paraId="4041256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6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2 003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6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2 015 </w:t>
            </w:r>
          </w:p>
        </w:tc>
      </w:tr>
      <w:tr w:rsidR="002809FB" w:rsidRPr="005978DF" w14:paraId="4041257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71"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Uganda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7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7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57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7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7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57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7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7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584"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7B"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Unión Europea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7C" w14:textId="77777777" w:rsidR="002809FB" w:rsidRPr="000F4C79" w:rsidRDefault="002809FB" w:rsidP="0049064A">
            <w:pPr>
              <w:rPr>
                <w:rFonts w:asciiTheme="minorHAnsi" w:hAnsiTheme="minorHAnsi" w:cstheme="minorHAnsi"/>
                <w:sz w:val="16"/>
                <w:szCs w:val="16"/>
                <w:lang w:val="es-ES" w:eastAsia="zh-CN"/>
              </w:rPr>
            </w:pPr>
            <w:r w:rsidRPr="000F4C79">
              <w:rPr>
                <w:rFonts w:asciiTheme="minorHAnsi" w:hAnsiTheme="minorHAnsi" w:cstheme="minorHAnsi"/>
                <w:sz w:val="16"/>
                <w:szCs w:val="16"/>
                <w:lang w:val="es-ES"/>
              </w:rPr>
              <w:t> </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7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2,500</w:t>
            </w:r>
          </w:p>
        </w:tc>
        <w:tc>
          <w:tcPr>
            <w:tcW w:w="426" w:type="dxa"/>
            <w:tcBorders>
              <w:top w:val="nil"/>
              <w:left w:val="nil"/>
              <w:bottom w:val="nil"/>
              <w:right w:val="nil"/>
            </w:tcBorders>
            <w:noWrap/>
            <w:vAlign w:val="center"/>
            <w:hideMark/>
          </w:tcPr>
          <w:p w14:paraId="4041257E"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7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eastAsia="zh-CN"/>
              </w:rPr>
              <w:t>69 890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8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eastAsia="zh-CN"/>
              </w:rPr>
              <w:t>69 408</w:t>
            </w:r>
          </w:p>
        </w:tc>
        <w:tc>
          <w:tcPr>
            <w:tcW w:w="425" w:type="dxa"/>
            <w:tcBorders>
              <w:top w:val="nil"/>
              <w:left w:val="nil"/>
              <w:bottom w:val="nil"/>
              <w:right w:val="nil"/>
            </w:tcBorders>
            <w:noWrap/>
            <w:vAlign w:val="center"/>
            <w:hideMark/>
          </w:tcPr>
          <w:p w14:paraId="40412581"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8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63 353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8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63 710 </w:t>
            </w:r>
          </w:p>
        </w:tc>
      </w:tr>
      <w:tr w:rsidR="002809FB" w:rsidRPr="005978DF" w14:paraId="4041258E"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85"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Uruguay</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8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8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0,130</w:t>
            </w:r>
          </w:p>
        </w:tc>
        <w:tc>
          <w:tcPr>
            <w:tcW w:w="426" w:type="dxa"/>
            <w:tcBorders>
              <w:top w:val="nil"/>
              <w:left w:val="nil"/>
              <w:bottom w:val="nil"/>
              <w:right w:val="nil"/>
            </w:tcBorders>
            <w:noWrap/>
            <w:vAlign w:val="center"/>
            <w:hideMark/>
          </w:tcPr>
          <w:p w14:paraId="40412588"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8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8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3 606 </w:t>
            </w:r>
          </w:p>
        </w:tc>
        <w:tc>
          <w:tcPr>
            <w:tcW w:w="425" w:type="dxa"/>
            <w:tcBorders>
              <w:top w:val="nil"/>
              <w:left w:val="nil"/>
              <w:bottom w:val="nil"/>
              <w:right w:val="nil"/>
            </w:tcBorders>
            <w:noWrap/>
            <w:vAlign w:val="center"/>
            <w:hideMark/>
          </w:tcPr>
          <w:p w14:paraId="4041258B"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8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3 291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8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3 310 </w:t>
            </w:r>
          </w:p>
        </w:tc>
      </w:tr>
      <w:tr w:rsidR="002809FB" w:rsidRPr="005978DF" w14:paraId="40412598"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8F"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Uzbekistán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9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0,027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9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0,038</w:t>
            </w:r>
          </w:p>
        </w:tc>
        <w:tc>
          <w:tcPr>
            <w:tcW w:w="426" w:type="dxa"/>
            <w:tcBorders>
              <w:top w:val="nil"/>
              <w:left w:val="nil"/>
              <w:bottom w:val="nil"/>
              <w:right w:val="nil"/>
            </w:tcBorders>
            <w:noWrap/>
            <w:vAlign w:val="center"/>
            <w:hideMark/>
          </w:tcPr>
          <w:p w14:paraId="40412592"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9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1 066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9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1 058 </w:t>
            </w:r>
          </w:p>
        </w:tc>
        <w:tc>
          <w:tcPr>
            <w:tcW w:w="425" w:type="dxa"/>
            <w:tcBorders>
              <w:top w:val="nil"/>
              <w:left w:val="nil"/>
              <w:bottom w:val="nil"/>
              <w:right w:val="nil"/>
            </w:tcBorders>
            <w:noWrap/>
            <w:vAlign w:val="center"/>
            <w:hideMark/>
          </w:tcPr>
          <w:p w14:paraId="40412595"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9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966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9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971 </w:t>
            </w:r>
          </w:p>
        </w:tc>
      </w:tr>
      <w:tr w:rsidR="002809FB" w:rsidRPr="005978DF" w14:paraId="404125A2"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99"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Venezuela (República Bolivariana de)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9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0,175</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9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0,247</w:t>
            </w:r>
          </w:p>
        </w:tc>
        <w:tc>
          <w:tcPr>
            <w:tcW w:w="426" w:type="dxa"/>
            <w:tcBorders>
              <w:top w:val="nil"/>
              <w:left w:val="nil"/>
              <w:bottom w:val="nil"/>
              <w:right w:val="nil"/>
            </w:tcBorders>
            <w:noWrap/>
            <w:vAlign w:val="center"/>
            <w:hideMark/>
          </w:tcPr>
          <w:p w14:paraId="4041259C"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9D"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6 907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9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6 859 </w:t>
            </w:r>
          </w:p>
        </w:tc>
        <w:tc>
          <w:tcPr>
            <w:tcW w:w="425" w:type="dxa"/>
            <w:tcBorders>
              <w:top w:val="nil"/>
              <w:left w:val="nil"/>
              <w:bottom w:val="nil"/>
              <w:right w:val="nil"/>
            </w:tcBorders>
            <w:noWrap/>
            <w:vAlign w:val="center"/>
            <w:hideMark/>
          </w:tcPr>
          <w:p w14:paraId="4041259F"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A0"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6 261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A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6 296 </w:t>
            </w:r>
          </w:p>
        </w:tc>
      </w:tr>
      <w:tr w:rsidR="002809FB" w:rsidRPr="005978DF" w14:paraId="404125AC"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A3"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Vietnam</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A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0,093</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A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0,131</w:t>
            </w:r>
          </w:p>
        </w:tc>
        <w:tc>
          <w:tcPr>
            <w:tcW w:w="426" w:type="dxa"/>
            <w:tcBorders>
              <w:top w:val="nil"/>
              <w:left w:val="nil"/>
              <w:bottom w:val="nil"/>
              <w:right w:val="nil"/>
            </w:tcBorders>
            <w:noWrap/>
            <w:vAlign w:val="center"/>
            <w:hideMark/>
          </w:tcPr>
          <w:p w14:paraId="404125A6"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A7"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3 670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A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3 645 </w:t>
            </w:r>
          </w:p>
        </w:tc>
        <w:tc>
          <w:tcPr>
            <w:tcW w:w="425" w:type="dxa"/>
            <w:tcBorders>
              <w:top w:val="nil"/>
              <w:left w:val="nil"/>
              <w:bottom w:val="nil"/>
              <w:right w:val="nil"/>
            </w:tcBorders>
            <w:noWrap/>
            <w:vAlign w:val="center"/>
            <w:hideMark/>
          </w:tcPr>
          <w:p w14:paraId="404125A9"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AA"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A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3 346 </w:t>
            </w:r>
          </w:p>
        </w:tc>
      </w:tr>
      <w:tr w:rsidR="002809FB" w:rsidRPr="005978DF" w14:paraId="404125B6"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AD"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Yemen</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A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A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5B0"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B1"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B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5B3"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B4"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B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5C0"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B7" w14:textId="77777777" w:rsidR="002809FB" w:rsidRPr="000F4C79" w:rsidRDefault="002809FB" w:rsidP="0049064A">
            <w:pPr>
              <w:rPr>
                <w:rFonts w:asciiTheme="minorHAnsi" w:hAnsiTheme="minorHAnsi" w:cstheme="minorHAnsi"/>
                <w:sz w:val="16"/>
                <w:szCs w:val="16"/>
                <w:lang w:val="es-ES"/>
              </w:rPr>
            </w:pPr>
            <w:r w:rsidRPr="000F4C79">
              <w:rPr>
                <w:rFonts w:asciiTheme="minorHAnsi" w:hAnsiTheme="minorHAnsi" w:cstheme="minorHAnsi"/>
                <w:sz w:val="16"/>
                <w:szCs w:val="16"/>
                <w:lang w:val="es-ES"/>
              </w:rPr>
              <w:t>Zambia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4125B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0,008</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B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5BA"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BB"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BC"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278 </w:t>
            </w:r>
          </w:p>
        </w:tc>
        <w:tc>
          <w:tcPr>
            <w:tcW w:w="425" w:type="dxa"/>
            <w:tcBorders>
              <w:top w:val="nil"/>
              <w:left w:val="nil"/>
              <w:bottom w:val="nil"/>
              <w:right w:val="nil"/>
            </w:tcBorders>
            <w:noWrap/>
            <w:vAlign w:val="center"/>
            <w:hideMark/>
          </w:tcPr>
          <w:p w14:paraId="404125BD"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BE"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BF"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255 </w:t>
            </w:r>
          </w:p>
        </w:tc>
      </w:tr>
      <w:tr w:rsidR="002809FB" w:rsidRPr="005978DF" w14:paraId="404125CA" w14:textId="77777777" w:rsidTr="0049064A">
        <w:tc>
          <w:tcPr>
            <w:tcW w:w="0" w:type="auto"/>
            <w:tcBorders>
              <w:top w:val="single" w:sz="4" w:space="0" w:color="auto"/>
              <w:left w:val="single" w:sz="4" w:space="0" w:color="auto"/>
              <w:bottom w:val="single" w:sz="4" w:space="0" w:color="auto"/>
              <w:right w:val="single" w:sz="4" w:space="0" w:color="auto"/>
            </w:tcBorders>
            <w:vAlign w:val="center"/>
            <w:hideMark/>
          </w:tcPr>
          <w:p w14:paraId="404125C1" w14:textId="77777777" w:rsidR="002809FB" w:rsidRPr="000F4C79" w:rsidRDefault="002809FB" w:rsidP="0049064A">
            <w:pPr>
              <w:rPr>
                <w:rFonts w:asciiTheme="minorHAnsi" w:hAnsiTheme="minorHAnsi" w:cstheme="minorHAnsi"/>
                <w:sz w:val="16"/>
                <w:szCs w:val="16"/>
                <w:lang w:val="es-ES"/>
              </w:rPr>
            </w:pPr>
            <w:proofErr w:type="spellStart"/>
            <w:r w:rsidRPr="000F4C79">
              <w:rPr>
                <w:rFonts w:asciiTheme="minorHAnsi" w:hAnsiTheme="minorHAnsi" w:cstheme="minorHAnsi"/>
                <w:sz w:val="16"/>
                <w:szCs w:val="16"/>
                <w:lang w:val="es-ES"/>
              </w:rPr>
              <w:t>Zimbabwe</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04125C2"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0,007</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C3"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0,010</w:t>
            </w:r>
          </w:p>
        </w:tc>
        <w:tc>
          <w:tcPr>
            <w:tcW w:w="426" w:type="dxa"/>
            <w:tcBorders>
              <w:top w:val="nil"/>
              <w:left w:val="nil"/>
              <w:bottom w:val="nil"/>
              <w:right w:val="nil"/>
            </w:tcBorders>
            <w:noWrap/>
            <w:vAlign w:val="center"/>
            <w:hideMark/>
          </w:tcPr>
          <w:p w14:paraId="404125C4"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04125C5"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276</w:t>
            </w:r>
          </w:p>
        </w:tc>
        <w:tc>
          <w:tcPr>
            <w:tcW w:w="1418" w:type="dxa"/>
            <w:tcBorders>
              <w:top w:val="single" w:sz="4" w:space="0" w:color="auto"/>
              <w:left w:val="single" w:sz="4" w:space="0" w:color="auto"/>
              <w:bottom w:val="single" w:sz="4" w:space="0" w:color="auto"/>
              <w:right w:val="single" w:sz="4" w:space="0" w:color="auto"/>
            </w:tcBorders>
            <w:noWrap/>
            <w:vAlign w:val="center"/>
          </w:tcPr>
          <w:p w14:paraId="404125C6"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274</w:t>
            </w:r>
          </w:p>
        </w:tc>
        <w:tc>
          <w:tcPr>
            <w:tcW w:w="425" w:type="dxa"/>
            <w:tcBorders>
              <w:top w:val="nil"/>
              <w:left w:val="nil"/>
              <w:bottom w:val="nil"/>
              <w:right w:val="nil"/>
            </w:tcBorders>
            <w:noWrap/>
            <w:vAlign w:val="center"/>
            <w:hideMark/>
          </w:tcPr>
          <w:p w14:paraId="404125C7" w14:textId="77777777" w:rsidR="002809FB" w:rsidRPr="000F4C79" w:rsidRDefault="002809FB" w:rsidP="0049064A">
            <w:pPr>
              <w:jc w:val="right"/>
              <w:rPr>
                <w:rFonts w:asciiTheme="minorHAnsi" w:hAnsiTheme="minorHAnsi" w:cstheme="minorHAns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C8"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C9" w14:textId="77777777" w:rsidR="002809FB" w:rsidRPr="000F4C79" w:rsidRDefault="002809FB" w:rsidP="0049064A">
            <w:pPr>
              <w:jc w:val="right"/>
              <w:rPr>
                <w:rFonts w:asciiTheme="minorHAnsi" w:hAnsiTheme="minorHAnsi" w:cstheme="minorHAnsi"/>
                <w:sz w:val="16"/>
                <w:szCs w:val="16"/>
                <w:lang w:val="es-ES"/>
              </w:rPr>
            </w:pPr>
            <w:r w:rsidRPr="000F4C79">
              <w:rPr>
                <w:rFonts w:asciiTheme="minorHAnsi" w:hAnsiTheme="minorHAnsi" w:cstheme="minorHAnsi"/>
                <w:sz w:val="16"/>
                <w:szCs w:val="16"/>
                <w:lang w:val="es-ES"/>
              </w:rPr>
              <w:t xml:space="preserve">252 </w:t>
            </w:r>
          </w:p>
        </w:tc>
      </w:tr>
      <w:tr w:rsidR="002809FB" w:rsidRPr="005978DF" w14:paraId="404125D4" w14:textId="77777777" w:rsidTr="0049064A">
        <w:tc>
          <w:tcPr>
            <w:tcW w:w="0" w:type="auto"/>
            <w:tcBorders>
              <w:top w:val="single" w:sz="4" w:space="0" w:color="auto"/>
              <w:left w:val="single" w:sz="4" w:space="0" w:color="auto"/>
              <w:bottom w:val="single" w:sz="4" w:space="0" w:color="auto"/>
              <w:right w:val="single" w:sz="4" w:space="0" w:color="auto"/>
            </w:tcBorders>
            <w:noWrap/>
            <w:vAlign w:val="center"/>
            <w:hideMark/>
          </w:tcPr>
          <w:p w14:paraId="404125CB" w14:textId="77777777" w:rsidR="002809FB" w:rsidRPr="000F4C79" w:rsidRDefault="002809FB" w:rsidP="0049064A">
            <w:pPr>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Total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4125CC"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69,092</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404125CD"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100,000</w:t>
            </w:r>
          </w:p>
        </w:tc>
        <w:tc>
          <w:tcPr>
            <w:tcW w:w="426" w:type="dxa"/>
            <w:tcBorders>
              <w:top w:val="nil"/>
              <w:left w:val="nil"/>
              <w:bottom w:val="nil"/>
              <w:right w:val="nil"/>
            </w:tcBorders>
            <w:noWrap/>
            <w:vAlign w:val="center"/>
            <w:hideMark/>
          </w:tcPr>
          <w:p w14:paraId="404125CE" w14:textId="77777777" w:rsidR="002809FB" w:rsidRPr="000F4C79" w:rsidRDefault="002809FB" w:rsidP="0049064A">
            <w:pPr>
              <w:jc w:val="right"/>
              <w:rPr>
                <w:rFonts w:asciiTheme="minorHAnsi" w:hAnsiTheme="minorHAnsi" w:cstheme="minorHAnsi"/>
                <w:b/>
                <w:bCs/>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04125CF"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2 795 600 </w:t>
            </w:r>
          </w:p>
        </w:tc>
        <w:tc>
          <w:tcPr>
            <w:tcW w:w="1418" w:type="dxa"/>
            <w:tcBorders>
              <w:top w:val="single" w:sz="4" w:space="0" w:color="auto"/>
              <w:left w:val="single" w:sz="4" w:space="0" w:color="auto"/>
              <w:bottom w:val="single" w:sz="4" w:space="0" w:color="auto"/>
              <w:right w:val="single" w:sz="4" w:space="0" w:color="auto"/>
            </w:tcBorders>
            <w:noWrap/>
            <w:vAlign w:val="center"/>
          </w:tcPr>
          <w:p w14:paraId="404125D0"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2 776 300 </w:t>
            </w:r>
          </w:p>
        </w:tc>
        <w:tc>
          <w:tcPr>
            <w:tcW w:w="425" w:type="dxa"/>
            <w:tcBorders>
              <w:top w:val="nil"/>
              <w:left w:val="nil"/>
              <w:bottom w:val="nil"/>
              <w:right w:val="nil"/>
            </w:tcBorders>
            <w:noWrap/>
            <w:vAlign w:val="center"/>
            <w:hideMark/>
          </w:tcPr>
          <w:p w14:paraId="404125D1" w14:textId="77777777" w:rsidR="002809FB" w:rsidRPr="000F4C79" w:rsidRDefault="002809FB" w:rsidP="0049064A">
            <w:pPr>
              <w:jc w:val="right"/>
              <w:rPr>
                <w:rFonts w:asciiTheme="minorHAnsi" w:hAnsiTheme="minorHAnsi" w:cstheme="minorHAnsi"/>
                <w:b/>
                <w:bCs/>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D2"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2 534 100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D3" w14:textId="77777777" w:rsidR="002809FB" w:rsidRPr="000F4C79" w:rsidRDefault="002809FB" w:rsidP="0049064A">
            <w:pPr>
              <w:jc w:val="right"/>
              <w:rPr>
                <w:rFonts w:asciiTheme="minorHAnsi" w:hAnsiTheme="minorHAnsi" w:cstheme="minorHAnsi"/>
                <w:b/>
                <w:bCs/>
                <w:sz w:val="16"/>
                <w:szCs w:val="16"/>
                <w:lang w:val="es-ES"/>
              </w:rPr>
            </w:pPr>
            <w:r w:rsidRPr="000F4C79">
              <w:rPr>
                <w:rFonts w:asciiTheme="minorHAnsi" w:hAnsiTheme="minorHAnsi" w:cstheme="minorHAnsi"/>
                <w:b/>
                <w:bCs/>
                <w:sz w:val="16"/>
                <w:szCs w:val="16"/>
                <w:lang w:val="es-ES"/>
              </w:rPr>
              <w:t xml:space="preserve">2 548 400 </w:t>
            </w:r>
          </w:p>
        </w:tc>
      </w:tr>
    </w:tbl>
    <w:p w14:paraId="404125D5" w14:textId="77777777" w:rsidR="002809FB" w:rsidRPr="005978DF" w:rsidRDefault="002809FB" w:rsidP="002809FB">
      <w:pPr>
        <w:rPr>
          <w:rFonts w:eastAsia="Calibri"/>
          <w:lang w:val="es-ES"/>
        </w:rPr>
      </w:pPr>
    </w:p>
    <w:p w14:paraId="404125D6" w14:textId="77777777" w:rsidR="002809FB" w:rsidRPr="005978DF" w:rsidRDefault="002809FB" w:rsidP="002809FB">
      <w:pPr>
        <w:rPr>
          <w:lang w:val="es-ES"/>
        </w:rPr>
      </w:pPr>
      <w:r w:rsidRPr="005978DF">
        <w:rPr>
          <w:lang w:val="es-ES"/>
        </w:rPr>
        <w:br w:type="page"/>
      </w:r>
    </w:p>
    <w:p w14:paraId="404125D7" w14:textId="77777777" w:rsidR="002809FB" w:rsidRPr="005978DF" w:rsidRDefault="002809FB" w:rsidP="002809FB">
      <w:pPr>
        <w:pStyle w:val="Heading2"/>
        <w:rPr>
          <w:rFonts w:eastAsia="Calibri"/>
          <w:lang w:val="es-ES"/>
        </w:rPr>
      </w:pPr>
      <w:r w:rsidRPr="005978DF">
        <w:rPr>
          <w:lang w:val="es-ES"/>
        </w:rPr>
        <w:lastRenderedPageBreak/>
        <w:t>C.</w:t>
      </w:r>
      <w:r w:rsidRPr="005978DF">
        <w:rPr>
          <w:lang w:val="es-ES"/>
        </w:rPr>
        <w:tab/>
        <w:t>Fondo Fiduciario para el Protocolo de Nagoya sobre Acceso a los Recursos Genéticos</w:t>
      </w:r>
    </w:p>
    <w:tbl>
      <w:tblPr>
        <w:tblpPr w:leftFromText="180" w:rightFromText="180" w:vertAnchor="text" w:horzAnchor="margin" w:tblpXSpec="center" w:tblpY="407"/>
        <w:tblW w:w="10349" w:type="dxa"/>
        <w:tblLayout w:type="fixed"/>
        <w:tblCellMar>
          <w:top w:w="15" w:type="dxa"/>
          <w:bottom w:w="15" w:type="dxa"/>
        </w:tblCellMar>
        <w:tblLook w:val="04A0" w:firstRow="1" w:lastRow="0" w:firstColumn="1" w:lastColumn="0" w:noHBand="0" w:noVBand="1"/>
      </w:tblPr>
      <w:tblGrid>
        <w:gridCol w:w="1426"/>
        <w:gridCol w:w="1021"/>
        <w:gridCol w:w="1381"/>
        <w:gridCol w:w="426"/>
        <w:gridCol w:w="1417"/>
        <w:gridCol w:w="1418"/>
        <w:gridCol w:w="425"/>
        <w:gridCol w:w="1417"/>
        <w:gridCol w:w="1418"/>
      </w:tblGrid>
      <w:tr w:rsidR="002809FB" w:rsidRPr="006A6E89" w14:paraId="404125DF" w14:textId="77777777" w:rsidTr="0049064A">
        <w:trPr>
          <w:trHeight w:val="285"/>
        </w:trPr>
        <w:tc>
          <w:tcPr>
            <w:tcW w:w="1426" w:type="dxa"/>
            <w:vMerge w:val="restart"/>
            <w:tcBorders>
              <w:top w:val="single" w:sz="4" w:space="0" w:color="auto"/>
              <w:left w:val="single" w:sz="4" w:space="0" w:color="auto"/>
              <w:bottom w:val="nil"/>
              <w:right w:val="single" w:sz="4" w:space="0" w:color="auto"/>
            </w:tcBorders>
            <w:noWrap/>
            <w:vAlign w:val="center"/>
            <w:hideMark/>
          </w:tcPr>
          <w:p w14:paraId="404125D8"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País Miembro</w:t>
            </w:r>
          </w:p>
        </w:tc>
        <w:tc>
          <w:tcPr>
            <w:tcW w:w="1021" w:type="dxa"/>
            <w:vMerge w:val="restart"/>
            <w:tcBorders>
              <w:top w:val="single" w:sz="4" w:space="0" w:color="auto"/>
              <w:left w:val="single" w:sz="4" w:space="0" w:color="auto"/>
              <w:bottom w:val="nil"/>
              <w:right w:val="nil"/>
            </w:tcBorders>
            <w:vAlign w:val="center"/>
            <w:hideMark/>
          </w:tcPr>
          <w:p w14:paraId="404125D9"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Escala de cuotas 2022-2024</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404125DA"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Escala con un límite máximo de 22</w:t>
            </w:r>
            <w:r w:rsidR="000F4C79">
              <w:rPr>
                <w:rFonts w:ascii="Calibri" w:hAnsi="Calibri"/>
                <w:b/>
                <w:bCs/>
                <w:sz w:val="16"/>
                <w:szCs w:val="16"/>
                <w:lang w:val="es-ES"/>
              </w:rPr>
              <w:t> </w:t>
            </w:r>
            <w:r w:rsidRPr="005978DF">
              <w:rPr>
                <w:rFonts w:ascii="Calibri" w:hAnsi="Calibri"/>
                <w:b/>
                <w:bCs/>
                <w:sz w:val="16"/>
                <w:szCs w:val="16"/>
                <w:lang w:val="es-ES"/>
              </w:rPr>
              <w:t>%, ningún PMA paga más del 0,01</w:t>
            </w:r>
            <w:r w:rsidR="000F4C79">
              <w:rPr>
                <w:rFonts w:ascii="Calibri" w:hAnsi="Calibri"/>
                <w:b/>
                <w:bCs/>
                <w:sz w:val="16"/>
                <w:szCs w:val="16"/>
                <w:lang w:val="es-ES"/>
              </w:rPr>
              <w:t> </w:t>
            </w:r>
            <w:r w:rsidRPr="005978DF">
              <w:rPr>
                <w:rFonts w:ascii="Calibri" w:hAnsi="Calibri"/>
                <w:b/>
                <w:bCs/>
                <w:sz w:val="16"/>
                <w:szCs w:val="16"/>
                <w:lang w:val="es-ES"/>
              </w:rPr>
              <w:t>%</w:t>
            </w:r>
          </w:p>
        </w:tc>
        <w:tc>
          <w:tcPr>
            <w:tcW w:w="426" w:type="dxa"/>
            <w:tcBorders>
              <w:top w:val="nil"/>
              <w:left w:val="nil"/>
              <w:bottom w:val="nil"/>
              <w:right w:val="nil"/>
            </w:tcBorders>
            <w:noWrap/>
            <w:vAlign w:val="center"/>
            <w:hideMark/>
          </w:tcPr>
          <w:p w14:paraId="404125DB" w14:textId="77777777" w:rsidR="002809FB" w:rsidRPr="005978DF" w:rsidRDefault="002809FB" w:rsidP="0049064A">
            <w:pPr>
              <w:jc w:val="center"/>
              <w:rPr>
                <w:rFonts w:ascii="Calibri" w:hAnsi="Calibri" w:cstheme="majorBidi"/>
                <w:b/>
                <w:bCs/>
                <w:sz w:val="16"/>
                <w:szCs w:val="16"/>
                <w:lang w:val="es-ES" w:eastAsia="zh-CN"/>
              </w:rPr>
            </w:pPr>
          </w:p>
        </w:tc>
        <w:tc>
          <w:tcPr>
            <w:tcW w:w="2835" w:type="dxa"/>
            <w:gridSpan w:val="2"/>
            <w:tcBorders>
              <w:top w:val="single" w:sz="4" w:space="0" w:color="auto"/>
              <w:left w:val="single" w:sz="4" w:space="0" w:color="auto"/>
              <w:bottom w:val="single" w:sz="4" w:space="0" w:color="auto"/>
              <w:right w:val="nil"/>
            </w:tcBorders>
            <w:shd w:val="clear" w:color="000000" w:fill="595959"/>
            <w:noWrap/>
            <w:vAlign w:val="center"/>
            <w:hideMark/>
          </w:tcPr>
          <w:p w14:paraId="404125DC" w14:textId="77777777" w:rsidR="002809FB" w:rsidRPr="005978DF" w:rsidRDefault="002809FB" w:rsidP="0049064A">
            <w:pPr>
              <w:jc w:val="center"/>
              <w:rPr>
                <w:rFonts w:ascii="Calibri" w:hAnsi="Calibri" w:cstheme="majorBidi"/>
                <w:b/>
                <w:bCs/>
                <w:color w:val="FFFFFF"/>
                <w:sz w:val="16"/>
                <w:szCs w:val="16"/>
                <w:lang w:val="es-ES"/>
              </w:rPr>
            </w:pPr>
            <w:r w:rsidRPr="005978DF">
              <w:rPr>
                <w:rFonts w:ascii="Calibri" w:hAnsi="Calibri"/>
                <w:b/>
                <w:bCs/>
                <w:color w:val="FFFFFF"/>
                <w:sz w:val="16"/>
                <w:szCs w:val="16"/>
                <w:lang w:val="es-ES"/>
              </w:rPr>
              <w:t>Hipótesis de crecimiento real nulo - 8%</w:t>
            </w:r>
          </w:p>
        </w:tc>
        <w:tc>
          <w:tcPr>
            <w:tcW w:w="425" w:type="dxa"/>
            <w:tcBorders>
              <w:top w:val="nil"/>
              <w:left w:val="nil"/>
              <w:bottom w:val="nil"/>
              <w:right w:val="nil"/>
            </w:tcBorders>
            <w:noWrap/>
            <w:vAlign w:val="center"/>
            <w:hideMark/>
          </w:tcPr>
          <w:p w14:paraId="404125DD" w14:textId="77777777" w:rsidR="002809FB" w:rsidRPr="005978DF" w:rsidRDefault="002809FB" w:rsidP="0049064A">
            <w:pPr>
              <w:jc w:val="center"/>
              <w:rPr>
                <w:rFonts w:ascii="Calibri" w:hAnsi="Calibri" w:cstheme="majorBidi"/>
                <w:b/>
                <w:bCs/>
                <w:color w:val="FFFFFF"/>
                <w:sz w:val="16"/>
                <w:szCs w:val="16"/>
                <w:lang w:val="es-ES"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04125DE"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Hipótesis de crecimiento nominal nulo - 0%</w:t>
            </w:r>
          </w:p>
        </w:tc>
      </w:tr>
      <w:tr w:rsidR="002809FB" w:rsidRPr="006A6E89" w14:paraId="404125E9" w14:textId="77777777" w:rsidTr="0049064A">
        <w:trPr>
          <w:trHeight w:val="930"/>
        </w:trPr>
        <w:tc>
          <w:tcPr>
            <w:tcW w:w="1426" w:type="dxa"/>
            <w:vMerge/>
            <w:tcBorders>
              <w:top w:val="single" w:sz="4" w:space="0" w:color="auto"/>
              <w:left w:val="single" w:sz="4" w:space="0" w:color="auto"/>
              <w:bottom w:val="nil"/>
              <w:right w:val="single" w:sz="4" w:space="0" w:color="auto"/>
            </w:tcBorders>
            <w:vAlign w:val="center"/>
            <w:hideMark/>
          </w:tcPr>
          <w:p w14:paraId="404125E0" w14:textId="77777777" w:rsidR="002809FB" w:rsidRPr="005978DF" w:rsidRDefault="002809FB" w:rsidP="0049064A">
            <w:pPr>
              <w:rPr>
                <w:rFonts w:ascii="Calibri" w:hAnsi="Calibri" w:cstheme="majorBidi"/>
                <w:b/>
                <w:bCs/>
                <w:sz w:val="16"/>
                <w:szCs w:val="16"/>
                <w:lang w:val="es-ES" w:eastAsia="zh-CN"/>
              </w:rPr>
            </w:pPr>
          </w:p>
        </w:tc>
        <w:tc>
          <w:tcPr>
            <w:tcW w:w="1021" w:type="dxa"/>
            <w:vMerge/>
            <w:tcBorders>
              <w:top w:val="single" w:sz="4" w:space="0" w:color="auto"/>
              <w:left w:val="single" w:sz="4" w:space="0" w:color="auto"/>
              <w:bottom w:val="nil"/>
              <w:right w:val="nil"/>
            </w:tcBorders>
            <w:vAlign w:val="center"/>
            <w:hideMark/>
          </w:tcPr>
          <w:p w14:paraId="404125E1" w14:textId="77777777" w:rsidR="002809FB" w:rsidRPr="005978DF" w:rsidRDefault="002809FB" w:rsidP="0049064A">
            <w:pPr>
              <w:rPr>
                <w:rFonts w:ascii="Calibri" w:hAnsi="Calibri" w:cstheme="majorBidi"/>
                <w:b/>
                <w:bCs/>
                <w:sz w:val="16"/>
                <w:szCs w:val="16"/>
                <w:lang w:val="es-ES" w:eastAsia="zh-CN"/>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404125E2" w14:textId="77777777" w:rsidR="002809FB" w:rsidRPr="005978DF" w:rsidRDefault="002809FB" w:rsidP="0049064A">
            <w:pPr>
              <w:rPr>
                <w:rFonts w:ascii="Calibri" w:hAnsi="Calibri" w:cstheme="majorBidi"/>
                <w:b/>
                <w:bCs/>
                <w:sz w:val="16"/>
                <w:szCs w:val="16"/>
                <w:lang w:val="es-ES" w:eastAsia="zh-CN"/>
              </w:rPr>
            </w:pPr>
          </w:p>
        </w:tc>
        <w:tc>
          <w:tcPr>
            <w:tcW w:w="426" w:type="dxa"/>
            <w:tcBorders>
              <w:top w:val="nil"/>
              <w:left w:val="nil"/>
              <w:bottom w:val="nil"/>
              <w:right w:val="nil"/>
            </w:tcBorders>
            <w:noWrap/>
            <w:vAlign w:val="center"/>
            <w:hideMark/>
          </w:tcPr>
          <w:p w14:paraId="404125E3" w14:textId="77777777" w:rsidR="002809FB" w:rsidRPr="005978DF" w:rsidRDefault="002809FB" w:rsidP="0049064A">
            <w:pPr>
              <w:jc w:val="center"/>
              <w:rPr>
                <w:rFonts w:ascii="Calibri" w:hAnsi="Calibri" w:cstheme="majorBidi"/>
                <w:b/>
                <w:bCs/>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04125E4"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Contribuciones al 1 de enero de 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04125E5"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Contribuciones al 1 de enero de 2024</w:t>
            </w:r>
          </w:p>
        </w:tc>
        <w:tc>
          <w:tcPr>
            <w:tcW w:w="425" w:type="dxa"/>
            <w:tcBorders>
              <w:top w:val="nil"/>
              <w:left w:val="nil"/>
              <w:bottom w:val="nil"/>
              <w:right w:val="nil"/>
            </w:tcBorders>
            <w:noWrap/>
            <w:vAlign w:val="center"/>
            <w:hideMark/>
          </w:tcPr>
          <w:p w14:paraId="404125E6" w14:textId="77777777" w:rsidR="002809FB" w:rsidRPr="005978DF" w:rsidRDefault="002809FB" w:rsidP="0049064A">
            <w:pPr>
              <w:jc w:val="center"/>
              <w:rPr>
                <w:rFonts w:ascii="Calibri" w:hAnsi="Calibri" w:cstheme="majorBidi"/>
                <w:b/>
                <w:bCs/>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04125E7"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Contribuciones al 1 de enero de 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04125E8" w14:textId="77777777" w:rsidR="002809FB" w:rsidRPr="005978DF" w:rsidRDefault="002809FB" w:rsidP="0049064A">
            <w:pPr>
              <w:jc w:val="center"/>
              <w:rPr>
                <w:rFonts w:ascii="Calibri" w:hAnsi="Calibri" w:cstheme="majorBidi"/>
                <w:b/>
                <w:bCs/>
                <w:sz w:val="16"/>
                <w:szCs w:val="16"/>
                <w:lang w:val="es-ES"/>
              </w:rPr>
            </w:pPr>
            <w:r w:rsidRPr="005978DF">
              <w:rPr>
                <w:rFonts w:ascii="Calibri" w:hAnsi="Calibri"/>
                <w:b/>
                <w:bCs/>
                <w:sz w:val="16"/>
                <w:szCs w:val="16"/>
                <w:lang w:val="es-ES"/>
              </w:rPr>
              <w:t>Contribuciones al 1 de enero de 2024</w:t>
            </w:r>
          </w:p>
        </w:tc>
      </w:tr>
      <w:tr w:rsidR="002809FB" w:rsidRPr="005978DF" w14:paraId="404125F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5EA" w14:textId="77777777" w:rsidR="002809FB" w:rsidRPr="005978DF" w:rsidRDefault="002809FB" w:rsidP="0049064A">
            <w:pPr>
              <w:rPr>
                <w:rFonts w:ascii="Calibri" w:hAnsi="Calibri" w:cs="Times New Roman (Headings CS)"/>
                <w:sz w:val="16"/>
                <w:szCs w:val="16"/>
                <w:lang w:val="es-ES"/>
              </w:rPr>
            </w:pPr>
            <w:r w:rsidRPr="005978DF">
              <w:rPr>
                <w:rFonts w:ascii="Calibri" w:hAnsi="Calibri"/>
                <w:sz w:val="16"/>
                <w:szCs w:val="16"/>
                <w:lang w:val="es-ES"/>
              </w:rPr>
              <w:t>Afganistán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5E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5E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0,009</w:t>
            </w:r>
          </w:p>
        </w:tc>
        <w:tc>
          <w:tcPr>
            <w:tcW w:w="426" w:type="dxa"/>
            <w:tcBorders>
              <w:top w:val="nil"/>
              <w:left w:val="nil"/>
              <w:bottom w:val="nil"/>
              <w:right w:val="nil"/>
            </w:tcBorders>
            <w:noWrap/>
            <w:vAlign w:val="center"/>
            <w:hideMark/>
          </w:tcPr>
          <w:p w14:paraId="404125E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E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E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226 </w:t>
            </w:r>
          </w:p>
        </w:tc>
        <w:tc>
          <w:tcPr>
            <w:tcW w:w="425" w:type="dxa"/>
            <w:tcBorders>
              <w:top w:val="nil"/>
              <w:left w:val="nil"/>
              <w:bottom w:val="nil"/>
              <w:right w:val="nil"/>
            </w:tcBorders>
            <w:noWrap/>
            <w:vAlign w:val="center"/>
            <w:hideMark/>
          </w:tcPr>
          <w:p w14:paraId="404125F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F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F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207 </w:t>
            </w:r>
          </w:p>
        </w:tc>
      </w:tr>
      <w:tr w:rsidR="002809FB" w:rsidRPr="005978DF" w14:paraId="404125F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5F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 xml:space="preserve">Albania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5F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5F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0,013</w:t>
            </w:r>
          </w:p>
        </w:tc>
        <w:tc>
          <w:tcPr>
            <w:tcW w:w="426" w:type="dxa"/>
            <w:tcBorders>
              <w:top w:val="nil"/>
              <w:left w:val="nil"/>
              <w:bottom w:val="nil"/>
              <w:right w:val="nil"/>
            </w:tcBorders>
            <w:noWrap/>
            <w:vAlign w:val="center"/>
            <w:hideMark/>
          </w:tcPr>
          <w:p w14:paraId="404125F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F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F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301 </w:t>
            </w:r>
          </w:p>
        </w:tc>
        <w:tc>
          <w:tcPr>
            <w:tcW w:w="425" w:type="dxa"/>
            <w:tcBorders>
              <w:top w:val="nil"/>
              <w:left w:val="nil"/>
              <w:bottom w:val="nil"/>
              <w:right w:val="nil"/>
            </w:tcBorders>
            <w:noWrap/>
            <w:vAlign w:val="center"/>
            <w:hideMark/>
          </w:tcPr>
          <w:p w14:paraId="404125F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5F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5F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276 </w:t>
            </w:r>
          </w:p>
        </w:tc>
      </w:tr>
      <w:tr w:rsidR="002809FB" w:rsidRPr="005978DF" w14:paraId="4041260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5F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Alemania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5F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6,111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0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9,558</w:t>
            </w:r>
          </w:p>
        </w:tc>
        <w:tc>
          <w:tcPr>
            <w:tcW w:w="426" w:type="dxa"/>
            <w:tcBorders>
              <w:top w:val="nil"/>
              <w:left w:val="nil"/>
              <w:bottom w:val="nil"/>
              <w:right w:val="nil"/>
            </w:tcBorders>
            <w:noWrap/>
            <w:vAlign w:val="center"/>
            <w:hideMark/>
          </w:tcPr>
          <w:p w14:paraId="4041260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0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231 573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0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229 976 </w:t>
            </w:r>
          </w:p>
        </w:tc>
        <w:tc>
          <w:tcPr>
            <w:tcW w:w="425" w:type="dxa"/>
            <w:tcBorders>
              <w:top w:val="nil"/>
              <w:left w:val="nil"/>
              <w:bottom w:val="nil"/>
              <w:right w:val="nil"/>
            </w:tcBorders>
            <w:noWrap/>
            <w:vAlign w:val="center"/>
            <w:hideMark/>
          </w:tcPr>
          <w:p w14:paraId="4041260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0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209 915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0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211 100 </w:t>
            </w:r>
          </w:p>
        </w:tc>
      </w:tr>
      <w:tr w:rsidR="002809FB" w:rsidRPr="005978DF" w14:paraId="4041261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0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Angola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0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0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60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0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0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60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0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1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61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1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Antigua y Barbuda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1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1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61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1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1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61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1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1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62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1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Arabia Saudita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1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1,184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1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1,852</w:t>
            </w:r>
          </w:p>
        </w:tc>
        <w:tc>
          <w:tcPr>
            <w:tcW w:w="426" w:type="dxa"/>
            <w:tcBorders>
              <w:top w:val="nil"/>
              <w:left w:val="nil"/>
              <w:bottom w:val="nil"/>
              <w:right w:val="nil"/>
            </w:tcBorders>
            <w:noWrap/>
            <w:vAlign w:val="center"/>
            <w:hideMark/>
          </w:tcPr>
          <w:p w14:paraId="4041261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2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44 867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2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44 558 </w:t>
            </w:r>
          </w:p>
        </w:tc>
        <w:tc>
          <w:tcPr>
            <w:tcW w:w="425" w:type="dxa"/>
            <w:tcBorders>
              <w:top w:val="nil"/>
              <w:left w:val="nil"/>
              <w:bottom w:val="nil"/>
              <w:right w:val="nil"/>
            </w:tcBorders>
            <w:noWrap/>
            <w:vAlign w:val="center"/>
            <w:hideMark/>
          </w:tcPr>
          <w:p w14:paraId="4041262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2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40 672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2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40 899 </w:t>
            </w:r>
          </w:p>
        </w:tc>
      </w:tr>
      <w:tr w:rsidR="002809FB" w:rsidRPr="005978DF" w14:paraId="4041262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2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Argentina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2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0,719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2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1,125</w:t>
            </w:r>
          </w:p>
        </w:tc>
        <w:tc>
          <w:tcPr>
            <w:tcW w:w="426" w:type="dxa"/>
            <w:tcBorders>
              <w:top w:val="nil"/>
              <w:left w:val="nil"/>
              <w:bottom w:val="nil"/>
              <w:right w:val="nil"/>
            </w:tcBorders>
            <w:noWrap/>
            <w:vAlign w:val="center"/>
            <w:hideMark/>
          </w:tcPr>
          <w:p w14:paraId="4041262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2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27 246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2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27 058 </w:t>
            </w:r>
          </w:p>
        </w:tc>
        <w:tc>
          <w:tcPr>
            <w:tcW w:w="425" w:type="dxa"/>
            <w:tcBorders>
              <w:top w:val="nil"/>
              <w:left w:val="nil"/>
              <w:bottom w:val="nil"/>
              <w:right w:val="nil"/>
            </w:tcBorders>
            <w:noWrap/>
            <w:vAlign w:val="center"/>
            <w:hideMark/>
          </w:tcPr>
          <w:p w14:paraId="4041262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2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24 698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2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24 837 </w:t>
            </w:r>
          </w:p>
        </w:tc>
      </w:tr>
      <w:tr w:rsidR="002809FB" w:rsidRPr="005978DF" w14:paraId="4041263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3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Austria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3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0,679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3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1,062</w:t>
            </w:r>
          </w:p>
        </w:tc>
        <w:tc>
          <w:tcPr>
            <w:tcW w:w="426" w:type="dxa"/>
            <w:tcBorders>
              <w:top w:val="nil"/>
              <w:left w:val="nil"/>
              <w:bottom w:val="nil"/>
              <w:right w:val="nil"/>
            </w:tcBorders>
            <w:noWrap/>
            <w:vAlign w:val="center"/>
            <w:hideMark/>
          </w:tcPr>
          <w:p w14:paraId="4041263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3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25 730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3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25 553 </w:t>
            </w:r>
          </w:p>
        </w:tc>
        <w:tc>
          <w:tcPr>
            <w:tcW w:w="425" w:type="dxa"/>
            <w:tcBorders>
              <w:top w:val="nil"/>
              <w:left w:val="nil"/>
              <w:bottom w:val="nil"/>
              <w:right w:val="nil"/>
            </w:tcBorders>
            <w:noWrap/>
            <w:vAlign w:val="center"/>
            <w:hideMark/>
          </w:tcPr>
          <w:p w14:paraId="4041263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3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23 324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3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23 456 </w:t>
            </w:r>
          </w:p>
        </w:tc>
      </w:tr>
      <w:tr w:rsidR="002809FB" w:rsidRPr="005978DF" w14:paraId="4041264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041263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Bahamas</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63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3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0,030</w:t>
            </w:r>
          </w:p>
        </w:tc>
        <w:tc>
          <w:tcPr>
            <w:tcW w:w="426" w:type="dxa"/>
            <w:tcBorders>
              <w:top w:val="nil"/>
              <w:left w:val="nil"/>
              <w:bottom w:val="nil"/>
              <w:right w:val="nil"/>
            </w:tcBorders>
            <w:noWrap/>
            <w:vAlign w:val="center"/>
            <w:hideMark/>
          </w:tcPr>
          <w:p w14:paraId="4041263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3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3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715 </w:t>
            </w:r>
          </w:p>
        </w:tc>
        <w:tc>
          <w:tcPr>
            <w:tcW w:w="425" w:type="dxa"/>
            <w:tcBorders>
              <w:top w:val="nil"/>
              <w:left w:val="nil"/>
              <w:bottom w:val="nil"/>
              <w:right w:val="nil"/>
            </w:tcBorders>
            <w:noWrap/>
            <w:vAlign w:val="center"/>
            <w:hideMark/>
          </w:tcPr>
          <w:p w14:paraId="4041264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4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4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656 </w:t>
            </w:r>
          </w:p>
        </w:tc>
      </w:tr>
      <w:tr w:rsidR="002809FB" w:rsidRPr="005978DF" w14:paraId="4041264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0412644"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Bahrein</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64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0,054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4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0,084</w:t>
            </w:r>
          </w:p>
        </w:tc>
        <w:tc>
          <w:tcPr>
            <w:tcW w:w="426" w:type="dxa"/>
            <w:tcBorders>
              <w:top w:val="nil"/>
              <w:left w:val="nil"/>
              <w:bottom w:val="nil"/>
              <w:right w:val="nil"/>
            </w:tcBorders>
            <w:noWrap/>
            <w:vAlign w:val="center"/>
            <w:hideMark/>
          </w:tcPr>
          <w:p w14:paraId="4041264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4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2 046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4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2 032 </w:t>
            </w:r>
          </w:p>
        </w:tc>
        <w:tc>
          <w:tcPr>
            <w:tcW w:w="425" w:type="dxa"/>
            <w:tcBorders>
              <w:top w:val="nil"/>
              <w:left w:val="nil"/>
              <w:bottom w:val="nil"/>
              <w:right w:val="nil"/>
            </w:tcBorders>
            <w:noWrap/>
            <w:vAlign w:val="center"/>
            <w:hideMark/>
          </w:tcPr>
          <w:p w14:paraId="4041264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4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1 855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4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1 865 </w:t>
            </w:r>
          </w:p>
        </w:tc>
      </w:tr>
      <w:tr w:rsidR="002809FB" w:rsidRPr="005978DF" w14:paraId="4041265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4E"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Belarús</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4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0,041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5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0,064</w:t>
            </w:r>
          </w:p>
        </w:tc>
        <w:tc>
          <w:tcPr>
            <w:tcW w:w="426" w:type="dxa"/>
            <w:tcBorders>
              <w:top w:val="nil"/>
              <w:left w:val="nil"/>
              <w:bottom w:val="nil"/>
              <w:right w:val="nil"/>
            </w:tcBorders>
            <w:noWrap/>
            <w:vAlign w:val="center"/>
            <w:hideMark/>
          </w:tcPr>
          <w:p w14:paraId="4041265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5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5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1 543 </w:t>
            </w:r>
          </w:p>
        </w:tc>
        <w:tc>
          <w:tcPr>
            <w:tcW w:w="425" w:type="dxa"/>
            <w:tcBorders>
              <w:top w:val="nil"/>
              <w:left w:val="nil"/>
              <w:bottom w:val="nil"/>
              <w:right w:val="nil"/>
            </w:tcBorders>
            <w:noWrap/>
            <w:vAlign w:val="center"/>
            <w:hideMark/>
          </w:tcPr>
          <w:p w14:paraId="4041265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5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5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1 416 </w:t>
            </w:r>
          </w:p>
        </w:tc>
      </w:tr>
      <w:tr w:rsidR="002809FB" w:rsidRPr="005978DF" w14:paraId="4041266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5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Bélgica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5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0,828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5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1,295</w:t>
            </w:r>
          </w:p>
        </w:tc>
        <w:tc>
          <w:tcPr>
            <w:tcW w:w="426" w:type="dxa"/>
            <w:tcBorders>
              <w:top w:val="nil"/>
              <w:left w:val="nil"/>
              <w:bottom w:val="nil"/>
              <w:right w:val="nil"/>
            </w:tcBorders>
            <w:noWrap/>
            <w:vAlign w:val="center"/>
            <w:hideMark/>
          </w:tcPr>
          <w:p w14:paraId="4041265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5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31 377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5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31 159 </w:t>
            </w:r>
          </w:p>
        </w:tc>
        <w:tc>
          <w:tcPr>
            <w:tcW w:w="425" w:type="dxa"/>
            <w:tcBorders>
              <w:top w:val="nil"/>
              <w:left w:val="nil"/>
              <w:bottom w:val="nil"/>
              <w:right w:val="nil"/>
            </w:tcBorders>
            <w:noWrap/>
            <w:vAlign w:val="center"/>
            <w:hideMark/>
          </w:tcPr>
          <w:p w14:paraId="4041265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5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28 442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6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28 603 </w:t>
            </w:r>
          </w:p>
        </w:tc>
      </w:tr>
      <w:tr w:rsidR="002809FB" w:rsidRPr="005978DF" w14:paraId="4041266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62"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Benin</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6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6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426" w:type="dxa"/>
            <w:tcBorders>
              <w:top w:val="nil"/>
              <w:left w:val="nil"/>
              <w:bottom w:val="nil"/>
              <w:right w:val="nil"/>
            </w:tcBorders>
            <w:noWrap/>
            <w:vAlign w:val="center"/>
            <w:hideMark/>
          </w:tcPr>
          <w:p w14:paraId="4041266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6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6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188 </w:t>
            </w:r>
          </w:p>
        </w:tc>
        <w:tc>
          <w:tcPr>
            <w:tcW w:w="425" w:type="dxa"/>
            <w:tcBorders>
              <w:top w:val="nil"/>
              <w:left w:val="nil"/>
              <w:bottom w:val="nil"/>
              <w:right w:val="nil"/>
            </w:tcBorders>
            <w:noWrap/>
            <w:vAlign w:val="center"/>
            <w:hideMark/>
          </w:tcPr>
          <w:p w14:paraId="4041266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6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6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173 </w:t>
            </w:r>
          </w:p>
        </w:tc>
      </w:tr>
      <w:tr w:rsidR="002809FB" w:rsidRPr="005978DF" w14:paraId="4041267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6C"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Bhután</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6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6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66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7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7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67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7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7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67F" w14:textId="77777777" w:rsidTr="0049064A">
        <w:trPr>
          <w:trHeight w:val="48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7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Bolivia (Estado Plurinacional 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7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7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0,030</w:t>
            </w:r>
          </w:p>
        </w:tc>
        <w:tc>
          <w:tcPr>
            <w:tcW w:w="426" w:type="dxa"/>
            <w:tcBorders>
              <w:top w:val="nil"/>
              <w:left w:val="nil"/>
              <w:bottom w:val="nil"/>
              <w:right w:val="nil"/>
            </w:tcBorders>
            <w:noWrap/>
            <w:vAlign w:val="center"/>
            <w:hideMark/>
          </w:tcPr>
          <w:p w14:paraId="4041267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7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7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715 </w:t>
            </w:r>
          </w:p>
        </w:tc>
        <w:tc>
          <w:tcPr>
            <w:tcW w:w="425" w:type="dxa"/>
            <w:tcBorders>
              <w:top w:val="nil"/>
              <w:left w:val="nil"/>
              <w:bottom w:val="nil"/>
              <w:right w:val="nil"/>
            </w:tcBorders>
            <w:noWrap/>
            <w:vAlign w:val="center"/>
            <w:hideMark/>
          </w:tcPr>
          <w:p w14:paraId="4041267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7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7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656 </w:t>
            </w:r>
          </w:p>
        </w:tc>
      </w:tr>
      <w:tr w:rsidR="002809FB" w:rsidRPr="005978DF" w14:paraId="4041268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80"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Botswana</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8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8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0,023</w:t>
            </w:r>
          </w:p>
        </w:tc>
        <w:tc>
          <w:tcPr>
            <w:tcW w:w="426" w:type="dxa"/>
            <w:tcBorders>
              <w:top w:val="nil"/>
              <w:left w:val="nil"/>
              <w:bottom w:val="nil"/>
              <w:right w:val="nil"/>
            </w:tcBorders>
            <w:noWrap/>
            <w:vAlign w:val="center"/>
            <w:hideMark/>
          </w:tcPr>
          <w:p w14:paraId="4041268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8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8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565 </w:t>
            </w:r>
          </w:p>
        </w:tc>
        <w:tc>
          <w:tcPr>
            <w:tcW w:w="425" w:type="dxa"/>
            <w:tcBorders>
              <w:top w:val="nil"/>
              <w:left w:val="nil"/>
              <w:bottom w:val="nil"/>
              <w:right w:val="nil"/>
            </w:tcBorders>
            <w:noWrap/>
            <w:vAlign w:val="center"/>
            <w:hideMark/>
          </w:tcPr>
          <w:p w14:paraId="4041268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8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8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518 </w:t>
            </w:r>
          </w:p>
        </w:tc>
      </w:tr>
      <w:tr w:rsidR="002809FB" w:rsidRPr="005978DF" w14:paraId="4041269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8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Brasil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8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2,013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8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3,148</w:t>
            </w:r>
          </w:p>
        </w:tc>
        <w:tc>
          <w:tcPr>
            <w:tcW w:w="426" w:type="dxa"/>
            <w:tcBorders>
              <w:top w:val="nil"/>
              <w:left w:val="nil"/>
              <w:bottom w:val="nil"/>
              <w:right w:val="nil"/>
            </w:tcBorders>
            <w:noWrap/>
            <w:vAlign w:val="center"/>
            <w:hideMark/>
          </w:tcPr>
          <w:p w14:paraId="4041268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8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8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75 756 </w:t>
            </w:r>
          </w:p>
        </w:tc>
        <w:tc>
          <w:tcPr>
            <w:tcW w:w="425" w:type="dxa"/>
            <w:tcBorders>
              <w:top w:val="nil"/>
              <w:left w:val="nil"/>
              <w:bottom w:val="nil"/>
              <w:right w:val="nil"/>
            </w:tcBorders>
            <w:noWrap/>
            <w:vAlign w:val="center"/>
            <w:hideMark/>
          </w:tcPr>
          <w:p w14:paraId="4041269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9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69 147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9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69 538 </w:t>
            </w:r>
          </w:p>
        </w:tc>
      </w:tr>
      <w:tr w:rsidR="002809FB" w:rsidRPr="005978DF" w14:paraId="4041269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9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Bulgaria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9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0,056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9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0,088</w:t>
            </w:r>
          </w:p>
        </w:tc>
        <w:tc>
          <w:tcPr>
            <w:tcW w:w="426" w:type="dxa"/>
            <w:tcBorders>
              <w:top w:val="nil"/>
              <w:left w:val="nil"/>
              <w:bottom w:val="nil"/>
              <w:right w:val="nil"/>
            </w:tcBorders>
            <w:noWrap/>
            <w:vAlign w:val="center"/>
            <w:hideMark/>
          </w:tcPr>
          <w:p w14:paraId="4041269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9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9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2 107 </w:t>
            </w:r>
          </w:p>
        </w:tc>
        <w:tc>
          <w:tcPr>
            <w:tcW w:w="425" w:type="dxa"/>
            <w:tcBorders>
              <w:top w:val="nil"/>
              <w:left w:val="nil"/>
              <w:bottom w:val="nil"/>
              <w:right w:val="nil"/>
            </w:tcBorders>
            <w:noWrap/>
            <w:vAlign w:val="center"/>
            <w:hideMark/>
          </w:tcPr>
          <w:p w14:paraId="4041269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9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9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1 934 </w:t>
            </w:r>
          </w:p>
        </w:tc>
      </w:tr>
      <w:tr w:rsidR="002809FB" w:rsidRPr="005978DF" w14:paraId="404126A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9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Burkina Faso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9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A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6A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A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A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6A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A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A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6B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A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Burundi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A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A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6A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A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A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6A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A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B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6B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B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Camboya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B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B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0,011</w:t>
            </w:r>
          </w:p>
        </w:tc>
        <w:tc>
          <w:tcPr>
            <w:tcW w:w="426" w:type="dxa"/>
            <w:tcBorders>
              <w:top w:val="nil"/>
              <w:left w:val="nil"/>
              <w:bottom w:val="nil"/>
              <w:right w:val="nil"/>
            </w:tcBorders>
            <w:noWrap/>
            <w:vAlign w:val="center"/>
            <w:hideMark/>
          </w:tcPr>
          <w:p w14:paraId="404126B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B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B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263 </w:t>
            </w:r>
          </w:p>
        </w:tc>
        <w:tc>
          <w:tcPr>
            <w:tcW w:w="425" w:type="dxa"/>
            <w:tcBorders>
              <w:top w:val="nil"/>
              <w:left w:val="nil"/>
              <w:bottom w:val="nil"/>
              <w:right w:val="nil"/>
            </w:tcBorders>
            <w:noWrap/>
            <w:vAlign w:val="center"/>
            <w:hideMark/>
          </w:tcPr>
          <w:p w14:paraId="404126B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B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B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r>
      <w:tr w:rsidR="002809FB" w:rsidRPr="005978DF" w14:paraId="404126C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B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Camerún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B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B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0,020</w:t>
            </w:r>
          </w:p>
        </w:tc>
        <w:tc>
          <w:tcPr>
            <w:tcW w:w="426" w:type="dxa"/>
            <w:tcBorders>
              <w:top w:val="nil"/>
              <w:left w:val="nil"/>
              <w:bottom w:val="nil"/>
              <w:right w:val="nil"/>
            </w:tcBorders>
            <w:noWrap/>
            <w:vAlign w:val="center"/>
            <w:hideMark/>
          </w:tcPr>
          <w:p w14:paraId="404126B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C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C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489 </w:t>
            </w:r>
          </w:p>
        </w:tc>
        <w:tc>
          <w:tcPr>
            <w:tcW w:w="425" w:type="dxa"/>
            <w:tcBorders>
              <w:top w:val="nil"/>
              <w:left w:val="nil"/>
              <w:bottom w:val="nil"/>
              <w:right w:val="nil"/>
            </w:tcBorders>
            <w:noWrap/>
            <w:vAlign w:val="center"/>
            <w:hideMark/>
          </w:tcPr>
          <w:p w14:paraId="404126C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C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C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449 </w:t>
            </w:r>
          </w:p>
        </w:tc>
      </w:tr>
      <w:tr w:rsidR="002809FB" w:rsidRPr="005978DF" w14:paraId="404126C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C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Chad</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C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C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426" w:type="dxa"/>
            <w:tcBorders>
              <w:top w:val="nil"/>
              <w:left w:val="nil"/>
              <w:bottom w:val="nil"/>
              <w:right w:val="nil"/>
            </w:tcBorders>
            <w:noWrap/>
            <w:vAlign w:val="center"/>
            <w:hideMark/>
          </w:tcPr>
          <w:p w14:paraId="404126C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C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C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113 </w:t>
            </w:r>
          </w:p>
        </w:tc>
        <w:tc>
          <w:tcPr>
            <w:tcW w:w="425" w:type="dxa"/>
            <w:tcBorders>
              <w:top w:val="nil"/>
              <w:left w:val="nil"/>
              <w:bottom w:val="nil"/>
              <w:right w:val="nil"/>
            </w:tcBorders>
            <w:noWrap/>
            <w:vAlign w:val="center"/>
            <w:hideMark/>
          </w:tcPr>
          <w:p w14:paraId="404126C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C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C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104 </w:t>
            </w:r>
          </w:p>
        </w:tc>
      </w:tr>
      <w:tr w:rsidR="002809FB" w:rsidRPr="005978DF" w14:paraId="404126D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D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Chequia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D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0,340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D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0,532</w:t>
            </w:r>
          </w:p>
        </w:tc>
        <w:tc>
          <w:tcPr>
            <w:tcW w:w="426" w:type="dxa"/>
            <w:tcBorders>
              <w:top w:val="nil"/>
              <w:left w:val="nil"/>
              <w:bottom w:val="nil"/>
              <w:right w:val="nil"/>
            </w:tcBorders>
            <w:noWrap/>
            <w:vAlign w:val="center"/>
            <w:hideMark/>
          </w:tcPr>
          <w:p w14:paraId="404126D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D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12 884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D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12 794 </w:t>
            </w:r>
          </w:p>
        </w:tc>
        <w:tc>
          <w:tcPr>
            <w:tcW w:w="425" w:type="dxa"/>
            <w:tcBorders>
              <w:top w:val="nil"/>
              <w:left w:val="nil"/>
              <w:bottom w:val="nil"/>
              <w:right w:val="nil"/>
            </w:tcBorders>
            <w:noWrap/>
            <w:vAlign w:val="center"/>
            <w:hideMark/>
          </w:tcPr>
          <w:p w14:paraId="404126D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D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11 679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D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11 745 </w:t>
            </w:r>
          </w:p>
        </w:tc>
      </w:tr>
      <w:tr w:rsidR="002809FB" w:rsidRPr="005978DF" w14:paraId="404126E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D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China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D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15,254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D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23,858</w:t>
            </w:r>
          </w:p>
        </w:tc>
        <w:tc>
          <w:tcPr>
            <w:tcW w:w="426" w:type="dxa"/>
            <w:tcBorders>
              <w:top w:val="nil"/>
              <w:left w:val="nil"/>
              <w:bottom w:val="nil"/>
              <w:right w:val="nil"/>
            </w:tcBorders>
            <w:noWrap/>
            <w:vAlign w:val="center"/>
            <w:hideMark/>
          </w:tcPr>
          <w:p w14:paraId="404126D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D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578 043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D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574 058 </w:t>
            </w:r>
          </w:p>
        </w:tc>
        <w:tc>
          <w:tcPr>
            <w:tcW w:w="425" w:type="dxa"/>
            <w:tcBorders>
              <w:top w:val="nil"/>
              <w:left w:val="nil"/>
              <w:bottom w:val="nil"/>
              <w:right w:val="nil"/>
            </w:tcBorders>
            <w:noWrap/>
            <w:vAlign w:val="center"/>
            <w:hideMark/>
          </w:tcPr>
          <w:p w14:paraId="404126E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E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523 980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E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526 939 </w:t>
            </w:r>
          </w:p>
        </w:tc>
      </w:tr>
      <w:tr w:rsidR="002809FB" w:rsidRPr="005978DF" w14:paraId="404126E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E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Comoras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E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E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6E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E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E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6E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E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E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6F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E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Congo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E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F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426" w:type="dxa"/>
            <w:tcBorders>
              <w:top w:val="nil"/>
              <w:left w:val="nil"/>
              <w:bottom w:val="nil"/>
              <w:right w:val="nil"/>
            </w:tcBorders>
            <w:noWrap/>
            <w:vAlign w:val="center"/>
            <w:hideMark/>
          </w:tcPr>
          <w:p w14:paraId="404126F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F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F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188 </w:t>
            </w:r>
          </w:p>
        </w:tc>
        <w:tc>
          <w:tcPr>
            <w:tcW w:w="425" w:type="dxa"/>
            <w:tcBorders>
              <w:top w:val="nil"/>
              <w:left w:val="nil"/>
              <w:bottom w:val="nil"/>
              <w:right w:val="nil"/>
            </w:tcBorders>
            <w:noWrap/>
            <w:vAlign w:val="center"/>
            <w:hideMark/>
          </w:tcPr>
          <w:p w14:paraId="404126F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F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F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173 </w:t>
            </w:r>
          </w:p>
        </w:tc>
      </w:tr>
      <w:tr w:rsidR="002809FB" w:rsidRPr="005978DF" w14:paraId="4041270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6F8"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Côte</w:t>
            </w:r>
            <w:proofErr w:type="spellEnd"/>
            <w:r w:rsidRPr="005978DF">
              <w:rPr>
                <w:rFonts w:ascii="Calibri" w:hAnsi="Calibri"/>
                <w:sz w:val="16"/>
                <w:szCs w:val="16"/>
                <w:lang w:val="es-ES"/>
              </w:rPr>
              <w:t xml:space="preserve"> </w:t>
            </w:r>
            <w:proofErr w:type="spellStart"/>
            <w:r w:rsidRPr="005978DF">
              <w:rPr>
                <w:rFonts w:ascii="Calibri" w:hAnsi="Calibri"/>
                <w:sz w:val="16"/>
                <w:szCs w:val="16"/>
                <w:lang w:val="es-ES"/>
              </w:rPr>
              <w:t>d’Ivoire</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6F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0,022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6F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0,034</w:t>
            </w:r>
          </w:p>
        </w:tc>
        <w:tc>
          <w:tcPr>
            <w:tcW w:w="426" w:type="dxa"/>
            <w:tcBorders>
              <w:top w:val="nil"/>
              <w:left w:val="nil"/>
              <w:bottom w:val="nil"/>
              <w:right w:val="nil"/>
            </w:tcBorders>
            <w:noWrap/>
            <w:vAlign w:val="center"/>
            <w:hideMark/>
          </w:tcPr>
          <w:p w14:paraId="404126F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F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6F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828 </w:t>
            </w:r>
          </w:p>
        </w:tc>
        <w:tc>
          <w:tcPr>
            <w:tcW w:w="425" w:type="dxa"/>
            <w:tcBorders>
              <w:top w:val="nil"/>
              <w:left w:val="nil"/>
              <w:bottom w:val="nil"/>
              <w:right w:val="nil"/>
            </w:tcBorders>
            <w:noWrap/>
            <w:vAlign w:val="center"/>
            <w:hideMark/>
          </w:tcPr>
          <w:p w14:paraId="404126F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6F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0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760 </w:t>
            </w:r>
          </w:p>
        </w:tc>
      </w:tr>
      <w:tr w:rsidR="002809FB" w:rsidRPr="005978DF" w14:paraId="4041270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0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Croacia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0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0,091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0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0,142</w:t>
            </w:r>
          </w:p>
        </w:tc>
        <w:tc>
          <w:tcPr>
            <w:tcW w:w="426" w:type="dxa"/>
            <w:tcBorders>
              <w:top w:val="nil"/>
              <w:left w:val="nil"/>
              <w:bottom w:val="nil"/>
              <w:right w:val="nil"/>
            </w:tcBorders>
            <w:noWrap/>
            <w:vAlign w:val="center"/>
            <w:hideMark/>
          </w:tcPr>
          <w:p w14:paraId="4041270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0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3 448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0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3 425 </w:t>
            </w:r>
          </w:p>
        </w:tc>
        <w:tc>
          <w:tcPr>
            <w:tcW w:w="425" w:type="dxa"/>
            <w:tcBorders>
              <w:top w:val="nil"/>
              <w:left w:val="nil"/>
              <w:bottom w:val="nil"/>
              <w:right w:val="nil"/>
            </w:tcBorders>
            <w:noWrap/>
            <w:vAlign w:val="center"/>
            <w:hideMark/>
          </w:tcPr>
          <w:p w14:paraId="4041270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0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0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3 144 </w:t>
            </w:r>
          </w:p>
        </w:tc>
      </w:tr>
      <w:tr w:rsidR="002809FB" w:rsidRPr="005978DF" w14:paraId="40412715" w14:textId="77777777" w:rsidTr="0049064A">
        <w:trPr>
          <w:trHeight w:val="30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0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Cuba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0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0,095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0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0,149</w:t>
            </w:r>
          </w:p>
        </w:tc>
        <w:tc>
          <w:tcPr>
            <w:tcW w:w="426" w:type="dxa"/>
            <w:tcBorders>
              <w:top w:val="nil"/>
              <w:left w:val="nil"/>
              <w:bottom w:val="nil"/>
              <w:right w:val="nil"/>
            </w:tcBorders>
            <w:noWrap/>
            <w:vAlign w:val="center"/>
            <w:hideMark/>
          </w:tcPr>
          <w:p w14:paraId="4041270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1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3 600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1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3 575 </w:t>
            </w:r>
          </w:p>
        </w:tc>
        <w:tc>
          <w:tcPr>
            <w:tcW w:w="425" w:type="dxa"/>
            <w:tcBorders>
              <w:top w:val="nil"/>
              <w:left w:val="nil"/>
              <w:bottom w:val="nil"/>
              <w:right w:val="nil"/>
            </w:tcBorders>
            <w:noWrap/>
            <w:vAlign w:val="center"/>
            <w:hideMark/>
          </w:tcPr>
          <w:p w14:paraId="4041271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1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3 263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1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3 282 </w:t>
            </w:r>
          </w:p>
        </w:tc>
      </w:tr>
      <w:tr w:rsidR="002809FB" w:rsidRPr="005978DF" w14:paraId="4041271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1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Dinamarca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1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0,553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1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0,865</w:t>
            </w:r>
          </w:p>
        </w:tc>
        <w:tc>
          <w:tcPr>
            <w:tcW w:w="426" w:type="dxa"/>
            <w:tcBorders>
              <w:top w:val="nil"/>
              <w:left w:val="nil"/>
              <w:bottom w:val="nil"/>
              <w:right w:val="nil"/>
            </w:tcBorders>
            <w:noWrap/>
            <w:vAlign w:val="center"/>
            <w:hideMark/>
          </w:tcPr>
          <w:p w14:paraId="4041271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1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20 956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1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20 811 </w:t>
            </w:r>
          </w:p>
        </w:tc>
        <w:tc>
          <w:tcPr>
            <w:tcW w:w="425" w:type="dxa"/>
            <w:tcBorders>
              <w:top w:val="nil"/>
              <w:left w:val="nil"/>
              <w:bottom w:val="nil"/>
              <w:right w:val="nil"/>
            </w:tcBorders>
            <w:noWrap/>
            <w:vAlign w:val="center"/>
            <w:hideMark/>
          </w:tcPr>
          <w:p w14:paraId="4041271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1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18 996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1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19 103 </w:t>
            </w:r>
          </w:p>
        </w:tc>
      </w:tr>
      <w:tr w:rsidR="002809FB" w:rsidRPr="005978DF" w14:paraId="4041272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20"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Djibouti</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2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2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72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2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2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72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2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2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73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2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Ecuador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2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0,077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2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0,120</w:t>
            </w:r>
          </w:p>
        </w:tc>
        <w:tc>
          <w:tcPr>
            <w:tcW w:w="426" w:type="dxa"/>
            <w:tcBorders>
              <w:top w:val="nil"/>
              <w:left w:val="nil"/>
              <w:bottom w:val="nil"/>
              <w:right w:val="nil"/>
            </w:tcBorders>
            <w:noWrap/>
            <w:vAlign w:val="center"/>
            <w:hideMark/>
          </w:tcPr>
          <w:p w14:paraId="4041272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2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2 918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2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2 898 </w:t>
            </w:r>
          </w:p>
        </w:tc>
        <w:tc>
          <w:tcPr>
            <w:tcW w:w="425" w:type="dxa"/>
            <w:tcBorders>
              <w:top w:val="nil"/>
              <w:left w:val="nil"/>
              <w:bottom w:val="nil"/>
              <w:right w:val="nil"/>
            </w:tcBorders>
            <w:noWrap/>
            <w:vAlign w:val="center"/>
            <w:hideMark/>
          </w:tcPr>
          <w:p w14:paraId="4041273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3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2 645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3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2 660 </w:t>
            </w:r>
          </w:p>
        </w:tc>
      </w:tr>
      <w:tr w:rsidR="002809FB" w:rsidRPr="005978DF" w14:paraId="4041273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3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Egipto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3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0,139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3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0,217</w:t>
            </w:r>
          </w:p>
        </w:tc>
        <w:tc>
          <w:tcPr>
            <w:tcW w:w="426" w:type="dxa"/>
            <w:tcBorders>
              <w:top w:val="nil"/>
              <w:left w:val="nil"/>
              <w:bottom w:val="nil"/>
              <w:right w:val="nil"/>
            </w:tcBorders>
            <w:noWrap/>
            <w:vAlign w:val="center"/>
            <w:hideMark/>
          </w:tcPr>
          <w:p w14:paraId="4041273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3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5 267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3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5 231 </w:t>
            </w:r>
          </w:p>
        </w:tc>
        <w:tc>
          <w:tcPr>
            <w:tcW w:w="425" w:type="dxa"/>
            <w:tcBorders>
              <w:top w:val="nil"/>
              <w:left w:val="nil"/>
              <w:bottom w:val="nil"/>
              <w:right w:val="nil"/>
            </w:tcBorders>
            <w:noWrap/>
            <w:vAlign w:val="center"/>
            <w:hideMark/>
          </w:tcPr>
          <w:p w14:paraId="4041273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3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4 775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3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4 802 </w:t>
            </w:r>
          </w:p>
        </w:tc>
      </w:tr>
      <w:tr w:rsidR="002809FB" w:rsidRPr="005978DF" w14:paraId="4041274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3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Emiratos Árabes Unidos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3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0,635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4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0,993</w:t>
            </w:r>
          </w:p>
        </w:tc>
        <w:tc>
          <w:tcPr>
            <w:tcW w:w="426" w:type="dxa"/>
            <w:tcBorders>
              <w:top w:val="nil"/>
              <w:left w:val="nil"/>
              <w:bottom w:val="nil"/>
              <w:right w:val="nil"/>
            </w:tcBorders>
            <w:noWrap/>
            <w:vAlign w:val="center"/>
            <w:hideMark/>
          </w:tcPr>
          <w:p w14:paraId="4041274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4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24 063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4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23 896 </w:t>
            </w:r>
          </w:p>
        </w:tc>
        <w:tc>
          <w:tcPr>
            <w:tcW w:w="425" w:type="dxa"/>
            <w:tcBorders>
              <w:top w:val="nil"/>
              <w:left w:val="nil"/>
              <w:bottom w:val="nil"/>
              <w:right w:val="nil"/>
            </w:tcBorders>
            <w:noWrap/>
            <w:vAlign w:val="center"/>
            <w:hideMark/>
          </w:tcPr>
          <w:p w14:paraId="4041274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4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21 812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4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21 936 </w:t>
            </w:r>
          </w:p>
        </w:tc>
      </w:tr>
      <w:tr w:rsidR="002809FB" w:rsidRPr="005978DF" w14:paraId="4041275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4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Eritrea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4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4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74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4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4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74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4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5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75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5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Eslovaquia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5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0,155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5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0,242</w:t>
            </w:r>
          </w:p>
        </w:tc>
        <w:tc>
          <w:tcPr>
            <w:tcW w:w="426" w:type="dxa"/>
            <w:tcBorders>
              <w:top w:val="nil"/>
              <w:left w:val="nil"/>
              <w:bottom w:val="nil"/>
              <w:right w:val="nil"/>
            </w:tcBorders>
            <w:noWrap/>
            <w:vAlign w:val="center"/>
            <w:hideMark/>
          </w:tcPr>
          <w:p w14:paraId="4041275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5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5 874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5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5 833 </w:t>
            </w:r>
          </w:p>
        </w:tc>
        <w:tc>
          <w:tcPr>
            <w:tcW w:w="425" w:type="dxa"/>
            <w:tcBorders>
              <w:top w:val="nil"/>
              <w:left w:val="nil"/>
              <w:bottom w:val="nil"/>
              <w:right w:val="nil"/>
            </w:tcBorders>
            <w:noWrap/>
            <w:vAlign w:val="center"/>
            <w:hideMark/>
          </w:tcPr>
          <w:p w14:paraId="4041275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5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5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5 354 </w:t>
            </w:r>
          </w:p>
        </w:tc>
      </w:tr>
      <w:tr w:rsidR="002809FB" w:rsidRPr="005978DF" w14:paraId="4041276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5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lastRenderedPageBreak/>
              <w:t>España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5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2,134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5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3,338</w:t>
            </w:r>
          </w:p>
        </w:tc>
        <w:tc>
          <w:tcPr>
            <w:tcW w:w="426" w:type="dxa"/>
            <w:tcBorders>
              <w:top w:val="nil"/>
              <w:left w:val="nil"/>
              <w:bottom w:val="nil"/>
              <w:right w:val="nil"/>
            </w:tcBorders>
            <w:noWrap/>
            <w:vAlign w:val="center"/>
            <w:hideMark/>
          </w:tcPr>
          <w:p w14:paraId="4041275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6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80 867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6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80 310 </w:t>
            </w:r>
          </w:p>
        </w:tc>
        <w:tc>
          <w:tcPr>
            <w:tcW w:w="425" w:type="dxa"/>
            <w:tcBorders>
              <w:top w:val="nil"/>
              <w:left w:val="nil"/>
              <w:bottom w:val="nil"/>
              <w:right w:val="nil"/>
            </w:tcBorders>
            <w:noWrap/>
            <w:vAlign w:val="center"/>
            <w:hideMark/>
          </w:tcPr>
          <w:p w14:paraId="4041276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6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73 304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6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73 717 </w:t>
            </w:r>
          </w:p>
        </w:tc>
      </w:tr>
      <w:tr w:rsidR="002809FB" w:rsidRPr="005978DF" w14:paraId="4041276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6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Estonia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6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6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0,069</w:t>
            </w:r>
          </w:p>
        </w:tc>
        <w:tc>
          <w:tcPr>
            <w:tcW w:w="426" w:type="dxa"/>
            <w:tcBorders>
              <w:top w:val="nil"/>
              <w:left w:val="nil"/>
              <w:bottom w:val="nil"/>
              <w:right w:val="nil"/>
            </w:tcBorders>
            <w:noWrap/>
            <w:vAlign w:val="center"/>
            <w:hideMark/>
          </w:tcPr>
          <w:p w14:paraId="4041276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6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6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1 656 </w:t>
            </w:r>
          </w:p>
        </w:tc>
        <w:tc>
          <w:tcPr>
            <w:tcW w:w="425" w:type="dxa"/>
            <w:tcBorders>
              <w:top w:val="nil"/>
              <w:left w:val="nil"/>
              <w:bottom w:val="nil"/>
              <w:right w:val="nil"/>
            </w:tcBorders>
            <w:noWrap/>
            <w:vAlign w:val="center"/>
            <w:hideMark/>
          </w:tcPr>
          <w:p w14:paraId="4041276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6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1 511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6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1 520 </w:t>
            </w:r>
          </w:p>
        </w:tc>
      </w:tr>
      <w:tr w:rsidR="002809FB" w:rsidRPr="005978DF" w14:paraId="4041277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70"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Eswatini</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7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7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77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7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7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77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7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7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78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7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Etiopía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7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7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77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7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7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78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8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8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78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84"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Fiji</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8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8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78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8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8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78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8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8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79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8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Filipinas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8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0,212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9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0,332</w:t>
            </w:r>
          </w:p>
        </w:tc>
        <w:tc>
          <w:tcPr>
            <w:tcW w:w="426" w:type="dxa"/>
            <w:tcBorders>
              <w:top w:val="nil"/>
              <w:left w:val="nil"/>
              <w:bottom w:val="nil"/>
              <w:right w:val="nil"/>
            </w:tcBorders>
            <w:noWrap/>
            <w:vAlign w:val="center"/>
            <w:hideMark/>
          </w:tcPr>
          <w:p w14:paraId="4041279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9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9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7 978 </w:t>
            </w:r>
          </w:p>
        </w:tc>
        <w:tc>
          <w:tcPr>
            <w:tcW w:w="425" w:type="dxa"/>
            <w:tcBorders>
              <w:top w:val="nil"/>
              <w:left w:val="nil"/>
              <w:bottom w:val="nil"/>
              <w:right w:val="nil"/>
            </w:tcBorders>
            <w:noWrap/>
            <w:vAlign w:val="center"/>
            <w:hideMark/>
          </w:tcPr>
          <w:p w14:paraId="4041279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9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7 282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9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7 323 </w:t>
            </w:r>
          </w:p>
        </w:tc>
      </w:tr>
      <w:tr w:rsidR="002809FB" w:rsidRPr="005978DF" w14:paraId="404127A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9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Finlandia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9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0,417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9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0,652</w:t>
            </w:r>
          </w:p>
        </w:tc>
        <w:tc>
          <w:tcPr>
            <w:tcW w:w="426" w:type="dxa"/>
            <w:tcBorders>
              <w:top w:val="nil"/>
              <w:left w:val="nil"/>
              <w:bottom w:val="nil"/>
              <w:right w:val="nil"/>
            </w:tcBorders>
            <w:noWrap/>
            <w:vAlign w:val="center"/>
            <w:hideMark/>
          </w:tcPr>
          <w:p w14:paraId="4041279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9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15 802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9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15 693 </w:t>
            </w:r>
          </w:p>
        </w:tc>
        <w:tc>
          <w:tcPr>
            <w:tcW w:w="425" w:type="dxa"/>
            <w:tcBorders>
              <w:top w:val="nil"/>
              <w:left w:val="nil"/>
              <w:bottom w:val="nil"/>
              <w:right w:val="nil"/>
            </w:tcBorders>
            <w:noWrap/>
            <w:vAlign w:val="center"/>
            <w:hideMark/>
          </w:tcPr>
          <w:p w14:paraId="4041279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9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14 324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A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14 405 </w:t>
            </w:r>
          </w:p>
        </w:tc>
      </w:tr>
      <w:tr w:rsidR="002809FB" w:rsidRPr="005978DF" w14:paraId="404127A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A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Francia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A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4,318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A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6,754</w:t>
            </w:r>
          </w:p>
        </w:tc>
        <w:tc>
          <w:tcPr>
            <w:tcW w:w="426" w:type="dxa"/>
            <w:tcBorders>
              <w:top w:val="nil"/>
              <w:left w:val="nil"/>
              <w:bottom w:val="nil"/>
              <w:right w:val="nil"/>
            </w:tcBorders>
            <w:noWrap/>
            <w:vAlign w:val="center"/>
            <w:hideMark/>
          </w:tcPr>
          <w:p w14:paraId="404127A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A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163 629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A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162 501 </w:t>
            </w:r>
          </w:p>
        </w:tc>
        <w:tc>
          <w:tcPr>
            <w:tcW w:w="425" w:type="dxa"/>
            <w:tcBorders>
              <w:top w:val="nil"/>
              <w:left w:val="nil"/>
              <w:bottom w:val="nil"/>
              <w:right w:val="nil"/>
            </w:tcBorders>
            <w:noWrap/>
            <w:vAlign w:val="center"/>
            <w:hideMark/>
          </w:tcPr>
          <w:p w14:paraId="404127A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A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148 325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A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149 162 </w:t>
            </w:r>
          </w:p>
        </w:tc>
      </w:tr>
      <w:tr w:rsidR="002809FB" w:rsidRPr="005978DF" w14:paraId="404127B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A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Gabón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A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A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0,020</w:t>
            </w:r>
          </w:p>
        </w:tc>
        <w:tc>
          <w:tcPr>
            <w:tcW w:w="426" w:type="dxa"/>
            <w:tcBorders>
              <w:top w:val="nil"/>
              <w:left w:val="nil"/>
              <w:bottom w:val="nil"/>
              <w:right w:val="nil"/>
            </w:tcBorders>
            <w:noWrap/>
            <w:vAlign w:val="center"/>
            <w:hideMark/>
          </w:tcPr>
          <w:p w14:paraId="404127A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B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B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489 </w:t>
            </w:r>
          </w:p>
        </w:tc>
        <w:tc>
          <w:tcPr>
            <w:tcW w:w="425" w:type="dxa"/>
            <w:tcBorders>
              <w:top w:val="nil"/>
              <w:left w:val="nil"/>
              <w:bottom w:val="nil"/>
              <w:right w:val="nil"/>
            </w:tcBorders>
            <w:noWrap/>
            <w:vAlign w:val="center"/>
            <w:hideMark/>
          </w:tcPr>
          <w:p w14:paraId="404127B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B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B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449 </w:t>
            </w:r>
          </w:p>
        </w:tc>
      </w:tr>
      <w:tr w:rsidR="002809FB" w:rsidRPr="005978DF" w14:paraId="404127B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B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Gambia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B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B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7B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B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B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7B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B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B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7C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C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Ghana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C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0,024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C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0,038</w:t>
            </w:r>
          </w:p>
        </w:tc>
        <w:tc>
          <w:tcPr>
            <w:tcW w:w="426" w:type="dxa"/>
            <w:tcBorders>
              <w:top w:val="nil"/>
              <w:left w:val="nil"/>
              <w:bottom w:val="nil"/>
              <w:right w:val="nil"/>
            </w:tcBorders>
            <w:noWrap/>
            <w:vAlign w:val="center"/>
            <w:hideMark/>
          </w:tcPr>
          <w:p w14:paraId="404127C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C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C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903 </w:t>
            </w:r>
          </w:p>
        </w:tc>
        <w:tc>
          <w:tcPr>
            <w:tcW w:w="425" w:type="dxa"/>
            <w:tcBorders>
              <w:top w:val="nil"/>
              <w:left w:val="nil"/>
              <w:bottom w:val="nil"/>
              <w:right w:val="nil"/>
            </w:tcBorders>
            <w:noWrap/>
            <w:vAlign w:val="center"/>
            <w:hideMark/>
          </w:tcPr>
          <w:p w14:paraId="404127C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C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C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829 </w:t>
            </w:r>
          </w:p>
        </w:tc>
      </w:tr>
      <w:tr w:rsidR="002809FB" w:rsidRPr="005978DF" w14:paraId="404127D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C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Grecia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C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0,325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C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0,508</w:t>
            </w:r>
          </w:p>
        </w:tc>
        <w:tc>
          <w:tcPr>
            <w:tcW w:w="426" w:type="dxa"/>
            <w:tcBorders>
              <w:top w:val="nil"/>
              <w:left w:val="nil"/>
              <w:bottom w:val="nil"/>
              <w:right w:val="nil"/>
            </w:tcBorders>
            <w:noWrap/>
            <w:vAlign w:val="center"/>
            <w:hideMark/>
          </w:tcPr>
          <w:p w14:paraId="404127C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C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12 316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C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12 231 </w:t>
            </w:r>
          </w:p>
        </w:tc>
        <w:tc>
          <w:tcPr>
            <w:tcW w:w="425" w:type="dxa"/>
            <w:tcBorders>
              <w:top w:val="nil"/>
              <w:left w:val="nil"/>
              <w:bottom w:val="nil"/>
              <w:right w:val="nil"/>
            </w:tcBorders>
            <w:noWrap/>
            <w:vAlign w:val="center"/>
            <w:hideMark/>
          </w:tcPr>
          <w:p w14:paraId="404127D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D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11 164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D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11 227 </w:t>
            </w:r>
          </w:p>
        </w:tc>
      </w:tr>
      <w:tr w:rsidR="002809FB" w:rsidRPr="005978DF" w14:paraId="404127D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D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Guatemala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D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0,041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D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0,064</w:t>
            </w:r>
          </w:p>
        </w:tc>
        <w:tc>
          <w:tcPr>
            <w:tcW w:w="426" w:type="dxa"/>
            <w:tcBorders>
              <w:top w:val="nil"/>
              <w:left w:val="nil"/>
              <w:bottom w:val="nil"/>
              <w:right w:val="nil"/>
            </w:tcBorders>
            <w:noWrap/>
            <w:vAlign w:val="center"/>
            <w:hideMark/>
          </w:tcPr>
          <w:p w14:paraId="404127D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D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D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1 543 </w:t>
            </w:r>
          </w:p>
        </w:tc>
        <w:tc>
          <w:tcPr>
            <w:tcW w:w="425" w:type="dxa"/>
            <w:tcBorders>
              <w:top w:val="nil"/>
              <w:left w:val="nil"/>
              <w:bottom w:val="nil"/>
              <w:right w:val="nil"/>
            </w:tcBorders>
            <w:noWrap/>
            <w:vAlign w:val="center"/>
            <w:hideMark/>
          </w:tcPr>
          <w:p w14:paraId="404127D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D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D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1 416 </w:t>
            </w:r>
          </w:p>
        </w:tc>
      </w:tr>
      <w:tr w:rsidR="002809FB" w:rsidRPr="005978DF" w14:paraId="404127E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D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Guinea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D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E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426" w:type="dxa"/>
            <w:tcBorders>
              <w:top w:val="nil"/>
              <w:left w:val="nil"/>
              <w:bottom w:val="nil"/>
              <w:right w:val="nil"/>
            </w:tcBorders>
            <w:noWrap/>
            <w:vAlign w:val="center"/>
            <w:hideMark/>
          </w:tcPr>
          <w:p w14:paraId="404127E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E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E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113 </w:t>
            </w:r>
          </w:p>
        </w:tc>
        <w:tc>
          <w:tcPr>
            <w:tcW w:w="425" w:type="dxa"/>
            <w:tcBorders>
              <w:top w:val="nil"/>
              <w:left w:val="nil"/>
              <w:bottom w:val="nil"/>
              <w:right w:val="nil"/>
            </w:tcBorders>
            <w:noWrap/>
            <w:vAlign w:val="center"/>
            <w:hideMark/>
          </w:tcPr>
          <w:p w14:paraId="404127E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E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E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104 </w:t>
            </w:r>
          </w:p>
        </w:tc>
      </w:tr>
      <w:tr w:rsidR="002809FB" w:rsidRPr="005978DF" w14:paraId="404127F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E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Guinea-Bissau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E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E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7E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E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E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7E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E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F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7F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F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Guyana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F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F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7F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F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F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7F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7F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7F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80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7F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Honduras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7F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7F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0,014</w:t>
            </w:r>
          </w:p>
        </w:tc>
        <w:tc>
          <w:tcPr>
            <w:tcW w:w="426" w:type="dxa"/>
            <w:tcBorders>
              <w:top w:val="nil"/>
              <w:left w:val="nil"/>
              <w:bottom w:val="nil"/>
              <w:right w:val="nil"/>
            </w:tcBorders>
            <w:noWrap/>
            <w:vAlign w:val="center"/>
            <w:hideMark/>
          </w:tcPr>
          <w:p w14:paraId="404127F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0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0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339 </w:t>
            </w:r>
          </w:p>
        </w:tc>
        <w:tc>
          <w:tcPr>
            <w:tcW w:w="425" w:type="dxa"/>
            <w:tcBorders>
              <w:top w:val="nil"/>
              <w:left w:val="nil"/>
              <w:bottom w:val="nil"/>
              <w:right w:val="nil"/>
            </w:tcBorders>
            <w:noWrap/>
            <w:vAlign w:val="center"/>
            <w:hideMark/>
          </w:tcPr>
          <w:p w14:paraId="4041280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0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0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311 </w:t>
            </w:r>
          </w:p>
        </w:tc>
      </w:tr>
      <w:tr w:rsidR="002809FB" w:rsidRPr="005978DF" w14:paraId="4041280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0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Hungría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0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0,228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0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0,357</w:t>
            </w:r>
          </w:p>
        </w:tc>
        <w:tc>
          <w:tcPr>
            <w:tcW w:w="426" w:type="dxa"/>
            <w:tcBorders>
              <w:top w:val="nil"/>
              <w:left w:val="nil"/>
              <w:bottom w:val="nil"/>
              <w:right w:val="nil"/>
            </w:tcBorders>
            <w:noWrap/>
            <w:vAlign w:val="center"/>
            <w:hideMark/>
          </w:tcPr>
          <w:p w14:paraId="4041280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0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8 640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0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8 580 </w:t>
            </w:r>
          </w:p>
        </w:tc>
        <w:tc>
          <w:tcPr>
            <w:tcW w:w="425" w:type="dxa"/>
            <w:tcBorders>
              <w:top w:val="nil"/>
              <w:left w:val="nil"/>
              <w:bottom w:val="nil"/>
              <w:right w:val="nil"/>
            </w:tcBorders>
            <w:noWrap/>
            <w:vAlign w:val="center"/>
            <w:hideMark/>
          </w:tcPr>
          <w:p w14:paraId="4041280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0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7 832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0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7 876 </w:t>
            </w:r>
          </w:p>
        </w:tc>
      </w:tr>
      <w:tr w:rsidR="002809FB" w:rsidRPr="005978DF" w14:paraId="4041281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1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India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1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1,044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1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1,633</w:t>
            </w:r>
          </w:p>
        </w:tc>
        <w:tc>
          <w:tcPr>
            <w:tcW w:w="426" w:type="dxa"/>
            <w:tcBorders>
              <w:top w:val="nil"/>
              <w:left w:val="nil"/>
              <w:bottom w:val="nil"/>
              <w:right w:val="nil"/>
            </w:tcBorders>
            <w:noWrap/>
            <w:vAlign w:val="center"/>
            <w:hideMark/>
          </w:tcPr>
          <w:p w14:paraId="4041281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1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39 562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1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39 289 </w:t>
            </w:r>
          </w:p>
        </w:tc>
        <w:tc>
          <w:tcPr>
            <w:tcW w:w="425" w:type="dxa"/>
            <w:tcBorders>
              <w:top w:val="nil"/>
              <w:left w:val="nil"/>
              <w:bottom w:val="nil"/>
              <w:right w:val="nil"/>
            </w:tcBorders>
            <w:noWrap/>
            <w:vAlign w:val="center"/>
            <w:hideMark/>
          </w:tcPr>
          <w:p w14:paraId="4041281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1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35 862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1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36 064 </w:t>
            </w:r>
          </w:p>
        </w:tc>
      </w:tr>
      <w:tr w:rsidR="002809FB" w:rsidRPr="005978DF" w14:paraId="4041282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1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Indonesia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1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0,549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1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0,859</w:t>
            </w:r>
          </w:p>
        </w:tc>
        <w:tc>
          <w:tcPr>
            <w:tcW w:w="426" w:type="dxa"/>
            <w:tcBorders>
              <w:top w:val="nil"/>
              <w:left w:val="nil"/>
              <w:bottom w:val="nil"/>
              <w:right w:val="nil"/>
            </w:tcBorders>
            <w:noWrap/>
            <w:vAlign w:val="center"/>
            <w:hideMark/>
          </w:tcPr>
          <w:p w14:paraId="4041281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1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20 804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1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20 661 </w:t>
            </w:r>
          </w:p>
        </w:tc>
        <w:tc>
          <w:tcPr>
            <w:tcW w:w="425" w:type="dxa"/>
            <w:tcBorders>
              <w:top w:val="nil"/>
              <w:left w:val="nil"/>
              <w:bottom w:val="nil"/>
              <w:right w:val="nil"/>
            </w:tcBorders>
            <w:noWrap/>
            <w:vAlign w:val="center"/>
            <w:hideMark/>
          </w:tcPr>
          <w:p w14:paraId="4041282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2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18 858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2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18 965 </w:t>
            </w:r>
          </w:p>
        </w:tc>
      </w:tr>
      <w:tr w:rsidR="002809FB" w:rsidRPr="005978DF" w14:paraId="4041282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2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Islas Marshall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2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2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82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2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2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82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2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2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83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2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Islas Salomón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2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3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83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3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3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83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3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3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84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3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Japón</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83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8,033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3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12,564</w:t>
            </w:r>
          </w:p>
        </w:tc>
        <w:tc>
          <w:tcPr>
            <w:tcW w:w="426" w:type="dxa"/>
            <w:tcBorders>
              <w:top w:val="nil"/>
              <w:left w:val="nil"/>
              <w:bottom w:val="nil"/>
              <w:right w:val="nil"/>
            </w:tcBorders>
            <w:noWrap/>
            <w:vAlign w:val="center"/>
            <w:hideMark/>
          </w:tcPr>
          <w:p w14:paraId="4041283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3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304 406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3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302 308 </w:t>
            </w:r>
          </w:p>
        </w:tc>
        <w:tc>
          <w:tcPr>
            <w:tcW w:w="425" w:type="dxa"/>
            <w:tcBorders>
              <w:top w:val="nil"/>
              <w:left w:val="nil"/>
              <w:bottom w:val="nil"/>
              <w:right w:val="nil"/>
            </w:tcBorders>
            <w:noWrap/>
            <w:vAlign w:val="center"/>
            <w:hideMark/>
          </w:tcPr>
          <w:p w14:paraId="4041283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3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275 936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4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277 494 </w:t>
            </w:r>
          </w:p>
        </w:tc>
      </w:tr>
      <w:tr w:rsidR="002809FB" w:rsidRPr="005978DF" w14:paraId="4041284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4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Jordania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4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0,022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4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0,034</w:t>
            </w:r>
          </w:p>
        </w:tc>
        <w:tc>
          <w:tcPr>
            <w:tcW w:w="426" w:type="dxa"/>
            <w:tcBorders>
              <w:top w:val="nil"/>
              <w:left w:val="nil"/>
              <w:bottom w:val="nil"/>
              <w:right w:val="nil"/>
            </w:tcBorders>
            <w:noWrap/>
            <w:vAlign w:val="center"/>
            <w:hideMark/>
          </w:tcPr>
          <w:p w14:paraId="4041284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4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4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828 </w:t>
            </w:r>
          </w:p>
        </w:tc>
        <w:tc>
          <w:tcPr>
            <w:tcW w:w="425" w:type="dxa"/>
            <w:tcBorders>
              <w:top w:val="nil"/>
              <w:left w:val="nil"/>
              <w:bottom w:val="nil"/>
              <w:right w:val="nil"/>
            </w:tcBorders>
            <w:noWrap/>
            <w:vAlign w:val="center"/>
            <w:hideMark/>
          </w:tcPr>
          <w:p w14:paraId="4041284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4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4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760 </w:t>
            </w:r>
          </w:p>
        </w:tc>
      </w:tr>
      <w:tr w:rsidR="002809FB" w:rsidRPr="005978DF" w14:paraId="4041285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4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Kazajstán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4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0,133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4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0,208</w:t>
            </w:r>
          </w:p>
        </w:tc>
        <w:tc>
          <w:tcPr>
            <w:tcW w:w="426" w:type="dxa"/>
            <w:tcBorders>
              <w:top w:val="nil"/>
              <w:left w:val="nil"/>
              <w:bottom w:val="nil"/>
              <w:right w:val="nil"/>
            </w:tcBorders>
            <w:noWrap/>
            <w:vAlign w:val="center"/>
            <w:hideMark/>
          </w:tcPr>
          <w:p w14:paraId="4041284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5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5 040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5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5 005 </w:t>
            </w:r>
          </w:p>
        </w:tc>
        <w:tc>
          <w:tcPr>
            <w:tcW w:w="425" w:type="dxa"/>
            <w:tcBorders>
              <w:top w:val="nil"/>
              <w:left w:val="nil"/>
              <w:bottom w:val="nil"/>
              <w:right w:val="nil"/>
            </w:tcBorders>
            <w:noWrap/>
            <w:vAlign w:val="center"/>
            <w:hideMark/>
          </w:tcPr>
          <w:p w14:paraId="4041285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5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4 569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5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4 594 </w:t>
            </w:r>
          </w:p>
        </w:tc>
      </w:tr>
      <w:tr w:rsidR="002809FB" w:rsidRPr="005978DF" w14:paraId="4041285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56"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Kenya</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5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5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0,047</w:t>
            </w:r>
          </w:p>
        </w:tc>
        <w:tc>
          <w:tcPr>
            <w:tcW w:w="426" w:type="dxa"/>
            <w:tcBorders>
              <w:top w:val="nil"/>
              <w:left w:val="nil"/>
              <w:bottom w:val="nil"/>
              <w:right w:val="nil"/>
            </w:tcBorders>
            <w:noWrap/>
            <w:vAlign w:val="center"/>
            <w:hideMark/>
          </w:tcPr>
          <w:p w14:paraId="4041285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5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5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1 129 </w:t>
            </w:r>
          </w:p>
        </w:tc>
        <w:tc>
          <w:tcPr>
            <w:tcW w:w="425" w:type="dxa"/>
            <w:tcBorders>
              <w:top w:val="nil"/>
              <w:left w:val="nil"/>
              <w:bottom w:val="nil"/>
              <w:right w:val="nil"/>
            </w:tcBorders>
            <w:noWrap/>
            <w:vAlign w:val="center"/>
            <w:hideMark/>
          </w:tcPr>
          <w:p w14:paraId="4041285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5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1 031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5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1 036 </w:t>
            </w:r>
          </w:p>
        </w:tc>
      </w:tr>
      <w:tr w:rsidR="002809FB" w:rsidRPr="005978DF" w14:paraId="4041286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6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Kirguistán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6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6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86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6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6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86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6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6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87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6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Kiribati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6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6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86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6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6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87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7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7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87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7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Kuwait</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7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7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0,366</w:t>
            </w:r>
          </w:p>
        </w:tc>
        <w:tc>
          <w:tcPr>
            <w:tcW w:w="426" w:type="dxa"/>
            <w:tcBorders>
              <w:top w:val="nil"/>
              <w:left w:val="nil"/>
              <w:bottom w:val="nil"/>
              <w:right w:val="nil"/>
            </w:tcBorders>
            <w:noWrap/>
            <w:vAlign w:val="center"/>
            <w:hideMark/>
          </w:tcPr>
          <w:p w14:paraId="4041287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7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7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8 806 </w:t>
            </w:r>
          </w:p>
        </w:tc>
        <w:tc>
          <w:tcPr>
            <w:tcW w:w="425" w:type="dxa"/>
            <w:tcBorders>
              <w:top w:val="nil"/>
              <w:left w:val="nil"/>
              <w:bottom w:val="nil"/>
              <w:right w:val="nil"/>
            </w:tcBorders>
            <w:noWrap/>
            <w:vAlign w:val="center"/>
            <w:hideMark/>
          </w:tcPr>
          <w:p w14:paraId="4041287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7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8 038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7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8 083 </w:t>
            </w:r>
          </w:p>
        </w:tc>
      </w:tr>
      <w:tr w:rsidR="002809FB" w:rsidRPr="005978DF" w14:paraId="4041288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7E"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Lesotho</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7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8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88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8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8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88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8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8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89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8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Líbano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8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8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0,056</w:t>
            </w:r>
          </w:p>
        </w:tc>
        <w:tc>
          <w:tcPr>
            <w:tcW w:w="426" w:type="dxa"/>
            <w:tcBorders>
              <w:top w:val="nil"/>
              <w:left w:val="nil"/>
              <w:bottom w:val="nil"/>
              <w:right w:val="nil"/>
            </w:tcBorders>
            <w:noWrap/>
            <w:vAlign w:val="center"/>
            <w:hideMark/>
          </w:tcPr>
          <w:p w14:paraId="4041288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8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1 364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8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1 355 </w:t>
            </w:r>
          </w:p>
        </w:tc>
        <w:tc>
          <w:tcPr>
            <w:tcW w:w="425" w:type="dxa"/>
            <w:tcBorders>
              <w:top w:val="nil"/>
              <w:left w:val="nil"/>
              <w:bottom w:val="nil"/>
              <w:right w:val="nil"/>
            </w:tcBorders>
            <w:noWrap/>
            <w:vAlign w:val="center"/>
            <w:hideMark/>
          </w:tcPr>
          <w:p w14:paraId="4041288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8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1 237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9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1 244 </w:t>
            </w:r>
          </w:p>
        </w:tc>
      </w:tr>
      <w:tr w:rsidR="002809FB" w:rsidRPr="005978DF" w14:paraId="4041289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9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Liberia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9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9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89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9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9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89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9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9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8A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9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Luxemburgo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9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0,068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9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0,106</w:t>
            </w:r>
          </w:p>
        </w:tc>
        <w:tc>
          <w:tcPr>
            <w:tcW w:w="426" w:type="dxa"/>
            <w:tcBorders>
              <w:top w:val="nil"/>
              <w:left w:val="nil"/>
              <w:bottom w:val="nil"/>
              <w:right w:val="nil"/>
            </w:tcBorders>
            <w:noWrap/>
            <w:vAlign w:val="center"/>
            <w:hideMark/>
          </w:tcPr>
          <w:p w14:paraId="4041289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A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2 577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A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2 559 </w:t>
            </w:r>
          </w:p>
        </w:tc>
        <w:tc>
          <w:tcPr>
            <w:tcW w:w="425" w:type="dxa"/>
            <w:tcBorders>
              <w:top w:val="nil"/>
              <w:left w:val="nil"/>
              <w:bottom w:val="nil"/>
              <w:right w:val="nil"/>
            </w:tcBorders>
            <w:noWrap/>
            <w:vAlign w:val="center"/>
            <w:hideMark/>
          </w:tcPr>
          <w:p w14:paraId="404128A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A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2 336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A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2 349 </w:t>
            </w:r>
          </w:p>
        </w:tc>
      </w:tr>
      <w:tr w:rsidR="002809FB" w:rsidRPr="005978DF" w14:paraId="404128A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A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Madagascar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A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A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8A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A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A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8A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A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A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8B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B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Malasia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B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0,348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B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0,544</w:t>
            </w:r>
          </w:p>
        </w:tc>
        <w:tc>
          <w:tcPr>
            <w:tcW w:w="426" w:type="dxa"/>
            <w:tcBorders>
              <w:top w:val="nil"/>
              <w:left w:val="nil"/>
              <w:bottom w:val="nil"/>
              <w:right w:val="nil"/>
            </w:tcBorders>
            <w:noWrap/>
            <w:vAlign w:val="center"/>
            <w:hideMark/>
          </w:tcPr>
          <w:p w14:paraId="404128B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B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13 187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B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13 096 </w:t>
            </w:r>
          </w:p>
        </w:tc>
        <w:tc>
          <w:tcPr>
            <w:tcW w:w="425" w:type="dxa"/>
            <w:tcBorders>
              <w:top w:val="nil"/>
              <w:left w:val="nil"/>
              <w:bottom w:val="nil"/>
              <w:right w:val="nil"/>
            </w:tcBorders>
            <w:noWrap/>
            <w:vAlign w:val="center"/>
            <w:hideMark/>
          </w:tcPr>
          <w:p w14:paraId="404128B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B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11 954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B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12 020 </w:t>
            </w:r>
          </w:p>
        </w:tc>
      </w:tr>
      <w:tr w:rsidR="002809FB" w:rsidRPr="005978DF" w14:paraId="404128C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B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Malawi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B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B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8B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B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B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8C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C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C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8C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C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Maldivas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C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C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8C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C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C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8C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C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C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8D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C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Malí</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C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D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426" w:type="dxa"/>
            <w:tcBorders>
              <w:top w:val="nil"/>
              <w:left w:val="nil"/>
              <w:bottom w:val="nil"/>
              <w:right w:val="nil"/>
            </w:tcBorders>
            <w:noWrap/>
            <w:vAlign w:val="center"/>
            <w:hideMark/>
          </w:tcPr>
          <w:p w14:paraId="404128D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D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D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188 </w:t>
            </w:r>
          </w:p>
        </w:tc>
        <w:tc>
          <w:tcPr>
            <w:tcW w:w="425" w:type="dxa"/>
            <w:tcBorders>
              <w:top w:val="nil"/>
              <w:left w:val="nil"/>
              <w:bottom w:val="nil"/>
              <w:right w:val="nil"/>
            </w:tcBorders>
            <w:noWrap/>
            <w:vAlign w:val="center"/>
            <w:hideMark/>
          </w:tcPr>
          <w:p w14:paraId="404128D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D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D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173 </w:t>
            </w:r>
          </w:p>
        </w:tc>
      </w:tr>
      <w:tr w:rsidR="002809FB" w:rsidRPr="005978DF" w14:paraId="404128E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D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Malta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D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D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0,030</w:t>
            </w:r>
          </w:p>
        </w:tc>
        <w:tc>
          <w:tcPr>
            <w:tcW w:w="426" w:type="dxa"/>
            <w:tcBorders>
              <w:top w:val="nil"/>
              <w:left w:val="nil"/>
              <w:bottom w:val="nil"/>
              <w:right w:val="nil"/>
            </w:tcBorders>
            <w:noWrap/>
            <w:vAlign w:val="center"/>
            <w:hideMark/>
          </w:tcPr>
          <w:p w14:paraId="404128D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D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D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715 </w:t>
            </w:r>
          </w:p>
        </w:tc>
        <w:tc>
          <w:tcPr>
            <w:tcW w:w="425" w:type="dxa"/>
            <w:tcBorders>
              <w:top w:val="nil"/>
              <w:left w:val="nil"/>
              <w:bottom w:val="nil"/>
              <w:right w:val="nil"/>
            </w:tcBorders>
            <w:noWrap/>
            <w:vAlign w:val="center"/>
            <w:hideMark/>
          </w:tcPr>
          <w:p w14:paraId="404128D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D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E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656 </w:t>
            </w:r>
          </w:p>
        </w:tc>
      </w:tr>
      <w:tr w:rsidR="002809FB" w:rsidRPr="005978DF" w14:paraId="404128E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04128E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Marruecos</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8E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0,055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E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0,086</w:t>
            </w:r>
          </w:p>
        </w:tc>
        <w:tc>
          <w:tcPr>
            <w:tcW w:w="426" w:type="dxa"/>
            <w:tcBorders>
              <w:top w:val="nil"/>
              <w:left w:val="nil"/>
              <w:bottom w:val="nil"/>
              <w:right w:val="nil"/>
            </w:tcBorders>
            <w:noWrap/>
            <w:vAlign w:val="center"/>
            <w:hideMark/>
          </w:tcPr>
          <w:p w14:paraId="404128E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E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2 084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E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2 070 </w:t>
            </w:r>
          </w:p>
        </w:tc>
        <w:tc>
          <w:tcPr>
            <w:tcW w:w="425" w:type="dxa"/>
            <w:tcBorders>
              <w:top w:val="nil"/>
              <w:left w:val="nil"/>
              <w:bottom w:val="nil"/>
              <w:right w:val="nil"/>
            </w:tcBorders>
            <w:noWrap/>
            <w:vAlign w:val="center"/>
            <w:hideMark/>
          </w:tcPr>
          <w:p w14:paraId="404128E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E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1 889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E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1 900 </w:t>
            </w:r>
          </w:p>
        </w:tc>
      </w:tr>
      <w:tr w:rsidR="002809FB" w:rsidRPr="005978DF" w14:paraId="404128F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E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Mauricio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E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E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0,030</w:t>
            </w:r>
          </w:p>
        </w:tc>
        <w:tc>
          <w:tcPr>
            <w:tcW w:w="426" w:type="dxa"/>
            <w:tcBorders>
              <w:top w:val="nil"/>
              <w:left w:val="nil"/>
              <w:bottom w:val="nil"/>
              <w:right w:val="nil"/>
            </w:tcBorders>
            <w:noWrap/>
            <w:vAlign w:val="center"/>
            <w:hideMark/>
          </w:tcPr>
          <w:p w14:paraId="404128E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F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F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715 </w:t>
            </w:r>
          </w:p>
        </w:tc>
        <w:tc>
          <w:tcPr>
            <w:tcW w:w="425" w:type="dxa"/>
            <w:tcBorders>
              <w:top w:val="nil"/>
              <w:left w:val="nil"/>
              <w:bottom w:val="nil"/>
              <w:right w:val="nil"/>
            </w:tcBorders>
            <w:noWrap/>
            <w:vAlign w:val="center"/>
            <w:hideMark/>
          </w:tcPr>
          <w:p w14:paraId="404128F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F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F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656 </w:t>
            </w:r>
          </w:p>
        </w:tc>
      </w:tr>
      <w:tr w:rsidR="002809FB" w:rsidRPr="005978DF" w14:paraId="404128F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8F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Mauritania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8F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8F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8F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F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F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8F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8F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8F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90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0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México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0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1,221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0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1,910</w:t>
            </w:r>
          </w:p>
        </w:tc>
        <w:tc>
          <w:tcPr>
            <w:tcW w:w="426" w:type="dxa"/>
            <w:tcBorders>
              <w:top w:val="nil"/>
              <w:left w:val="nil"/>
              <w:bottom w:val="nil"/>
              <w:right w:val="nil"/>
            </w:tcBorders>
            <w:noWrap/>
            <w:vAlign w:val="center"/>
            <w:hideMark/>
          </w:tcPr>
          <w:p w14:paraId="4041290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0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46 269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0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45 950 </w:t>
            </w:r>
          </w:p>
        </w:tc>
        <w:tc>
          <w:tcPr>
            <w:tcW w:w="425" w:type="dxa"/>
            <w:tcBorders>
              <w:top w:val="nil"/>
              <w:left w:val="nil"/>
              <w:bottom w:val="nil"/>
              <w:right w:val="nil"/>
            </w:tcBorders>
            <w:noWrap/>
            <w:vAlign w:val="center"/>
            <w:hideMark/>
          </w:tcPr>
          <w:p w14:paraId="4041290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0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41 942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0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42 179 </w:t>
            </w:r>
          </w:p>
        </w:tc>
      </w:tr>
      <w:tr w:rsidR="002809FB" w:rsidRPr="005978DF" w14:paraId="40412913" w14:textId="77777777" w:rsidTr="0049064A">
        <w:trPr>
          <w:trHeight w:val="48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0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Micronesia (Estados Federados 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0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0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90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0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0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91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1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1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91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1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Mongolia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1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1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91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1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1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91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1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1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92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1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Montenegro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1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2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92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2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2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92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2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2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93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2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lastRenderedPageBreak/>
              <w:t>Mozambique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2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2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0,006</w:t>
            </w:r>
          </w:p>
        </w:tc>
        <w:tc>
          <w:tcPr>
            <w:tcW w:w="426" w:type="dxa"/>
            <w:tcBorders>
              <w:top w:val="nil"/>
              <w:left w:val="nil"/>
              <w:bottom w:val="nil"/>
              <w:right w:val="nil"/>
            </w:tcBorders>
            <w:noWrap/>
            <w:vAlign w:val="center"/>
            <w:hideMark/>
          </w:tcPr>
          <w:p w14:paraId="4041292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2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2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w:t>
            </w:r>
          </w:p>
        </w:tc>
        <w:tc>
          <w:tcPr>
            <w:tcW w:w="425" w:type="dxa"/>
            <w:tcBorders>
              <w:top w:val="nil"/>
              <w:left w:val="nil"/>
              <w:bottom w:val="nil"/>
              <w:right w:val="nil"/>
            </w:tcBorders>
            <w:noWrap/>
            <w:vAlign w:val="center"/>
            <w:hideMark/>
          </w:tcPr>
          <w:p w14:paraId="4041292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2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3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138 </w:t>
            </w:r>
          </w:p>
        </w:tc>
      </w:tr>
      <w:tr w:rsidR="002809FB" w:rsidRPr="005978DF" w14:paraId="4041293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3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Myanmar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3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3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93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3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3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93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3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3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94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3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Namibia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3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3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0,014</w:t>
            </w:r>
          </w:p>
        </w:tc>
        <w:tc>
          <w:tcPr>
            <w:tcW w:w="426" w:type="dxa"/>
            <w:tcBorders>
              <w:top w:val="nil"/>
              <w:left w:val="nil"/>
              <w:bottom w:val="nil"/>
              <w:right w:val="nil"/>
            </w:tcBorders>
            <w:noWrap/>
            <w:vAlign w:val="center"/>
            <w:hideMark/>
          </w:tcPr>
          <w:p w14:paraId="4041293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4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4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339 </w:t>
            </w:r>
          </w:p>
        </w:tc>
        <w:tc>
          <w:tcPr>
            <w:tcW w:w="425" w:type="dxa"/>
            <w:tcBorders>
              <w:top w:val="nil"/>
              <w:left w:val="nil"/>
              <w:bottom w:val="nil"/>
              <w:right w:val="nil"/>
            </w:tcBorders>
            <w:noWrap/>
            <w:vAlign w:val="center"/>
            <w:hideMark/>
          </w:tcPr>
          <w:p w14:paraId="4041294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4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4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311 </w:t>
            </w:r>
          </w:p>
        </w:tc>
      </w:tr>
      <w:tr w:rsidR="002809FB" w:rsidRPr="005978DF" w14:paraId="4041294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4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Nepal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4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4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94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4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4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94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4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4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95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5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Nicaragua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5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5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426" w:type="dxa"/>
            <w:tcBorders>
              <w:top w:val="nil"/>
              <w:left w:val="nil"/>
              <w:bottom w:val="nil"/>
              <w:right w:val="nil"/>
            </w:tcBorders>
            <w:noWrap/>
            <w:vAlign w:val="center"/>
            <w:hideMark/>
          </w:tcPr>
          <w:p w14:paraId="4041295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5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5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188 </w:t>
            </w:r>
          </w:p>
        </w:tc>
        <w:tc>
          <w:tcPr>
            <w:tcW w:w="425" w:type="dxa"/>
            <w:tcBorders>
              <w:top w:val="nil"/>
              <w:left w:val="nil"/>
              <w:bottom w:val="nil"/>
              <w:right w:val="nil"/>
            </w:tcBorders>
            <w:noWrap/>
            <w:vAlign w:val="center"/>
            <w:hideMark/>
          </w:tcPr>
          <w:p w14:paraId="4041295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5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5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173 </w:t>
            </w:r>
          </w:p>
        </w:tc>
      </w:tr>
      <w:tr w:rsidR="002809FB" w:rsidRPr="005978DF" w14:paraId="4041296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5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Níger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5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5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426" w:type="dxa"/>
            <w:tcBorders>
              <w:top w:val="nil"/>
              <w:left w:val="nil"/>
              <w:bottom w:val="nil"/>
              <w:right w:val="nil"/>
            </w:tcBorders>
            <w:noWrap/>
            <w:vAlign w:val="center"/>
            <w:hideMark/>
          </w:tcPr>
          <w:p w14:paraId="4041295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5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5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113 </w:t>
            </w:r>
          </w:p>
        </w:tc>
        <w:tc>
          <w:tcPr>
            <w:tcW w:w="425" w:type="dxa"/>
            <w:tcBorders>
              <w:top w:val="nil"/>
              <w:left w:val="nil"/>
              <w:bottom w:val="nil"/>
              <w:right w:val="nil"/>
            </w:tcBorders>
            <w:noWrap/>
            <w:vAlign w:val="center"/>
            <w:hideMark/>
          </w:tcPr>
          <w:p w14:paraId="4041296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6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6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104 </w:t>
            </w:r>
          </w:p>
        </w:tc>
      </w:tr>
      <w:tr w:rsidR="002809FB" w:rsidRPr="005978DF" w14:paraId="4041296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041296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Nigeria</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96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0,182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6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0,285</w:t>
            </w:r>
          </w:p>
        </w:tc>
        <w:tc>
          <w:tcPr>
            <w:tcW w:w="426" w:type="dxa"/>
            <w:tcBorders>
              <w:top w:val="nil"/>
              <w:left w:val="nil"/>
              <w:bottom w:val="nil"/>
              <w:right w:val="nil"/>
            </w:tcBorders>
            <w:noWrap/>
            <w:vAlign w:val="center"/>
            <w:hideMark/>
          </w:tcPr>
          <w:p w14:paraId="4041296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6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6 897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6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6 849 </w:t>
            </w:r>
          </w:p>
        </w:tc>
        <w:tc>
          <w:tcPr>
            <w:tcW w:w="425" w:type="dxa"/>
            <w:tcBorders>
              <w:top w:val="nil"/>
              <w:left w:val="nil"/>
              <w:bottom w:val="nil"/>
              <w:right w:val="nil"/>
            </w:tcBorders>
            <w:noWrap/>
            <w:vAlign w:val="center"/>
            <w:hideMark/>
          </w:tcPr>
          <w:p w14:paraId="4041296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6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6 252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6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6 287 </w:t>
            </w:r>
          </w:p>
        </w:tc>
      </w:tr>
      <w:tr w:rsidR="002809FB" w:rsidRPr="005978DF" w14:paraId="4041297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6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Noruega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6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0,679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7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1,062</w:t>
            </w:r>
          </w:p>
        </w:tc>
        <w:tc>
          <w:tcPr>
            <w:tcW w:w="426" w:type="dxa"/>
            <w:tcBorders>
              <w:top w:val="nil"/>
              <w:left w:val="nil"/>
              <w:bottom w:val="nil"/>
              <w:right w:val="nil"/>
            </w:tcBorders>
            <w:noWrap/>
            <w:vAlign w:val="center"/>
            <w:hideMark/>
          </w:tcPr>
          <w:p w14:paraId="4041297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7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25 730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7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25 553 </w:t>
            </w:r>
          </w:p>
        </w:tc>
        <w:tc>
          <w:tcPr>
            <w:tcW w:w="425" w:type="dxa"/>
            <w:tcBorders>
              <w:top w:val="nil"/>
              <w:left w:val="nil"/>
              <w:bottom w:val="nil"/>
              <w:right w:val="nil"/>
            </w:tcBorders>
            <w:noWrap/>
            <w:vAlign w:val="center"/>
            <w:hideMark/>
          </w:tcPr>
          <w:p w14:paraId="4041297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7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23 324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7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23 455 </w:t>
            </w:r>
          </w:p>
        </w:tc>
      </w:tr>
      <w:tr w:rsidR="002809FB" w:rsidRPr="005978DF" w14:paraId="4041298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7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Omán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7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0,111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7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0,174</w:t>
            </w:r>
          </w:p>
        </w:tc>
        <w:tc>
          <w:tcPr>
            <w:tcW w:w="426" w:type="dxa"/>
            <w:tcBorders>
              <w:top w:val="nil"/>
              <w:left w:val="nil"/>
              <w:bottom w:val="nil"/>
              <w:right w:val="nil"/>
            </w:tcBorders>
            <w:noWrap/>
            <w:vAlign w:val="center"/>
            <w:hideMark/>
          </w:tcPr>
          <w:p w14:paraId="4041297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7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7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4 177 </w:t>
            </w:r>
          </w:p>
        </w:tc>
        <w:tc>
          <w:tcPr>
            <w:tcW w:w="425" w:type="dxa"/>
            <w:tcBorders>
              <w:top w:val="nil"/>
              <w:left w:val="nil"/>
              <w:bottom w:val="nil"/>
              <w:right w:val="nil"/>
            </w:tcBorders>
            <w:noWrap/>
            <w:vAlign w:val="center"/>
            <w:hideMark/>
          </w:tcPr>
          <w:p w14:paraId="4041297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7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3 813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8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3 834 </w:t>
            </w:r>
          </w:p>
        </w:tc>
      </w:tr>
      <w:tr w:rsidR="002809FB" w:rsidRPr="005978DF" w14:paraId="4041298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8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Países Bajos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8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1,377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8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2,154</w:t>
            </w:r>
          </w:p>
        </w:tc>
        <w:tc>
          <w:tcPr>
            <w:tcW w:w="426" w:type="dxa"/>
            <w:tcBorders>
              <w:top w:val="nil"/>
              <w:left w:val="nil"/>
              <w:bottom w:val="nil"/>
              <w:right w:val="nil"/>
            </w:tcBorders>
            <w:noWrap/>
            <w:vAlign w:val="center"/>
            <w:hideMark/>
          </w:tcPr>
          <w:p w14:paraId="4041298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8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52 181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8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51 821 </w:t>
            </w:r>
          </w:p>
        </w:tc>
        <w:tc>
          <w:tcPr>
            <w:tcW w:w="425" w:type="dxa"/>
            <w:tcBorders>
              <w:top w:val="nil"/>
              <w:left w:val="nil"/>
              <w:bottom w:val="nil"/>
              <w:right w:val="nil"/>
            </w:tcBorders>
            <w:noWrap/>
            <w:vAlign w:val="center"/>
            <w:hideMark/>
          </w:tcPr>
          <w:p w14:paraId="4041298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8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47 300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8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47 566 </w:t>
            </w:r>
          </w:p>
        </w:tc>
      </w:tr>
      <w:tr w:rsidR="002809FB" w:rsidRPr="005978DF" w14:paraId="4041299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8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Pakistán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8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0,114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8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0,178</w:t>
            </w:r>
          </w:p>
        </w:tc>
        <w:tc>
          <w:tcPr>
            <w:tcW w:w="426" w:type="dxa"/>
            <w:tcBorders>
              <w:top w:val="nil"/>
              <w:left w:val="nil"/>
              <w:bottom w:val="nil"/>
              <w:right w:val="nil"/>
            </w:tcBorders>
            <w:noWrap/>
            <w:vAlign w:val="center"/>
            <w:hideMark/>
          </w:tcPr>
          <w:p w14:paraId="4041298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9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4 320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9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4 290 </w:t>
            </w:r>
          </w:p>
        </w:tc>
        <w:tc>
          <w:tcPr>
            <w:tcW w:w="425" w:type="dxa"/>
            <w:tcBorders>
              <w:top w:val="nil"/>
              <w:left w:val="nil"/>
              <w:bottom w:val="nil"/>
              <w:right w:val="nil"/>
            </w:tcBorders>
            <w:noWrap/>
            <w:vAlign w:val="center"/>
            <w:hideMark/>
          </w:tcPr>
          <w:p w14:paraId="4041299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9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3 916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9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3 938 </w:t>
            </w:r>
          </w:p>
        </w:tc>
      </w:tr>
      <w:tr w:rsidR="002809FB" w:rsidRPr="005978DF" w14:paraId="4041299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9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Palau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9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9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99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9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9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99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9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9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9A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A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Panamá</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A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0,090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A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0,141</w:t>
            </w:r>
          </w:p>
        </w:tc>
        <w:tc>
          <w:tcPr>
            <w:tcW w:w="426" w:type="dxa"/>
            <w:tcBorders>
              <w:top w:val="nil"/>
              <w:left w:val="nil"/>
              <w:bottom w:val="nil"/>
              <w:right w:val="nil"/>
            </w:tcBorders>
            <w:noWrap/>
            <w:vAlign w:val="center"/>
            <w:hideMark/>
          </w:tcPr>
          <w:p w14:paraId="404129A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A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3 411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A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3 387 </w:t>
            </w:r>
          </w:p>
        </w:tc>
        <w:tc>
          <w:tcPr>
            <w:tcW w:w="425" w:type="dxa"/>
            <w:tcBorders>
              <w:top w:val="nil"/>
              <w:left w:val="nil"/>
              <w:bottom w:val="nil"/>
              <w:right w:val="nil"/>
            </w:tcBorders>
            <w:noWrap/>
            <w:vAlign w:val="center"/>
            <w:hideMark/>
          </w:tcPr>
          <w:p w14:paraId="404129A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A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3 092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A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3 109 </w:t>
            </w:r>
          </w:p>
        </w:tc>
      </w:tr>
      <w:tr w:rsidR="002809FB" w:rsidRPr="005978DF" w14:paraId="404129B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A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Perú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A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0,163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A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0,255</w:t>
            </w:r>
          </w:p>
        </w:tc>
        <w:tc>
          <w:tcPr>
            <w:tcW w:w="426" w:type="dxa"/>
            <w:tcBorders>
              <w:top w:val="nil"/>
              <w:left w:val="nil"/>
              <w:bottom w:val="nil"/>
              <w:right w:val="nil"/>
            </w:tcBorders>
            <w:noWrap/>
            <w:vAlign w:val="center"/>
            <w:hideMark/>
          </w:tcPr>
          <w:p w14:paraId="404129A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A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6 177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A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6 134 </w:t>
            </w:r>
          </w:p>
        </w:tc>
        <w:tc>
          <w:tcPr>
            <w:tcW w:w="425" w:type="dxa"/>
            <w:tcBorders>
              <w:top w:val="nil"/>
              <w:left w:val="nil"/>
              <w:bottom w:val="nil"/>
              <w:right w:val="nil"/>
            </w:tcBorders>
            <w:noWrap/>
            <w:vAlign w:val="center"/>
            <w:hideMark/>
          </w:tcPr>
          <w:p w14:paraId="404129B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B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5 599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B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5.631 </w:t>
            </w:r>
          </w:p>
        </w:tc>
      </w:tr>
      <w:tr w:rsidR="002809FB" w:rsidRPr="005978DF" w14:paraId="404129B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B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Portugal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B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0,353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B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0,552</w:t>
            </w:r>
          </w:p>
        </w:tc>
        <w:tc>
          <w:tcPr>
            <w:tcW w:w="426" w:type="dxa"/>
            <w:tcBorders>
              <w:top w:val="nil"/>
              <w:left w:val="nil"/>
              <w:bottom w:val="nil"/>
              <w:right w:val="nil"/>
            </w:tcBorders>
            <w:noWrap/>
            <w:vAlign w:val="center"/>
            <w:hideMark/>
          </w:tcPr>
          <w:p w14:paraId="404129B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B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13 377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B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13 285 </w:t>
            </w:r>
          </w:p>
        </w:tc>
        <w:tc>
          <w:tcPr>
            <w:tcW w:w="425" w:type="dxa"/>
            <w:tcBorders>
              <w:top w:val="nil"/>
              <w:left w:val="nil"/>
              <w:bottom w:val="nil"/>
              <w:right w:val="nil"/>
            </w:tcBorders>
            <w:noWrap/>
            <w:vAlign w:val="center"/>
            <w:hideMark/>
          </w:tcPr>
          <w:p w14:paraId="404129B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B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12 126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B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12 194 </w:t>
            </w:r>
          </w:p>
        </w:tc>
      </w:tr>
      <w:tr w:rsidR="002809FB" w:rsidRPr="005978DF" w14:paraId="404129C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B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Qatar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B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0,269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C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0,421</w:t>
            </w:r>
          </w:p>
        </w:tc>
        <w:tc>
          <w:tcPr>
            <w:tcW w:w="426" w:type="dxa"/>
            <w:tcBorders>
              <w:top w:val="nil"/>
              <w:left w:val="nil"/>
              <w:bottom w:val="nil"/>
              <w:right w:val="nil"/>
            </w:tcBorders>
            <w:noWrap/>
            <w:vAlign w:val="center"/>
            <w:hideMark/>
          </w:tcPr>
          <w:p w14:paraId="404129C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C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10 194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C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10 123 </w:t>
            </w:r>
          </w:p>
        </w:tc>
        <w:tc>
          <w:tcPr>
            <w:tcW w:w="425" w:type="dxa"/>
            <w:tcBorders>
              <w:top w:val="nil"/>
              <w:left w:val="nil"/>
              <w:bottom w:val="nil"/>
              <w:right w:val="nil"/>
            </w:tcBorders>
            <w:noWrap/>
            <w:vAlign w:val="center"/>
            <w:hideMark/>
          </w:tcPr>
          <w:p w14:paraId="404129C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C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9 240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C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9 292 </w:t>
            </w:r>
          </w:p>
        </w:tc>
      </w:tr>
      <w:tr w:rsidR="002809FB" w:rsidRPr="005978DF" w14:paraId="404129D1" w14:textId="77777777" w:rsidTr="0049064A">
        <w:trPr>
          <w:trHeight w:val="48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C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Reino Unido de Gran Bretaña e Irlanda del Norte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C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4,375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C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6,843</w:t>
            </w:r>
          </w:p>
        </w:tc>
        <w:tc>
          <w:tcPr>
            <w:tcW w:w="426" w:type="dxa"/>
            <w:tcBorders>
              <w:top w:val="nil"/>
              <w:left w:val="nil"/>
              <w:bottom w:val="nil"/>
              <w:right w:val="nil"/>
            </w:tcBorders>
            <w:noWrap/>
            <w:vAlign w:val="center"/>
            <w:hideMark/>
          </w:tcPr>
          <w:p w14:paraId="404129C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C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165 788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C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164 645 </w:t>
            </w:r>
          </w:p>
        </w:tc>
        <w:tc>
          <w:tcPr>
            <w:tcW w:w="425" w:type="dxa"/>
            <w:tcBorders>
              <w:top w:val="nil"/>
              <w:left w:val="nil"/>
              <w:bottom w:val="nil"/>
              <w:right w:val="nil"/>
            </w:tcBorders>
            <w:noWrap/>
            <w:vAlign w:val="center"/>
            <w:hideMark/>
          </w:tcPr>
          <w:p w14:paraId="404129C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C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150 284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D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151 130 </w:t>
            </w:r>
          </w:p>
        </w:tc>
      </w:tr>
      <w:tr w:rsidR="002809FB" w:rsidRPr="005978DF" w14:paraId="404129D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D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Árabe Siria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D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D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0,014</w:t>
            </w:r>
          </w:p>
        </w:tc>
        <w:tc>
          <w:tcPr>
            <w:tcW w:w="426" w:type="dxa"/>
            <w:tcBorders>
              <w:top w:val="nil"/>
              <w:left w:val="nil"/>
              <w:bottom w:val="nil"/>
              <w:right w:val="nil"/>
            </w:tcBorders>
            <w:noWrap/>
            <w:vAlign w:val="center"/>
            <w:hideMark/>
          </w:tcPr>
          <w:p w14:paraId="404129D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D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D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339 </w:t>
            </w:r>
          </w:p>
        </w:tc>
        <w:tc>
          <w:tcPr>
            <w:tcW w:w="425" w:type="dxa"/>
            <w:tcBorders>
              <w:top w:val="nil"/>
              <w:left w:val="nil"/>
              <w:bottom w:val="nil"/>
              <w:right w:val="nil"/>
            </w:tcBorders>
            <w:noWrap/>
            <w:vAlign w:val="center"/>
            <w:hideMark/>
          </w:tcPr>
          <w:p w14:paraId="404129D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D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D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311 </w:t>
            </w:r>
          </w:p>
        </w:tc>
      </w:tr>
      <w:tr w:rsidR="002809FB" w:rsidRPr="005978DF" w14:paraId="404129E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D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Centroafricana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D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D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9D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E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E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9E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E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E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9E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E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de Corea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E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2,574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E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4,026</w:t>
            </w:r>
          </w:p>
        </w:tc>
        <w:tc>
          <w:tcPr>
            <w:tcW w:w="426" w:type="dxa"/>
            <w:tcBorders>
              <w:top w:val="nil"/>
              <w:left w:val="nil"/>
              <w:bottom w:val="nil"/>
              <w:right w:val="nil"/>
            </w:tcBorders>
            <w:noWrap/>
            <w:vAlign w:val="center"/>
            <w:hideMark/>
          </w:tcPr>
          <w:p w14:paraId="404129E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E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97 541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E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96 868 </w:t>
            </w:r>
          </w:p>
        </w:tc>
        <w:tc>
          <w:tcPr>
            <w:tcW w:w="425" w:type="dxa"/>
            <w:tcBorders>
              <w:top w:val="nil"/>
              <w:left w:val="nil"/>
              <w:bottom w:val="nil"/>
              <w:right w:val="nil"/>
            </w:tcBorders>
            <w:noWrap/>
            <w:vAlign w:val="center"/>
            <w:hideMark/>
          </w:tcPr>
          <w:p w14:paraId="404129E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E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88 418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E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88 916 </w:t>
            </w:r>
          </w:p>
        </w:tc>
      </w:tr>
      <w:tr w:rsidR="002809FB" w:rsidRPr="005978DF" w14:paraId="404129F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F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de Moldova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F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F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426" w:type="dxa"/>
            <w:tcBorders>
              <w:top w:val="nil"/>
              <w:left w:val="nil"/>
              <w:bottom w:val="nil"/>
              <w:right w:val="nil"/>
            </w:tcBorders>
            <w:noWrap/>
            <w:vAlign w:val="center"/>
            <w:hideMark/>
          </w:tcPr>
          <w:p w14:paraId="404129F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F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F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188 </w:t>
            </w:r>
          </w:p>
        </w:tc>
        <w:tc>
          <w:tcPr>
            <w:tcW w:w="425" w:type="dxa"/>
            <w:tcBorders>
              <w:top w:val="nil"/>
              <w:left w:val="nil"/>
              <w:bottom w:val="nil"/>
              <w:right w:val="nil"/>
            </w:tcBorders>
            <w:noWrap/>
            <w:vAlign w:val="center"/>
            <w:hideMark/>
          </w:tcPr>
          <w:p w14:paraId="404129F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F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F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173 </w:t>
            </w:r>
          </w:p>
        </w:tc>
      </w:tr>
      <w:tr w:rsidR="002809FB" w:rsidRPr="005978DF" w14:paraId="40412A03" w14:textId="77777777" w:rsidTr="0049064A">
        <w:trPr>
          <w:trHeight w:val="480"/>
        </w:trPr>
        <w:tc>
          <w:tcPr>
            <w:tcW w:w="1426" w:type="dxa"/>
            <w:tcBorders>
              <w:top w:val="single" w:sz="4" w:space="0" w:color="auto"/>
              <w:left w:val="single" w:sz="4" w:space="0" w:color="auto"/>
              <w:bottom w:val="single" w:sz="4" w:space="0" w:color="auto"/>
              <w:right w:val="single" w:sz="4" w:space="0" w:color="auto"/>
            </w:tcBorders>
            <w:vAlign w:val="center"/>
            <w:hideMark/>
          </w:tcPr>
          <w:p w14:paraId="404129F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Democrática del Congo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9F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9F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9F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9F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9F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A0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0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0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A0D" w14:textId="77777777" w:rsidTr="0049064A">
        <w:trPr>
          <w:trHeight w:val="48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0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Democrática Popular Lao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0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0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0,011</w:t>
            </w:r>
          </w:p>
        </w:tc>
        <w:tc>
          <w:tcPr>
            <w:tcW w:w="426" w:type="dxa"/>
            <w:tcBorders>
              <w:top w:val="nil"/>
              <w:left w:val="nil"/>
              <w:bottom w:val="nil"/>
              <w:right w:val="nil"/>
            </w:tcBorders>
            <w:noWrap/>
            <w:vAlign w:val="center"/>
            <w:hideMark/>
          </w:tcPr>
          <w:p w14:paraId="40412A0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0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0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263 </w:t>
            </w:r>
          </w:p>
        </w:tc>
        <w:tc>
          <w:tcPr>
            <w:tcW w:w="425" w:type="dxa"/>
            <w:tcBorders>
              <w:top w:val="nil"/>
              <w:left w:val="nil"/>
              <w:bottom w:val="nil"/>
              <w:right w:val="nil"/>
            </w:tcBorders>
            <w:noWrap/>
            <w:vAlign w:val="center"/>
            <w:hideMark/>
          </w:tcPr>
          <w:p w14:paraId="40412A0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0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0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r>
      <w:tr w:rsidR="002809FB" w:rsidRPr="005978DF" w14:paraId="40412A1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0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Dominicana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0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0,067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1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0,105</w:t>
            </w:r>
          </w:p>
        </w:tc>
        <w:tc>
          <w:tcPr>
            <w:tcW w:w="426" w:type="dxa"/>
            <w:tcBorders>
              <w:top w:val="nil"/>
              <w:left w:val="nil"/>
              <w:bottom w:val="nil"/>
              <w:right w:val="nil"/>
            </w:tcBorders>
            <w:noWrap/>
            <w:vAlign w:val="center"/>
            <w:hideMark/>
          </w:tcPr>
          <w:p w14:paraId="40412A1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1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2 539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1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2 521 </w:t>
            </w:r>
          </w:p>
        </w:tc>
        <w:tc>
          <w:tcPr>
            <w:tcW w:w="425" w:type="dxa"/>
            <w:tcBorders>
              <w:top w:val="nil"/>
              <w:left w:val="nil"/>
              <w:bottom w:val="nil"/>
              <w:right w:val="nil"/>
            </w:tcBorders>
            <w:noWrap/>
            <w:vAlign w:val="center"/>
            <w:hideMark/>
          </w:tcPr>
          <w:p w14:paraId="40412A1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1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2 301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1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2 314 </w:t>
            </w:r>
          </w:p>
        </w:tc>
      </w:tr>
      <w:tr w:rsidR="002809FB" w:rsidRPr="005978DF" w14:paraId="40412A21" w14:textId="77777777" w:rsidTr="0049064A">
        <w:trPr>
          <w:trHeight w:val="48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1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República Popular Democrática de Corea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1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1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426" w:type="dxa"/>
            <w:tcBorders>
              <w:top w:val="nil"/>
              <w:left w:val="nil"/>
              <w:bottom w:val="nil"/>
              <w:right w:val="nil"/>
            </w:tcBorders>
            <w:noWrap/>
            <w:vAlign w:val="center"/>
            <w:hideMark/>
          </w:tcPr>
          <w:p w14:paraId="40412A1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1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1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188 </w:t>
            </w:r>
          </w:p>
        </w:tc>
        <w:tc>
          <w:tcPr>
            <w:tcW w:w="425" w:type="dxa"/>
            <w:tcBorders>
              <w:top w:val="nil"/>
              <w:left w:val="nil"/>
              <w:bottom w:val="nil"/>
              <w:right w:val="nil"/>
            </w:tcBorders>
            <w:noWrap/>
            <w:vAlign w:val="center"/>
            <w:hideMark/>
          </w:tcPr>
          <w:p w14:paraId="40412A1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1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2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173 </w:t>
            </w:r>
          </w:p>
        </w:tc>
      </w:tr>
      <w:tr w:rsidR="002809FB" w:rsidRPr="005978DF" w14:paraId="40412A2B" w14:textId="77777777" w:rsidTr="0049064A">
        <w:trPr>
          <w:trHeight w:val="240"/>
        </w:trPr>
        <w:tc>
          <w:tcPr>
            <w:tcW w:w="1426" w:type="dxa"/>
            <w:tcBorders>
              <w:top w:val="single" w:sz="4" w:space="0" w:color="auto"/>
              <w:left w:val="single" w:sz="4" w:space="0" w:color="auto"/>
              <w:bottom w:val="nil"/>
              <w:right w:val="single" w:sz="4" w:space="0" w:color="auto"/>
            </w:tcBorders>
            <w:vAlign w:val="center"/>
            <w:hideMark/>
          </w:tcPr>
          <w:p w14:paraId="40412A2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 xml:space="preserve">República Unida de </w:t>
            </w:r>
            <w:proofErr w:type="spellStart"/>
            <w:r w:rsidRPr="005978DF">
              <w:rPr>
                <w:rFonts w:ascii="Calibri" w:hAnsi="Calibri"/>
                <w:sz w:val="16"/>
                <w:szCs w:val="16"/>
                <w:lang w:val="es-ES"/>
              </w:rPr>
              <w:t>Tanzanía</w:t>
            </w:r>
            <w:proofErr w:type="spellEnd"/>
          </w:p>
        </w:tc>
        <w:tc>
          <w:tcPr>
            <w:tcW w:w="1021" w:type="dxa"/>
            <w:tcBorders>
              <w:top w:val="single" w:sz="4" w:space="0" w:color="auto"/>
              <w:left w:val="single" w:sz="4" w:space="0" w:color="auto"/>
              <w:bottom w:val="nil"/>
              <w:right w:val="single" w:sz="4" w:space="0" w:color="auto"/>
            </w:tcBorders>
            <w:vAlign w:val="center"/>
            <w:hideMark/>
          </w:tcPr>
          <w:p w14:paraId="40412A2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nil"/>
              <w:bottom w:val="single" w:sz="4" w:space="0" w:color="auto"/>
              <w:right w:val="single" w:sz="4" w:space="0" w:color="auto"/>
            </w:tcBorders>
            <w:noWrap/>
            <w:vAlign w:val="center"/>
            <w:hideMark/>
          </w:tcPr>
          <w:p w14:paraId="40412A2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single" w:sz="4" w:space="0" w:color="auto"/>
              <w:bottom w:val="nil"/>
              <w:right w:val="nil"/>
            </w:tcBorders>
            <w:noWrap/>
            <w:vAlign w:val="center"/>
            <w:hideMark/>
          </w:tcPr>
          <w:p w14:paraId="40412A2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2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2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A2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2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2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A3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2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Ruanda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2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2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426" w:type="dxa"/>
            <w:tcBorders>
              <w:top w:val="nil"/>
              <w:left w:val="nil"/>
              <w:bottom w:val="nil"/>
              <w:right w:val="nil"/>
            </w:tcBorders>
            <w:noWrap/>
            <w:vAlign w:val="center"/>
            <w:hideMark/>
          </w:tcPr>
          <w:p w14:paraId="40412A2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3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3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113 </w:t>
            </w:r>
          </w:p>
        </w:tc>
        <w:tc>
          <w:tcPr>
            <w:tcW w:w="425" w:type="dxa"/>
            <w:tcBorders>
              <w:top w:val="nil"/>
              <w:left w:val="nil"/>
              <w:bottom w:val="nil"/>
              <w:right w:val="nil"/>
            </w:tcBorders>
            <w:noWrap/>
            <w:vAlign w:val="center"/>
            <w:hideMark/>
          </w:tcPr>
          <w:p w14:paraId="40412A3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3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3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104 </w:t>
            </w:r>
          </w:p>
        </w:tc>
      </w:tr>
      <w:tr w:rsidR="002809FB" w:rsidRPr="005978DF" w14:paraId="40412A3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3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Rumania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3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0,312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3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0,488</w:t>
            </w:r>
          </w:p>
        </w:tc>
        <w:tc>
          <w:tcPr>
            <w:tcW w:w="426" w:type="dxa"/>
            <w:tcBorders>
              <w:top w:val="nil"/>
              <w:left w:val="nil"/>
              <w:bottom w:val="nil"/>
              <w:right w:val="nil"/>
            </w:tcBorders>
            <w:noWrap/>
            <w:vAlign w:val="center"/>
            <w:hideMark/>
          </w:tcPr>
          <w:p w14:paraId="40412A3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3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11 823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3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11 742 </w:t>
            </w:r>
          </w:p>
        </w:tc>
        <w:tc>
          <w:tcPr>
            <w:tcW w:w="425" w:type="dxa"/>
            <w:tcBorders>
              <w:top w:val="nil"/>
              <w:left w:val="nil"/>
              <w:bottom w:val="nil"/>
              <w:right w:val="nil"/>
            </w:tcBorders>
            <w:noWrap/>
            <w:vAlign w:val="center"/>
            <w:hideMark/>
          </w:tcPr>
          <w:p w14:paraId="40412A3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3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10 717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3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10 778 </w:t>
            </w:r>
          </w:p>
        </w:tc>
      </w:tr>
      <w:tr w:rsidR="002809FB" w:rsidRPr="005978DF" w14:paraId="40412A4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4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 xml:space="preserve">Saint </w:t>
            </w:r>
            <w:proofErr w:type="spellStart"/>
            <w:r w:rsidRPr="005978DF">
              <w:rPr>
                <w:rFonts w:ascii="Calibri" w:hAnsi="Calibri"/>
                <w:sz w:val="16"/>
                <w:szCs w:val="16"/>
                <w:lang w:val="es-ES"/>
              </w:rPr>
              <w:t>Kitts</w:t>
            </w:r>
            <w:proofErr w:type="spellEnd"/>
            <w:r w:rsidRPr="005978DF">
              <w:rPr>
                <w:rFonts w:ascii="Calibri" w:hAnsi="Calibri"/>
                <w:sz w:val="16"/>
                <w:szCs w:val="16"/>
                <w:lang w:val="es-ES"/>
              </w:rPr>
              <w:t xml:space="preserve"> y </w:t>
            </w:r>
            <w:proofErr w:type="spellStart"/>
            <w:r w:rsidRPr="005978DF">
              <w:rPr>
                <w:rFonts w:ascii="Calibri" w:hAnsi="Calibri"/>
                <w:sz w:val="16"/>
                <w:szCs w:val="16"/>
                <w:lang w:val="es-ES"/>
              </w:rPr>
              <w:t>Nevis</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4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4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A4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4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4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A4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4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4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A5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4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Samoa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4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4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A4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4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4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A5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5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5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A5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0412A5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Santa Lucía</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A5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5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A5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5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5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A5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5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5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A6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5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Santo Tomé y Príncipe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5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6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A6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6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6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A6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6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6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A7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6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Senegal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6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6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A6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6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6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A6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6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7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A7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7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Serbia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7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7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0,050</w:t>
            </w:r>
          </w:p>
        </w:tc>
        <w:tc>
          <w:tcPr>
            <w:tcW w:w="426" w:type="dxa"/>
            <w:tcBorders>
              <w:top w:val="nil"/>
              <w:left w:val="nil"/>
              <w:bottom w:val="nil"/>
              <w:right w:val="nil"/>
            </w:tcBorders>
            <w:noWrap/>
            <w:vAlign w:val="center"/>
            <w:hideMark/>
          </w:tcPr>
          <w:p w14:paraId="40412A7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7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1 213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7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1 204 </w:t>
            </w:r>
          </w:p>
        </w:tc>
        <w:tc>
          <w:tcPr>
            <w:tcW w:w="425" w:type="dxa"/>
            <w:tcBorders>
              <w:top w:val="nil"/>
              <w:left w:val="nil"/>
              <w:bottom w:val="nil"/>
              <w:right w:val="nil"/>
            </w:tcBorders>
            <w:noWrap/>
            <w:vAlign w:val="center"/>
            <w:hideMark/>
          </w:tcPr>
          <w:p w14:paraId="40412A7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7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1 099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7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1 105 </w:t>
            </w:r>
          </w:p>
        </w:tc>
      </w:tr>
      <w:tr w:rsidR="002809FB" w:rsidRPr="005978DF" w14:paraId="40412A8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7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Seychelles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7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7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A7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8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8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A8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8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8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A8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8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Sierra Leona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8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8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A8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8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8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A8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8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8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A9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9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Sudáfrica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9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9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0,382</w:t>
            </w:r>
          </w:p>
        </w:tc>
        <w:tc>
          <w:tcPr>
            <w:tcW w:w="426" w:type="dxa"/>
            <w:tcBorders>
              <w:top w:val="nil"/>
              <w:left w:val="nil"/>
              <w:bottom w:val="nil"/>
              <w:right w:val="nil"/>
            </w:tcBorders>
            <w:noWrap/>
            <w:vAlign w:val="center"/>
            <w:hideMark/>
          </w:tcPr>
          <w:p w14:paraId="40412A9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9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9 246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9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9 183 </w:t>
            </w:r>
          </w:p>
        </w:tc>
        <w:tc>
          <w:tcPr>
            <w:tcW w:w="425" w:type="dxa"/>
            <w:tcBorders>
              <w:top w:val="nil"/>
              <w:left w:val="nil"/>
              <w:bottom w:val="nil"/>
              <w:right w:val="nil"/>
            </w:tcBorders>
            <w:noWrap/>
            <w:vAlign w:val="center"/>
            <w:hideMark/>
          </w:tcPr>
          <w:p w14:paraId="40412A9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9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8 381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9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8 429 </w:t>
            </w:r>
          </w:p>
        </w:tc>
      </w:tr>
      <w:tr w:rsidR="002809FB" w:rsidRPr="005978DF" w14:paraId="40412AA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9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Sudán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9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9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A9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9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9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AA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A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A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AA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A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lastRenderedPageBreak/>
              <w:t>Suecia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A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0,871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A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1,362</w:t>
            </w:r>
          </w:p>
        </w:tc>
        <w:tc>
          <w:tcPr>
            <w:tcW w:w="426" w:type="dxa"/>
            <w:tcBorders>
              <w:top w:val="nil"/>
              <w:left w:val="nil"/>
              <w:bottom w:val="nil"/>
              <w:right w:val="nil"/>
            </w:tcBorders>
            <w:noWrap/>
            <w:vAlign w:val="center"/>
            <w:hideMark/>
          </w:tcPr>
          <w:p w14:paraId="40412AA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A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33 006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A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32 778 </w:t>
            </w:r>
          </w:p>
        </w:tc>
        <w:tc>
          <w:tcPr>
            <w:tcW w:w="425" w:type="dxa"/>
            <w:tcBorders>
              <w:top w:val="nil"/>
              <w:left w:val="nil"/>
              <w:bottom w:val="nil"/>
              <w:right w:val="nil"/>
            </w:tcBorders>
            <w:noWrap/>
            <w:vAlign w:val="center"/>
            <w:hideMark/>
          </w:tcPr>
          <w:p w14:paraId="40412AA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A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29 919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A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30 087 </w:t>
            </w:r>
          </w:p>
        </w:tc>
      </w:tr>
      <w:tr w:rsidR="002809FB" w:rsidRPr="005978DF" w14:paraId="40412AB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A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 xml:space="preserve">Suiza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A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1,134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B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1,774</w:t>
            </w:r>
          </w:p>
        </w:tc>
        <w:tc>
          <w:tcPr>
            <w:tcW w:w="426" w:type="dxa"/>
            <w:tcBorders>
              <w:top w:val="nil"/>
              <w:left w:val="nil"/>
              <w:bottom w:val="nil"/>
              <w:right w:val="nil"/>
            </w:tcBorders>
            <w:noWrap/>
            <w:vAlign w:val="center"/>
            <w:hideMark/>
          </w:tcPr>
          <w:p w14:paraId="40412AB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B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42 972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B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42 676 </w:t>
            </w:r>
          </w:p>
        </w:tc>
        <w:tc>
          <w:tcPr>
            <w:tcW w:w="425" w:type="dxa"/>
            <w:tcBorders>
              <w:top w:val="nil"/>
              <w:left w:val="nil"/>
              <w:bottom w:val="nil"/>
              <w:right w:val="nil"/>
            </w:tcBorders>
            <w:noWrap/>
            <w:vAlign w:val="center"/>
            <w:hideMark/>
          </w:tcPr>
          <w:p w14:paraId="40412AB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B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38 953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B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39 173 </w:t>
            </w:r>
          </w:p>
        </w:tc>
      </w:tr>
      <w:tr w:rsidR="002809FB" w:rsidRPr="005978DF" w14:paraId="40412AC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B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Tayikistán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B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B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0,005</w:t>
            </w:r>
          </w:p>
        </w:tc>
        <w:tc>
          <w:tcPr>
            <w:tcW w:w="426" w:type="dxa"/>
            <w:tcBorders>
              <w:top w:val="nil"/>
              <w:left w:val="nil"/>
              <w:bottom w:val="nil"/>
              <w:right w:val="nil"/>
            </w:tcBorders>
            <w:noWrap/>
            <w:vAlign w:val="center"/>
            <w:hideMark/>
          </w:tcPr>
          <w:p w14:paraId="40412AB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B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B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113 </w:t>
            </w:r>
          </w:p>
        </w:tc>
        <w:tc>
          <w:tcPr>
            <w:tcW w:w="425" w:type="dxa"/>
            <w:tcBorders>
              <w:top w:val="nil"/>
              <w:left w:val="nil"/>
              <w:bottom w:val="nil"/>
              <w:right w:val="nil"/>
            </w:tcBorders>
            <w:noWrap/>
            <w:vAlign w:val="center"/>
            <w:hideMark/>
          </w:tcPr>
          <w:p w14:paraId="40412AB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B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C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104 </w:t>
            </w:r>
          </w:p>
        </w:tc>
      </w:tr>
      <w:tr w:rsidR="002809FB" w:rsidRPr="005978DF" w14:paraId="40412AC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C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Togo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C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C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0,003</w:t>
            </w:r>
          </w:p>
        </w:tc>
        <w:tc>
          <w:tcPr>
            <w:tcW w:w="426" w:type="dxa"/>
            <w:tcBorders>
              <w:top w:val="nil"/>
              <w:left w:val="nil"/>
              <w:bottom w:val="nil"/>
              <w:right w:val="nil"/>
            </w:tcBorders>
            <w:noWrap/>
            <w:vAlign w:val="center"/>
            <w:hideMark/>
          </w:tcPr>
          <w:p w14:paraId="40412AC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C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C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75 </w:t>
            </w:r>
          </w:p>
        </w:tc>
        <w:tc>
          <w:tcPr>
            <w:tcW w:w="425" w:type="dxa"/>
            <w:tcBorders>
              <w:top w:val="nil"/>
              <w:left w:val="nil"/>
              <w:bottom w:val="nil"/>
              <w:right w:val="nil"/>
            </w:tcBorders>
            <w:noWrap/>
            <w:vAlign w:val="center"/>
            <w:hideMark/>
          </w:tcPr>
          <w:p w14:paraId="40412AC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C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C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69 </w:t>
            </w:r>
          </w:p>
        </w:tc>
      </w:tr>
      <w:tr w:rsidR="002809FB" w:rsidRPr="005978DF" w14:paraId="40412AD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C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Tonga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C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C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AC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D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D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AD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D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D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AD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D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Túnez</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D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D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0,030</w:t>
            </w:r>
          </w:p>
        </w:tc>
        <w:tc>
          <w:tcPr>
            <w:tcW w:w="426" w:type="dxa"/>
            <w:tcBorders>
              <w:top w:val="nil"/>
              <w:left w:val="nil"/>
              <w:bottom w:val="nil"/>
              <w:right w:val="nil"/>
            </w:tcBorders>
            <w:noWrap/>
            <w:vAlign w:val="center"/>
            <w:hideMark/>
          </w:tcPr>
          <w:p w14:paraId="40412AD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D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D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715 </w:t>
            </w:r>
          </w:p>
        </w:tc>
        <w:tc>
          <w:tcPr>
            <w:tcW w:w="425" w:type="dxa"/>
            <w:tcBorders>
              <w:top w:val="nil"/>
              <w:left w:val="nil"/>
              <w:bottom w:val="nil"/>
              <w:right w:val="nil"/>
            </w:tcBorders>
            <w:noWrap/>
            <w:vAlign w:val="center"/>
            <w:hideMark/>
          </w:tcPr>
          <w:p w14:paraId="40412AD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D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D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656 </w:t>
            </w:r>
          </w:p>
        </w:tc>
      </w:tr>
      <w:tr w:rsidR="002809FB" w:rsidRPr="005978DF" w14:paraId="40412AE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E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Turkmenistán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E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E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0,053</w:t>
            </w:r>
          </w:p>
        </w:tc>
        <w:tc>
          <w:tcPr>
            <w:tcW w:w="426" w:type="dxa"/>
            <w:tcBorders>
              <w:top w:val="nil"/>
              <w:left w:val="nil"/>
              <w:bottom w:val="nil"/>
              <w:right w:val="nil"/>
            </w:tcBorders>
            <w:noWrap/>
            <w:vAlign w:val="center"/>
            <w:hideMark/>
          </w:tcPr>
          <w:p w14:paraId="40412AE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E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E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1 280 </w:t>
            </w:r>
          </w:p>
        </w:tc>
        <w:tc>
          <w:tcPr>
            <w:tcW w:w="425" w:type="dxa"/>
            <w:tcBorders>
              <w:top w:val="nil"/>
              <w:left w:val="nil"/>
              <w:bottom w:val="nil"/>
              <w:right w:val="nil"/>
            </w:tcBorders>
            <w:noWrap/>
            <w:vAlign w:val="center"/>
            <w:hideMark/>
          </w:tcPr>
          <w:p w14:paraId="40412AE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E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1 168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E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1 175 </w:t>
            </w:r>
          </w:p>
        </w:tc>
      </w:tr>
      <w:tr w:rsidR="002809FB" w:rsidRPr="005978DF" w14:paraId="40412AF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E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Tuvalu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E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E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AE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E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E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AF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F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F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AF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0412AF4"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Ucrania</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AF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0,056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AF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0,088</w:t>
            </w:r>
          </w:p>
        </w:tc>
        <w:tc>
          <w:tcPr>
            <w:tcW w:w="426" w:type="dxa"/>
            <w:tcBorders>
              <w:top w:val="nil"/>
              <w:left w:val="nil"/>
              <w:bottom w:val="nil"/>
              <w:right w:val="nil"/>
            </w:tcBorders>
            <w:noWrap/>
            <w:vAlign w:val="center"/>
            <w:hideMark/>
          </w:tcPr>
          <w:p w14:paraId="40412AF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F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F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2 107 </w:t>
            </w:r>
          </w:p>
        </w:tc>
        <w:tc>
          <w:tcPr>
            <w:tcW w:w="425" w:type="dxa"/>
            <w:tcBorders>
              <w:top w:val="nil"/>
              <w:left w:val="nil"/>
              <w:bottom w:val="nil"/>
              <w:right w:val="nil"/>
            </w:tcBorders>
            <w:noWrap/>
            <w:vAlign w:val="center"/>
            <w:hideMark/>
          </w:tcPr>
          <w:p w14:paraId="40412AF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AF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AF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1 934 </w:t>
            </w:r>
          </w:p>
        </w:tc>
      </w:tr>
      <w:tr w:rsidR="002809FB" w:rsidRPr="005978DF" w14:paraId="40412B0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AF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Uganda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AF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0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B01"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0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0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B04"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0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0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B11"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B08"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Unión Europea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B09" w14:textId="77777777" w:rsidR="002809FB" w:rsidRPr="005978DF" w:rsidRDefault="002809FB" w:rsidP="0049064A">
            <w:pPr>
              <w:rPr>
                <w:rFonts w:ascii="Calibri" w:hAnsi="Calibri" w:cstheme="majorBidi"/>
                <w:sz w:val="16"/>
                <w:szCs w:val="16"/>
                <w:lang w:val="es-ES" w:eastAsia="zh-CN"/>
              </w:rPr>
            </w:pP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0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2,500</w:t>
            </w:r>
          </w:p>
        </w:tc>
        <w:tc>
          <w:tcPr>
            <w:tcW w:w="426" w:type="dxa"/>
            <w:tcBorders>
              <w:top w:val="nil"/>
              <w:left w:val="nil"/>
              <w:bottom w:val="nil"/>
              <w:right w:val="nil"/>
            </w:tcBorders>
            <w:noWrap/>
            <w:vAlign w:val="center"/>
            <w:hideMark/>
          </w:tcPr>
          <w:p w14:paraId="40412B0B"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0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60 570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0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60 153 </w:t>
            </w:r>
          </w:p>
        </w:tc>
        <w:tc>
          <w:tcPr>
            <w:tcW w:w="425" w:type="dxa"/>
            <w:tcBorders>
              <w:top w:val="nil"/>
              <w:left w:val="nil"/>
              <w:bottom w:val="nil"/>
              <w:right w:val="nil"/>
            </w:tcBorders>
            <w:noWrap/>
            <w:vAlign w:val="center"/>
            <w:hideMark/>
          </w:tcPr>
          <w:p w14:paraId="40412B0E"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0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54 905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1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55 215 </w:t>
            </w:r>
          </w:p>
        </w:tc>
      </w:tr>
      <w:tr w:rsidR="002809FB" w:rsidRPr="005978DF" w14:paraId="40412B1B"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B12"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Uruguay</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B1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0,092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1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0,144</w:t>
            </w:r>
          </w:p>
        </w:tc>
        <w:tc>
          <w:tcPr>
            <w:tcW w:w="426" w:type="dxa"/>
            <w:tcBorders>
              <w:top w:val="nil"/>
              <w:left w:val="nil"/>
              <w:bottom w:val="nil"/>
              <w:right w:val="nil"/>
            </w:tcBorders>
            <w:noWrap/>
            <w:vAlign w:val="center"/>
            <w:hideMark/>
          </w:tcPr>
          <w:p w14:paraId="40412B15"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1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3 486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1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3 462 </w:t>
            </w:r>
          </w:p>
        </w:tc>
        <w:tc>
          <w:tcPr>
            <w:tcW w:w="425" w:type="dxa"/>
            <w:tcBorders>
              <w:top w:val="nil"/>
              <w:left w:val="nil"/>
              <w:bottom w:val="nil"/>
              <w:right w:val="nil"/>
            </w:tcBorders>
            <w:noWrap/>
            <w:vAlign w:val="center"/>
            <w:hideMark/>
          </w:tcPr>
          <w:p w14:paraId="40412B18"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1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3 160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1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3 178 </w:t>
            </w:r>
          </w:p>
        </w:tc>
      </w:tr>
      <w:tr w:rsidR="002809FB" w:rsidRPr="005978DF" w14:paraId="40412B25"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B1C"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Vanuatu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B1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1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0,002</w:t>
            </w:r>
          </w:p>
        </w:tc>
        <w:tc>
          <w:tcPr>
            <w:tcW w:w="426" w:type="dxa"/>
            <w:tcBorders>
              <w:top w:val="nil"/>
              <w:left w:val="nil"/>
              <w:bottom w:val="nil"/>
              <w:right w:val="nil"/>
            </w:tcBorders>
            <w:noWrap/>
            <w:vAlign w:val="center"/>
            <w:hideMark/>
          </w:tcPr>
          <w:p w14:paraId="40412B1F"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20"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2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38 </w:t>
            </w:r>
          </w:p>
        </w:tc>
        <w:tc>
          <w:tcPr>
            <w:tcW w:w="425" w:type="dxa"/>
            <w:tcBorders>
              <w:top w:val="nil"/>
              <w:left w:val="nil"/>
              <w:bottom w:val="nil"/>
              <w:right w:val="nil"/>
            </w:tcBorders>
            <w:noWrap/>
            <w:vAlign w:val="center"/>
            <w:hideMark/>
          </w:tcPr>
          <w:p w14:paraId="40412B22"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23"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2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35 </w:t>
            </w:r>
          </w:p>
        </w:tc>
      </w:tr>
      <w:tr w:rsidR="002809FB" w:rsidRPr="005978DF" w14:paraId="40412B2F"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B26"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Venezuela (República Bolivariana 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B2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0,175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2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0,274</w:t>
            </w:r>
          </w:p>
        </w:tc>
        <w:tc>
          <w:tcPr>
            <w:tcW w:w="426" w:type="dxa"/>
            <w:tcBorders>
              <w:top w:val="nil"/>
              <w:left w:val="nil"/>
              <w:bottom w:val="nil"/>
              <w:right w:val="nil"/>
            </w:tcBorders>
            <w:noWrap/>
            <w:vAlign w:val="center"/>
            <w:hideMark/>
          </w:tcPr>
          <w:p w14:paraId="40412B29"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2A"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6 632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2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6 585 </w:t>
            </w:r>
          </w:p>
        </w:tc>
        <w:tc>
          <w:tcPr>
            <w:tcW w:w="425" w:type="dxa"/>
            <w:tcBorders>
              <w:top w:val="nil"/>
              <w:left w:val="nil"/>
              <w:bottom w:val="nil"/>
              <w:right w:val="nil"/>
            </w:tcBorders>
            <w:noWrap/>
            <w:vAlign w:val="center"/>
            <w:hideMark/>
          </w:tcPr>
          <w:p w14:paraId="40412B2C"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2D"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6 011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2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6 045 </w:t>
            </w:r>
          </w:p>
        </w:tc>
      </w:tr>
      <w:tr w:rsidR="002809FB" w:rsidRPr="005978DF" w14:paraId="40412B39"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B30"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Vietnam</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B3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0,093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3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0,145</w:t>
            </w:r>
          </w:p>
        </w:tc>
        <w:tc>
          <w:tcPr>
            <w:tcW w:w="426" w:type="dxa"/>
            <w:tcBorders>
              <w:top w:val="nil"/>
              <w:left w:val="nil"/>
              <w:bottom w:val="nil"/>
              <w:right w:val="nil"/>
            </w:tcBorders>
            <w:noWrap/>
            <w:vAlign w:val="center"/>
            <w:hideMark/>
          </w:tcPr>
          <w:p w14:paraId="40412B33"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34"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3 524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3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3 500 </w:t>
            </w:r>
          </w:p>
        </w:tc>
        <w:tc>
          <w:tcPr>
            <w:tcW w:w="425" w:type="dxa"/>
            <w:tcBorders>
              <w:top w:val="nil"/>
              <w:left w:val="nil"/>
              <w:bottom w:val="nil"/>
              <w:right w:val="nil"/>
            </w:tcBorders>
            <w:noWrap/>
            <w:vAlign w:val="center"/>
            <w:hideMark/>
          </w:tcPr>
          <w:p w14:paraId="40412B36"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37"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3 195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3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3 213 </w:t>
            </w:r>
          </w:p>
        </w:tc>
      </w:tr>
      <w:tr w:rsidR="002809FB" w:rsidRPr="005978DF" w14:paraId="40412B43"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B3A"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Zambia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0412B3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3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0,010</w:t>
            </w:r>
          </w:p>
        </w:tc>
        <w:tc>
          <w:tcPr>
            <w:tcW w:w="426" w:type="dxa"/>
            <w:tcBorders>
              <w:top w:val="nil"/>
              <w:left w:val="nil"/>
              <w:bottom w:val="nil"/>
              <w:right w:val="nil"/>
            </w:tcBorders>
            <w:noWrap/>
            <w:vAlign w:val="center"/>
            <w:hideMark/>
          </w:tcPr>
          <w:p w14:paraId="40412B3D"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3E"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3F"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241 </w:t>
            </w:r>
          </w:p>
        </w:tc>
        <w:tc>
          <w:tcPr>
            <w:tcW w:w="425" w:type="dxa"/>
            <w:tcBorders>
              <w:top w:val="nil"/>
              <w:left w:val="nil"/>
              <w:bottom w:val="nil"/>
              <w:right w:val="nil"/>
            </w:tcBorders>
            <w:noWrap/>
            <w:vAlign w:val="center"/>
            <w:hideMark/>
          </w:tcPr>
          <w:p w14:paraId="40412B40"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41"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42"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221 </w:t>
            </w:r>
          </w:p>
        </w:tc>
      </w:tr>
      <w:tr w:rsidR="002809FB" w:rsidRPr="005978DF" w14:paraId="40412B4D"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vAlign w:val="center"/>
            <w:hideMark/>
          </w:tcPr>
          <w:p w14:paraId="40412B44" w14:textId="77777777" w:rsidR="002809FB" w:rsidRPr="005978DF" w:rsidRDefault="002809FB" w:rsidP="0049064A">
            <w:pPr>
              <w:rPr>
                <w:rFonts w:ascii="Calibri" w:hAnsi="Calibri" w:cstheme="majorBidi"/>
                <w:sz w:val="16"/>
                <w:szCs w:val="16"/>
                <w:lang w:val="es-ES"/>
              </w:rPr>
            </w:pPr>
            <w:proofErr w:type="spellStart"/>
            <w:r w:rsidRPr="005978DF">
              <w:rPr>
                <w:rFonts w:ascii="Calibri" w:hAnsi="Calibri"/>
                <w:sz w:val="16"/>
                <w:szCs w:val="16"/>
                <w:lang w:val="es-ES"/>
              </w:rPr>
              <w:t>Zimbabwe</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412B45"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46"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0,011</w:t>
            </w:r>
          </w:p>
        </w:tc>
        <w:tc>
          <w:tcPr>
            <w:tcW w:w="426" w:type="dxa"/>
            <w:tcBorders>
              <w:top w:val="nil"/>
              <w:left w:val="nil"/>
              <w:bottom w:val="nil"/>
              <w:right w:val="nil"/>
            </w:tcBorders>
            <w:noWrap/>
            <w:vAlign w:val="center"/>
            <w:hideMark/>
          </w:tcPr>
          <w:p w14:paraId="40412B47"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48"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49"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263 </w:t>
            </w:r>
          </w:p>
        </w:tc>
        <w:tc>
          <w:tcPr>
            <w:tcW w:w="425" w:type="dxa"/>
            <w:tcBorders>
              <w:top w:val="nil"/>
              <w:left w:val="nil"/>
              <w:bottom w:val="nil"/>
              <w:right w:val="nil"/>
            </w:tcBorders>
            <w:noWrap/>
            <w:vAlign w:val="center"/>
            <w:hideMark/>
          </w:tcPr>
          <w:p w14:paraId="40412B4A" w14:textId="77777777" w:rsidR="002809FB" w:rsidRPr="005978DF" w:rsidRDefault="002809FB" w:rsidP="0049064A">
            <w:pPr>
              <w:jc w:val="right"/>
              <w:rPr>
                <w:rFonts w:ascii="Calibri" w:hAnsi="Calibri" w:cstheme="majorBidi"/>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4B"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4C" w14:textId="77777777" w:rsidR="002809FB" w:rsidRPr="005978DF" w:rsidRDefault="002809FB" w:rsidP="0049064A">
            <w:pPr>
              <w:jc w:val="right"/>
              <w:rPr>
                <w:rFonts w:ascii="Calibri" w:hAnsi="Calibri" w:cstheme="majorBidi"/>
                <w:sz w:val="16"/>
                <w:szCs w:val="16"/>
                <w:lang w:val="es-ES"/>
              </w:rPr>
            </w:pPr>
            <w:r w:rsidRPr="005978DF">
              <w:rPr>
                <w:rFonts w:ascii="Calibri" w:hAnsi="Calibri"/>
                <w:sz w:val="16"/>
                <w:szCs w:val="16"/>
                <w:lang w:val="es-ES"/>
              </w:rPr>
              <w:t xml:space="preserve">242 </w:t>
            </w:r>
          </w:p>
        </w:tc>
      </w:tr>
      <w:tr w:rsidR="002809FB" w:rsidRPr="005978DF" w14:paraId="40412B57" w14:textId="77777777" w:rsidTr="0049064A">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0412B4E" w14:textId="77777777" w:rsidR="002809FB" w:rsidRPr="005978DF" w:rsidRDefault="002809FB" w:rsidP="0049064A">
            <w:pPr>
              <w:rPr>
                <w:rFonts w:ascii="Calibri" w:hAnsi="Calibri" w:cstheme="majorBidi"/>
                <w:sz w:val="16"/>
                <w:szCs w:val="16"/>
                <w:lang w:val="es-ES"/>
              </w:rPr>
            </w:pPr>
            <w:r w:rsidRPr="005978DF">
              <w:rPr>
                <w:rFonts w:ascii="Calibri" w:hAnsi="Calibri"/>
                <w:sz w:val="16"/>
                <w:szCs w:val="16"/>
                <w:lang w:val="es-ES"/>
              </w:rPr>
              <w:t>Total</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0412B4F" w14:textId="77777777" w:rsidR="002809FB" w:rsidRPr="005978DF" w:rsidRDefault="002809FB" w:rsidP="0049064A">
            <w:pPr>
              <w:jc w:val="right"/>
              <w:rPr>
                <w:rFonts w:ascii="Calibri" w:hAnsi="Calibri" w:cstheme="majorBidi"/>
                <w:b/>
                <w:bCs/>
                <w:sz w:val="16"/>
                <w:szCs w:val="16"/>
                <w:lang w:val="es-ES"/>
              </w:rPr>
            </w:pPr>
            <w:r w:rsidRPr="005978DF">
              <w:rPr>
                <w:rFonts w:ascii="Calibri" w:hAnsi="Calibri"/>
                <w:b/>
                <w:bCs/>
                <w:sz w:val="16"/>
                <w:szCs w:val="16"/>
                <w:lang w:val="es-ES"/>
              </w:rPr>
              <w:t>62,368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412B50" w14:textId="77777777" w:rsidR="002809FB" w:rsidRPr="005978DF" w:rsidRDefault="002809FB" w:rsidP="0049064A">
            <w:pPr>
              <w:jc w:val="right"/>
              <w:rPr>
                <w:rFonts w:ascii="Calibri" w:hAnsi="Calibri" w:cstheme="majorBidi"/>
                <w:b/>
                <w:bCs/>
                <w:sz w:val="16"/>
                <w:szCs w:val="16"/>
                <w:lang w:val="es-ES"/>
              </w:rPr>
            </w:pPr>
            <w:r w:rsidRPr="005978DF">
              <w:rPr>
                <w:rFonts w:ascii="Calibri" w:hAnsi="Calibri"/>
                <w:b/>
                <w:bCs/>
                <w:sz w:val="16"/>
                <w:szCs w:val="16"/>
                <w:lang w:val="es-ES"/>
              </w:rPr>
              <w:t>100,000</w:t>
            </w:r>
          </w:p>
        </w:tc>
        <w:tc>
          <w:tcPr>
            <w:tcW w:w="426" w:type="dxa"/>
            <w:tcBorders>
              <w:top w:val="nil"/>
              <w:left w:val="nil"/>
              <w:bottom w:val="nil"/>
              <w:right w:val="nil"/>
            </w:tcBorders>
            <w:noWrap/>
            <w:vAlign w:val="center"/>
            <w:hideMark/>
          </w:tcPr>
          <w:p w14:paraId="40412B51" w14:textId="77777777" w:rsidR="002809FB" w:rsidRPr="005978DF" w:rsidRDefault="002809FB" w:rsidP="0049064A">
            <w:pPr>
              <w:jc w:val="right"/>
              <w:rPr>
                <w:rFonts w:ascii="Calibri" w:hAnsi="Calibri" w:cstheme="majorBidi"/>
                <w:b/>
                <w:bCs/>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52" w14:textId="77777777" w:rsidR="002809FB" w:rsidRPr="005978DF" w:rsidRDefault="002809FB" w:rsidP="0049064A">
            <w:pPr>
              <w:jc w:val="right"/>
              <w:rPr>
                <w:rFonts w:ascii="Calibri" w:hAnsi="Calibri" w:cstheme="majorBidi"/>
                <w:b/>
                <w:bCs/>
                <w:sz w:val="16"/>
                <w:szCs w:val="16"/>
                <w:lang w:val="es-ES"/>
              </w:rPr>
            </w:pPr>
            <w:r w:rsidRPr="005978DF">
              <w:rPr>
                <w:rFonts w:ascii="Calibri" w:hAnsi="Calibri"/>
                <w:b/>
                <w:bCs/>
                <w:sz w:val="16"/>
                <w:szCs w:val="16"/>
                <w:lang w:val="es-ES"/>
              </w:rPr>
              <w:t xml:space="preserve">2 422 800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53" w14:textId="77777777" w:rsidR="002809FB" w:rsidRPr="005978DF" w:rsidRDefault="002809FB" w:rsidP="0049064A">
            <w:pPr>
              <w:jc w:val="right"/>
              <w:rPr>
                <w:rFonts w:ascii="Calibri" w:hAnsi="Calibri" w:cstheme="majorBidi"/>
                <w:b/>
                <w:bCs/>
                <w:sz w:val="16"/>
                <w:szCs w:val="16"/>
                <w:lang w:val="es-ES"/>
              </w:rPr>
            </w:pPr>
            <w:r w:rsidRPr="005978DF">
              <w:rPr>
                <w:rFonts w:ascii="Calibri" w:hAnsi="Calibri"/>
                <w:b/>
                <w:bCs/>
                <w:sz w:val="16"/>
                <w:szCs w:val="16"/>
                <w:lang w:val="es-ES"/>
              </w:rPr>
              <w:t xml:space="preserve">2 406 100 </w:t>
            </w:r>
          </w:p>
        </w:tc>
        <w:tc>
          <w:tcPr>
            <w:tcW w:w="425" w:type="dxa"/>
            <w:tcBorders>
              <w:top w:val="nil"/>
              <w:left w:val="nil"/>
              <w:bottom w:val="nil"/>
              <w:right w:val="nil"/>
            </w:tcBorders>
            <w:noWrap/>
            <w:vAlign w:val="center"/>
            <w:hideMark/>
          </w:tcPr>
          <w:p w14:paraId="40412B54" w14:textId="77777777" w:rsidR="002809FB" w:rsidRPr="005978DF" w:rsidRDefault="002809FB" w:rsidP="0049064A">
            <w:pPr>
              <w:jc w:val="right"/>
              <w:rPr>
                <w:rFonts w:ascii="Calibri" w:hAnsi="Calibri" w:cstheme="majorBidi"/>
                <w:b/>
                <w:bCs/>
                <w:sz w:val="16"/>
                <w:szCs w:val="16"/>
                <w:lang w:val="es-E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12B55" w14:textId="77777777" w:rsidR="002809FB" w:rsidRPr="005978DF" w:rsidRDefault="002809FB" w:rsidP="0049064A">
            <w:pPr>
              <w:jc w:val="right"/>
              <w:rPr>
                <w:rFonts w:ascii="Calibri" w:hAnsi="Calibri" w:cstheme="majorBidi"/>
                <w:b/>
                <w:bCs/>
                <w:sz w:val="16"/>
                <w:szCs w:val="16"/>
                <w:lang w:val="es-ES"/>
              </w:rPr>
            </w:pPr>
            <w:r w:rsidRPr="005978DF">
              <w:rPr>
                <w:rFonts w:ascii="Calibri" w:hAnsi="Calibri"/>
                <w:b/>
                <w:bCs/>
                <w:sz w:val="16"/>
                <w:szCs w:val="16"/>
                <w:lang w:val="es-ES"/>
              </w:rPr>
              <w:t xml:space="preserve">2 196 200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412B56" w14:textId="77777777" w:rsidR="002809FB" w:rsidRPr="005978DF" w:rsidRDefault="002809FB" w:rsidP="0049064A">
            <w:pPr>
              <w:jc w:val="right"/>
              <w:rPr>
                <w:rFonts w:ascii="Calibri" w:hAnsi="Calibri" w:cstheme="majorBidi"/>
                <w:b/>
                <w:bCs/>
                <w:sz w:val="16"/>
                <w:szCs w:val="16"/>
                <w:lang w:val="es-ES"/>
              </w:rPr>
            </w:pPr>
            <w:r w:rsidRPr="005978DF">
              <w:rPr>
                <w:rFonts w:ascii="Calibri" w:hAnsi="Calibri"/>
                <w:b/>
                <w:bCs/>
                <w:sz w:val="16"/>
                <w:szCs w:val="16"/>
                <w:lang w:val="es-ES"/>
              </w:rPr>
              <w:t xml:space="preserve">2 208 600 </w:t>
            </w:r>
          </w:p>
        </w:tc>
      </w:tr>
    </w:tbl>
    <w:p w14:paraId="40412B58" w14:textId="77777777" w:rsidR="000F4C79" w:rsidRPr="00F32A8E" w:rsidRDefault="000F4C79" w:rsidP="000F4C79">
      <w:pPr>
        <w:rPr>
          <w:rFonts w:eastAsia="Calibri"/>
        </w:rPr>
      </w:pPr>
    </w:p>
    <w:p w14:paraId="40412B59" w14:textId="77777777" w:rsidR="000F4C79" w:rsidRPr="005A3999" w:rsidRDefault="000F4C79" w:rsidP="006011B3">
      <w:pPr>
        <w:jc w:val="center"/>
        <w:rPr>
          <w:rFonts w:eastAsia="Calibri"/>
        </w:rPr>
      </w:pPr>
      <w:r w:rsidRPr="005A3999">
        <w:rPr>
          <w:rFonts w:eastAsia="Calibri"/>
        </w:rPr>
        <w:t>_____________________________</w:t>
      </w:r>
    </w:p>
    <w:p w14:paraId="40412B5A" w14:textId="77777777" w:rsidR="002F3255" w:rsidRPr="005978DF" w:rsidRDefault="002F3255">
      <w:pPr>
        <w:pStyle w:val="Heading2"/>
        <w:spacing w:before="240"/>
        <w:ind w:left="357"/>
        <w:rPr>
          <w:rFonts w:eastAsia="Times New Roman"/>
          <w:lang w:val="es-ES"/>
        </w:rPr>
      </w:pPr>
    </w:p>
    <w:sectPr w:rsidR="002F3255" w:rsidRPr="005978DF" w:rsidSect="005515AE">
      <w:headerReference w:type="even" r:id="rId21"/>
      <w:headerReference w:type="default" r:id="rId22"/>
      <w:footerReference w:type="default" r:id="rId23"/>
      <w:pgSz w:w="12240" w:h="15840" w:code="1"/>
      <w:pgMar w:top="562" w:right="1138" w:bottom="1138" w:left="113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12B68" w14:textId="77777777" w:rsidR="008022EC" w:rsidRDefault="008022EC">
      <w:pPr>
        <w:rPr>
          <w:rFonts w:eastAsia="Times New Roman"/>
        </w:rPr>
      </w:pPr>
      <w:r>
        <w:rPr>
          <w:rFonts w:eastAsia="Times New Roman"/>
        </w:rPr>
        <w:separator/>
      </w:r>
    </w:p>
  </w:endnote>
  <w:endnote w:type="continuationSeparator" w:id="0">
    <w:p w14:paraId="40412B69" w14:textId="77777777" w:rsidR="008022EC" w:rsidRDefault="008022EC">
      <w:pPr>
        <w:rPr>
          <w:rFonts w:eastAsia="Times New Roman"/>
        </w:rPr>
      </w:pPr>
      <w:r>
        <w:rPr>
          <w:rFonts w:eastAsia="Times New Roman"/>
        </w:rPr>
        <w:continuationSeparator/>
      </w:r>
    </w:p>
  </w:endnote>
  <w:endnote w:type="continuationNotice" w:id="1">
    <w:p w14:paraId="40412B6A" w14:textId="77777777" w:rsidR="008022EC" w:rsidRDefault="008022EC">
      <w:pPr>
        <w:rPr>
          <w:rFonts w:eastAsia="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2B6F" w14:textId="77777777" w:rsidR="00F01D03" w:rsidRDefault="00F01D03">
    <w:pPr>
      <w:pStyle w:val="Footer"/>
      <w:jc w:val="left"/>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12B65" w14:textId="77777777" w:rsidR="008022EC" w:rsidRDefault="008022EC">
      <w:pPr>
        <w:rPr>
          <w:rFonts w:eastAsia="Times New Roman"/>
        </w:rPr>
      </w:pPr>
      <w:r>
        <w:rPr>
          <w:rFonts w:eastAsia="Times New Roman"/>
        </w:rPr>
        <w:separator/>
      </w:r>
    </w:p>
  </w:footnote>
  <w:footnote w:type="continuationSeparator" w:id="0">
    <w:p w14:paraId="40412B66" w14:textId="77777777" w:rsidR="008022EC" w:rsidRDefault="008022EC">
      <w:pPr>
        <w:rPr>
          <w:rFonts w:eastAsia="Times New Roman"/>
        </w:rPr>
      </w:pPr>
      <w:r>
        <w:rPr>
          <w:rFonts w:eastAsia="Times New Roman"/>
        </w:rPr>
        <w:continuationSeparator/>
      </w:r>
    </w:p>
  </w:footnote>
  <w:footnote w:type="continuationNotice" w:id="1">
    <w:p w14:paraId="40412B67" w14:textId="77777777" w:rsidR="008022EC" w:rsidRDefault="008022EC">
      <w:pPr>
        <w:rPr>
          <w:rFonts w:eastAsia="Times New Roman"/>
        </w:rPr>
      </w:pPr>
    </w:p>
  </w:footnote>
  <w:footnote w:id="2">
    <w:p w14:paraId="40412B70" w14:textId="77777777" w:rsidR="00F01D03" w:rsidRPr="007C3249" w:rsidRDefault="00F01D03">
      <w:pPr>
        <w:tabs>
          <w:tab w:val="left" w:pos="1742"/>
          <w:tab w:val="left" w:pos="2693"/>
          <w:tab w:val="left" w:pos="3182"/>
          <w:tab w:val="left" w:pos="3658"/>
          <w:tab w:val="left" w:pos="4133"/>
          <w:tab w:val="left" w:pos="4622"/>
          <w:tab w:val="left" w:pos="5098"/>
          <w:tab w:val="left" w:pos="5573"/>
          <w:tab w:val="left" w:pos="6048"/>
        </w:tabs>
        <w:spacing w:before="120" w:after="120"/>
        <w:rPr>
          <w:rFonts w:eastAsia="Times New Roman"/>
          <w:sz w:val="18"/>
          <w:szCs w:val="18"/>
          <w:lang w:val="es-ES"/>
        </w:rPr>
      </w:pPr>
      <w:r w:rsidRPr="007C3249">
        <w:rPr>
          <w:rStyle w:val="FootnoteReference"/>
          <w:rFonts w:eastAsia="Times New Roman"/>
          <w:sz w:val="18"/>
          <w:szCs w:val="18"/>
          <w:lang w:val="es-ES"/>
        </w:rPr>
        <w:footnoteRef/>
      </w:r>
      <w:r w:rsidRPr="007C3249">
        <w:rPr>
          <w:rFonts w:eastAsia="Times New Roman"/>
          <w:sz w:val="18"/>
          <w:szCs w:val="18"/>
          <w:lang w:val="es-ES"/>
        </w:rPr>
        <w:t> </w:t>
      </w:r>
      <w:r w:rsidRPr="007C3249">
        <w:rPr>
          <w:rFonts w:eastAsia="Times New Roman"/>
          <w:color w:val="000000"/>
          <w:kern w:val="20"/>
          <w:sz w:val="18"/>
          <w:szCs w:val="18"/>
          <w:lang w:val="es-ES"/>
        </w:rPr>
        <w:t>Dado que en la decisión 14/37 se preveía que la propuesta se prepararía luego de un período ordinario de dos años, podría inferirse que tras un período de cuatro años este tope debería aumentarse al 8 %. Esto equivaldría a un presupuesto para un crecimiento real nulo. Por lo tanto, aún con esta interpretación, no es posible preparar un presupuesto con la “tasa de crecimiento necesaria”.</w:t>
      </w:r>
    </w:p>
  </w:footnote>
  <w:footnote w:id="3">
    <w:p w14:paraId="40412B71" w14:textId="77777777" w:rsidR="00F01D03" w:rsidRPr="00152AF9" w:rsidRDefault="00F01D03">
      <w:pPr>
        <w:pStyle w:val="FootnoteText"/>
        <w:rPr>
          <w:rFonts w:eastAsia="Times New Roman"/>
          <w:lang w:val="es-ES"/>
        </w:rPr>
      </w:pPr>
      <w:r w:rsidRPr="00152AF9">
        <w:rPr>
          <w:rStyle w:val="FootnoteReference"/>
          <w:rFonts w:eastAsia="Times New Roman"/>
          <w:lang w:val="es-ES"/>
        </w:rPr>
        <w:footnoteRef/>
      </w:r>
      <w:r w:rsidRPr="00152AF9">
        <w:rPr>
          <w:rFonts w:eastAsia="Times New Roman"/>
          <w:lang w:val="es-ES"/>
        </w:rPr>
        <w:t xml:space="preserve"> UNEP/EA.2/Res.18</w:t>
      </w:r>
    </w:p>
  </w:footnote>
  <w:footnote w:id="4">
    <w:p w14:paraId="40412B72" w14:textId="77777777" w:rsidR="00F01D03" w:rsidRPr="00152AF9" w:rsidRDefault="00F01D03">
      <w:pPr>
        <w:pStyle w:val="FootnoteText"/>
        <w:rPr>
          <w:rFonts w:eastAsia="Times New Roman"/>
          <w:lang w:val="es-ES"/>
        </w:rPr>
      </w:pPr>
      <w:r w:rsidRPr="00152AF9">
        <w:rPr>
          <w:rStyle w:val="FootnoteReference"/>
          <w:rFonts w:eastAsia="Times New Roman"/>
          <w:lang w:val="es-ES"/>
        </w:rPr>
        <w:footnoteRef/>
      </w:r>
      <w:r w:rsidRPr="00152AF9">
        <w:rPr>
          <w:rFonts w:eastAsia="Times New Roman"/>
          <w:lang w:val="es-ES"/>
        </w:rPr>
        <w:t xml:space="preserve"> Quinta edición de la </w:t>
      </w:r>
      <w:hyperlink r:id="rId1" w:history="1">
        <w:r w:rsidRPr="000B6528">
          <w:rPr>
            <w:rStyle w:val="Hyperlink"/>
            <w:rFonts w:eastAsia="Times New Roman"/>
            <w:i/>
            <w:lang w:val="es-ES"/>
          </w:rPr>
          <w:t>Perspectiva Mundial sobre la Diversidad Biológic</w:t>
        </w:r>
        <w:r w:rsidRPr="00152AF9">
          <w:rPr>
            <w:rStyle w:val="Hyperlink"/>
            <w:rFonts w:eastAsia="Times New Roman"/>
            <w:lang w:val="es-ES"/>
          </w:rPr>
          <w:t>a</w:t>
        </w:r>
      </w:hyperlink>
      <w:r w:rsidRPr="00152AF9">
        <w:rPr>
          <w:rFonts w:eastAsia="Times New Roman"/>
          <w:lang w:val="es-ES"/>
        </w:rPr>
        <w:t xml:space="preserve"> e IPBES (2019): </w:t>
      </w:r>
      <w:r w:rsidRPr="000B6528">
        <w:rPr>
          <w:rFonts w:eastAsia="Times New Roman"/>
          <w:i/>
          <w:lang w:val="es-ES"/>
        </w:rPr>
        <w:t>Informe de la Evaluación Mundial de la Diversidad Biológica y los Servicios de los Ecosistemas preparado por la Plataforma Intergubernamental Científico-Normativa sobre Diversidad Biológica y Servicios de los Ecosistemas</w:t>
      </w:r>
      <w:r w:rsidRPr="00152AF9">
        <w:rPr>
          <w:rFonts w:eastAsia="Times New Roman"/>
          <w:lang w:val="es-ES"/>
        </w:rPr>
        <w:t xml:space="preserve">. E. S. </w:t>
      </w:r>
      <w:proofErr w:type="spellStart"/>
      <w:r w:rsidRPr="00152AF9">
        <w:rPr>
          <w:rFonts w:eastAsia="Times New Roman"/>
          <w:lang w:val="es-ES"/>
        </w:rPr>
        <w:t>Brondizio</w:t>
      </w:r>
      <w:proofErr w:type="spellEnd"/>
      <w:r w:rsidRPr="00152AF9">
        <w:rPr>
          <w:rFonts w:eastAsia="Times New Roman"/>
          <w:lang w:val="es-ES"/>
        </w:rPr>
        <w:t xml:space="preserve">, J. </w:t>
      </w:r>
      <w:proofErr w:type="spellStart"/>
      <w:r w:rsidRPr="00152AF9">
        <w:rPr>
          <w:rFonts w:eastAsia="Times New Roman"/>
          <w:lang w:val="es-ES"/>
        </w:rPr>
        <w:t>Settele</w:t>
      </w:r>
      <w:proofErr w:type="spellEnd"/>
      <w:r w:rsidRPr="00152AF9">
        <w:rPr>
          <w:rFonts w:eastAsia="Times New Roman"/>
          <w:lang w:val="es-ES"/>
        </w:rPr>
        <w:t xml:space="preserve">, S. Díaz y H. T. </w:t>
      </w:r>
      <w:proofErr w:type="spellStart"/>
      <w:r w:rsidRPr="00152AF9">
        <w:rPr>
          <w:rFonts w:eastAsia="Times New Roman"/>
          <w:lang w:val="es-ES"/>
        </w:rPr>
        <w:t>Ngo</w:t>
      </w:r>
      <w:proofErr w:type="spellEnd"/>
      <w:r w:rsidRPr="00152AF9">
        <w:rPr>
          <w:rFonts w:eastAsia="Times New Roman"/>
          <w:lang w:val="es-ES"/>
        </w:rPr>
        <w:t xml:space="preserve"> (editores). Secretaría de la IPBES, Bonn, Alemania. 1148 páginas. https://doi.org/10.5281/zenodo.3831673.</w:t>
      </w:r>
    </w:p>
  </w:footnote>
  <w:footnote w:id="5">
    <w:p w14:paraId="40412B73" w14:textId="77777777" w:rsidR="00F01D03" w:rsidRPr="00152AF9" w:rsidRDefault="00F01D03">
      <w:pPr>
        <w:rPr>
          <w:rFonts w:eastAsia="Times New Roman"/>
          <w:lang w:val="es-ES"/>
        </w:rPr>
      </w:pPr>
      <w:r w:rsidRPr="00152AF9">
        <w:rPr>
          <w:rFonts w:eastAsia="Times New Roman"/>
          <w:vertAlign w:val="superscript"/>
          <w:lang w:val="es-ES"/>
        </w:rPr>
        <w:footnoteRef/>
      </w:r>
      <w:r w:rsidRPr="00152AF9">
        <w:rPr>
          <w:rFonts w:eastAsia="Times New Roman"/>
          <w:lang w:val="es-ES"/>
        </w:rPr>
        <w:t xml:space="preserve"> </w:t>
      </w:r>
      <w:r w:rsidRPr="00152AF9">
        <w:rPr>
          <w:rFonts w:eastAsia="Times New Roman"/>
          <w:sz w:val="18"/>
          <w:szCs w:val="18"/>
          <w:lang w:val="es-ES"/>
        </w:rPr>
        <w:t>Véase CBD/SBI/3/INF/39.</w:t>
      </w:r>
    </w:p>
    <w:p w14:paraId="40412B74" w14:textId="77777777" w:rsidR="00F01D03" w:rsidRPr="00152AF9" w:rsidRDefault="00F01D03">
      <w:pPr>
        <w:rPr>
          <w:rFonts w:eastAsia="Times New Roman"/>
          <w:lang w:val="es-ES"/>
        </w:rPr>
      </w:pPr>
    </w:p>
  </w:footnote>
  <w:footnote w:id="6">
    <w:p w14:paraId="40412B75" w14:textId="77777777" w:rsidR="00F01D03" w:rsidRPr="00152AF9" w:rsidRDefault="00F01D03" w:rsidP="002809FB">
      <w:pPr>
        <w:pStyle w:val="FootnoteText"/>
        <w:rPr>
          <w:lang w:val="es-ES"/>
        </w:rPr>
      </w:pPr>
      <w:r w:rsidRPr="00152AF9">
        <w:rPr>
          <w:rStyle w:val="FootnoteReference"/>
          <w:lang w:val="es-ES"/>
        </w:rPr>
        <w:footnoteRef/>
      </w:r>
      <w:r w:rsidRPr="00152AF9">
        <w:rPr>
          <w:lang w:val="es-ES"/>
        </w:rPr>
        <w:t xml:space="preserve"> A/77/5/Add.7, párrafos 52-59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2B6B" w14:textId="77777777" w:rsidR="00F01D03" w:rsidRDefault="00F01D03" w:rsidP="006A6E89">
    <w:pPr>
      <w:pStyle w:val="Header"/>
      <w:jc w:val="left"/>
      <w:rPr>
        <w:rFonts w:eastAsia="Times New Roman"/>
        <w:noProof/>
      </w:rPr>
    </w:pPr>
    <w:r w:rsidRPr="006A6E89">
      <w:rPr>
        <w:rFonts w:eastAsia="Times New Roman"/>
        <w:noProof/>
      </w:rPr>
      <w:t>CBD/COP/15/7</w:t>
    </w:r>
  </w:p>
  <w:p w14:paraId="40412B6C" w14:textId="77777777" w:rsidR="00F01D03" w:rsidRDefault="00F01D03">
    <w:pPr>
      <w:pStyle w:val="Header"/>
      <w:shd w:val="clear" w:color="auto" w:fill="FFFFFF"/>
      <w:spacing w:after="240"/>
      <w:rPr>
        <w:rFonts w:eastAsia="Times New Roman"/>
      </w:rPr>
    </w:pPr>
    <w:proofErr w:type="spellStart"/>
    <w:r>
      <w:rPr>
        <w:rFonts w:eastAsia="Times New Roman"/>
      </w:rPr>
      <w:t>Página</w:t>
    </w:r>
    <w:proofErr w:type="spellEnd"/>
    <w:r>
      <w:rPr>
        <w:rFonts w:eastAsia="Times New Roman"/>
      </w:rPr>
      <w:t xml:space="preserve"> </w:t>
    </w:r>
    <w:r>
      <w:rPr>
        <w:rFonts w:eastAsia="Times New Roman"/>
      </w:rPr>
      <w:fldChar w:fldCharType="begin"/>
    </w:r>
    <w:r>
      <w:rPr>
        <w:rFonts w:eastAsia="Times New Roman"/>
      </w:rPr>
      <w:instrText xml:space="preserve"> PAGE   \* MERGEFORMAT </w:instrText>
    </w:r>
    <w:r>
      <w:rPr>
        <w:rFonts w:eastAsia="Times New Roman"/>
      </w:rPr>
      <w:fldChar w:fldCharType="separate"/>
    </w:r>
    <w:r w:rsidR="007F0A1D" w:rsidRPr="007F0A1D">
      <w:rPr>
        <w:rFonts w:eastAsia="Times New Roman"/>
        <w:noProof/>
      </w:rPr>
      <w:t>2</w:t>
    </w:r>
    <w:r>
      <w:rPr>
        <w:rFonts w:eastAsia="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2B6D" w14:textId="77777777" w:rsidR="00F01D03" w:rsidRDefault="00F01D03">
    <w:pPr>
      <w:pStyle w:val="Header"/>
      <w:jc w:val="right"/>
      <w:rPr>
        <w:rFonts w:eastAsia="Times New Roman"/>
      </w:rPr>
    </w:pPr>
    <w:r>
      <w:rPr>
        <w:rFonts w:eastAsia="Times New Roman"/>
        <w:noProof/>
      </w:rPr>
      <w:t>CBD/COP/15/7</w:t>
    </w:r>
  </w:p>
  <w:p w14:paraId="40412B6E" w14:textId="77777777" w:rsidR="00F01D03" w:rsidRDefault="00F01D03">
    <w:pPr>
      <w:pStyle w:val="Header"/>
      <w:spacing w:after="240"/>
      <w:jc w:val="right"/>
      <w:rPr>
        <w:rFonts w:eastAsia="Times New Roman"/>
      </w:rPr>
    </w:pPr>
    <w:proofErr w:type="spellStart"/>
    <w:r>
      <w:rPr>
        <w:rFonts w:eastAsia="Times New Roman"/>
      </w:rPr>
      <w:t>Página</w:t>
    </w:r>
    <w:proofErr w:type="spellEnd"/>
    <w:r>
      <w:rPr>
        <w:rFonts w:eastAsia="Times New Roman"/>
      </w:rPr>
      <w:t xml:space="preserve"> </w:t>
    </w:r>
    <w:r>
      <w:rPr>
        <w:rFonts w:eastAsia="Times New Roman"/>
      </w:rPr>
      <w:fldChar w:fldCharType="begin"/>
    </w:r>
    <w:r>
      <w:rPr>
        <w:rFonts w:eastAsia="Times New Roman"/>
      </w:rPr>
      <w:instrText xml:space="preserve"> PAGE   \* MERGEFORMAT </w:instrText>
    </w:r>
    <w:r>
      <w:rPr>
        <w:rFonts w:eastAsia="Times New Roman"/>
      </w:rPr>
      <w:fldChar w:fldCharType="separate"/>
    </w:r>
    <w:r w:rsidR="007F0A1D" w:rsidRPr="007F0A1D">
      <w:rPr>
        <w:rFonts w:eastAsia="Times New Roman"/>
        <w:noProof/>
      </w:rPr>
      <w:t>33</w:t>
    </w:r>
    <w:r>
      <w:rPr>
        <w:rFonts w:eastAsia="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5542"/>
    <w:multiLevelType w:val="multilevel"/>
    <w:tmpl w:val="183071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CC2A2C"/>
    <w:multiLevelType w:val="multilevel"/>
    <w:tmpl w:val="6EDC7528"/>
    <w:lvl w:ilvl="0">
      <w:start w:val="1"/>
      <w:numFmt w:val="lowerLetter"/>
      <w:lvlText w:val="(%1)"/>
      <w:lvlJc w:val="left"/>
      <w:pPr>
        <w:ind w:left="1080" w:hanging="360"/>
      </w:pPr>
      <w:rPr>
        <w:rFonts w:ascii="Times New Roman" w:eastAsia="Times New Roman" w:hAnsi="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0D442C83"/>
    <w:multiLevelType w:val="hybridMultilevel"/>
    <w:tmpl w:val="9C04CFA4"/>
    <w:lvl w:ilvl="0" w:tplc="9DE01012">
      <w:start w:val="1"/>
      <w:numFmt w:val="decimal"/>
      <w:lvlText w:val="%1."/>
      <w:lvlJc w:val="left"/>
      <w:pPr>
        <w:tabs>
          <w:tab w:val="num" w:pos="5850"/>
        </w:tabs>
      </w:pPr>
      <w:rPr>
        <w:rFonts w:ascii="Times New Roman" w:hAnsi="Times New Roman" w:cs="Times New Roman" w:hint="default"/>
        <w:b w:val="0"/>
        <w:bCs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F1D018A"/>
    <w:multiLevelType w:val="hybridMultilevel"/>
    <w:tmpl w:val="71BCB4CA"/>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4B2C62E8">
      <w:start w:val="1"/>
      <w:numFmt w:val="lowerLetter"/>
      <w:lvlText w:val="%3)"/>
      <w:lvlJc w:val="left"/>
      <w:pPr>
        <w:ind w:left="1800" w:hanging="180"/>
      </w:pPr>
      <w:rPr>
        <w:rFonts w:hint="default"/>
        <w:b w:val="0"/>
        <w:color w:val="auto"/>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A70D18"/>
    <w:multiLevelType w:val="hybridMultilevel"/>
    <w:tmpl w:val="0E0677DC"/>
    <w:lvl w:ilvl="0" w:tplc="C358B9DC">
      <w:start w:val="1"/>
      <w:numFmt w:val="lowerLetter"/>
      <w:lvlText w:val="%1)"/>
      <w:lvlJc w:val="left"/>
      <w:pPr>
        <w:tabs>
          <w:tab w:val="num" w:pos="360"/>
        </w:tabs>
        <w:ind w:left="108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15:restartNumberingAfterBreak="0">
    <w:nsid w:val="13EB48B6"/>
    <w:multiLevelType w:val="hybridMultilevel"/>
    <w:tmpl w:val="88128762"/>
    <w:lvl w:ilvl="0" w:tplc="C358B9DC">
      <w:start w:val="1"/>
      <w:numFmt w:val="lowerLetter"/>
      <w:lvlText w:val="%1)"/>
      <w:lvlJc w:val="left"/>
      <w:pPr>
        <w:tabs>
          <w:tab w:val="num" w:pos="360"/>
        </w:tabs>
        <w:ind w:left="108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6" w15:restartNumberingAfterBreak="0">
    <w:nsid w:val="144B2AA8"/>
    <w:multiLevelType w:val="hybridMultilevel"/>
    <w:tmpl w:val="472CF5A4"/>
    <w:lvl w:ilvl="0" w:tplc="FFFFFFFF">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77A66C4"/>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D160CF8"/>
    <w:multiLevelType w:val="singleLevel"/>
    <w:tmpl w:val="2B6AEDDA"/>
    <w:lvl w:ilvl="0">
      <w:start w:val="3"/>
      <w:numFmt w:val="decimal"/>
      <w:pStyle w:val="Heading-plain"/>
      <w:lvlText w:val="3.%1 "/>
      <w:lvlJc w:val="left"/>
      <w:pPr>
        <w:ind w:left="283" w:hanging="283"/>
      </w:pPr>
      <w:rPr>
        <w:rFonts w:ascii="Courier" w:hAnsi="Courier" w:cs="Courier" w:hint="default"/>
        <w:b w:val="0"/>
        <w:bCs w:val="0"/>
        <w:i w:val="0"/>
        <w:iCs w:val="0"/>
        <w:sz w:val="20"/>
        <w:szCs w:val="20"/>
        <w:u w:val="none"/>
      </w:rPr>
    </w:lvl>
  </w:abstractNum>
  <w:abstractNum w:abstractNumId="10" w15:restartNumberingAfterBreak="0">
    <w:nsid w:val="22F435DA"/>
    <w:multiLevelType w:val="hybridMultilevel"/>
    <w:tmpl w:val="C7408D6C"/>
    <w:lvl w:ilvl="0" w:tplc="FFFFFFFF">
      <w:start w:val="1"/>
      <w:numFmt w:val="decimal"/>
      <w:lvlText w:val="%1."/>
      <w:lvlJc w:val="left"/>
      <w:pPr>
        <w:ind w:left="720" w:hanging="360"/>
      </w:pPr>
      <w:rPr>
        <w:rFonts w:ascii="Calibri" w:eastAsia="Times New Roman" w:hAnsi="Calibri"/>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3D6EF1CC">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1" w15:restartNumberingAfterBreak="0">
    <w:nsid w:val="230A5EE3"/>
    <w:multiLevelType w:val="hybridMultilevel"/>
    <w:tmpl w:val="DBA6304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13" w15:restartNumberingAfterBreak="0">
    <w:nsid w:val="2EB05C85"/>
    <w:multiLevelType w:val="hybridMultilevel"/>
    <w:tmpl w:val="36E427CE"/>
    <w:lvl w:ilvl="0" w:tplc="881E8CBE">
      <w:start w:val="1"/>
      <w:numFmt w:val="bullet"/>
      <w:lvlText w:val=""/>
      <w:lvlJc w:val="left"/>
      <w:pPr>
        <w:ind w:left="1080" w:hanging="360"/>
      </w:pPr>
      <w:rPr>
        <w:rFonts w:ascii="Symbol" w:hAnsi="Symbol" w:cs="Symbol" w:hint="default"/>
      </w:rPr>
    </w:lvl>
    <w:lvl w:ilvl="1" w:tplc="BB541AEE">
      <w:start w:val="1"/>
      <w:numFmt w:val="bullet"/>
      <w:lvlText w:val="o"/>
      <w:lvlJc w:val="left"/>
      <w:pPr>
        <w:ind w:left="1800" w:hanging="360"/>
      </w:pPr>
      <w:rPr>
        <w:rFonts w:ascii="Courier New" w:hAnsi="Courier New" w:cs="Courier New" w:hint="default"/>
      </w:rPr>
    </w:lvl>
    <w:lvl w:ilvl="2" w:tplc="920C7926">
      <w:start w:val="1"/>
      <w:numFmt w:val="bullet"/>
      <w:lvlText w:val=""/>
      <w:lvlJc w:val="left"/>
      <w:pPr>
        <w:ind w:left="2520" w:hanging="360"/>
      </w:pPr>
      <w:rPr>
        <w:rFonts w:ascii="Wingdings" w:hAnsi="Wingdings" w:cs="Wingdings" w:hint="default"/>
      </w:rPr>
    </w:lvl>
    <w:lvl w:ilvl="3" w:tplc="3B42B4B0">
      <w:start w:val="1"/>
      <w:numFmt w:val="bullet"/>
      <w:lvlText w:val=""/>
      <w:lvlJc w:val="left"/>
      <w:pPr>
        <w:ind w:left="3240" w:hanging="360"/>
      </w:pPr>
      <w:rPr>
        <w:rFonts w:ascii="Symbol" w:hAnsi="Symbol" w:cs="Symbol" w:hint="default"/>
      </w:rPr>
    </w:lvl>
    <w:lvl w:ilvl="4" w:tplc="498AC4CC">
      <w:start w:val="1"/>
      <w:numFmt w:val="bullet"/>
      <w:lvlText w:val="o"/>
      <w:lvlJc w:val="left"/>
      <w:pPr>
        <w:ind w:left="3960" w:hanging="360"/>
      </w:pPr>
      <w:rPr>
        <w:rFonts w:ascii="Courier New" w:hAnsi="Courier New" w:cs="Courier New" w:hint="default"/>
      </w:rPr>
    </w:lvl>
    <w:lvl w:ilvl="5" w:tplc="3B7A459A">
      <w:start w:val="1"/>
      <w:numFmt w:val="bullet"/>
      <w:lvlText w:val=""/>
      <w:lvlJc w:val="left"/>
      <w:pPr>
        <w:ind w:left="4680" w:hanging="360"/>
      </w:pPr>
      <w:rPr>
        <w:rFonts w:ascii="Wingdings" w:hAnsi="Wingdings" w:cs="Wingdings" w:hint="default"/>
      </w:rPr>
    </w:lvl>
    <w:lvl w:ilvl="6" w:tplc="BC663D5C">
      <w:start w:val="1"/>
      <w:numFmt w:val="bullet"/>
      <w:lvlText w:val=""/>
      <w:lvlJc w:val="left"/>
      <w:pPr>
        <w:ind w:left="5400" w:hanging="360"/>
      </w:pPr>
      <w:rPr>
        <w:rFonts w:ascii="Symbol" w:hAnsi="Symbol" w:cs="Symbol" w:hint="default"/>
      </w:rPr>
    </w:lvl>
    <w:lvl w:ilvl="7" w:tplc="6ECE35B0">
      <w:start w:val="1"/>
      <w:numFmt w:val="bullet"/>
      <w:lvlText w:val="o"/>
      <w:lvlJc w:val="left"/>
      <w:pPr>
        <w:ind w:left="6120" w:hanging="360"/>
      </w:pPr>
      <w:rPr>
        <w:rFonts w:ascii="Courier New" w:hAnsi="Courier New" w:cs="Courier New" w:hint="default"/>
      </w:rPr>
    </w:lvl>
    <w:lvl w:ilvl="8" w:tplc="180A8AD4">
      <w:start w:val="1"/>
      <w:numFmt w:val="bullet"/>
      <w:lvlText w:val=""/>
      <w:lvlJc w:val="left"/>
      <w:pPr>
        <w:ind w:left="6840" w:hanging="360"/>
      </w:pPr>
      <w:rPr>
        <w:rFonts w:ascii="Wingdings" w:hAnsi="Wingdings" w:cs="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5" w15:restartNumberingAfterBreak="0">
    <w:nsid w:val="2FA4733A"/>
    <w:multiLevelType w:val="hybridMultilevel"/>
    <w:tmpl w:val="179AD4B4"/>
    <w:lvl w:ilvl="0" w:tplc="935810FA">
      <w:start w:val="1"/>
      <w:numFmt w:val="decimal"/>
      <w:lvlText w:val="%1."/>
      <w:lvlJc w:val="left"/>
      <w:pPr>
        <w:tabs>
          <w:tab w:val="num" w:pos="5220"/>
        </w:tabs>
      </w:pPr>
      <w:rPr>
        <w:rFonts w:ascii="Times New Roman" w:hAnsi="Times New Roman" w:cs="Times New Roman" w:hint="default"/>
        <w:b w:val="0"/>
        <w:bCs w:val="0"/>
      </w:rPr>
    </w:lvl>
    <w:lvl w:ilvl="1" w:tplc="3FCAAAAA">
      <w:start w:val="1"/>
      <w:numFmt w:val="lowerLetter"/>
      <w:lvlText w:val="%2."/>
      <w:lvlJc w:val="left"/>
      <w:pPr>
        <w:ind w:left="1080" w:hanging="360"/>
      </w:pPr>
      <w:rPr>
        <w:b w:val="0"/>
        <w:bCs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4C47112"/>
    <w:multiLevelType w:val="multilevel"/>
    <w:tmpl w:val="183071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2438F7"/>
    <w:multiLevelType w:val="hybridMultilevel"/>
    <w:tmpl w:val="66E034B8"/>
    <w:lvl w:ilvl="0" w:tplc="C358B9DC">
      <w:start w:val="1"/>
      <w:numFmt w:val="lowerLetter"/>
      <w:lvlText w:val="%1)"/>
      <w:lvlJc w:val="left"/>
      <w:pPr>
        <w:tabs>
          <w:tab w:val="num" w:pos="360"/>
        </w:tabs>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cs="Wingdings" w:hint="default"/>
      </w:rPr>
    </w:lvl>
    <w:lvl w:ilvl="6" w:tplc="FFFFFFFF">
      <w:start w:val="1"/>
      <w:numFmt w:val="bullet"/>
      <w:lvlText w:val=""/>
      <w:lvlJc w:val="left"/>
      <w:pPr>
        <w:ind w:left="5400" w:hanging="360"/>
      </w:pPr>
      <w:rPr>
        <w:rFonts w:ascii="Symbol" w:hAnsi="Symbol" w:cs="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cs="Wingdings" w:hint="default"/>
      </w:rPr>
    </w:lvl>
  </w:abstractNum>
  <w:abstractNum w:abstractNumId="19" w15:restartNumberingAfterBreak="0">
    <w:nsid w:val="36673AF2"/>
    <w:multiLevelType w:val="multilevel"/>
    <w:tmpl w:val="53D6C1BE"/>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bCs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3EC121F7"/>
    <w:multiLevelType w:val="hybridMultilevel"/>
    <w:tmpl w:val="54C471F8"/>
    <w:lvl w:ilvl="0" w:tplc="04090017">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2" w15:restartNumberingAfterBreak="0">
    <w:nsid w:val="410D4D8A"/>
    <w:multiLevelType w:val="hybridMultilevel"/>
    <w:tmpl w:val="F9C6C936"/>
    <w:lvl w:ilvl="0" w:tplc="FFFFFFFF">
      <w:start w:val="1"/>
      <w:numFmt w:val="decimal"/>
      <w:lvlText w:val="%1."/>
      <w:lvlJc w:val="left"/>
      <w:pPr>
        <w:tabs>
          <w:tab w:val="num" w:pos="360"/>
        </w:tabs>
      </w:pPr>
      <w:rPr>
        <w:b w:val="0"/>
        <w:bCs w:val="0"/>
      </w:rPr>
    </w:lvl>
    <w:lvl w:ilvl="1" w:tplc="04090017">
      <w:start w:val="1"/>
      <w:numFmt w:val="lowerLetter"/>
      <w:lvlText w:val="%2)"/>
      <w:lvlJc w:val="left"/>
      <w:pPr>
        <w:ind w:left="1800" w:hanging="360"/>
      </w:pPr>
      <w:rPr>
        <w:rFonts w:hint="default"/>
        <w:b w:val="0"/>
        <w:bCs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3"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26" w15:restartNumberingAfterBreak="0">
    <w:nsid w:val="4CB87891"/>
    <w:multiLevelType w:val="hybridMultilevel"/>
    <w:tmpl w:val="2F6247E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7" w15:restartNumberingAfterBreak="0">
    <w:nsid w:val="4D8234A4"/>
    <w:multiLevelType w:val="multilevel"/>
    <w:tmpl w:val="5B1CA248"/>
    <w:lvl w:ilvl="0">
      <w:start w:val="1"/>
      <w:numFmt w:val="lowerLetter"/>
      <w:lvlText w:val="(%1)"/>
      <w:lvlJc w:val="left"/>
      <w:pPr>
        <w:ind w:left="1080" w:hanging="360"/>
      </w:pPr>
      <w:rPr>
        <w:rFonts w:ascii="Times New Roman" w:eastAsia="Times New Roman" w:hAnsi="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8"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F61016B"/>
    <w:multiLevelType w:val="multilevel"/>
    <w:tmpl w:val="3F84F694"/>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3FD45CB"/>
    <w:multiLevelType w:val="hybridMultilevel"/>
    <w:tmpl w:val="6EDC7528"/>
    <w:lvl w:ilvl="0" w:tplc="069291EE">
      <w:start w:val="1"/>
      <w:numFmt w:val="lowerLetter"/>
      <w:lvlText w:val="(%1)"/>
      <w:lvlJc w:val="left"/>
      <w:pPr>
        <w:ind w:left="1080" w:hanging="360"/>
      </w:pPr>
      <w:rPr>
        <w:rFonts w:ascii="Times New Roman" w:eastAsia="Times New Roman" w:hAnsi="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cs="Wingdings" w:hint="default"/>
      </w:rPr>
    </w:lvl>
    <w:lvl w:ilvl="6" w:tplc="FFFFFFFF">
      <w:start w:val="1"/>
      <w:numFmt w:val="bullet"/>
      <w:lvlText w:val=""/>
      <w:lvlJc w:val="left"/>
      <w:pPr>
        <w:ind w:left="5400" w:hanging="360"/>
      </w:pPr>
      <w:rPr>
        <w:rFonts w:ascii="Symbol" w:hAnsi="Symbol" w:cs="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cs="Wingdings" w:hint="default"/>
      </w:rPr>
    </w:lvl>
  </w:abstractNum>
  <w:abstractNum w:abstractNumId="32"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CF03A7A"/>
    <w:multiLevelType w:val="hybridMultilevel"/>
    <w:tmpl w:val="38D0F5B6"/>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3FCAAAAA">
      <w:start w:val="1"/>
      <w:numFmt w:val="lowerLetter"/>
      <w:lvlText w:val="%3."/>
      <w:lvlJc w:val="left"/>
      <w:pPr>
        <w:ind w:left="1800" w:hanging="180"/>
      </w:pPr>
      <w:rPr>
        <w:rFonts w:hint="default"/>
        <w:b w:val="0"/>
        <w:color w:val="auto"/>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2AA5A5A"/>
    <w:multiLevelType w:val="hybridMultilevel"/>
    <w:tmpl w:val="12CA1EC2"/>
    <w:lvl w:ilvl="0" w:tplc="FFFFFFFF">
      <w:start w:val="1"/>
      <w:numFmt w:val="decimal"/>
      <w:lvlText w:val="%1."/>
      <w:lvlJc w:val="left"/>
      <w:pPr>
        <w:tabs>
          <w:tab w:val="num" w:pos="5220"/>
        </w:tabs>
      </w:pPr>
      <w:rPr>
        <w:rFonts w:ascii="Times New Roman" w:hAnsi="Times New Roman" w:cs="Times New Roman" w:hint="default"/>
        <w:b w:val="0"/>
        <w:bCs w:val="0"/>
      </w:rPr>
    </w:lvl>
    <w:lvl w:ilvl="1" w:tplc="FFFFFFFF">
      <w:start w:val="1"/>
      <w:numFmt w:val="lowerLetter"/>
      <w:lvlText w:val="%2."/>
      <w:lvlJc w:val="left"/>
      <w:pPr>
        <w:ind w:left="1080" w:hanging="360"/>
      </w:pPr>
      <w:rPr>
        <w:b w:val="0"/>
        <w:bCs w:val="0"/>
        <w:color w:val="auto"/>
      </w:rPr>
    </w:lvl>
    <w:lvl w:ilvl="2" w:tplc="069291EE">
      <w:start w:val="1"/>
      <w:numFmt w:val="lowerLetter"/>
      <w:lvlText w:val="(%3)"/>
      <w:lvlJc w:val="left"/>
      <w:pPr>
        <w:ind w:left="1800" w:hanging="180"/>
      </w:pPr>
      <w:rPr>
        <w:rFonts w:ascii="Times New Roman" w:eastAsia="Times New Roman" w:hAnsi="Times New Roman" w:hint="default"/>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62CE3D12"/>
    <w:multiLevelType w:val="hybridMultilevel"/>
    <w:tmpl w:val="45A8C6E4"/>
    <w:lvl w:ilvl="0" w:tplc="069291EE">
      <w:start w:val="1"/>
      <w:numFmt w:val="lowerLetter"/>
      <w:lvlText w:val="(%1)"/>
      <w:lvlJc w:val="left"/>
      <w:pPr>
        <w:ind w:left="1440" w:hanging="360"/>
      </w:pPr>
      <w:rPr>
        <w:rFonts w:ascii="Times New Roman" w:eastAsia="Times New Roman" w:hAnsi="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6" w15:restartNumberingAfterBreak="0">
    <w:nsid w:val="68793114"/>
    <w:multiLevelType w:val="hybridMultilevel"/>
    <w:tmpl w:val="1ABAA248"/>
    <w:lvl w:ilvl="0" w:tplc="04090017">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7" w15:restartNumberingAfterBreak="0">
    <w:nsid w:val="6BB55BA8"/>
    <w:multiLevelType w:val="hybridMultilevel"/>
    <w:tmpl w:val="065A13FE"/>
    <w:lvl w:ilvl="0" w:tplc="D256D02A">
      <w:start w:val="1"/>
      <w:numFmt w:val="lowerLetter"/>
      <w:lvlText w:val="%1."/>
      <w:lvlJc w:val="left"/>
      <w:pPr>
        <w:tabs>
          <w:tab w:val="num" w:pos="0"/>
        </w:tabs>
        <w:ind w:left="720" w:hanging="360"/>
      </w:pPr>
      <w:rPr>
        <w:rFonts w:ascii="Times New Roman" w:hAnsi="Times New Roman" w:cs="Times New Roman" w:hint="default"/>
        <w:b w:val="0"/>
        <w:bCs w:val="0"/>
        <w:i w:val="0"/>
        <w:iCs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imes New Roman" w:eastAsia="Times New Roman" w:hAnsi="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D830486"/>
    <w:multiLevelType w:val="hybridMultilevel"/>
    <w:tmpl w:val="80D6221C"/>
    <w:lvl w:ilvl="0" w:tplc="069291EE">
      <w:start w:val="1"/>
      <w:numFmt w:val="lowerLetter"/>
      <w:lvlText w:val="(%1)"/>
      <w:lvlJc w:val="left"/>
      <w:pPr>
        <w:ind w:left="1440" w:hanging="360"/>
      </w:pPr>
      <w:rPr>
        <w:rFonts w:ascii="Times New Roman" w:eastAsia="Times New Roman" w:hAnsi="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0" w15:restartNumberingAfterBreak="0">
    <w:nsid w:val="6DBB7A99"/>
    <w:multiLevelType w:val="hybridMultilevel"/>
    <w:tmpl w:val="3C7493FC"/>
    <w:lvl w:ilvl="0" w:tplc="49E0851C">
      <w:start w:val="1"/>
      <w:numFmt w:val="lowerLetter"/>
      <w:lvlText w:val="%1."/>
      <w:lvlJc w:val="left"/>
      <w:pPr>
        <w:tabs>
          <w:tab w:val="num" w:pos="0"/>
        </w:tabs>
        <w:ind w:left="720" w:hanging="360"/>
      </w:pPr>
      <w:rPr>
        <w:rFonts w:ascii="Times New Roman" w:hAnsi="Times New Roman" w:cs="Times New Roman" w:hint="default"/>
        <w:b w:val="0"/>
        <w:bCs w:val="0"/>
        <w:i w:val="0"/>
        <w:iCs w:val="0"/>
        <w:sz w:val="18"/>
        <w:szCs w:val="18"/>
      </w:r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41"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71EA6FE2"/>
    <w:multiLevelType w:val="hybridMultilevel"/>
    <w:tmpl w:val="F1F28FEE"/>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A42EEB74">
      <w:start w:val="1"/>
      <w:numFmt w:val="lowerLetter"/>
      <w:lvlText w:val=" %3)"/>
      <w:lvlJc w:val="left"/>
      <w:pPr>
        <w:ind w:left="1800" w:hanging="180"/>
      </w:pPr>
      <w:rPr>
        <w:rFonts w:hint="default"/>
        <w:b w:val="0"/>
        <w:color w:val="auto"/>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4442F6A"/>
    <w:multiLevelType w:val="hybridMultilevel"/>
    <w:tmpl w:val="EF4A8D7C"/>
    <w:lvl w:ilvl="0" w:tplc="9DE01012">
      <w:start w:val="1"/>
      <w:numFmt w:val="decimal"/>
      <w:lvlText w:val="%1."/>
      <w:lvlJc w:val="left"/>
      <w:pPr>
        <w:tabs>
          <w:tab w:val="num" w:pos="5850"/>
        </w:tabs>
      </w:pPr>
      <w:rPr>
        <w:rFonts w:ascii="Times New Roman" w:hAnsi="Times New Roman" w:cs="Times New Roman" w:hint="default"/>
        <w:b w:val="0"/>
        <w:bCs w:val="0"/>
        <w:sz w:val="22"/>
        <w:szCs w:val="22"/>
      </w:rPr>
    </w:lvl>
    <w:lvl w:ilvl="1" w:tplc="3FCAAAAA">
      <w:start w:val="1"/>
      <w:numFmt w:val="lowerLetter"/>
      <w:lvlText w:val="%2."/>
      <w:lvlJc w:val="left"/>
      <w:pPr>
        <w:ind w:left="1080" w:hanging="360"/>
      </w:pPr>
      <w:rPr>
        <w:b w:val="0"/>
        <w:bCs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5"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imes New Roman" w:eastAsia="Times New Roman" w:hAnsi="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imes New Roman" w:eastAsia="Times New Roman" w:hAnsi="Times New Roman" w:hint="default"/>
        <w:b w:val="0"/>
        <w:bCs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abstractNumId w:val="40"/>
  </w:num>
  <w:num w:numId="2">
    <w:abstractNumId w:val="14"/>
  </w:num>
  <w:num w:numId="3">
    <w:abstractNumId w:val="28"/>
  </w:num>
  <w:num w:numId="4">
    <w:abstractNumId w:val="24"/>
  </w:num>
  <w:num w:numId="5">
    <w:abstractNumId w:val="42"/>
  </w:num>
  <w:num w:numId="6">
    <w:abstractNumId w:val="44"/>
  </w:num>
  <w:num w:numId="7">
    <w:abstractNumId w:val="9"/>
  </w:num>
  <w:num w:numId="8">
    <w:abstractNumId w:val="19"/>
  </w:num>
  <w:num w:numId="9">
    <w:abstractNumId w:val="13"/>
  </w:num>
  <w:num w:numId="10">
    <w:abstractNumId w:val="12"/>
  </w:num>
  <w:num w:numId="11">
    <w:abstractNumId w:val="37"/>
  </w:num>
  <w:num w:numId="12">
    <w:abstractNumId w:val="16"/>
  </w:num>
  <w:num w:numId="13">
    <w:abstractNumId w:val="20"/>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25"/>
  </w:num>
  <w:num w:numId="17">
    <w:abstractNumId w:val="15"/>
  </w:num>
  <w:num w:numId="18">
    <w:abstractNumId w:val="26"/>
  </w:num>
  <w:num w:numId="19">
    <w:abstractNumId w:val="11"/>
  </w:num>
  <w:num w:numId="20">
    <w:abstractNumId w:val="30"/>
  </w:num>
  <w:num w:numId="21">
    <w:abstractNumId w:val="31"/>
  </w:num>
  <w:num w:numId="22">
    <w:abstractNumId w:val="18"/>
  </w:num>
  <w:num w:numId="23">
    <w:abstractNumId w:val="45"/>
  </w:num>
  <w:num w:numId="24">
    <w:abstractNumId w:val="34"/>
  </w:num>
  <w:num w:numId="25">
    <w:abstractNumId w:val="39"/>
  </w:num>
  <w:num w:numId="26">
    <w:abstractNumId w:val="35"/>
  </w:num>
  <w:num w:numId="27">
    <w:abstractNumId w:val="41"/>
  </w:num>
  <w:num w:numId="28">
    <w:abstractNumId w:val="38"/>
  </w:num>
  <w:num w:numId="29">
    <w:abstractNumId w:val="10"/>
  </w:num>
  <w:num w:numId="30">
    <w:abstractNumId w:val="47"/>
  </w:num>
  <w:num w:numId="31">
    <w:abstractNumId w:val="8"/>
  </w:num>
  <w:num w:numId="32">
    <w:abstractNumId w:val="46"/>
  </w:num>
  <w:num w:numId="33">
    <w:abstractNumId w:val="32"/>
  </w:num>
  <w:num w:numId="34">
    <w:abstractNumId w:val="7"/>
  </w:num>
  <w:num w:numId="35">
    <w:abstractNumId w:val="27"/>
  </w:num>
  <w:num w:numId="36">
    <w:abstractNumId w:val="1"/>
  </w:num>
  <w:num w:numId="37">
    <w:abstractNumId w:val="4"/>
  </w:num>
  <w:num w:numId="38">
    <w:abstractNumId w:val="29"/>
  </w:num>
  <w:num w:numId="39">
    <w:abstractNumId w:val="5"/>
  </w:num>
  <w:num w:numId="40">
    <w:abstractNumId w:val="2"/>
  </w:num>
  <w:num w:numId="41">
    <w:abstractNumId w:val="0"/>
  </w:num>
  <w:num w:numId="42">
    <w:abstractNumId w:val="17"/>
  </w:num>
  <w:num w:numId="43">
    <w:abstractNumId w:val="33"/>
  </w:num>
  <w:num w:numId="44">
    <w:abstractNumId w:val="3"/>
  </w:num>
  <w:num w:numId="45">
    <w:abstractNumId w:val="43"/>
  </w:num>
  <w:num w:numId="46">
    <w:abstractNumId w:val="6"/>
  </w:num>
  <w:num w:numId="47">
    <w:abstractNumId w:val="36"/>
  </w:num>
  <w:num w:numId="48">
    <w:abstractNumId w:val="21"/>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9161D"/>
    <w:rsid w:val="00000071"/>
    <w:rsid w:val="000000F3"/>
    <w:rsid w:val="0000052C"/>
    <w:rsid w:val="000007F9"/>
    <w:rsid w:val="00000BA7"/>
    <w:rsid w:val="00000F89"/>
    <w:rsid w:val="00000F9E"/>
    <w:rsid w:val="00001578"/>
    <w:rsid w:val="000016EB"/>
    <w:rsid w:val="00001ADB"/>
    <w:rsid w:val="00001DE5"/>
    <w:rsid w:val="00002185"/>
    <w:rsid w:val="00002278"/>
    <w:rsid w:val="00002374"/>
    <w:rsid w:val="00002923"/>
    <w:rsid w:val="0000308E"/>
    <w:rsid w:val="00003820"/>
    <w:rsid w:val="0000464C"/>
    <w:rsid w:val="00004AE4"/>
    <w:rsid w:val="00004D69"/>
    <w:rsid w:val="00004FD4"/>
    <w:rsid w:val="00005346"/>
    <w:rsid w:val="000053F0"/>
    <w:rsid w:val="00005894"/>
    <w:rsid w:val="00005B2F"/>
    <w:rsid w:val="000065B7"/>
    <w:rsid w:val="00006783"/>
    <w:rsid w:val="00006870"/>
    <w:rsid w:val="00006971"/>
    <w:rsid w:val="00006ED0"/>
    <w:rsid w:val="00006F36"/>
    <w:rsid w:val="00007068"/>
    <w:rsid w:val="000073A3"/>
    <w:rsid w:val="00007478"/>
    <w:rsid w:val="0000754B"/>
    <w:rsid w:val="0000758C"/>
    <w:rsid w:val="00007876"/>
    <w:rsid w:val="00007B93"/>
    <w:rsid w:val="00007E8E"/>
    <w:rsid w:val="00010215"/>
    <w:rsid w:val="000103CF"/>
    <w:rsid w:val="0001263B"/>
    <w:rsid w:val="00012ACC"/>
    <w:rsid w:val="000131D1"/>
    <w:rsid w:val="00013AEA"/>
    <w:rsid w:val="0001404B"/>
    <w:rsid w:val="0001496A"/>
    <w:rsid w:val="00014B6E"/>
    <w:rsid w:val="0001512C"/>
    <w:rsid w:val="00015A56"/>
    <w:rsid w:val="00015F45"/>
    <w:rsid w:val="00016163"/>
    <w:rsid w:val="0001681B"/>
    <w:rsid w:val="00016E1C"/>
    <w:rsid w:val="000170CB"/>
    <w:rsid w:val="00017413"/>
    <w:rsid w:val="00017D88"/>
    <w:rsid w:val="00017D93"/>
    <w:rsid w:val="0002138E"/>
    <w:rsid w:val="000213DB"/>
    <w:rsid w:val="0002155C"/>
    <w:rsid w:val="0002183A"/>
    <w:rsid w:val="0002194D"/>
    <w:rsid w:val="00021B3D"/>
    <w:rsid w:val="00021BA7"/>
    <w:rsid w:val="00022B98"/>
    <w:rsid w:val="00022F7D"/>
    <w:rsid w:val="000239D0"/>
    <w:rsid w:val="00023EA6"/>
    <w:rsid w:val="00024160"/>
    <w:rsid w:val="00024387"/>
    <w:rsid w:val="000243B0"/>
    <w:rsid w:val="0002458A"/>
    <w:rsid w:val="00024843"/>
    <w:rsid w:val="00024AF9"/>
    <w:rsid w:val="00024F3F"/>
    <w:rsid w:val="00025073"/>
    <w:rsid w:val="00025251"/>
    <w:rsid w:val="00025362"/>
    <w:rsid w:val="00025C89"/>
    <w:rsid w:val="00025FF5"/>
    <w:rsid w:val="00026063"/>
    <w:rsid w:val="000263C4"/>
    <w:rsid w:val="00026569"/>
    <w:rsid w:val="00026663"/>
    <w:rsid w:val="00026B55"/>
    <w:rsid w:val="00027645"/>
    <w:rsid w:val="000278BD"/>
    <w:rsid w:val="000278D5"/>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46D"/>
    <w:rsid w:val="000364ED"/>
    <w:rsid w:val="00036561"/>
    <w:rsid w:val="0003ECAB"/>
    <w:rsid w:val="000402AC"/>
    <w:rsid w:val="000402F4"/>
    <w:rsid w:val="00040AD7"/>
    <w:rsid w:val="00041106"/>
    <w:rsid w:val="0004115F"/>
    <w:rsid w:val="000411F1"/>
    <w:rsid w:val="00041368"/>
    <w:rsid w:val="000413AC"/>
    <w:rsid w:val="00041716"/>
    <w:rsid w:val="00041DB7"/>
    <w:rsid w:val="0004216D"/>
    <w:rsid w:val="00042705"/>
    <w:rsid w:val="00042A0F"/>
    <w:rsid w:val="00042C8A"/>
    <w:rsid w:val="00042EE1"/>
    <w:rsid w:val="00042FD4"/>
    <w:rsid w:val="00043786"/>
    <w:rsid w:val="00043AAF"/>
    <w:rsid w:val="00044AE4"/>
    <w:rsid w:val="00045905"/>
    <w:rsid w:val="00045F50"/>
    <w:rsid w:val="00045F5A"/>
    <w:rsid w:val="000461FE"/>
    <w:rsid w:val="00046496"/>
    <w:rsid w:val="0004683A"/>
    <w:rsid w:val="00046EA0"/>
    <w:rsid w:val="000471F3"/>
    <w:rsid w:val="000479DD"/>
    <w:rsid w:val="00047EAD"/>
    <w:rsid w:val="00050115"/>
    <w:rsid w:val="00050325"/>
    <w:rsid w:val="0005048B"/>
    <w:rsid w:val="0005057B"/>
    <w:rsid w:val="000505D0"/>
    <w:rsid w:val="000505F1"/>
    <w:rsid w:val="00050670"/>
    <w:rsid w:val="00050B8A"/>
    <w:rsid w:val="00050CD1"/>
    <w:rsid w:val="00051026"/>
    <w:rsid w:val="000510ED"/>
    <w:rsid w:val="0005180B"/>
    <w:rsid w:val="00051A08"/>
    <w:rsid w:val="0005262A"/>
    <w:rsid w:val="0005312C"/>
    <w:rsid w:val="000539CD"/>
    <w:rsid w:val="00053ADF"/>
    <w:rsid w:val="000545BC"/>
    <w:rsid w:val="00054644"/>
    <w:rsid w:val="000546EE"/>
    <w:rsid w:val="0005472C"/>
    <w:rsid w:val="00054BEC"/>
    <w:rsid w:val="000551C8"/>
    <w:rsid w:val="00055292"/>
    <w:rsid w:val="00055428"/>
    <w:rsid w:val="00055537"/>
    <w:rsid w:val="000555DD"/>
    <w:rsid w:val="000558BD"/>
    <w:rsid w:val="00055F19"/>
    <w:rsid w:val="00055FEB"/>
    <w:rsid w:val="000560A0"/>
    <w:rsid w:val="00056522"/>
    <w:rsid w:val="00056899"/>
    <w:rsid w:val="00056EFE"/>
    <w:rsid w:val="00057050"/>
    <w:rsid w:val="0005712F"/>
    <w:rsid w:val="0005719C"/>
    <w:rsid w:val="000571C9"/>
    <w:rsid w:val="00057818"/>
    <w:rsid w:val="00057B47"/>
    <w:rsid w:val="00057B5B"/>
    <w:rsid w:val="00057D9F"/>
    <w:rsid w:val="00060198"/>
    <w:rsid w:val="00060230"/>
    <w:rsid w:val="000608D9"/>
    <w:rsid w:val="00060DD2"/>
    <w:rsid w:val="00061157"/>
    <w:rsid w:val="00062417"/>
    <w:rsid w:val="00062FD2"/>
    <w:rsid w:val="0006320E"/>
    <w:rsid w:val="000635E9"/>
    <w:rsid w:val="00063A01"/>
    <w:rsid w:val="00063DC4"/>
    <w:rsid w:val="00064AC4"/>
    <w:rsid w:val="00064FFB"/>
    <w:rsid w:val="0006521E"/>
    <w:rsid w:val="000654C3"/>
    <w:rsid w:val="000658B3"/>
    <w:rsid w:val="00065EB7"/>
    <w:rsid w:val="00066031"/>
    <w:rsid w:val="000670B0"/>
    <w:rsid w:val="000670ED"/>
    <w:rsid w:val="0006784E"/>
    <w:rsid w:val="00067DB4"/>
    <w:rsid w:val="00070049"/>
    <w:rsid w:val="000700BA"/>
    <w:rsid w:val="00070296"/>
    <w:rsid w:val="000703AF"/>
    <w:rsid w:val="00070CC2"/>
    <w:rsid w:val="00070EAF"/>
    <w:rsid w:val="00070ED1"/>
    <w:rsid w:val="00070F21"/>
    <w:rsid w:val="0007121C"/>
    <w:rsid w:val="0007171B"/>
    <w:rsid w:val="00071AF7"/>
    <w:rsid w:val="00071FDF"/>
    <w:rsid w:val="000724A4"/>
    <w:rsid w:val="00072907"/>
    <w:rsid w:val="00073A3B"/>
    <w:rsid w:val="00073B4A"/>
    <w:rsid w:val="000740CF"/>
    <w:rsid w:val="0007432D"/>
    <w:rsid w:val="000749A2"/>
    <w:rsid w:val="000749C3"/>
    <w:rsid w:val="0007505C"/>
    <w:rsid w:val="0007579C"/>
    <w:rsid w:val="0007586E"/>
    <w:rsid w:val="00075A8C"/>
    <w:rsid w:val="00075C47"/>
    <w:rsid w:val="00075E48"/>
    <w:rsid w:val="00075E71"/>
    <w:rsid w:val="00076073"/>
    <w:rsid w:val="0007620E"/>
    <w:rsid w:val="00076318"/>
    <w:rsid w:val="0007660B"/>
    <w:rsid w:val="0007693B"/>
    <w:rsid w:val="00076B32"/>
    <w:rsid w:val="00076B5F"/>
    <w:rsid w:val="00076CE7"/>
    <w:rsid w:val="00076DBF"/>
    <w:rsid w:val="00076E43"/>
    <w:rsid w:val="000771D2"/>
    <w:rsid w:val="00077265"/>
    <w:rsid w:val="0007760F"/>
    <w:rsid w:val="00077932"/>
    <w:rsid w:val="00077ABB"/>
    <w:rsid w:val="00077B9D"/>
    <w:rsid w:val="00077EF2"/>
    <w:rsid w:val="00080132"/>
    <w:rsid w:val="00080438"/>
    <w:rsid w:val="00080484"/>
    <w:rsid w:val="000809AE"/>
    <w:rsid w:val="00080A1D"/>
    <w:rsid w:val="00080AF9"/>
    <w:rsid w:val="00080CCC"/>
    <w:rsid w:val="00081661"/>
    <w:rsid w:val="000816BE"/>
    <w:rsid w:val="00081DCE"/>
    <w:rsid w:val="00081DD6"/>
    <w:rsid w:val="00082204"/>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F7"/>
    <w:rsid w:val="00086832"/>
    <w:rsid w:val="00086CE9"/>
    <w:rsid w:val="00086ECC"/>
    <w:rsid w:val="0008774D"/>
    <w:rsid w:val="00087F54"/>
    <w:rsid w:val="00090090"/>
    <w:rsid w:val="00090339"/>
    <w:rsid w:val="00090502"/>
    <w:rsid w:val="000908A0"/>
    <w:rsid w:val="0009119C"/>
    <w:rsid w:val="00091331"/>
    <w:rsid w:val="000914BE"/>
    <w:rsid w:val="00091897"/>
    <w:rsid w:val="0009199D"/>
    <w:rsid w:val="00091ACE"/>
    <w:rsid w:val="0009215D"/>
    <w:rsid w:val="000921C2"/>
    <w:rsid w:val="000922C7"/>
    <w:rsid w:val="00092A00"/>
    <w:rsid w:val="00092EC1"/>
    <w:rsid w:val="0009362E"/>
    <w:rsid w:val="000936B5"/>
    <w:rsid w:val="00093B33"/>
    <w:rsid w:val="00093CDE"/>
    <w:rsid w:val="000942CB"/>
    <w:rsid w:val="00094D9D"/>
    <w:rsid w:val="00094FAD"/>
    <w:rsid w:val="00094FAF"/>
    <w:rsid w:val="00095269"/>
    <w:rsid w:val="00095286"/>
    <w:rsid w:val="0009590F"/>
    <w:rsid w:val="00095B8A"/>
    <w:rsid w:val="00095E1F"/>
    <w:rsid w:val="00096B08"/>
    <w:rsid w:val="00096D20"/>
    <w:rsid w:val="00096D6A"/>
    <w:rsid w:val="000970B0"/>
    <w:rsid w:val="00097230"/>
    <w:rsid w:val="0009724A"/>
    <w:rsid w:val="000975E4"/>
    <w:rsid w:val="00097676"/>
    <w:rsid w:val="00097AE5"/>
    <w:rsid w:val="000A07BF"/>
    <w:rsid w:val="000A0A24"/>
    <w:rsid w:val="000A0AA5"/>
    <w:rsid w:val="000A0CC8"/>
    <w:rsid w:val="000A11C6"/>
    <w:rsid w:val="000A1513"/>
    <w:rsid w:val="000A161C"/>
    <w:rsid w:val="000A1B7D"/>
    <w:rsid w:val="000A2261"/>
    <w:rsid w:val="000A2819"/>
    <w:rsid w:val="000A341E"/>
    <w:rsid w:val="000A3552"/>
    <w:rsid w:val="000A3640"/>
    <w:rsid w:val="000A3798"/>
    <w:rsid w:val="000A389E"/>
    <w:rsid w:val="000A3DDB"/>
    <w:rsid w:val="000A3DE3"/>
    <w:rsid w:val="000A41F1"/>
    <w:rsid w:val="000A42CD"/>
    <w:rsid w:val="000A4313"/>
    <w:rsid w:val="000A46E8"/>
    <w:rsid w:val="000A4715"/>
    <w:rsid w:val="000A4F53"/>
    <w:rsid w:val="000A5064"/>
    <w:rsid w:val="000A54CF"/>
    <w:rsid w:val="000A5A24"/>
    <w:rsid w:val="000A7211"/>
    <w:rsid w:val="000A721B"/>
    <w:rsid w:val="000A73B4"/>
    <w:rsid w:val="000A7545"/>
    <w:rsid w:val="000A77C6"/>
    <w:rsid w:val="000A77E7"/>
    <w:rsid w:val="000B086E"/>
    <w:rsid w:val="000B166A"/>
    <w:rsid w:val="000B1A9F"/>
    <w:rsid w:val="000B1D4C"/>
    <w:rsid w:val="000B23F5"/>
    <w:rsid w:val="000B24EF"/>
    <w:rsid w:val="000B29E1"/>
    <w:rsid w:val="000B2FB2"/>
    <w:rsid w:val="000B3727"/>
    <w:rsid w:val="000B4182"/>
    <w:rsid w:val="000B4476"/>
    <w:rsid w:val="000B47F7"/>
    <w:rsid w:val="000B4D70"/>
    <w:rsid w:val="000B4FDC"/>
    <w:rsid w:val="000B526A"/>
    <w:rsid w:val="000B543B"/>
    <w:rsid w:val="000B5C3E"/>
    <w:rsid w:val="000B6357"/>
    <w:rsid w:val="000B6528"/>
    <w:rsid w:val="000B6EE3"/>
    <w:rsid w:val="000B706C"/>
    <w:rsid w:val="000B7091"/>
    <w:rsid w:val="000B755B"/>
    <w:rsid w:val="000B775A"/>
    <w:rsid w:val="000B7F47"/>
    <w:rsid w:val="000C06E6"/>
    <w:rsid w:val="000C0863"/>
    <w:rsid w:val="000C094D"/>
    <w:rsid w:val="000C0987"/>
    <w:rsid w:val="000C1029"/>
    <w:rsid w:val="000C106F"/>
    <w:rsid w:val="000C12E4"/>
    <w:rsid w:val="000C251D"/>
    <w:rsid w:val="000C25A8"/>
    <w:rsid w:val="000C25E9"/>
    <w:rsid w:val="000C2657"/>
    <w:rsid w:val="000C27DB"/>
    <w:rsid w:val="000C29B4"/>
    <w:rsid w:val="000C2A24"/>
    <w:rsid w:val="000C2DF7"/>
    <w:rsid w:val="000C3259"/>
    <w:rsid w:val="000C379A"/>
    <w:rsid w:val="000C3A76"/>
    <w:rsid w:val="000C3B8C"/>
    <w:rsid w:val="000C3EBB"/>
    <w:rsid w:val="000C45D5"/>
    <w:rsid w:val="000C4685"/>
    <w:rsid w:val="000C4F48"/>
    <w:rsid w:val="000C589F"/>
    <w:rsid w:val="000C5F30"/>
    <w:rsid w:val="000C645C"/>
    <w:rsid w:val="000C64B8"/>
    <w:rsid w:val="000C6981"/>
    <w:rsid w:val="000C6CB8"/>
    <w:rsid w:val="000C7484"/>
    <w:rsid w:val="000C7740"/>
    <w:rsid w:val="000C775C"/>
    <w:rsid w:val="000C79EA"/>
    <w:rsid w:val="000C7E91"/>
    <w:rsid w:val="000CC915"/>
    <w:rsid w:val="000D001B"/>
    <w:rsid w:val="000D0289"/>
    <w:rsid w:val="000D02F8"/>
    <w:rsid w:val="000D02FF"/>
    <w:rsid w:val="000D0367"/>
    <w:rsid w:val="000D03EE"/>
    <w:rsid w:val="000D0768"/>
    <w:rsid w:val="000D13BA"/>
    <w:rsid w:val="000D1470"/>
    <w:rsid w:val="000D164E"/>
    <w:rsid w:val="000D181A"/>
    <w:rsid w:val="000D1A30"/>
    <w:rsid w:val="000D1BA7"/>
    <w:rsid w:val="000D2024"/>
    <w:rsid w:val="000D2141"/>
    <w:rsid w:val="000D25A3"/>
    <w:rsid w:val="000D325E"/>
    <w:rsid w:val="000D35F0"/>
    <w:rsid w:val="000D365B"/>
    <w:rsid w:val="000D368A"/>
    <w:rsid w:val="000D3BE4"/>
    <w:rsid w:val="000D3CEB"/>
    <w:rsid w:val="000D3D35"/>
    <w:rsid w:val="000D3D7F"/>
    <w:rsid w:val="000D3FA9"/>
    <w:rsid w:val="000D4389"/>
    <w:rsid w:val="000D4F3A"/>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10D"/>
    <w:rsid w:val="000E0138"/>
    <w:rsid w:val="000E0145"/>
    <w:rsid w:val="000E0203"/>
    <w:rsid w:val="000E0745"/>
    <w:rsid w:val="000E09E3"/>
    <w:rsid w:val="000E0C4B"/>
    <w:rsid w:val="000E1371"/>
    <w:rsid w:val="000E13A5"/>
    <w:rsid w:val="000E1884"/>
    <w:rsid w:val="000E1C36"/>
    <w:rsid w:val="000E1D17"/>
    <w:rsid w:val="000E239B"/>
    <w:rsid w:val="000E3120"/>
    <w:rsid w:val="000E360F"/>
    <w:rsid w:val="000E3C29"/>
    <w:rsid w:val="000E40E0"/>
    <w:rsid w:val="000E45FC"/>
    <w:rsid w:val="000E4A40"/>
    <w:rsid w:val="000E4AD4"/>
    <w:rsid w:val="000E4D86"/>
    <w:rsid w:val="000E4D96"/>
    <w:rsid w:val="000E5679"/>
    <w:rsid w:val="000E5680"/>
    <w:rsid w:val="000E5D26"/>
    <w:rsid w:val="000E5D95"/>
    <w:rsid w:val="000E5DD2"/>
    <w:rsid w:val="000E6233"/>
    <w:rsid w:val="000E6282"/>
    <w:rsid w:val="000E673A"/>
    <w:rsid w:val="000E690F"/>
    <w:rsid w:val="000E6BEB"/>
    <w:rsid w:val="000E7223"/>
    <w:rsid w:val="000E7377"/>
    <w:rsid w:val="000E7487"/>
    <w:rsid w:val="000E7DBA"/>
    <w:rsid w:val="000E7EEC"/>
    <w:rsid w:val="000F018D"/>
    <w:rsid w:val="000F0218"/>
    <w:rsid w:val="000F025E"/>
    <w:rsid w:val="000F07DA"/>
    <w:rsid w:val="000F0A60"/>
    <w:rsid w:val="000F14E5"/>
    <w:rsid w:val="000F1631"/>
    <w:rsid w:val="000F1935"/>
    <w:rsid w:val="000F1CE4"/>
    <w:rsid w:val="000F1E34"/>
    <w:rsid w:val="000F20D9"/>
    <w:rsid w:val="000F242B"/>
    <w:rsid w:val="000F32A5"/>
    <w:rsid w:val="000F33A6"/>
    <w:rsid w:val="000F36B2"/>
    <w:rsid w:val="000F394C"/>
    <w:rsid w:val="000F395A"/>
    <w:rsid w:val="000F3A0B"/>
    <w:rsid w:val="000F3CD9"/>
    <w:rsid w:val="000F41E6"/>
    <w:rsid w:val="000F471B"/>
    <w:rsid w:val="000F48ED"/>
    <w:rsid w:val="000F4B6A"/>
    <w:rsid w:val="000F4C52"/>
    <w:rsid w:val="000F4C79"/>
    <w:rsid w:val="000F55ED"/>
    <w:rsid w:val="000F5B27"/>
    <w:rsid w:val="000F5E82"/>
    <w:rsid w:val="000F5FBE"/>
    <w:rsid w:val="000F613B"/>
    <w:rsid w:val="000F74F5"/>
    <w:rsid w:val="000F7681"/>
    <w:rsid w:val="000F78CE"/>
    <w:rsid w:val="000F7979"/>
    <w:rsid w:val="00100043"/>
    <w:rsid w:val="001002FC"/>
    <w:rsid w:val="0010046E"/>
    <w:rsid w:val="001005AB"/>
    <w:rsid w:val="00100ACA"/>
    <w:rsid w:val="00100E3A"/>
    <w:rsid w:val="0010171F"/>
    <w:rsid w:val="00101BEA"/>
    <w:rsid w:val="00101CF3"/>
    <w:rsid w:val="00101EE1"/>
    <w:rsid w:val="00102C2A"/>
    <w:rsid w:val="00102D01"/>
    <w:rsid w:val="00102D7E"/>
    <w:rsid w:val="0010336D"/>
    <w:rsid w:val="00103AED"/>
    <w:rsid w:val="00103C4B"/>
    <w:rsid w:val="00103D28"/>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821"/>
    <w:rsid w:val="001074EF"/>
    <w:rsid w:val="0010899E"/>
    <w:rsid w:val="001101CF"/>
    <w:rsid w:val="00110547"/>
    <w:rsid w:val="00110A6B"/>
    <w:rsid w:val="00110D88"/>
    <w:rsid w:val="00110E96"/>
    <w:rsid w:val="001110F5"/>
    <w:rsid w:val="00111251"/>
    <w:rsid w:val="00111267"/>
    <w:rsid w:val="00111EE9"/>
    <w:rsid w:val="001124D9"/>
    <w:rsid w:val="0011279D"/>
    <w:rsid w:val="001128FA"/>
    <w:rsid w:val="00112AD3"/>
    <w:rsid w:val="00112B94"/>
    <w:rsid w:val="00112E0D"/>
    <w:rsid w:val="00113110"/>
    <w:rsid w:val="001131BF"/>
    <w:rsid w:val="0011324A"/>
    <w:rsid w:val="001134A1"/>
    <w:rsid w:val="0011375A"/>
    <w:rsid w:val="0011386E"/>
    <w:rsid w:val="00113C1C"/>
    <w:rsid w:val="00113D43"/>
    <w:rsid w:val="00114C27"/>
    <w:rsid w:val="00114F03"/>
    <w:rsid w:val="001156C7"/>
    <w:rsid w:val="00115E30"/>
    <w:rsid w:val="00115E6E"/>
    <w:rsid w:val="00116592"/>
    <w:rsid w:val="001167B3"/>
    <w:rsid w:val="00117244"/>
    <w:rsid w:val="00117599"/>
    <w:rsid w:val="00117719"/>
    <w:rsid w:val="00117C2E"/>
    <w:rsid w:val="00120235"/>
    <w:rsid w:val="0012057D"/>
    <w:rsid w:val="001207B9"/>
    <w:rsid w:val="00120B07"/>
    <w:rsid w:val="00120C2F"/>
    <w:rsid w:val="00120E84"/>
    <w:rsid w:val="00120F70"/>
    <w:rsid w:val="0012196D"/>
    <w:rsid w:val="001220FF"/>
    <w:rsid w:val="0012236C"/>
    <w:rsid w:val="001226BC"/>
    <w:rsid w:val="00122732"/>
    <w:rsid w:val="00122E3E"/>
    <w:rsid w:val="001230FD"/>
    <w:rsid w:val="0012393D"/>
    <w:rsid w:val="00123DF1"/>
    <w:rsid w:val="001243E6"/>
    <w:rsid w:val="001246FF"/>
    <w:rsid w:val="0012474E"/>
    <w:rsid w:val="001247CC"/>
    <w:rsid w:val="001247FF"/>
    <w:rsid w:val="00124DC9"/>
    <w:rsid w:val="0012505C"/>
    <w:rsid w:val="001250DB"/>
    <w:rsid w:val="00125753"/>
    <w:rsid w:val="00125A60"/>
    <w:rsid w:val="00126036"/>
    <w:rsid w:val="00126049"/>
    <w:rsid w:val="00126571"/>
    <w:rsid w:val="001266E4"/>
    <w:rsid w:val="00126A04"/>
    <w:rsid w:val="00127197"/>
    <w:rsid w:val="00127497"/>
    <w:rsid w:val="0012778F"/>
    <w:rsid w:val="00127D59"/>
    <w:rsid w:val="0013015E"/>
    <w:rsid w:val="001301CD"/>
    <w:rsid w:val="0013084C"/>
    <w:rsid w:val="00130913"/>
    <w:rsid w:val="0013095E"/>
    <w:rsid w:val="001310BC"/>
    <w:rsid w:val="001312AD"/>
    <w:rsid w:val="0013137B"/>
    <w:rsid w:val="0013158B"/>
    <w:rsid w:val="00131612"/>
    <w:rsid w:val="00131706"/>
    <w:rsid w:val="00131B68"/>
    <w:rsid w:val="00131CAD"/>
    <w:rsid w:val="00131E7A"/>
    <w:rsid w:val="00131F00"/>
    <w:rsid w:val="00132083"/>
    <w:rsid w:val="00132E5F"/>
    <w:rsid w:val="00132FD5"/>
    <w:rsid w:val="00133361"/>
    <w:rsid w:val="00133F9E"/>
    <w:rsid w:val="0013408F"/>
    <w:rsid w:val="0013423A"/>
    <w:rsid w:val="00134541"/>
    <w:rsid w:val="00134846"/>
    <w:rsid w:val="001349B3"/>
    <w:rsid w:val="00134BCA"/>
    <w:rsid w:val="00134E58"/>
    <w:rsid w:val="0013518E"/>
    <w:rsid w:val="001354A0"/>
    <w:rsid w:val="00135FC2"/>
    <w:rsid w:val="0013628D"/>
    <w:rsid w:val="001366D7"/>
    <w:rsid w:val="001368A8"/>
    <w:rsid w:val="001371C6"/>
    <w:rsid w:val="0013762B"/>
    <w:rsid w:val="00137839"/>
    <w:rsid w:val="00137F2A"/>
    <w:rsid w:val="00140130"/>
    <w:rsid w:val="00140477"/>
    <w:rsid w:val="0014066A"/>
    <w:rsid w:val="00140B7F"/>
    <w:rsid w:val="00140BE2"/>
    <w:rsid w:val="00140D0F"/>
    <w:rsid w:val="00141BD0"/>
    <w:rsid w:val="00141EC1"/>
    <w:rsid w:val="0014213A"/>
    <w:rsid w:val="00142965"/>
    <w:rsid w:val="00142CE3"/>
    <w:rsid w:val="00143408"/>
    <w:rsid w:val="001434EB"/>
    <w:rsid w:val="001442BF"/>
    <w:rsid w:val="00144E0A"/>
    <w:rsid w:val="00145099"/>
    <w:rsid w:val="0014533B"/>
    <w:rsid w:val="0014591A"/>
    <w:rsid w:val="00145D02"/>
    <w:rsid w:val="00145D06"/>
    <w:rsid w:val="00145E4B"/>
    <w:rsid w:val="00145FFB"/>
    <w:rsid w:val="001474F3"/>
    <w:rsid w:val="00147687"/>
    <w:rsid w:val="0015017C"/>
    <w:rsid w:val="00150E46"/>
    <w:rsid w:val="00151499"/>
    <w:rsid w:val="0015149D"/>
    <w:rsid w:val="00152035"/>
    <w:rsid w:val="0015260E"/>
    <w:rsid w:val="00152679"/>
    <w:rsid w:val="00152AF9"/>
    <w:rsid w:val="00153466"/>
    <w:rsid w:val="00153A08"/>
    <w:rsid w:val="00153DDB"/>
    <w:rsid w:val="0015417D"/>
    <w:rsid w:val="0015429A"/>
    <w:rsid w:val="0015469A"/>
    <w:rsid w:val="00154813"/>
    <w:rsid w:val="0015495F"/>
    <w:rsid w:val="001552B3"/>
    <w:rsid w:val="0015557B"/>
    <w:rsid w:val="00155A7A"/>
    <w:rsid w:val="00155B05"/>
    <w:rsid w:val="00155DC1"/>
    <w:rsid w:val="00155E65"/>
    <w:rsid w:val="0015619A"/>
    <w:rsid w:val="001565E7"/>
    <w:rsid w:val="00156757"/>
    <w:rsid w:val="00156848"/>
    <w:rsid w:val="00156868"/>
    <w:rsid w:val="00156E39"/>
    <w:rsid w:val="00156FD7"/>
    <w:rsid w:val="00157088"/>
    <w:rsid w:val="001577AD"/>
    <w:rsid w:val="00157A87"/>
    <w:rsid w:val="0016001A"/>
    <w:rsid w:val="0016139C"/>
    <w:rsid w:val="00161619"/>
    <w:rsid w:val="00161673"/>
    <w:rsid w:val="00161A00"/>
    <w:rsid w:val="00161D68"/>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6026"/>
    <w:rsid w:val="0016603B"/>
    <w:rsid w:val="001661CF"/>
    <w:rsid w:val="00166919"/>
    <w:rsid w:val="00166C2F"/>
    <w:rsid w:val="00166CD3"/>
    <w:rsid w:val="00166E2F"/>
    <w:rsid w:val="001674FD"/>
    <w:rsid w:val="0016760D"/>
    <w:rsid w:val="00167A30"/>
    <w:rsid w:val="00167ABE"/>
    <w:rsid w:val="00167B50"/>
    <w:rsid w:val="0017012A"/>
    <w:rsid w:val="001711F9"/>
    <w:rsid w:val="001717E5"/>
    <w:rsid w:val="001718D0"/>
    <w:rsid w:val="00171A5F"/>
    <w:rsid w:val="00171B6C"/>
    <w:rsid w:val="00172278"/>
    <w:rsid w:val="00172729"/>
    <w:rsid w:val="00172963"/>
    <w:rsid w:val="00172AF6"/>
    <w:rsid w:val="001730D9"/>
    <w:rsid w:val="001731AE"/>
    <w:rsid w:val="00173690"/>
    <w:rsid w:val="001738D5"/>
    <w:rsid w:val="001739B2"/>
    <w:rsid w:val="001739F9"/>
    <w:rsid w:val="00173FE5"/>
    <w:rsid w:val="00174DD0"/>
    <w:rsid w:val="00175575"/>
    <w:rsid w:val="00175F46"/>
    <w:rsid w:val="001765A7"/>
    <w:rsid w:val="00176A0A"/>
    <w:rsid w:val="00176CEE"/>
    <w:rsid w:val="00176CFE"/>
    <w:rsid w:val="00176FEB"/>
    <w:rsid w:val="00177090"/>
    <w:rsid w:val="00177310"/>
    <w:rsid w:val="00177335"/>
    <w:rsid w:val="001776B8"/>
    <w:rsid w:val="001800B8"/>
    <w:rsid w:val="001802D4"/>
    <w:rsid w:val="0018105F"/>
    <w:rsid w:val="00181235"/>
    <w:rsid w:val="00181364"/>
    <w:rsid w:val="001813A8"/>
    <w:rsid w:val="001817DB"/>
    <w:rsid w:val="001817EF"/>
    <w:rsid w:val="00181A41"/>
    <w:rsid w:val="00181B0E"/>
    <w:rsid w:val="001824AB"/>
    <w:rsid w:val="001826ED"/>
    <w:rsid w:val="001827DB"/>
    <w:rsid w:val="001829E5"/>
    <w:rsid w:val="00182D3D"/>
    <w:rsid w:val="00182DD9"/>
    <w:rsid w:val="001834CD"/>
    <w:rsid w:val="00184086"/>
    <w:rsid w:val="00184291"/>
    <w:rsid w:val="0018450E"/>
    <w:rsid w:val="00184818"/>
    <w:rsid w:val="001849E2"/>
    <w:rsid w:val="0018525E"/>
    <w:rsid w:val="001858B4"/>
    <w:rsid w:val="00186186"/>
    <w:rsid w:val="001861D2"/>
    <w:rsid w:val="001863FD"/>
    <w:rsid w:val="00186432"/>
    <w:rsid w:val="001864C2"/>
    <w:rsid w:val="001866C9"/>
    <w:rsid w:val="0018691B"/>
    <w:rsid w:val="00186A1C"/>
    <w:rsid w:val="00186A74"/>
    <w:rsid w:val="00186DD8"/>
    <w:rsid w:val="00187246"/>
    <w:rsid w:val="00187316"/>
    <w:rsid w:val="00187465"/>
    <w:rsid w:val="0018768B"/>
    <w:rsid w:val="00187BD4"/>
    <w:rsid w:val="00187EBF"/>
    <w:rsid w:val="00187F4F"/>
    <w:rsid w:val="00189BF8"/>
    <w:rsid w:val="001900EC"/>
    <w:rsid w:val="00190256"/>
    <w:rsid w:val="001906D6"/>
    <w:rsid w:val="00190880"/>
    <w:rsid w:val="00190885"/>
    <w:rsid w:val="00190B16"/>
    <w:rsid w:val="00190C41"/>
    <w:rsid w:val="00190CFF"/>
    <w:rsid w:val="00190E93"/>
    <w:rsid w:val="00191246"/>
    <w:rsid w:val="00191B70"/>
    <w:rsid w:val="00191F3D"/>
    <w:rsid w:val="00191F93"/>
    <w:rsid w:val="0019200D"/>
    <w:rsid w:val="001922E9"/>
    <w:rsid w:val="001924D1"/>
    <w:rsid w:val="001927BE"/>
    <w:rsid w:val="001927F8"/>
    <w:rsid w:val="00192E1A"/>
    <w:rsid w:val="00193496"/>
    <w:rsid w:val="001939D1"/>
    <w:rsid w:val="00193F28"/>
    <w:rsid w:val="001941F4"/>
    <w:rsid w:val="0019439A"/>
    <w:rsid w:val="00194F70"/>
    <w:rsid w:val="0019541D"/>
    <w:rsid w:val="0019580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A01"/>
    <w:rsid w:val="001A1A82"/>
    <w:rsid w:val="001A1B74"/>
    <w:rsid w:val="001A2521"/>
    <w:rsid w:val="001A2822"/>
    <w:rsid w:val="001A2CE4"/>
    <w:rsid w:val="001A2DE5"/>
    <w:rsid w:val="001A2F77"/>
    <w:rsid w:val="001A33DC"/>
    <w:rsid w:val="001A374B"/>
    <w:rsid w:val="001A387F"/>
    <w:rsid w:val="001A48EF"/>
    <w:rsid w:val="001A4D9B"/>
    <w:rsid w:val="001A5662"/>
    <w:rsid w:val="001A58E7"/>
    <w:rsid w:val="001A5C96"/>
    <w:rsid w:val="001A5E1F"/>
    <w:rsid w:val="001A6244"/>
    <w:rsid w:val="001A63A9"/>
    <w:rsid w:val="001A652E"/>
    <w:rsid w:val="001A74C9"/>
    <w:rsid w:val="001A77AE"/>
    <w:rsid w:val="001A790B"/>
    <w:rsid w:val="001A79F1"/>
    <w:rsid w:val="001A7B58"/>
    <w:rsid w:val="001A7E75"/>
    <w:rsid w:val="001A7F6C"/>
    <w:rsid w:val="001B04BF"/>
    <w:rsid w:val="001B0746"/>
    <w:rsid w:val="001B0947"/>
    <w:rsid w:val="001B0F9E"/>
    <w:rsid w:val="001B1243"/>
    <w:rsid w:val="001B12F6"/>
    <w:rsid w:val="001B13FE"/>
    <w:rsid w:val="001B159E"/>
    <w:rsid w:val="001B28F1"/>
    <w:rsid w:val="001B2978"/>
    <w:rsid w:val="001B2E67"/>
    <w:rsid w:val="001B3013"/>
    <w:rsid w:val="001B3536"/>
    <w:rsid w:val="001B3BA5"/>
    <w:rsid w:val="001B413A"/>
    <w:rsid w:val="001B4214"/>
    <w:rsid w:val="001B49F2"/>
    <w:rsid w:val="001B4A2F"/>
    <w:rsid w:val="001B4A6E"/>
    <w:rsid w:val="001B4D65"/>
    <w:rsid w:val="001B5150"/>
    <w:rsid w:val="001B5341"/>
    <w:rsid w:val="001B53A8"/>
    <w:rsid w:val="001B6284"/>
    <w:rsid w:val="001B68DE"/>
    <w:rsid w:val="001B69FE"/>
    <w:rsid w:val="001B6E58"/>
    <w:rsid w:val="001B70F7"/>
    <w:rsid w:val="001B710F"/>
    <w:rsid w:val="001B76E7"/>
    <w:rsid w:val="001B7F8F"/>
    <w:rsid w:val="001C05BB"/>
    <w:rsid w:val="001C107A"/>
    <w:rsid w:val="001C1A27"/>
    <w:rsid w:val="001C1FB2"/>
    <w:rsid w:val="001C214A"/>
    <w:rsid w:val="001C262E"/>
    <w:rsid w:val="001C2840"/>
    <w:rsid w:val="001C2E48"/>
    <w:rsid w:val="001C2EE4"/>
    <w:rsid w:val="001C2F4F"/>
    <w:rsid w:val="001C303B"/>
    <w:rsid w:val="001C3291"/>
    <w:rsid w:val="001C3369"/>
    <w:rsid w:val="001C3771"/>
    <w:rsid w:val="001C3B68"/>
    <w:rsid w:val="001C3E32"/>
    <w:rsid w:val="001C43BE"/>
    <w:rsid w:val="001C44A6"/>
    <w:rsid w:val="001C46FE"/>
    <w:rsid w:val="001C5457"/>
    <w:rsid w:val="001C56C1"/>
    <w:rsid w:val="001C57A0"/>
    <w:rsid w:val="001C59D2"/>
    <w:rsid w:val="001C5CB3"/>
    <w:rsid w:val="001C626F"/>
    <w:rsid w:val="001C62A8"/>
    <w:rsid w:val="001C646A"/>
    <w:rsid w:val="001C68C9"/>
    <w:rsid w:val="001C6971"/>
    <w:rsid w:val="001C6CBF"/>
    <w:rsid w:val="001C743B"/>
    <w:rsid w:val="001C7F7C"/>
    <w:rsid w:val="001D003A"/>
    <w:rsid w:val="001D03F0"/>
    <w:rsid w:val="001D0687"/>
    <w:rsid w:val="001D078A"/>
    <w:rsid w:val="001D0AA0"/>
    <w:rsid w:val="001D0CCC"/>
    <w:rsid w:val="001D0CDD"/>
    <w:rsid w:val="001D159C"/>
    <w:rsid w:val="001D15AA"/>
    <w:rsid w:val="001D171A"/>
    <w:rsid w:val="001D20CD"/>
    <w:rsid w:val="001D2265"/>
    <w:rsid w:val="001D2D5C"/>
    <w:rsid w:val="001D35E5"/>
    <w:rsid w:val="001D3DF4"/>
    <w:rsid w:val="001D407C"/>
    <w:rsid w:val="001D4541"/>
    <w:rsid w:val="001D4597"/>
    <w:rsid w:val="001D568D"/>
    <w:rsid w:val="001D6003"/>
    <w:rsid w:val="001D61AE"/>
    <w:rsid w:val="001D6357"/>
    <w:rsid w:val="001D68DE"/>
    <w:rsid w:val="001D6BF2"/>
    <w:rsid w:val="001D6C12"/>
    <w:rsid w:val="001D6D14"/>
    <w:rsid w:val="001D713A"/>
    <w:rsid w:val="001D72CB"/>
    <w:rsid w:val="001D7A8C"/>
    <w:rsid w:val="001D97ED"/>
    <w:rsid w:val="001E000D"/>
    <w:rsid w:val="001E02EA"/>
    <w:rsid w:val="001E054C"/>
    <w:rsid w:val="001E07EB"/>
    <w:rsid w:val="001E099F"/>
    <w:rsid w:val="001E0D27"/>
    <w:rsid w:val="001E0F33"/>
    <w:rsid w:val="001E10FA"/>
    <w:rsid w:val="001E10FF"/>
    <w:rsid w:val="001E1CC8"/>
    <w:rsid w:val="001E2541"/>
    <w:rsid w:val="001E2579"/>
    <w:rsid w:val="001E316E"/>
    <w:rsid w:val="001E3356"/>
    <w:rsid w:val="001E357D"/>
    <w:rsid w:val="001E39A7"/>
    <w:rsid w:val="001E3CB5"/>
    <w:rsid w:val="001E3DEC"/>
    <w:rsid w:val="001E3F81"/>
    <w:rsid w:val="001E411B"/>
    <w:rsid w:val="001E4401"/>
    <w:rsid w:val="001E4A9B"/>
    <w:rsid w:val="001E5847"/>
    <w:rsid w:val="001E6F93"/>
    <w:rsid w:val="001E7308"/>
    <w:rsid w:val="001E7867"/>
    <w:rsid w:val="001E96B0"/>
    <w:rsid w:val="001EF18B"/>
    <w:rsid w:val="001F00CD"/>
    <w:rsid w:val="001F0372"/>
    <w:rsid w:val="001F069A"/>
    <w:rsid w:val="001F07F1"/>
    <w:rsid w:val="001F093B"/>
    <w:rsid w:val="001F0C93"/>
    <w:rsid w:val="001F1835"/>
    <w:rsid w:val="001F1A33"/>
    <w:rsid w:val="001F1A67"/>
    <w:rsid w:val="001F1BED"/>
    <w:rsid w:val="001F1CA8"/>
    <w:rsid w:val="001F1D77"/>
    <w:rsid w:val="001F1E0B"/>
    <w:rsid w:val="001F21DB"/>
    <w:rsid w:val="001F25A6"/>
    <w:rsid w:val="001F2A1D"/>
    <w:rsid w:val="001F2EA9"/>
    <w:rsid w:val="001F345E"/>
    <w:rsid w:val="001F3AA9"/>
    <w:rsid w:val="001F3B5D"/>
    <w:rsid w:val="001F3D9D"/>
    <w:rsid w:val="001F4046"/>
    <w:rsid w:val="001F46A4"/>
    <w:rsid w:val="001F507D"/>
    <w:rsid w:val="001F508D"/>
    <w:rsid w:val="001F515C"/>
    <w:rsid w:val="001F5643"/>
    <w:rsid w:val="001F5A52"/>
    <w:rsid w:val="001F5FEC"/>
    <w:rsid w:val="001F67B8"/>
    <w:rsid w:val="001F6C4F"/>
    <w:rsid w:val="001F72AE"/>
    <w:rsid w:val="001F7876"/>
    <w:rsid w:val="001F79E7"/>
    <w:rsid w:val="001F7AAB"/>
    <w:rsid w:val="001F7D10"/>
    <w:rsid w:val="002001F3"/>
    <w:rsid w:val="002005C3"/>
    <w:rsid w:val="002009D9"/>
    <w:rsid w:val="00200B23"/>
    <w:rsid w:val="00200CFA"/>
    <w:rsid w:val="00200E08"/>
    <w:rsid w:val="00200E64"/>
    <w:rsid w:val="00201145"/>
    <w:rsid w:val="002011C3"/>
    <w:rsid w:val="0020143A"/>
    <w:rsid w:val="00201533"/>
    <w:rsid w:val="0020176B"/>
    <w:rsid w:val="00201DC0"/>
    <w:rsid w:val="0020204C"/>
    <w:rsid w:val="00202306"/>
    <w:rsid w:val="00202601"/>
    <w:rsid w:val="0020278C"/>
    <w:rsid w:val="00202947"/>
    <w:rsid w:val="00202993"/>
    <w:rsid w:val="00202D12"/>
    <w:rsid w:val="00202D9D"/>
    <w:rsid w:val="0020332A"/>
    <w:rsid w:val="00203357"/>
    <w:rsid w:val="002036E8"/>
    <w:rsid w:val="00203FA0"/>
    <w:rsid w:val="002040F6"/>
    <w:rsid w:val="00204306"/>
    <w:rsid w:val="00204484"/>
    <w:rsid w:val="002050B7"/>
    <w:rsid w:val="002050EA"/>
    <w:rsid w:val="002051CC"/>
    <w:rsid w:val="00206318"/>
    <w:rsid w:val="00206910"/>
    <w:rsid w:val="00206946"/>
    <w:rsid w:val="00206CCE"/>
    <w:rsid w:val="002079A4"/>
    <w:rsid w:val="00210037"/>
    <w:rsid w:val="00211093"/>
    <w:rsid w:val="00211772"/>
    <w:rsid w:val="00211D8D"/>
    <w:rsid w:val="00211FAA"/>
    <w:rsid w:val="00212373"/>
    <w:rsid w:val="0021288F"/>
    <w:rsid w:val="00212ABE"/>
    <w:rsid w:val="00212FF2"/>
    <w:rsid w:val="002135C3"/>
    <w:rsid w:val="00213601"/>
    <w:rsid w:val="00213AF8"/>
    <w:rsid w:val="00213BBA"/>
    <w:rsid w:val="002143E3"/>
    <w:rsid w:val="00215156"/>
    <w:rsid w:val="00215525"/>
    <w:rsid w:val="0021598A"/>
    <w:rsid w:val="00215ECD"/>
    <w:rsid w:val="0021618D"/>
    <w:rsid w:val="002163DB"/>
    <w:rsid w:val="002163E2"/>
    <w:rsid w:val="0021668A"/>
    <w:rsid w:val="0021683E"/>
    <w:rsid w:val="00217134"/>
    <w:rsid w:val="002179D5"/>
    <w:rsid w:val="00217A19"/>
    <w:rsid w:val="0021C30D"/>
    <w:rsid w:val="0022083B"/>
    <w:rsid w:val="0022152D"/>
    <w:rsid w:val="002217BA"/>
    <w:rsid w:val="00221B96"/>
    <w:rsid w:val="00221C0B"/>
    <w:rsid w:val="00221DB5"/>
    <w:rsid w:val="00221FFC"/>
    <w:rsid w:val="0022207C"/>
    <w:rsid w:val="00222694"/>
    <w:rsid w:val="0022269F"/>
    <w:rsid w:val="00222742"/>
    <w:rsid w:val="002227BE"/>
    <w:rsid w:val="0022281C"/>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632"/>
    <w:rsid w:val="00225294"/>
    <w:rsid w:val="00225650"/>
    <w:rsid w:val="00225768"/>
    <w:rsid w:val="00225A3F"/>
    <w:rsid w:val="002266BD"/>
    <w:rsid w:val="00226802"/>
    <w:rsid w:val="00226F71"/>
    <w:rsid w:val="0022734B"/>
    <w:rsid w:val="00227DE9"/>
    <w:rsid w:val="00227F19"/>
    <w:rsid w:val="002310DE"/>
    <w:rsid w:val="002319CF"/>
    <w:rsid w:val="00231AE4"/>
    <w:rsid w:val="00231CF4"/>
    <w:rsid w:val="00231F90"/>
    <w:rsid w:val="0023238C"/>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BA5"/>
    <w:rsid w:val="0023B6E8"/>
    <w:rsid w:val="0023F7B8"/>
    <w:rsid w:val="00240C2C"/>
    <w:rsid w:val="00240D3E"/>
    <w:rsid w:val="00240FC4"/>
    <w:rsid w:val="00242375"/>
    <w:rsid w:val="00242598"/>
    <w:rsid w:val="00242EBB"/>
    <w:rsid w:val="00243641"/>
    <w:rsid w:val="002436AE"/>
    <w:rsid w:val="0024372E"/>
    <w:rsid w:val="002438DE"/>
    <w:rsid w:val="00243A3D"/>
    <w:rsid w:val="0024412E"/>
    <w:rsid w:val="002442C8"/>
    <w:rsid w:val="002443C5"/>
    <w:rsid w:val="0024477F"/>
    <w:rsid w:val="002454C1"/>
    <w:rsid w:val="0024558F"/>
    <w:rsid w:val="00245C33"/>
    <w:rsid w:val="00245E09"/>
    <w:rsid w:val="00246301"/>
    <w:rsid w:val="0024672C"/>
    <w:rsid w:val="00246F11"/>
    <w:rsid w:val="00247662"/>
    <w:rsid w:val="002479EF"/>
    <w:rsid w:val="00247B09"/>
    <w:rsid w:val="002500A5"/>
    <w:rsid w:val="002502AD"/>
    <w:rsid w:val="002505AD"/>
    <w:rsid w:val="00251380"/>
    <w:rsid w:val="0025153A"/>
    <w:rsid w:val="00251A42"/>
    <w:rsid w:val="00251BD9"/>
    <w:rsid w:val="00251C75"/>
    <w:rsid w:val="0025214F"/>
    <w:rsid w:val="002523A7"/>
    <w:rsid w:val="002529B2"/>
    <w:rsid w:val="00252C2C"/>
    <w:rsid w:val="00252ECE"/>
    <w:rsid w:val="002531F9"/>
    <w:rsid w:val="0025343A"/>
    <w:rsid w:val="00253B86"/>
    <w:rsid w:val="00254493"/>
    <w:rsid w:val="002544C2"/>
    <w:rsid w:val="002546AE"/>
    <w:rsid w:val="00254730"/>
    <w:rsid w:val="00254AFB"/>
    <w:rsid w:val="00254BE9"/>
    <w:rsid w:val="00254E2F"/>
    <w:rsid w:val="002551CD"/>
    <w:rsid w:val="0025537D"/>
    <w:rsid w:val="00255F0F"/>
    <w:rsid w:val="002561EE"/>
    <w:rsid w:val="00256818"/>
    <w:rsid w:val="00256893"/>
    <w:rsid w:val="0025724B"/>
    <w:rsid w:val="0025729D"/>
    <w:rsid w:val="002572FF"/>
    <w:rsid w:val="00257DC6"/>
    <w:rsid w:val="00261A69"/>
    <w:rsid w:val="00261E2A"/>
    <w:rsid w:val="00262197"/>
    <w:rsid w:val="002631AE"/>
    <w:rsid w:val="0026345B"/>
    <w:rsid w:val="00263EC6"/>
    <w:rsid w:val="00264141"/>
    <w:rsid w:val="0026422A"/>
    <w:rsid w:val="00264359"/>
    <w:rsid w:val="00264508"/>
    <w:rsid w:val="00264760"/>
    <w:rsid w:val="00264FFC"/>
    <w:rsid w:val="0026517E"/>
    <w:rsid w:val="0026538C"/>
    <w:rsid w:val="00265E02"/>
    <w:rsid w:val="00266014"/>
    <w:rsid w:val="00266BAD"/>
    <w:rsid w:val="00266C46"/>
    <w:rsid w:val="00266CE0"/>
    <w:rsid w:val="00266F21"/>
    <w:rsid w:val="00267016"/>
    <w:rsid w:val="00267647"/>
    <w:rsid w:val="002679A1"/>
    <w:rsid w:val="00267C29"/>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90C"/>
    <w:rsid w:val="00273B0D"/>
    <w:rsid w:val="00273D39"/>
    <w:rsid w:val="00273E17"/>
    <w:rsid w:val="00273EFA"/>
    <w:rsid w:val="00274703"/>
    <w:rsid w:val="0027488C"/>
    <w:rsid w:val="00274E4E"/>
    <w:rsid w:val="0027501C"/>
    <w:rsid w:val="0027515B"/>
    <w:rsid w:val="00275495"/>
    <w:rsid w:val="00275522"/>
    <w:rsid w:val="00275875"/>
    <w:rsid w:val="00275895"/>
    <w:rsid w:val="00275942"/>
    <w:rsid w:val="00275A7A"/>
    <w:rsid w:val="00275AB9"/>
    <w:rsid w:val="00275B21"/>
    <w:rsid w:val="00275C9F"/>
    <w:rsid w:val="00275FA6"/>
    <w:rsid w:val="00276276"/>
    <w:rsid w:val="00276524"/>
    <w:rsid w:val="00277F5B"/>
    <w:rsid w:val="002809FB"/>
    <w:rsid w:val="00280A3F"/>
    <w:rsid w:val="00280ACC"/>
    <w:rsid w:val="00280E4C"/>
    <w:rsid w:val="0028154C"/>
    <w:rsid w:val="002816EB"/>
    <w:rsid w:val="00281712"/>
    <w:rsid w:val="00281AC6"/>
    <w:rsid w:val="00281C47"/>
    <w:rsid w:val="0028216E"/>
    <w:rsid w:val="002823DE"/>
    <w:rsid w:val="00282819"/>
    <w:rsid w:val="00283190"/>
    <w:rsid w:val="0028337E"/>
    <w:rsid w:val="002833E4"/>
    <w:rsid w:val="002834BF"/>
    <w:rsid w:val="00283C55"/>
    <w:rsid w:val="00284489"/>
    <w:rsid w:val="002850DA"/>
    <w:rsid w:val="00285689"/>
    <w:rsid w:val="0028580D"/>
    <w:rsid w:val="002858CA"/>
    <w:rsid w:val="00285B97"/>
    <w:rsid w:val="00285D41"/>
    <w:rsid w:val="002862BB"/>
    <w:rsid w:val="00286338"/>
    <w:rsid w:val="00286BEB"/>
    <w:rsid w:val="00286C4E"/>
    <w:rsid w:val="002903DC"/>
    <w:rsid w:val="002905A6"/>
    <w:rsid w:val="002910D3"/>
    <w:rsid w:val="00291C0F"/>
    <w:rsid w:val="00291DC4"/>
    <w:rsid w:val="00291F71"/>
    <w:rsid w:val="00291F91"/>
    <w:rsid w:val="002921D3"/>
    <w:rsid w:val="002926DD"/>
    <w:rsid w:val="00292972"/>
    <w:rsid w:val="00292BAC"/>
    <w:rsid w:val="00292CD0"/>
    <w:rsid w:val="00292F2C"/>
    <w:rsid w:val="002931A6"/>
    <w:rsid w:val="00294189"/>
    <w:rsid w:val="00294585"/>
    <w:rsid w:val="00294FCB"/>
    <w:rsid w:val="00295238"/>
    <w:rsid w:val="00295294"/>
    <w:rsid w:val="00295544"/>
    <w:rsid w:val="00295A58"/>
    <w:rsid w:val="00295C3D"/>
    <w:rsid w:val="00295EC5"/>
    <w:rsid w:val="00295ECB"/>
    <w:rsid w:val="00295FA1"/>
    <w:rsid w:val="002964A8"/>
    <w:rsid w:val="00296F33"/>
    <w:rsid w:val="00297D5A"/>
    <w:rsid w:val="0029DCDA"/>
    <w:rsid w:val="0029F0A8"/>
    <w:rsid w:val="002A0028"/>
    <w:rsid w:val="002A082C"/>
    <w:rsid w:val="002A0929"/>
    <w:rsid w:val="002A0FA3"/>
    <w:rsid w:val="002A1077"/>
    <w:rsid w:val="002A1998"/>
    <w:rsid w:val="002A1A01"/>
    <w:rsid w:val="002A1CCD"/>
    <w:rsid w:val="002A20B4"/>
    <w:rsid w:val="002A27A9"/>
    <w:rsid w:val="002A28F1"/>
    <w:rsid w:val="002A2F69"/>
    <w:rsid w:val="002A302F"/>
    <w:rsid w:val="002A3071"/>
    <w:rsid w:val="002A39B6"/>
    <w:rsid w:val="002A3B10"/>
    <w:rsid w:val="002A428B"/>
    <w:rsid w:val="002A4385"/>
    <w:rsid w:val="002A45D2"/>
    <w:rsid w:val="002A4A89"/>
    <w:rsid w:val="002A4CED"/>
    <w:rsid w:val="002A5061"/>
    <w:rsid w:val="002A5563"/>
    <w:rsid w:val="002A5B90"/>
    <w:rsid w:val="002A6155"/>
    <w:rsid w:val="002A61FD"/>
    <w:rsid w:val="002A6361"/>
    <w:rsid w:val="002A685F"/>
    <w:rsid w:val="002A6AD2"/>
    <w:rsid w:val="002A6C52"/>
    <w:rsid w:val="002A741F"/>
    <w:rsid w:val="002A7930"/>
    <w:rsid w:val="002A7A76"/>
    <w:rsid w:val="002A7DEB"/>
    <w:rsid w:val="002AFFFC"/>
    <w:rsid w:val="002B06B1"/>
    <w:rsid w:val="002B111C"/>
    <w:rsid w:val="002B135F"/>
    <w:rsid w:val="002B138C"/>
    <w:rsid w:val="002B17BA"/>
    <w:rsid w:val="002B22D1"/>
    <w:rsid w:val="002B266F"/>
    <w:rsid w:val="002B2E5A"/>
    <w:rsid w:val="002B3174"/>
    <w:rsid w:val="002B3424"/>
    <w:rsid w:val="002B3519"/>
    <w:rsid w:val="002B35E7"/>
    <w:rsid w:val="002B4262"/>
    <w:rsid w:val="002B429F"/>
    <w:rsid w:val="002B43FA"/>
    <w:rsid w:val="002B4737"/>
    <w:rsid w:val="002B518F"/>
    <w:rsid w:val="002B5311"/>
    <w:rsid w:val="002B59EF"/>
    <w:rsid w:val="002B5A34"/>
    <w:rsid w:val="002B5A9A"/>
    <w:rsid w:val="002B602B"/>
    <w:rsid w:val="002B66A3"/>
    <w:rsid w:val="002B66AA"/>
    <w:rsid w:val="002B6A39"/>
    <w:rsid w:val="002B74B5"/>
    <w:rsid w:val="002B75DF"/>
    <w:rsid w:val="002B79BA"/>
    <w:rsid w:val="002B7E75"/>
    <w:rsid w:val="002B7F98"/>
    <w:rsid w:val="002C0057"/>
    <w:rsid w:val="002C055B"/>
    <w:rsid w:val="002C08A3"/>
    <w:rsid w:val="002C1AAC"/>
    <w:rsid w:val="002C207B"/>
    <w:rsid w:val="002C25B9"/>
    <w:rsid w:val="002C25EC"/>
    <w:rsid w:val="002C2698"/>
    <w:rsid w:val="002C282F"/>
    <w:rsid w:val="002C298D"/>
    <w:rsid w:val="002C2C9A"/>
    <w:rsid w:val="002C2D73"/>
    <w:rsid w:val="002C304E"/>
    <w:rsid w:val="002C3648"/>
    <w:rsid w:val="002C3B9C"/>
    <w:rsid w:val="002C42B6"/>
    <w:rsid w:val="002C433B"/>
    <w:rsid w:val="002C44B3"/>
    <w:rsid w:val="002C49B2"/>
    <w:rsid w:val="002C4AED"/>
    <w:rsid w:val="002C4C42"/>
    <w:rsid w:val="002C510F"/>
    <w:rsid w:val="002C5592"/>
    <w:rsid w:val="002C5760"/>
    <w:rsid w:val="002C5976"/>
    <w:rsid w:val="002C5F83"/>
    <w:rsid w:val="002C5FBE"/>
    <w:rsid w:val="002C6083"/>
    <w:rsid w:val="002C647B"/>
    <w:rsid w:val="002C6B34"/>
    <w:rsid w:val="002C74D7"/>
    <w:rsid w:val="002C7839"/>
    <w:rsid w:val="002C79FE"/>
    <w:rsid w:val="002C7F06"/>
    <w:rsid w:val="002D0525"/>
    <w:rsid w:val="002D0793"/>
    <w:rsid w:val="002D07C6"/>
    <w:rsid w:val="002D089F"/>
    <w:rsid w:val="002D095E"/>
    <w:rsid w:val="002D0AA9"/>
    <w:rsid w:val="002D146C"/>
    <w:rsid w:val="002D18A2"/>
    <w:rsid w:val="002D1C6A"/>
    <w:rsid w:val="002D1C74"/>
    <w:rsid w:val="002D1C7A"/>
    <w:rsid w:val="002D1ED6"/>
    <w:rsid w:val="002D21BB"/>
    <w:rsid w:val="002D27D9"/>
    <w:rsid w:val="002D285E"/>
    <w:rsid w:val="002D28D7"/>
    <w:rsid w:val="002D30FC"/>
    <w:rsid w:val="002D42C3"/>
    <w:rsid w:val="002D431C"/>
    <w:rsid w:val="002D480D"/>
    <w:rsid w:val="002D4C67"/>
    <w:rsid w:val="002D4F22"/>
    <w:rsid w:val="002D547E"/>
    <w:rsid w:val="002D54E7"/>
    <w:rsid w:val="002D55FD"/>
    <w:rsid w:val="002D5643"/>
    <w:rsid w:val="002D564B"/>
    <w:rsid w:val="002D56B4"/>
    <w:rsid w:val="002D5905"/>
    <w:rsid w:val="002D590A"/>
    <w:rsid w:val="002D5970"/>
    <w:rsid w:val="002D609F"/>
    <w:rsid w:val="002D6D78"/>
    <w:rsid w:val="002D6EF4"/>
    <w:rsid w:val="002D6F04"/>
    <w:rsid w:val="002D70A7"/>
    <w:rsid w:val="002D77C3"/>
    <w:rsid w:val="002D7D7B"/>
    <w:rsid w:val="002E0377"/>
    <w:rsid w:val="002E0453"/>
    <w:rsid w:val="002E0BE4"/>
    <w:rsid w:val="002E0DD4"/>
    <w:rsid w:val="002E0E28"/>
    <w:rsid w:val="002E11AA"/>
    <w:rsid w:val="002E1268"/>
    <w:rsid w:val="002E1351"/>
    <w:rsid w:val="002E1824"/>
    <w:rsid w:val="002E1FD6"/>
    <w:rsid w:val="002E2011"/>
    <w:rsid w:val="002E34B8"/>
    <w:rsid w:val="002E394A"/>
    <w:rsid w:val="002E3A2B"/>
    <w:rsid w:val="002E3AD7"/>
    <w:rsid w:val="002E3F11"/>
    <w:rsid w:val="002E43F7"/>
    <w:rsid w:val="002E5767"/>
    <w:rsid w:val="002E578C"/>
    <w:rsid w:val="002E5B86"/>
    <w:rsid w:val="002E5D8A"/>
    <w:rsid w:val="002E60EC"/>
    <w:rsid w:val="002E612A"/>
    <w:rsid w:val="002E614E"/>
    <w:rsid w:val="002E65B7"/>
    <w:rsid w:val="002E65E2"/>
    <w:rsid w:val="002E69FE"/>
    <w:rsid w:val="002E6BBC"/>
    <w:rsid w:val="002E6C4F"/>
    <w:rsid w:val="002E7812"/>
    <w:rsid w:val="002E7AFA"/>
    <w:rsid w:val="002F0309"/>
    <w:rsid w:val="002F0454"/>
    <w:rsid w:val="002F0FBE"/>
    <w:rsid w:val="002F10B7"/>
    <w:rsid w:val="002F148E"/>
    <w:rsid w:val="002F14E0"/>
    <w:rsid w:val="002F160B"/>
    <w:rsid w:val="002F1782"/>
    <w:rsid w:val="002F1848"/>
    <w:rsid w:val="002F1C89"/>
    <w:rsid w:val="002F22A3"/>
    <w:rsid w:val="002F2308"/>
    <w:rsid w:val="002F25FC"/>
    <w:rsid w:val="002F262E"/>
    <w:rsid w:val="002F293B"/>
    <w:rsid w:val="002F2BAF"/>
    <w:rsid w:val="002F2D9B"/>
    <w:rsid w:val="002F2F3F"/>
    <w:rsid w:val="002F3255"/>
    <w:rsid w:val="002F3A90"/>
    <w:rsid w:val="002F3F55"/>
    <w:rsid w:val="002F4324"/>
    <w:rsid w:val="002F4ADB"/>
    <w:rsid w:val="002F58A7"/>
    <w:rsid w:val="002F5B46"/>
    <w:rsid w:val="002F5D93"/>
    <w:rsid w:val="002F5FA5"/>
    <w:rsid w:val="002F60A2"/>
    <w:rsid w:val="002F61E2"/>
    <w:rsid w:val="002F6464"/>
    <w:rsid w:val="002F6484"/>
    <w:rsid w:val="002F6591"/>
    <w:rsid w:val="002F6CCB"/>
    <w:rsid w:val="002F7B71"/>
    <w:rsid w:val="002F7D37"/>
    <w:rsid w:val="002F7FD5"/>
    <w:rsid w:val="0030051B"/>
    <w:rsid w:val="00300912"/>
    <w:rsid w:val="00300BF9"/>
    <w:rsid w:val="00300DCD"/>
    <w:rsid w:val="00300F02"/>
    <w:rsid w:val="00300F59"/>
    <w:rsid w:val="00300F60"/>
    <w:rsid w:val="00301524"/>
    <w:rsid w:val="0030169D"/>
    <w:rsid w:val="003017A2"/>
    <w:rsid w:val="00301BC9"/>
    <w:rsid w:val="00301DD3"/>
    <w:rsid w:val="00302AA1"/>
    <w:rsid w:val="00302AB3"/>
    <w:rsid w:val="00302ADC"/>
    <w:rsid w:val="00302F1F"/>
    <w:rsid w:val="00303124"/>
    <w:rsid w:val="003033D0"/>
    <w:rsid w:val="003035B9"/>
    <w:rsid w:val="00303A57"/>
    <w:rsid w:val="00303AFE"/>
    <w:rsid w:val="003051FA"/>
    <w:rsid w:val="00305D90"/>
    <w:rsid w:val="003060EB"/>
    <w:rsid w:val="00306624"/>
    <w:rsid w:val="0030714D"/>
    <w:rsid w:val="00307B92"/>
    <w:rsid w:val="00307C2C"/>
    <w:rsid w:val="00307C98"/>
    <w:rsid w:val="00310087"/>
    <w:rsid w:val="003103C6"/>
    <w:rsid w:val="00310432"/>
    <w:rsid w:val="00310555"/>
    <w:rsid w:val="0031062B"/>
    <w:rsid w:val="00310F86"/>
    <w:rsid w:val="00310FBA"/>
    <w:rsid w:val="00311372"/>
    <w:rsid w:val="003117C0"/>
    <w:rsid w:val="00311F6D"/>
    <w:rsid w:val="00311FB0"/>
    <w:rsid w:val="003123F6"/>
    <w:rsid w:val="003124FF"/>
    <w:rsid w:val="0031282E"/>
    <w:rsid w:val="00312E43"/>
    <w:rsid w:val="00312F67"/>
    <w:rsid w:val="0031308A"/>
    <w:rsid w:val="00313577"/>
    <w:rsid w:val="00313CB5"/>
    <w:rsid w:val="003141B6"/>
    <w:rsid w:val="003142F1"/>
    <w:rsid w:val="00314613"/>
    <w:rsid w:val="00314690"/>
    <w:rsid w:val="003146D7"/>
    <w:rsid w:val="00314BE1"/>
    <w:rsid w:val="0031502F"/>
    <w:rsid w:val="003153EB"/>
    <w:rsid w:val="003158AE"/>
    <w:rsid w:val="00315AE8"/>
    <w:rsid w:val="00315AFC"/>
    <w:rsid w:val="00316208"/>
    <w:rsid w:val="00316797"/>
    <w:rsid w:val="00316821"/>
    <w:rsid w:val="003168C3"/>
    <w:rsid w:val="00316911"/>
    <w:rsid w:val="00316B56"/>
    <w:rsid w:val="00316B9E"/>
    <w:rsid w:val="00316C96"/>
    <w:rsid w:val="00316F3A"/>
    <w:rsid w:val="0031E423"/>
    <w:rsid w:val="003203D0"/>
    <w:rsid w:val="003203E5"/>
    <w:rsid w:val="00320453"/>
    <w:rsid w:val="00320771"/>
    <w:rsid w:val="0032079E"/>
    <w:rsid w:val="003207E6"/>
    <w:rsid w:val="00321985"/>
    <w:rsid w:val="00321C38"/>
    <w:rsid w:val="00321D5C"/>
    <w:rsid w:val="00322467"/>
    <w:rsid w:val="00322794"/>
    <w:rsid w:val="003230F8"/>
    <w:rsid w:val="003231C2"/>
    <w:rsid w:val="0032343D"/>
    <w:rsid w:val="003234B8"/>
    <w:rsid w:val="00323503"/>
    <w:rsid w:val="003238B1"/>
    <w:rsid w:val="003240F4"/>
    <w:rsid w:val="00324156"/>
    <w:rsid w:val="00324960"/>
    <w:rsid w:val="00324C7B"/>
    <w:rsid w:val="003260A0"/>
    <w:rsid w:val="00326BDA"/>
    <w:rsid w:val="00327501"/>
    <w:rsid w:val="00327C54"/>
    <w:rsid w:val="003301BC"/>
    <w:rsid w:val="00330F73"/>
    <w:rsid w:val="00331106"/>
    <w:rsid w:val="00331658"/>
    <w:rsid w:val="00331D88"/>
    <w:rsid w:val="00331FD0"/>
    <w:rsid w:val="00332312"/>
    <w:rsid w:val="0033265B"/>
    <w:rsid w:val="003329D1"/>
    <w:rsid w:val="00332B61"/>
    <w:rsid w:val="0033381C"/>
    <w:rsid w:val="003339C1"/>
    <w:rsid w:val="00333AE0"/>
    <w:rsid w:val="00333C2E"/>
    <w:rsid w:val="00333C58"/>
    <w:rsid w:val="00333DD3"/>
    <w:rsid w:val="00333FCB"/>
    <w:rsid w:val="00334073"/>
    <w:rsid w:val="00334306"/>
    <w:rsid w:val="00334885"/>
    <w:rsid w:val="00334CC8"/>
    <w:rsid w:val="003352DF"/>
    <w:rsid w:val="00335C40"/>
    <w:rsid w:val="003364A8"/>
    <w:rsid w:val="003364D3"/>
    <w:rsid w:val="00336539"/>
    <w:rsid w:val="0033658F"/>
    <w:rsid w:val="003367B4"/>
    <w:rsid w:val="00336BE1"/>
    <w:rsid w:val="00336CB3"/>
    <w:rsid w:val="00336DD9"/>
    <w:rsid w:val="0033768E"/>
    <w:rsid w:val="0034017C"/>
    <w:rsid w:val="00340768"/>
    <w:rsid w:val="00340CA9"/>
    <w:rsid w:val="003421C6"/>
    <w:rsid w:val="003421ED"/>
    <w:rsid w:val="00342C21"/>
    <w:rsid w:val="00343750"/>
    <w:rsid w:val="00343A66"/>
    <w:rsid w:val="00343AE4"/>
    <w:rsid w:val="00344150"/>
    <w:rsid w:val="00344217"/>
    <w:rsid w:val="00344333"/>
    <w:rsid w:val="003444AA"/>
    <w:rsid w:val="0034560A"/>
    <w:rsid w:val="003469C1"/>
    <w:rsid w:val="00346FE3"/>
    <w:rsid w:val="0034709C"/>
    <w:rsid w:val="0034756B"/>
    <w:rsid w:val="0034B8CF"/>
    <w:rsid w:val="00350155"/>
    <w:rsid w:val="003501BD"/>
    <w:rsid w:val="003501EB"/>
    <w:rsid w:val="00350278"/>
    <w:rsid w:val="00350EF3"/>
    <w:rsid w:val="00351090"/>
    <w:rsid w:val="00351205"/>
    <w:rsid w:val="003512C8"/>
    <w:rsid w:val="0035199C"/>
    <w:rsid w:val="00352375"/>
    <w:rsid w:val="00352507"/>
    <w:rsid w:val="003529D5"/>
    <w:rsid w:val="00352A9D"/>
    <w:rsid w:val="00352DEC"/>
    <w:rsid w:val="00353295"/>
    <w:rsid w:val="003539E7"/>
    <w:rsid w:val="00353AE5"/>
    <w:rsid w:val="00354139"/>
    <w:rsid w:val="00354495"/>
    <w:rsid w:val="00355345"/>
    <w:rsid w:val="00355B95"/>
    <w:rsid w:val="003560BB"/>
    <w:rsid w:val="00356300"/>
    <w:rsid w:val="0035674C"/>
    <w:rsid w:val="003568DF"/>
    <w:rsid w:val="00356C44"/>
    <w:rsid w:val="00356F2E"/>
    <w:rsid w:val="00357410"/>
    <w:rsid w:val="003574EA"/>
    <w:rsid w:val="00357AFB"/>
    <w:rsid w:val="00357B88"/>
    <w:rsid w:val="0035F756"/>
    <w:rsid w:val="00360179"/>
    <w:rsid w:val="00360B69"/>
    <w:rsid w:val="003611F8"/>
    <w:rsid w:val="003614B8"/>
    <w:rsid w:val="00361AF6"/>
    <w:rsid w:val="00361B8A"/>
    <w:rsid w:val="00361BDB"/>
    <w:rsid w:val="00362364"/>
    <w:rsid w:val="00362A9B"/>
    <w:rsid w:val="00362AB6"/>
    <w:rsid w:val="00362B80"/>
    <w:rsid w:val="00362E3A"/>
    <w:rsid w:val="003633DB"/>
    <w:rsid w:val="00363724"/>
    <w:rsid w:val="00363AE1"/>
    <w:rsid w:val="00363D4B"/>
    <w:rsid w:val="003640D5"/>
    <w:rsid w:val="003649D3"/>
    <w:rsid w:val="00364DC4"/>
    <w:rsid w:val="00364F89"/>
    <w:rsid w:val="00365973"/>
    <w:rsid w:val="00365CCE"/>
    <w:rsid w:val="00365F23"/>
    <w:rsid w:val="00366149"/>
    <w:rsid w:val="003662AE"/>
    <w:rsid w:val="00367241"/>
    <w:rsid w:val="00367287"/>
    <w:rsid w:val="003673FC"/>
    <w:rsid w:val="003673FF"/>
    <w:rsid w:val="00367601"/>
    <w:rsid w:val="00367D9F"/>
    <w:rsid w:val="0037059F"/>
    <w:rsid w:val="003712D7"/>
    <w:rsid w:val="00371643"/>
    <w:rsid w:val="0037190D"/>
    <w:rsid w:val="00371BFA"/>
    <w:rsid w:val="00371FCD"/>
    <w:rsid w:val="00372246"/>
    <w:rsid w:val="003726BC"/>
    <w:rsid w:val="00372E79"/>
    <w:rsid w:val="00372F74"/>
    <w:rsid w:val="003736CA"/>
    <w:rsid w:val="0037374B"/>
    <w:rsid w:val="0037393F"/>
    <w:rsid w:val="00373D8B"/>
    <w:rsid w:val="00373DF8"/>
    <w:rsid w:val="00373E9B"/>
    <w:rsid w:val="00374753"/>
    <w:rsid w:val="003748FE"/>
    <w:rsid w:val="00374CC0"/>
    <w:rsid w:val="00374D02"/>
    <w:rsid w:val="00374E7E"/>
    <w:rsid w:val="003750AD"/>
    <w:rsid w:val="003753E4"/>
    <w:rsid w:val="00375814"/>
    <w:rsid w:val="003758B0"/>
    <w:rsid w:val="00375946"/>
    <w:rsid w:val="00375959"/>
    <w:rsid w:val="00375AA3"/>
    <w:rsid w:val="00375CE4"/>
    <w:rsid w:val="00376107"/>
    <w:rsid w:val="003762DA"/>
    <w:rsid w:val="00376B9B"/>
    <w:rsid w:val="0037783B"/>
    <w:rsid w:val="00377A5F"/>
    <w:rsid w:val="00380146"/>
    <w:rsid w:val="00380F69"/>
    <w:rsid w:val="0038114B"/>
    <w:rsid w:val="00381395"/>
    <w:rsid w:val="0038146E"/>
    <w:rsid w:val="003814F5"/>
    <w:rsid w:val="00381620"/>
    <w:rsid w:val="00381983"/>
    <w:rsid w:val="00381E88"/>
    <w:rsid w:val="003823CB"/>
    <w:rsid w:val="0038268A"/>
    <w:rsid w:val="003829FD"/>
    <w:rsid w:val="00382C8C"/>
    <w:rsid w:val="00382EA2"/>
    <w:rsid w:val="003832F0"/>
    <w:rsid w:val="003834A1"/>
    <w:rsid w:val="003836CB"/>
    <w:rsid w:val="00383703"/>
    <w:rsid w:val="00383761"/>
    <w:rsid w:val="00383E6B"/>
    <w:rsid w:val="00383FD9"/>
    <w:rsid w:val="00384763"/>
    <w:rsid w:val="003849A9"/>
    <w:rsid w:val="00384B65"/>
    <w:rsid w:val="003850E9"/>
    <w:rsid w:val="00385D4C"/>
    <w:rsid w:val="00386B99"/>
    <w:rsid w:val="00386F3D"/>
    <w:rsid w:val="0038729C"/>
    <w:rsid w:val="00387607"/>
    <w:rsid w:val="00387697"/>
    <w:rsid w:val="00387939"/>
    <w:rsid w:val="00387A5C"/>
    <w:rsid w:val="00387D05"/>
    <w:rsid w:val="00387FB9"/>
    <w:rsid w:val="00387FE6"/>
    <w:rsid w:val="003905A6"/>
    <w:rsid w:val="003906D2"/>
    <w:rsid w:val="00390C49"/>
    <w:rsid w:val="00390EA0"/>
    <w:rsid w:val="0039123D"/>
    <w:rsid w:val="003912F7"/>
    <w:rsid w:val="0039178E"/>
    <w:rsid w:val="00391803"/>
    <w:rsid w:val="003919CE"/>
    <w:rsid w:val="003924B7"/>
    <w:rsid w:val="00392735"/>
    <w:rsid w:val="003929EC"/>
    <w:rsid w:val="00392BE6"/>
    <w:rsid w:val="00392F45"/>
    <w:rsid w:val="003935A4"/>
    <w:rsid w:val="00393D91"/>
    <w:rsid w:val="0039459C"/>
    <w:rsid w:val="003947F9"/>
    <w:rsid w:val="00394C17"/>
    <w:rsid w:val="00395335"/>
    <w:rsid w:val="00395AED"/>
    <w:rsid w:val="00395ECB"/>
    <w:rsid w:val="003962C9"/>
    <w:rsid w:val="00396B0A"/>
    <w:rsid w:val="00396CEF"/>
    <w:rsid w:val="00396FFF"/>
    <w:rsid w:val="00397459"/>
    <w:rsid w:val="003979C4"/>
    <w:rsid w:val="00397D25"/>
    <w:rsid w:val="0039ECE3"/>
    <w:rsid w:val="003A04A6"/>
    <w:rsid w:val="003A057E"/>
    <w:rsid w:val="003A0B24"/>
    <w:rsid w:val="003A0C34"/>
    <w:rsid w:val="003A14E2"/>
    <w:rsid w:val="003A2102"/>
    <w:rsid w:val="003A23F4"/>
    <w:rsid w:val="003A27D9"/>
    <w:rsid w:val="003A2A61"/>
    <w:rsid w:val="003A2B6B"/>
    <w:rsid w:val="003A34AF"/>
    <w:rsid w:val="003A3522"/>
    <w:rsid w:val="003A35E0"/>
    <w:rsid w:val="003A3CD7"/>
    <w:rsid w:val="003A3D74"/>
    <w:rsid w:val="003A4063"/>
    <w:rsid w:val="003A4245"/>
    <w:rsid w:val="003A4D0D"/>
    <w:rsid w:val="003A4FF1"/>
    <w:rsid w:val="003A513B"/>
    <w:rsid w:val="003A5458"/>
    <w:rsid w:val="003A55BA"/>
    <w:rsid w:val="003A5740"/>
    <w:rsid w:val="003A5A31"/>
    <w:rsid w:val="003A5EBA"/>
    <w:rsid w:val="003A6798"/>
    <w:rsid w:val="003A68A9"/>
    <w:rsid w:val="003A69AA"/>
    <w:rsid w:val="003A6E81"/>
    <w:rsid w:val="003A7428"/>
    <w:rsid w:val="003A7608"/>
    <w:rsid w:val="003A7A8B"/>
    <w:rsid w:val="003B01E3"/>
    <w:rsid w:val="003B0514"/>
    <w:rsid w:val="003B07F5"/>
    <w:rsid w:val="003B0886"/>
    <w:rsid w:val="003B0C3B"/>
    <w:rsid w:val="003B1BC9"/>
    <w:rsid w:val="003B1F1C"/>
    <w:rsid w:val="003B2086"/>
    <w:rsid w:val="003B293A"/>
    <w:rsid w:val="003B2EBC"/>
    <w:rsid w:val="003B3282"/>
    <w:rsid w:val="003B3D34"/>
    <w:rsid w:val="003B3EFC"/>
    <w:rsid w:val="003B4293"/>
    <w:rsid w:val="003B47DC"/>
    <w:rsid w:val="003B4986"/>
    <w:rsid w:val="003B4CED"/>
    <w:rsid w:val="003B5419"/>
    <w:rsid w:val="003B5767"/>
    <w:rsid w:val="003B6177"/>
    <w:rsid w:val="003B62CC"/>
    <w:rsid w:val="003B6762"/>
    <w:rsid w:val="003B6881"/>
    <w:rsid w:val="003B7870"/>
    <w:rsid w:val="003B7B77"/>
    <w:rsid w:val="003B7C2F"/>
    <w:rsid w:val="003BA525"/>
    <w:rsid w:val="003C013D"/>
    <w:rsid w:val="003C03DE"/>
    <w:rsid w:val="003C0F94"/>
    <w:rsid w:val="003C100B"/>
    <w:rsid w:val="003C11ED"/>
    <w:rsid w:val="003C1336"/>
    <w:rsid w:val="003C16FC"/>
    <w:rsid w:val="003C17D2"/>
    <w:rsid w:val="003C1933"/>
    <w:rsid w:val="003C19A8"/>
    <w:rsid w:val="003C328F"/>
    <w:rsid w:val="003C32E8"/>
    <w:rsid w:val="003C37CB"/>
    <w:rsid w:val="003C3B66"/>
    <w:rsid w:val="003C45F7"/>
    <w:rsid w:val="003C4FB2"/>
    <w:rsid w:val="003C5D3C"/>
    <w:rsid w:val="003C64E0"/>
    <w:rsid w:val="003C6556"/>
    <w:rsid w:val="003C6B52"/>
    <w:rsid w:val="003C6CC0"/>
    <w:rsid w:val="003C72D1"/>
    <w:rsid w:val="003C7D69"/>
    <w:rsid w:val="003C7DEE"/>
    <w:rsid w:val="003D015F"/>
    <w:rsid w:val="003D02D7"/>
    <w:rsid w:val="003D0457"/>
    <w:rsid w:val="003D0802"/>
    <w:rsid w:val="003D171C"/>
    <w:rsid w:val="003D18F3"/>
    <w:rsid w:val="003D1BEB"/>
    <w:rsid w:val="003D20AA"/>
    <w:rsid w:val="003D22EC"/>
    <w:rsid w:val="003D242D"/>
    <w:rsid w:val="003D2691"/>
    <w:rsid w:val="003D2AEF"/>
    <w:rsid w:val="003D2BD3"/>
    <w:rsid w:val="003D2C8B"/>
    <w:rsid w:val="003D2D2C"/>
    <w:rsid w:val="003D37BE"/>
    <w:rsid w:val="003D37DA"/>
    <w:rsid w:val="003D3FBC"/>
    <w:rsid w:val="003D4112"/>
    <w:rsid w:val="003D4499"/>
    <w:rsid w:val="003D497C"/>
    <w:rsid w:val="003D4A61"/>
    <w:rsid w:val="003D4FCA"/>
    <w:rsid w:val="003D5763"/>
    <w:rsid w:val="003D5B85"/>
    <w:rsid w:val="003D5CF8"/>
    <w:rsid w:val="003D5D08"/>
    <w:rsid w:val="003D5F5E"/>
    <w:rsid w:val="003D5F5F"/>
    <w:rsid w:val="003D646B"/>
    <w:rsid w:val="003D686D"/>
    <w:rsid w:val="003D6B00"/>
    <w:rsid w:val="003D6E8C"/>
    <w:rsid w:val="003D6EE2"/>
    <w:rsid w:val="003D786D"/>
    <w:rsid w:val="003D7EA4"/>
    <w:rsid w:val="003E06C0"/>
    <w:rsid w:val="003E08DF"/>
    <w:rsid w:val="003E0A37"/>
    <w:rsid w:val="003E123E"/>
    <w:rsid w:val="003E174D"/>
    <w:rsid w:val="003E1B84"/>
    <w:rsid w:val="003E1E7B"/>
    <w:rsid w:val="003E1FB7"/>
    <w:rsid w:val="003E2111"/>
    <w:rsid w:val="003E2456"/>
    <w:rsid w:val="003E2917"/>
    <w:rsid w:val="003E29D3"/>
    <w:rsid w:val="003E3329"/>
    <w:rsid w:val="003E346F"/>
    <w:rsid w:val="003E34C2"/>
    <w:rsid w:val="003E38B9"/>
    <w:rsid w:val="003E3A9E"/>
    <w:rsid w:val="003E4155"/>
    <w:rsid w:val="003E4255"/>
    <w:rsid w:val="003E4391"/>
    <w:rsid w:val="003E43C2"/>
    <w:rsid w:val="003E4511"/>
    <w:rsid w:val="003E4D9B"/>
    <w:rsid w:val="003E5104"/>
    <w:rsid w:val="003E5805"/>
    <w:rsid w:val="003E5977"/>
    <w:rsid w:val="003E59CE"/>
    <w:rsid w:val="003E5F94"/>
    <w:rsid w:val="003E6770"/>
    <w:rsid w:val="003E6B43"/>
    <w:rsid w:val="003E6FFC"/>
    <w:rsid w:val="003E7179"/>
    <w:rsid w:val="003E7837"/>
    <w:rsid w:val="003E7AB0"/>
    <w:rsid w:val="003F00F1"/>
    <w:rsid w:val="003F079D"/>
    <w:rsid w:val="003F091D"/>
    <w:rsid w:val="003F098D"/>
    <w:rsid w:val="003F0A36"/>
    <w:rsid w:val="003F1009"/>
    <w:rsid w:val="003F10FF"/>
    <w:rsid w:val="003F1859"/>
    <w:rsid w:val="003F1CFA"/>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7224"/>
    <w:rsid w:val="003F787F"/>
    <w:rsid w:val="003F7C88"/>
    <w:rsid w:val="003F7E63"/>
    <w:rsid w:val="0040013C"/>
    <w:rsid w:val="00400E1B"/>
    <w:rsid w:val="00401621"/>
    <w:rsid w:val="004019D6"/>
    <w:rsid w:val="00401C79"/>
    <w:rsid w:val="00402427"/>
    <w:rsid w:val="00402596"/>
    <w:rsid w:val="00403C3A"/>
    <w:rsid w:val="00403DB9"/>
    <w:rsid w:val="00403F25"/>
    <w:rsid w:val="004041ED"/>
    <w:rsid w:val="0040444B"/>
    <w:rsid w:val="004045D5"/>
    <w:rsid w:val="00404D29"/>
    <w:rsid w:val="00405138"/>
    <w:rsid w:val="00405838"/>
    <w:rsid w:val="00405F2D"/>
    <w:rsid w:val="00406573"/>
    <w:rsid w:val="00406619"/>
    <w:rsid w:val="00406901"/>
    <w:rsid w:val="00406A8D"/>
    <w:rsid w:val="00406F96"/>
    <w:rsid w:val="0040717E"/>
    <w:rsid w:val="0040777E"/>
    <w:rsid w:val="00407A1F"/>
    <w:rsid w:val="00407D84"/>
    <w:rsid w:val="00410087"/>
    <w:rsid w:val="0041022A"/>
    <w:rsid w:val="00410569"/>
    <w:rsid w:val="0041133E"/>
    <w:rsid w:val="00411576"/>
    <w:rsid w:val="0041181F"/>
    <w:rsid w:val="00411992"/>
    <w:rsid w:val="004123F3"/>
    <w:rsid w:val="0041262E"/>
    <w:rsid w:val="00412A35"/>
    <w:rsid w:val="00412C4A"/>
    <w:rsid w:val="00412DAF"/>
    <w:rsid w:val="00412F22"/>
    <w:rsid w:val="00412FE7"/>
    <w:rsid w:val="00413287"/>
    <w:rsid w:val="00413545"/>
    <w:rsid w:val="0041372F"/>
    <w:rsid w:val="00413814"/>
    <w:rsid w:val="00413D37"/>
    <w:rsid w:val="00414194"/>
    <w:rsid w:val="00415212"/>
    <w:rsid w:val="004153A3"/>
    <w:rsid w:val="004156A9"/>
    <w:rsid w:val="00415A90"/>
    <w:rsid w:val="00415F01"/>
    <w:rsid w:val="0041683E"/>
    <w:rsid w:val="004168F4"/>
    <w:rsid w:val="00416C86"/>
    <w:rsid w:val="00417594"/>
    <w:rsid w:val="00417C63"/>
    <w:rsid w:val="00417CD3"/>
    <w:rsid w:val="00420700"/>
    <w:rsid w:val="00420DE8"/>
    <w:rsid w:val="00421059"/>
    <w:rsid w:val="00421394"/>
    <w:rsid w:val="00421C55"/>
    <w:rsid w:val="00421E94"/>
    <w:rsid w:val="0042271A"/>
    <w:rsid w:val="0042325E"/>
    <w:rsid w:val="004234D3"/>
    <w:rsid w:val="00423688"/>
    <w:rsid w:val="00423ADD"/>
    <w:rsid w:val="00423DF4"/>
    <w:rsid w:val="004241B2"/>
    <w:rsid w:val="004243B0"/>
    <w:rsid w:val="00424468"/>
    <w:rsid w:val="0042475E"/>
    <w:rsid w:val="00424A91"/>
    <w:rsid w:val="00424ADE"/>
    <w:rsid w:val="0042517C"/>
    <w:rsid w:val="0042534E"/>
    <w:rsid w:val="004257AB"/>
    <w:rsid w:val="004259B4"/>
    <w:rsid w:val="00425B24"/>
    <w:rsid w:val="00425EE8"/>
    <w:rsid w:val="00426185"/>
    <w:rsid w:val="00427310"/>
    <w:rsid w:val="00427437"/>
    <w:rsid w:val="00427D21"/>
    <w:rsid w:val="00427D41"/>
    <w:rsid w:val="004300A8"/>
    <w:rsid w:val="00430657"/>
    <w:rsid w:val="00431519"/>
    <w:rsid w:val="00431623"/>
    <w:rsid w:val="00431747"/>
    <w:rsid w:val="0043176B"/>
    <w:rsid w:val="00431C4E"/>
    <w:rsid w:val="00432083"/>
    <w:rsid w:val="004330F7"/>
    <w:rsid w:val="00433541"/>
    <w:rsid w:val="00433A12"/>
    <w:rsid w:val="00433DBC"/>
    <w:rsid w:val="0043476B"/>
    <w:rsid w:val="00434B3F"/>
    <w:rsid w:val="00434BBF"/>
    <w:rsid w:val="00434F0A"/>
    <w:rsid w:val="004355A2"/>
    <w:rsid w:val="00435618"/>
    <w:rsid w:val="00435696"/>
    <w:rsid w:val="00435A93"/>
    <w:rsid w:val="00435BC2"/>
    <w:rsid w:val="00435F83"/>
    <w:rsid w:val="004365A1"/>
    <w:rsid w:val="004366A3"/>
    <w:rsid w:val="00436D80"/>
    <w:rsid w:val="00436E1B"/>
    <w:rsid w:val="00437774"/>
    <w:rsid w:val="004377B9"/>
    <w:rsid w:val="004377DE"/>
    <w:rsid w:val="00437879"/>
    <w:rsid w:val="00437C6A"/>
    <w:rsid w:val="00440120"/>
    <w:rsid w:val="00440DD9"/>
    <w:rsid w:val="004416AA"/>
    <w:rsid w:val="00441DE4"/>
    <w:rsid w:val="00441F53"/>
    <w:rsid w:val="00442025"/>
    <w:rsid w:val="00442315"/>
    <w:rsid w:val="00442326"/>
    <w:rsid w:val="0044238B"/>
    <w:rsid w:val="00442D8D"/>
    <w:rsid w:val="00442EA1"/>
    <w:rsid w:val="0044308B"/>
    <w:rsid w:val="00443749"/>
    <w:rsid w:val="00443CE2"/>
    <w:rsid w:val="0044453E"/>
    <w:rsid w:val="00444729"/>
    <w:rsid w:val="00444BAD"/>
    <w:rsid w:val="00444E81"/>
    <w:rsid w:val="00444ECB"/>
    <w:rsid w:val="004454C8"/>
    <w:rsid w:val="00445AC2"/>
    <w:rsid w:val="00445BD3"/>
    <w:rsid w:val="004463F5"/>
    <w:rsid w:val="00446443"/>
    <w:rsid w:val="0044654A"/>
    <w:rsid w:val="00446918"/>
    <w:rsid w:val="00447040"/>
    <w:rsid w:val="00447172"/>
    <w:rsid w:val="004474DF"/>
    <w:rsid w:val="004478CE"/>
    <w:rsid w:val="0044790A"/>
    <w:rsid w:val="00447A66"/>
    <w:rsid w:val="00450093"/>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4215"/>
    <w:rsid w:val="004545CD"/>
    <w:rsid w:val="00454647"/>
    <w:rsid w:val="00454702"/>
    <w:rsid w:val="00454A95"/>
    <w:rsid w:val="004550DA"/>
    <w:rsid w:val="004551CE"/>
    <w:rsid w:val="004553C8"/>
    <w:rsid w:val="00456152"/>
    <w:rsid w:val="004563CE"/>
    <w:rsid w:val="00456414"/>
    <w:rsid w:val="00456922"/>
    <w:rsid w:val="0045705F"/>
    <w:rsid w:val="00457265"/>
    <w:rsid w:val="00457326"/>
    <w:rsid w:val="0045741B"/>
    <w:rsid w:val="0045796E"/>
    <w:rsid w:val="004579EC"/>
    <w:rsid w:val="0046067B"/>
    <w:rsid w:val="00460AB5"/>
    <w:rsid w:val="00460AC3"/>
    <w:rsid w:val="00460E4D"/>
    <w:rsid w:val="00460EE4"/>
    <w:rsid w:val="00461DA1"/>
    <w:rsid w:val="00462461"/>
    <w:rsid w:val="004628D5"/>
    <w:rsid w:val="00462F41"/>
    <w:rsid w:val="00463CBA"/>
    <w:rsid w:val="00463E96"/>
    <w:rsid w:val="004644C2"/>
    <w:rsid w:val="00464E1D"/>
    <w:rsid w:val="00465A77"/>
    <w:rsid w:val="00466D08"/>
    <w:rsid w:val="00466DA3"/>
    <w:rsid w:val="00467334"/>
    <w:rsid w:val="0046795E"/>
    <w:rsid w:val="00467F75"/>
    <w:rsid w:val="00467F9C"/>
    <w:rsid w:val="0047015F"/>
    <w:rsid w:val="004705D1"/>
    <w:rsid w:val="00470A95"/>
    <w:rsid w:val="00471055"/>
    <w:rsid w:val="00471344"/>
    <w:rsid w:val="00471477"/>
    <w:rsid w:val="00471A7C"/>
    <w:rsid w:val="00471C90"/>
    <w:rsid w:val="00471F26"/>
    <w:rsid w:val="0047250E"/>
    <w:rsid w:val="00472B58"/>
    <w:rsid w:val="00472D45"/>
    <w:rsid w:val="00472E20"/>
    <w:rsid w:val="00472EC2"/>
    <w:rsid w:val="00473165"/>
    <w:rsid w:val="004733BB"/>
    <w:rsid w:val="00473997"/>
    <w:rsid w:val="00474109"/>
    <w:rsid w:val="0047418A"/>
    <w:rsid w:val="004741ED"/>
    <w:rsid w:val="00474439"/>
    <w:rsid w:val="00474A60"/>
    <w:rsid w:val="00475037"/>
    <w:rsid w:val="00475856"/>
    <w:rsid w:val="00475C3E"/>
    <w:rsid w:val="00476414"/>
    <w:rsid w:val="004767CA"/>
    <w:rsid w:val="004772C0"/>
    <w:rsid w:val="0047750F"/>
    <w:rsid w:val="004775FE"/>
    <w:rsid w:val="004779D3"/>
    <w:rsid w:val="00477AD0"/>
    <w:rsid w:val="00477E41"/>
    <w:rsid w:val="00480905"/>
    <w:rsid w:val="00480AD7"/>
    <w:rsid w:val="00480C26"/>
    <w:rsid w:val="00481176"/>
    <w:rsid w:val="004811D6"/>
    <w:rsid w:val="00481AC7"/>
    <w:rsid w:val="00481D0C"/>
    <w:rsid w:val="00482301"/>
    <w:rsid w:val="004829E9"/>
    <w:rsid w:val="00482AA4"/>
    <w:rsid w:val="00482AF5"/>
    <w:rsid w:val="00482D60"/>
    <w:rsid w:val="004833C3"/>
    <w:rsid w:val="0048361A"/>
    <w:rsid w:val="0048362D"/>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76B4"/>
    <w:rsid w:val="00487D28"/>
    <w:rsid w:val="00487F03"/>
    <w:rsid w:val="0048CBD7"/>
    <w:rsid w:val="00490115"/>
    <w:rsid w:val="0049039E"/>
    <w:rsid w:val="0049064A"/>
    <w:rsid w:val="00490826"/>
    <w:rsid w:val="00490B1F"/>
    <w:rsid w:val="00490C42"/>
    <w:rsid w:val="00490F0F"/>
    <w:rsid w:val="004910A5"/>
    <w:rsid w:val="004913D7"/>
    <w:rsid w:val="004917A0"/>
    <w:rsid w:val="004918F1"/>
    <w:rsid w:val="00491AD8"/>
    <w:rsid w:val="00491C7C"/>
    <w:rsid w:val="00492E96"/>
    <w:rsid w:val="004932F4"/>
    <w:rsid w:val="004934F7"/>
    <w:rsid w:val="00493505"/>
    <w:rsid w:val="0049382F"/>
    <w:rsid w:val="0049394B"/>
    <w:rsid w:val="0049399B"/>
    <w:rsid w:val="00493A67"/>
    <w:rsid w:val="004941D4"/>
    <w:rsid w:val="004945C6"/>
    <w:rsid w:val="00494E68"/>
    <w:rsid w:val="004952DD"/>
    <w:rsid w:val="004954E2"/>
    <w:rsid w:val="004956D9"/>
    <w:rsid w:val="00495BA9"/>
    <w:rsid w:val="00495D22"/>
    <w:rsid w:val="00496281"/>
    <w:rsid w:val="00496343"/>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724"/>
    <w:rsid w:val="004A1D82"/>
    <w:rsid w:val="004A1E30"/>
    <w:rsid w:val="004A2867"/>
    <w:rsid w:val="004A2A21"/>
    <w:rsid w:val="004A2C80"/>
    <w:rsid w:val="004A348F"/>
    <w:rsid w:val="004A3901"/>
    <w:rsid w:val="004A3A1D"/>
    <w:rsid w:val="004A3AE6"/>
    <w:rsid w:val="004A4219"/>
    <w:rsid w:val="004A48AD"/>
    <w:rsid w:val="004A4950"/>
    <w:rsid w:val="004A4CB8"/>
    <w:rsid w:val="004A56E9"/>
    <w:rsid w:val="004A596E"/>
    <w:rsid w:val="004A5F0D"/>
    <w:rsid w:val="004A6886"/>
    <w:rsid w:val="004A6F85"/>
    <w:rsid w:val="004A743A"/>
    <w:rsid w:val="004A758F"/>
    <w:rsid w:val="004A7647"/>
    <w:rsid w:val="004A7808"/>
    <w:rsid w:val="004A78A3"/>
    <w:rsid w:val="004A7F9E"/>
    <w:rsid w:val="004AA5DF"/>
    <w:rsid w:val="004AC18F"/>
    <w:rsid w:val="004B0168"/>
    <w:rsid w:val="004B0419"/>
    <w:rsid w:val="004B0911"/>
    <w:rsid w:val="004B0BE0"/>
    <w:rsid w:val="004B1ABE"/>
    <w:rsid w:val="004B2C0A"/>
    <w:rsid w:val="004B300B"/>
    <w:rsid w:val="004B3138"/>
    <w:rsid w:val="004B3946"/>
    <w:rsid w:val="004B3A0B"/>
    <w:rsid w:val="004B3B84"/>
    <w:rsid w:val="004B4378"/>
    <w:rsid w:val="004B4387"/>
    <w:rsid w:val="004B4531"/>
    <w:rsid w:val="004B468D"/>
    <w:rsid w:val="004B4C37"/>
    <w:rsid w:val="004B5473"/>
    <w:rsid w:val="004B5918"/>
    <w:rsid w:val="004B5ED4"/>
    <w:rsid w:val="004B685D"/>
    <w:rsid w:val="004B6C76"/>
    <w:rsid w:val="004B7167"/>
    <w:rsid w:val="004B723F"/>
    <w:rsid w:val="004B746C"/>
    <w:rsid w:val="004B757A"/>
    <w:rsid w:val="004C038D"/>
    <w:rsid w:val="004C06FB"/>
    <w:rsid w:val="004C08A2"/>
    <w:rsid w:val="004C13F6"/>
    <w:rsid w:val="004C19F2"/>
    <w:rsid w:val="004C1DE9"/>
    <w:rsid w:val="004C2389"/>
    <w:rsid w:val="004C2672"/>
    <w:rsid w:val="004C29F7"/>
    <w:rsid w:val="004C2B22"/>
    <w:rsid w:val="004C2DDD"/>
    <w:rsid w:val="004C306B"/>
    <w:rsid w:val="004C4FEE"/>
    <w:rsid w:val="004C59B9"/>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46D"/>
    <w:rsid w:val="004D1658"/>
    <w:rsid w:val="004D1E28"/>
    <w:rsid w:val="004D206C"/>
    <w:rsid w:val="004D245E"/>
    <w:rsid w:val="004D256E"/>
    <w:rsid w:val="004D2752"/>
    <w:rsid w:val="004D2CC1"/>
    <w:rsid w:val="004D2EE5"/>
    <w:rsid w:val="004D3D36"/>
    <w:rsid w:val="004D404A"/>
    <w:rsid w:val="004D46EB"/>
    <w:rsid w:val="004D48AC"/>
    <w:rsid w:val="004D49C8"/>
    <w:rsid w:val="004D49F5"/>
    <w:rsid w:val="004D4A34"/>
    <w:rsid w:val="004D4F38"/>
    <w:rsid w:val="004D568C"/>
    <w:rsid w:val="004D5987"/>
    <w:rsid w:val="004D59FD"/>
    <w:rsid w:val="004D5EDC"/>
    <w:rsid w:val="004D60BF"/>
    <w:rsid w:val="004D636A"/>
    <w:rsid w:val="004D64C6"/>
    <w:rsid w:val="004D67A1"/>
    <w:rsid w:val="004D6984"/>
    <w:rsid w:val="004D6A41"/>
    <w:rsid w:val="004D7187"/>
    <w:rsid w:val="004D731F"/>
    <w:rsid w:val="004D79AF"/>
    <w:rsid w:val="004D8C6E"/>
    <w:rsid w:val="004DBC99"/>
    <w:rsid w:val="004E013A"/>
    <w:rsid w:val="004E0856"/>
    <w:rsid w:val="004E1104"/>
    <w:rsid w:val="004E12AA"/>
    <w:rsid w:val="004E15BF"/>
    <w:rsid w:val="004E16B8"/>
    <w:rsid w:val="004E1E74"/>
    <w:rsid w:val="004E2065"/>
    <w:rsid w:val="004E211E"/>
    <w:rsid w:val="004E2337"/>
    <w:rsid w:val="004E24F5"/>
    <w:rsid w:val="004E2C9F"/>
    <w:rsid w:val="004E2D09"/>
    <w:rsid w:val="004E3215"/>
    <w:rsid w:val="004E335E"/>
    <w:rsid w:val="004E34A0"/>
    <w:rsid w:val="004E34BD"/>
    <w:rsid w:val="004E3618"/>
    <w:rsid w:val="004E37D3"/>
    <w:rsid w:val="004E3AA9"/>
    <w:rsid w:val="004E3CC3"/>
    <w:rsid w:val="004E4003"/>
    <w:rsid w:val="004E4223"/>
    <w:rsid w:val="004E42D1"/>
    <w:rsid w:val="004E4456"/>
    <w:rsid w:val="004E45A9"/>
    <w:rsid w:val="004E4BFA"/>
    <w:rsid w:val="004E50C4"/>
    <w:rsid w:val="004E6398"/>
    <w:rsid w:val="004E6659"/>
    <w:rsid w:val="004E67AD"/>
    <w:rsid w:val="004E6C91"/>
    <w:rsid w:val="004E6E94"/>
    <w:rsid w:val="004E75FD"/>
    <w:rsid w:val="004F0700"/>
    <w:rsid w:val="004F0D20"/>
    <w:rsid w:val="004F141A"/>
    <w:rsid w:val="004F1E30"/>
    <w:rsid w:val="004F2658"/>
    <w:rsid w:val="004F266E"/>
    <w:rsid w:val="004F26FA"/>
    <w:rsid w:val="004F2BEF"/>
    <w:rsid w:val="004F32C3"/>
    <w:rsid w:val="004F32D0"/>
    <w:rsid w:val="004F3665"/>
    <w:rsid w:val="004F38C4"/>
    <w:rsid w:val="004F39A9"/>
    <w:rsid w:val="004F3D55"/>
    <w:rsid w:val="004F4377"/>
    <w:rsid w:val="004F442E"/>
    <w:rsid w:val="004F4487"/>
    <w:rsid w:val="004F4488"/>
    <w:rsid w:val="004F4BAB"/>
    <w:rsid w:val="004F4BE5"/>
    <w:rsid w:val="004F4CD5"/>
    <w:rsid w:val="004F4DFC"/>
    <w:rsid w:val="004F54EF"/>
    <w:rsid w:val="004F5869"/>
    <w:rsid w:val="004F6435"/>
    <w:rsid w:val="004F675E"/>
    <w:rsid w:val="004F68DB"/>
    <w:rsid w:val="004F72F6"/>
    <w:rsid w:val="004F736E"/>
    <w:rsid w:val="004F73C9"/>
    <w:rsid w:val="004F74A9"/>
    <w:rsid w:val="004F7950"/>
    <w:rsid w:val="004F79EE"/>
    <w:rsid w:val="004F7D6D"/>
    <w:rsid w:val="00500504"/>
    <w:rsid w:val="0050094E"/>
    <w:rsid w:val="00500A2F"/>
    <w:rsid w:val="00500C2D"/>
    <w:rsid w:val="00501041"/>
    <w:rsid w:val="0050141C"/>
    <w:rsid w:val="00501680"/>
    <w:rsid w:val="00501A3D"/>
    <w:rsid w:val="005020B2"/>
    <w:rsid w:val="0050305C"/>
    <w:rsid w:val="005031D7"/>
    <w:rsid w:val="00503406"/>
    <w:rsid w:val="005035FC"/>
    <w:rsid w:val="005037CC"/>
    <w:rsid w:val="00503A29"/>
    <w:rsid w:val="00503D83"/>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8A13"/>
    <w:rsid w:val="0051019C"/>
    <w:rsid w:val="005106BC"/>
    <w:rsid w:val="00510C0D"/>
    <w:rsid w:val="00510DA8"/>
    <w:rsid w:val="00510F4F"/>
    <w:rsid w:val="0051143E"/>
    <w:rsid w:val="00511890"/>
    <w:rsid w:val="00511B3F"/>
    <w:rsid w:val="0051203B"/>
    <w:rsid w:val="005142AC"/>
    <w:rsid w:val="00514581"/>
    <w:rsid w:val="00514662"/>
    <w:rsid w:val="00514B83"/>
    <w:rsid w:val="00514E59"/>
    <w:rsid w:val="005154E0"/>
    <w:rsid w:val="005159B1"/>
    <w:rsid w:val="00516331"/>
    <w:rsid w:val="00516D3E"/>
    <w:rsid w:val="00516D9B"/>
    <w:rsid w:val="00516ED9"/>
    <w:rsid w:val="005170CE"/>
    <w:rsid w:val="00517B1A"/>
    <w:rsid w:val="00517D64"/>
    <w:rsid w:val="005203D9"/>
    <w:rsid w:val="00520710"/>
    <w:rsid w:val="005207F4"/>
    <w:rsid w:val="00520BFE"/>
    <w:rsid w:val="00520CB7"/>
    <w:rsid w:val="0052122C"/>
    <w:rsid w:val="005221EA"/>
    <w:rsid w:val="00522636"/>
    <w:rsid w:val="005227C2"/>
    <w:rsid w:val="005227F5"/>
    <w:rsid w:val="0052286C"/>
    <w:rsid w:val="00522960"/>
    <w:rsid w:val="00522BEE"/>
    <w:rsid w:val="00523514"/>
    <w:rsid w:val="00523AA3"/>
    <w:rsid w:val="00523C93"/>
    <w:rsid w:val="00523F4D"/>
    <w:rsid w:val="005244AB"/>
    <w:rsid w:val="00525B35"/>
    <w:rsid w:val="005267A9"/>
    <w:rsid w:val="0052689C"/>
    <w:rsid w:val="00526B2F"/>
    <w:rsid w:val="00526E8A"/>
    <w:rsid w:val="005275E0"/>
    <w:rsid w:val="00527636"/>
    <w:rsid w:val="00527A07"/>
    <w:rsid w:val="005300E6"/>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3413"/>
    <w:rsid w:val="005334F9"/>
    <w:rsid w:val="00533A15"/>
    <w:rsid w:val="00533E57"/>
    <w:rsid w:val="00533EA5"/>
    <w:rsid w:val="00534681"/>
    <w:rsid w:val="005349C4"/>
    <w:rsid w:val="00535401"/>
    <w:rsid w:val="0053568A"/>
    <w:rsid w:val="00536111"/>
    <w:rsid w:val="0053656E"/>
    <w:rsid w:val="00536F5B"/>
    <w:rsid w:val="005373A4"/>
    <w:rsid w:val="0053788D"/>
    <w:rsid w:val="00537D18"/>
    <w:rsid w:val="00537ECE"/>
    <w:rsid w:val="0053AB57"/>
    <w:rsid w:val="00540695"/>
    <w:rsid w:val="005407C0"/>
    <w:rsid w:val="005407F3"/>
    <w:rsid w:val="00540A94"/>
    <w:rsid w:val="00541C2D"/>
    <w:rsid w:val="00542F7D"/>
    <w:rsid w:val="005430F5"/>
    <w:rsid w:val="00543385"/>
    <w:rsid w:val="00543692"/>
    <w:rsid w:val="00543F32"/>
    <w:rsid w:val="00544036"/>
    <w:rsid w:val="005454A9"/>
    <w:rsid w:val="00545802"/>
    <w:rsid w:val="00545B3A"/>
    <w:rsid w:val="00545B6A"/>
    <w:rsid w:val="005469AA"/>
    <w:rsid w:val="00546FCC"/>
    <w:rsid w:val="0054726C"/>
    <w:rsid w:val="00547408"/>
    <w:rsid w:val="00547555"/>
    <w:rsid w:val="00547BDD"/>
    <w:rsid w:val="00550235"/>
    <w:rsid w:val="00550263"/>
    <w:rsid w:val="00550CFF"/>
    <w:rsid w:val="00551032"/>
    <w:rsid w:val="0055104A"/>
    <w:rsid w:val="0055119B"/>
    <w:rsid w:val="00551374"/>
    <w:rsid w:val="005515AE"/>
    <w:rsid w:val="00552399"/>
    <w:rsid w:val="00552E99"/>
    <w:rsid w:val="00552F43"/>
    <w:rsid w:val="00552FD0"/>
    <w:rsid w:val="00553054"/>
    <w:rsid w:val="005548FC"/>
    <w:rsid w:val="00554C9A"/>
    <w:rsid w:val="00554DB0"/>
    <w:rsid w:val="00554FF2"/>
    <w:rsid w:val="00555792"/>
    <w:rsid w:val="00555827"/>
    <w:rsid w:val="00555EAB"/>
    <w:rsid w:val="005564E3"/>
    <w:rsid w:val="005566FC"/>
    <w:rsid w:val="00556B00"/>
    <w:rsid w:val="00556F3F"/>
    <w:rsid w:val="005573FC"/>
    <w:rsid w:val="00557A4D"/>
    <w:rsid w:val="00557A82"/>
    <w:rsid w:val="005600AE"/>
    <w:rsid w:val="005601BB"/>
    <w:rsid w:val="005601C2"/>
    <w:rsid w:val="005605FF"/>
    <w:rsid w:val="00560AB6"/>
    <w:rsid w:val="00560CE9"/>
    <w:rsid w:val="00560F6C"/>
    <w:rsid w:val="00561182"/>
    <w:rsid w:val="00561E0C"/>
    <w:rsid w:val="005620D4"/>
    <w:rsid w:val="00562331"/>
    <w:rsid w:val="00562602"/>
    <w:rsid w:val="00562B7C"/>
    <w:rsid w:val="005633CE"/>
    <w:rsid w:val="00563442"/>
    <w:rsid w:val="005638FC"/>
    <w:rsid w:val="00563B7C"/>
    <w:rsid w:val="00563F54"/>
    <w:rsid w:val="00563F67"/>
    <w:rsid w:val="0056408A"/>
    <w:rsid w:val="0056454D"/>
    <w:rsid w:val="00564733"/>
    <w:rsid w:val="005649D2"/>
    <w:rsid w:val="00564E1B"/>
    <w:rsid w:val="0056529E"/>
    <w:rsid w:val="00565323"/>
    <w:rsid w:val="00565B42"/>
    <w:rsid w:val="00565F85"/>
    <w:rsid w:val="00566CD7"/>
    <w:rsid w:val="0056794F"/>
    <w:rsid w:val="00567E56"/>
    <w:rsid w:val="00570687"/>
    <w:rsid w:val="00570705"/>
    <w:rsid w:val="00570E84"/>
    <w:rsid w:val="00570E8B"/>
    <w:rsid w:val="005710D4"/>
    <w:rsid w:val="005712CD"/>
    <w:rsid w:val="005713D8"/>
    <w:rsid w:val="0057158C"/>
    <w:rsid w:val="00571FE9"/>
    <w:rsid w:val="00572053"/>
    <w:rsid w:val="005720A4"/>
    <w:rsid w:val="00572B86"/>
    <w:rsid w:val="00572F02"/>
    <w:rsid w:val="0057345F"/>
    <w:rsid w:val="00573AE2"/>
    <w:rsid w:val="00573CD3"/>
    <w:rsid w:val="00573D0F"/>
    <w:rsid w:val="00574390"/>
    <w:rsid w:val="00574666"/>
    <w:rsid w:val="0057491B"/>
    <w:rsid w:val="00574FAB"/>
    <w:rsid w:val="005759A8"/>
    <w:rsid w:val="00575CEA"/>
    <w:rsid w:val="005761F4"/>
    <w:rsid w:val="0057644A"/>
    <w:rsid w:val="00576CD7"/>
    <w:rsid w:val="00576F8B"/>
    <w:rsid w:val="00577AB7"/>
    <w:rsid w:val="00577E57"/>
    <w:rsid w:val="00577EBB"/>
    <w:rsid w:val="00580646"/>
    <w:rsid w:val="00580DCA"/>
    <w:rsid w:val="00581A0A"/>
    <w:rsid w:val="00581BE0"/>
    <w:rsid w:val="00581E3B"/>
    <w:rsid w:val="005820EA"/>
    <w:rsid w:val="005821BA"/>
    <w:rsid w:val="00582AAB"/>
    <w:rsid w:val="00582D5B"/>
    <w:rsid w:val="00583A5C"/>
    <w:rsid w:val="00584390"/>
    <w:rsid w:val="0058443E"/>
    <w:rsid w:val="00584898"/>
    <w:rsid w:val="00584A8C"/>
    <w:rsid w:val="00584ADF"/>
    <w:rsid w:val="00584D93"/>
    <w:rsid w:val="00585641"/>
    <w:rsid w:val="00585C2A"/>
    <w:rsid w:val="00586395"/>
    <w:rsid w:val="00586D48"/>
    <w:rsid w:val="0058713C"/>
    <w:rsid w:val="00587291"/>
    <w:rsid w:val="0058773E"/>
    <w:rsid w:val="0059020A"/>
    <w:rsid w:val="00590360"/>
    <w:rsid w:val="00590418"/>
    <w:rsid w:val="00590840"/>
    <w:rsid w:val="00590D4F"/>
    <w:rsid w:val="005910C5"/>
    <w:rsid w:val="0059116B"/>
    <w:rsid w:val="00591335"/>
    <w:rsid w:val="0059172B"/>
    <w:rsid w:val="00591E12"/>
    <w:rsid w:val="005920A1"/>
    <w:rsid w:val="0059265A"/>
    <w:rsid w:val="00592769"/>
    <w:rsid w:val="00592DD8"/>
    <w:rsid w:val="00593296"/>
    <w:rsid w:val="00593884"/>
    <w:rsid w:val="005941C1"/>
    <w:rsid w:val="005945DF"/>
    <w:rsid w:val="0059485D"/>
    <w:rsid w:val="00594D91"/>
    <w:rsid w:val="00594F83"/>
    <w:rsid w:val="00596524"/>
    <w:rsid w:val="005975E5"/>
    <w:rsid w:val="005978DF"/>
    <w:rsid w:val="00597DC4"/>
    <w:rsid w:val="005A0115"/>
    <w:rsid w:val="005A01C0"/>
    <w:rsid w:val="005A04CD"/>
    <w:rsid w:val="005A073E"/>
    <w:rsid w:val="005A074C"/>
    <w:rsid w:val="005A0996"/>
    <w:rsid w:val="005A09A5"/>
    <w:rsid w:val="005A11CA"/>
    <w:rsid w:val="005A1821"/>
    <w:rsid w:val="005A2879"/>
    <w:rsid w:val="005A28D0"/>
    <w:rsid w:val="005A2A3B"/>
    <w:rsid w:val="005A2ACE"/>
    <w:rsid w:val="005A2B37"/>
    <w:rsid w:val="005A2D84"/>
    <w:rsid w:val="005A36CF"/>
    <w:rsid w:val="005A3F97"/>
    <w:rsid w:val="005A473E"/>
    <w:rsid w:val="005A48BD"/>
    <w:rsid w:val="005A4947"/>
    <w:rsid w:val="005A540A"/>
    <w:rsid w:val="005A54C9"/>
    <w:rsid w:val="005A61AD"/>
    <w:rsid w:val="005A6528"/>
    <w:rsid w:val="005A65BA"/>
    <w:rsid w:val="005A6AE9"/>
    <w:rsid w:val="005A7200"/>
    <w:rsid w:val="005A7783"/>
    <w:rsid w:val="005A78C5"/>
    <w:rsid w:val="005A798D"/>
    <w:rsid w:val="005B0178"/>
    <w:rsid w:val="005B0606"/>
    <w:rsid w:val="005B0854"/>
    <w:rsid w:val="005B1E43"/>
    <w:rsid w:val="005B204C"/>
    <w:rsid w:val="005B21E3"/>
    <w:rsid w:val="005B24FC"/>
    <w:rsid w:val="005B29D6"/>
    <w:rsid w:val="005B2A78"/>
    <w:rsid w:val="005B2C38"/>
    <w:rsid w:val="005B2D69"/>
    <w:rsid w:val="005B2EEF"/>
    <w:rsid w:val="005B311F"/>
    <w:rsid w:val="005B4338"/>
    <w:rsid w:val="005B4D7A"/>
    <w:rsid w:val="005B5170"/>
    <w:rsid w:val="005B521C"/>
    <w:rsid w:val="005B5978"/>
    <w:rsid w:val="005B5984"/>
    <w:rsid w:val="005B5E37"/>
    <w:rsid w:val="005B65A4"/>
    <w:rsid w:val="005B6897"/>
    <w:rsid w:val="005B6C65"/>
    <w:rsid w:val="005B78DB"/>
    <w:rsid w:val="005B7961"/>
    <w:rsid w:val="005B79E0"/>
    <w:rsid w:val="005B7CCA"/>
    <w:rsid w:val="005B7E4A"/>
    <w:rsid w:val="005C0B64"/>
    <w:rsid w:val="005C0CC2"/>
    <w:rsid w:val="005C188E"/>
    <w:rsid w:val="005C20A8"/>
    <w:rsid w:val="005C2161"/>
    <w:rsid w:val="005C27E5"/>
    <w:rsid w:val="005C2B11"/>
    <w:rsid w:val="005C2FA9"/>
    <w:rsid w:val="005C3316"/>
    <w:rsid w:val="005C34C8"/>
    <w:rsid w:val="005C389B"/>
    <w:rsid w:val="005C412D"/>
    <w:rsid w:val="005C422B"/>
    <w:rsid w:val="005C44A8"/>
    <w:rsid w:val="005C4CE6"/>
    <w:rsid w:val="005C54DE"/>
    <w:rsid w:val="005C58A1"/>
    <w:rsid w:val="005C59D8"/>
    <w:rsid w:val="005C5AF1"/>
    <w:rsid w:val="005C5C97"/>
    <w:rsid w:val="005C5D3F"/>
    <w:rsid w:val="005C6029"/>
    <w:rsid w:val="005C6F98"/>
    <w:rsid w:val="005C6FE0"/>
    <w:rsid w:val="005C783B"/>
    <w:rsid w:val="005C7E14"/>
    <w:rsid w:val="005D002E"/>
    <w:rsid w:val="005D060A"/>
    <w:rsid w:val="005D07D1"/>
    <w:rsid w:val="005D08BB"/>
    <w:rsid w:val="005D0D65"/>
    <w:rsid w:val="005D10B8"/>
    <w:rsid w:val="005D120D"/>
    <w:rsid w:val="005D1A2B"/>
    <w:rsid w:val="005D1EDE"/>
    <w:rsid w:val="005D202F"/>
    <w:rsid w:val="005D2B6A"/>
    <w:rsid w:val="005D2C0A"/>
    <w:rsid w:val="005D2E4B"/>
    <w:rsid w:val="005D2EE3"/>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53D"/>
    <w:rsid w:val="005D671B"/>
    <w:rsid w:val="005D6DA8"/>
    <w:rsid w:val="005D6EAF"/>
    <w:rsid w:val="005D6EEB"/>
    <w:rsid w:val="005D6FEF"/>
    <w:rsid w:val="005D757D"/>
    <w:rsid w:val="005D7A52"/>
    <w:rsid w:val="005D7C3B"/>
    <w:rsid w:val="005D7FE4"/>
    <w:rsid w:val="005DE1F2"/>
    <w:rsid w:val="005E10CD"/>
    <w:rsid w:val="005E12E7"/>
    <w:rsid w:val="005E1ABA"/>
    <w:rsid w:val="005E1E5B"/>
    <w:rsid w:val="005E22B2"/>
    <w:rsid w:val="005E29F6"/>
    <w:rsid w:val="005E2CF1"/>
    <w:rsid w:val="005E2F18"/>
    <w:rsid w:val="005E33D1"/>
    <w:rsid w:val="005E341A"/>
    <w:rsid w:val="005E35A3"/>
    <w:rsid w:val="005E3707"/>
    <w:rsid w:val="005E4E7B"/>
    <w:rsid w:val="005E51C4"/>
    <w:rsid w:val="005E5310"/>
    <w:rsid w:val="005E56ED"/>
    <w:rsid w:val="005E5769"/>
    <w:rsid w:val="005E6206"/>
    <w:rsid w:val="005E685B"/>
    <w:rsid w:val="005E6DD8"/>
    <w:rsid w:val="005E6E28"/>
    <w:rsid w:val="005E6EAD"/>
    <w:rsid w:val="005E6EF3"/>
    <w:rsid w:val="005E703F"/>
    <w:rsid w:val="005E78BF"/>
    <w:rsid w:val="005E78D2"/>
    <w:rsid w:val="005F0027"/>
    <w:rsid w:val="005F06DE"/>
    <w:rsid w:val="005F0B98"/>
    <w:rsid w:val="005F1022"/>
    <w:rsid w:val="005F14E7"/>
    <w:rsid w:val="005F1625"/>
    <w:rsid w:val="005F1EF2"/>
    <w:rsid w:val="005F2AB6"/>
    <w:rsid w:val="005F3090"/>
    <w:rsid w:val="005F3230"/>
    <w:rsid w:val="005F326E"/>
    <w:rsid w:val="005F36B5"/>
    <w:rsid w:val="005F4539"/>
    <w:rsid w:val="005F48BF"/>
    <w:rsid w:val="005F4A51"/>
    <w:rsid w:val="005F4C97"/>
    <w:rsid w:val="005F5EE6"/>
    <w:rsid w:val="005F60D1"/>
    <w:rsid w:val="005F6928"/>
    <w:rsid w:val="005F6F6B"/>
    <w:rsid w:val="005F70B4"/>
    <w:rsid w:val="00600432"/>
    <w:rsid w:val="006006BB"/>
    <w:rsid w:val="00601199"/>
    <w:rsid w:val="006011B3"/>
    <w:rsid w:val="0060177E"/>
    <w:rsid w:val="00601DCD"/>
    <w:rsid w:val="00601EB4"/>
    <w:rsid w:val="006023BE"/>
    <w:rsid w:val="006026EA"/>
    <w:rsid w:val="006029D7"/>
    <w:rsid w:val="00602C03"/>
    <w:rsid w:val="00602CE5"/>
    <w:rsid w:val="00602D2F"/>
    <w:rsid w:val="006032C9"/>
    <w:rsid w:val="006034C9"/>
    <w:rsid w:val="006037E8"/>
    <w:rsid w:val="006039E4"/>
    <w:rsid w:val="006056B1"/>
    <w:rsid w:val="00605700"/>
    <w:rsid w:val="0060654F"/>
    <w:rsid w:val="0060656E"/>
    <w:rsid w:val="00606799"/>
    <w:rsid w:val="0060693E"/>
    <w:rsid w:val="00606A0F"/>
    <w:rsid w:val="00606E58"/>
    <w:rsid w:val="0060724C"/>
    <w:rsid w:val="00607331"/>
    <w:rsid w:val="0060737F"/>
    <w:rsid w:val="006074F0"/>
    <w:rsid w:val="00607867"/>
    <w:rsid w:val="00607BBC"/>
    <w:rsid w:val="0060C8A9"/>
    <w:rsid w:val="00610284"/>
    <w:rsid w:val="00610400"/>
    <w:rsid w:val="00610AD6"/>
    <w:rsid w:val="00610BB2"/>
    <w:rsid w:val="00610F0C"/>
    <w:rsid w:val="00610F0E"/>
    <w:rsid w:val="006110F2"/>
    <w:rsid w:val="006122BA"/>
    <w:rsid w:val="0061241A"/>
    <w:rsid w:val="006129AF"/>
    <w:rsid w:val="00613565"/>
    <w:rsid w:val="006137D5"/>
    <w:rsid w:val="00613CCE"/>
    <w:rsid w:val="00614270"/>
    <w:rsid w:val="00614283"/>
    <w:rsid w:val="00614370"/>
    <w:rsid w:val="00614920"/>
    <w:rsid w:val="00614A49"/>
    <w:rsid w:val="00614E03"/>
    <w:rsid w:val="00614E78"/>
    <w:rsid w:val="006151FD"/>
    <w:rsid w:val="0061557F"/>
    <w:rsid w:val="00615842"/>
    <w:rsid w:val="00615C15"/>
    <w:rsid w:val="00615CEE"/>
    <w:rsid w:val="00615ECF"/>
    <w:rsid w:val="00616568"/>
    <w:rsid w:val="00616C9A"/>
    <w:rsid w:val="006172EF"/>
    <w:rsid w:val="0061736B"/>
    <w:rsid w:val="00617428"/>
    <w:rsid w:val="00617F92"/>
    <w:rsid w:val="0061991A"/>
    <w:rsid w:val="006200C3"/>
    <w:rsid w:val="006207DB"/>
    <w:rsid w:val="00620B43"/>
    <w:rsid w:val="00621688"/>
    <w:rsid w:val="00621DA6"/>
    <w:rsid w:val="0062215D"/>
    <w:rsid w:val="0062238E"/>
    <w:rsid w:val="006227D6"/>
    <w:rsid w:val="00622954"/>
    <w:rsid w:val="00622B53"/>
    <w:rsid w:val="00622D77"/>
    <w:rsid w:val="00623050"/>
    <w:rsid w:val="006236AA"/>
    <w:rsid w:val="00623ECA"/>
    <w:rsid w:val="006249A1"/>
    <w:rsid w:val="00624CE6"/>
    <w:rsid w:val="00625186"/>
    <w:rsid w:val="00625584"/>
    <w:rsid w:val="0062665C"/>
    <w:rsid w:val="0062681E"/>
    <w:rsid w:val="00626CB1"/>
    <w:rsid w:val="00627AEE"/>
    <w:rsid w:val="00627F4D"/>
    <w:rsid w:val="006298AB"/>
    <w:rsid w:val="0063011B"/>
    <w:rsid w:val="00630741"/>
    <w:rsid w:val="00630CEB"/>
    <w:rsid w:val="00630EBD"/>
    <w:rsid w:val="00630F22"/>
    <w:rsid w:val="0063131E"/>
    <w:rsid w:val="006320C2"/>
    <w:rsid w:val="006321EA"/>
    <w:rsid w:val="00632372"/>
    <w:rsid w:val="006324D3"/>
    <w:rsid w:val="0063257B"/>
    <w:rsid w:val="006328BB"/>
    <w:rsid w:val="0063291B"/>
    <w:rsid w:val="0063319A"/>
    <w:rsid w:val="006332FB"/>
    <w:rsid w:val="0063344B"/>
    <w:rsid w:val="00634423"/>
    <w:rsid w:val="00634970"/>
    <w:rsid w:val="00635395"/>
    <w:rsid w:val="0063557E"/>
    <w:rsid w:val="006355C4"/>
    <w:rsid w:val="006356EA"/>
    <w:rsid w:val="00635799"/>
    <w:rsid w:val="00635A43"/>
    <w:rsid w:val="006361EC"/>
    <w:rsid w:val="00636259"/>
    <w:rsid w:val="0063697D"/>
    <w:rsid w:val="00636A80"/>
    <w:rsid w:val="00636E0B"/>
    <w:rsid w:val="006373C2"/>
    <w:rsid w:val="00637663"/>
    <w:rsid w:val="006378C2"/>
    <w:rsid w:val="00637C99"/>
    <w:rsid w:val="00637FD8"/>
    <w:rsid w:val="00640106"/>
    <w:rsid w:val="0064045F"/>
    <w:rsid w:val="006410D2"/>
    <w:rsid w:val="006410F1"/>
    <w:rsid w:val="006426F3"/>
    <w:rsid w:val="00642733"/>
    <w:rsid w:val="006429EE"/>
    <w:rsid w:val="00642C03"/>
    <w:rsid w:val="006432AB"/>
    <w:rsid w:val="00643DC2"/>
    <w:rsid w:val="006441EF"/>
    <w:rsid w:val="006442B5"/>
    <w:rsid w:val="00644419"/>
    <w:rsid w:val="00644482"/>
    <w:rsid w:val="00644604"/>
    <w:rsid w:val="006446D8"/>
    <w:rsid w:val="00644C0D"/>
    <w:rsid w:val="00644F10"/>
    <w:rsid w:val="00644FA0"/>
    <w:rsid w:val="00645328"/>
    <w:rsid w:val="00645455"/>
    <w:rsid w:val="00645689"/>
    <w:rsid w:val="00645D33"/>
    <w:rsid w:val="00646151"/>
    <w:rsid w:val="00646602"/>
    <w:rsid w:val="00646AEB"/>
    <w:rsid w:val="006470C9"/>
    <w:rsid w:val="00647350"/>
    <w:rsid w:val="0064757D"/>
    <w:rsid w:val="006478B4"/>
    <w:rsid w:val="00647FA0"/>
    <w:rsid w:val="00650036"/>
    <w:rsid w:val="00650890"/>
    <w:rsid w:val="006508F6"/>
    <w:rsid w:val="0065168B"/>
    <w:rsid w:val="00651C68"/>
    <w:rsid w:val="00651D9F"/>
    <w:rsid w:val="00652021"/>
    <w:rsid w:val="00652220"/>
    <w:rsid w:val="00652AE8"/>
    <w:rsid w:val="006532C0"/>
    <w:rsid w:val="00653582"/>
    <w:rsid w:val="00653693"/>
    <w:rsid w:val="00653F81"/>
    <w:rsid w:val="00654122"/>
    <w:rsid w:val="006545FF"/>
    <w:rsid w:val="0065473C"/>
    <w:rsid w:val="00654971"/>
    <w:rsid w:val="00654DF6"/>
    <w:rsid w:val="0065522F"/>
    <w:rsid w:val="00655DE4"/>
    <w:rsid w:val="00656264"/>
    <w:rsid w:val="006562E6"/>
    <w:rsid w:val="00657046"/>
    <w:rsid w:val="006576F4"/>
    <w:rsid w:val="00657912"/>
    <w:rsid w:val="00657A19"/>
    <w:rsid w:val="00657D3E"/>
    <w:rsid w:val="00660448"/>
    <w:rsid w:val="00660803"/>
    <w:rsid w:val="00660D8A"/>
    <w:rsid w:val="0066136C"/>
    <w:rsid w:val="006616CF"/>
    <w:rsid w:val="006619B4"/>
    <w:rsid w:val="0066265C"/>
    <w:rsid w:val="00662C26"/>
    <w:rsid w:val="00662CB5"/>
    <w:rsid w:val="0066305F"/>
    <w:rsid w:val="006630B4"/>
    <w:rsid w:val="0066349A"/>
    <w:rsid w:val="00664498"/>
    <w:rsid w:val="006644EC"/>
    <w:rsid w:val="00664839"/>
    <w:rsid w:val="006649DA"/>
    <w:rsid w:val="00664B5C"/>
    <w:rsid w:val="006652CF"/>
    <w:rsid w:val="006655F6"/>
    <w:rsid w:val="00665B1D"/>
    <w:rsid w:val="00665F79"/>
    <w:rsid w:val="006667B2"/>
    <w:rsid w:val="00666A67"/>
    <w:rsid w:val="00666CF1"/>
    <w:rsid w:val="00667019"/>
    <w:rsid w:val="0066709F"/>
    <w:rsid w:val="0066757B"/>
    <w:rsid w:val="006675D1"/>
    <w:rsid w:val="006676A1"/>
    <w:rsid w:val="00667DCF"/>
    <w:rsid w:val="00667FCA"/>
    <w:rsid w:val="00670181"/>
    <w:rsid w:val="00670607"/>
    <w:rsid w:val="006709D4"/>
    <w:rsid w:val="00670BD8"/>
    <w:rsid w:val="00670C8D"/>
    <w:rsid w:val="00670FEE"/>
    <w:rsid w:val="00671A3E"/>
    <w:rsid w:val="006722DF"/>
    <w:rsid w:val="00672377"/>
    <w:rsid w:val="00672973"/>
    <w:rsid w:val="00672983"/>
    <w:rsid w:val="006729E8"/>
    <w:rsid w:val="00672B59"/>
    <w:rsid w:val="00672EE1"/>
    <w:rsid w:val="00672F33"/>
    <w:rsid w:val="00673BD4"/>
    <w:rsid w:val="00673D62"/>
    <w:rsid w:val="00673EF6"/>
    <w:rsid w:val="0067408A"/>
    <w:rsid w:val="00674091"/>
    <w:rsid w:val="00674C43"/>
    <w:rsid w:val="00674E68"/>
    <w:rsid w:val="0067537E"/>
    <w:rsid w:val="00675626"/>
    <w:rsid w:val="006756DC"/>
    <w:rsid w:val="006759BC"/>
    <w:rsid w:val="00675D53"/>
    <w:rsid w:val="0067683E"/>
    <w:rsid w:val="00676F41"/>
    <w:rsid w:val="00677BCA"/>
    <w:rsid w:val="00680207"/>
    <w:rsid w:val="00680763"/>
    <w:rsid w:val="00680B77"/>
    <w:rsid w:val="006819F6"/>
    <w:rsid w:val="00681AB1"/>
    <w:rsid w:val="00681BAD"/>
    <w:rsid w:val="00681E94"/>
    <w:rsid w:val="006820DE"/>
    <w:rsid w:val="006821B2"/>
    <w:rsid w:val="006826E6"/>
    <w:rsid w:val="006828E7"/>
    <w:rsid w:val="00682AAC"/>
    <w:rsid w:val="00682EDF"/>
    <w:rsid w:val="00683894"/>
    <w:rsid w:val="006839E1"/>
    <w:rsid w:val="00683A7D"/>
    <w:rsid w:val="0068410C"/>
    <w:rsid w:val="006841BA"/>
    <w:rsid w:val="0068421D"/>
    <w:rsid w:val="00684379"/>
    <w:rsid w:val="006848B0"/>
    <w:rsid w:val="00684C6F"/>
    <w:rsid w:val="00685828"/>
    <w:rsid w:val="006867E8"/>
    <w:rsid w:val="00686CEE"/>
    <w:rsid w:val="00686F23"/>
    <w:rsid w:val="00687717"/>
    <w:rsid w:val="006877F7"/>
    <w:rsid w:val="00690658"/>
    <w:rsid w:val="00690D87"/>
    <w:rsid w:val="00690E8D"/>
    <w:rsid w:val="0069100F"/>
    <w:rsid w:val="0069159D"/>
    <w:rsid w:val="00691A6E"/>
    <w:rsid w:val="00691E4B"/>
    <w:rsid w:val="00692774"/>
    <w:rsid w:val="006934B6"/>
    <w:rsid w:val="0069365F"/>
    <w:rsid w:val="00694163"/>
    <w:rsid w:val="00694ECD"/>
    <w:rsid w:val="00695388"/>
    <w:rsid w:val="00695888"/>
    <w:rsid w:val="00696083"/>
    <w:rsid w:val="006969AE"/>
    <w:rsid w:val="00696B71"/>
    <w:rsid w:val="0069701B"/>
    <w:rsid w:val="00697086"/>
    <w:rsid w:val="006970EC"/>
    <w:rsid w:val="00697403"/>
    <w:rsid w:val="00697443"/>
    <w:rsid w:val="006974E1"/>
    <w:rsid w:val="00697AE1"/>
    <w:rsid w:val="00697CD8"/>
    <w:rsid w:val="006A03C1"/>
    <w:rsid w:val="006A0B8A"/>
    <w:rsid w:val="006A0BCE"/>
    <w:rsid w:val="006A12C6"/>
    <w:rsid w:val="006A1A8D"/>
    <w:rsid w:val="006A206D"/>
    <w:rsid w:val="006A27FE"/>
    <w:rsid w:val="006A28C3"/>
    <w:rsid w:val="006A2D65"/>
    <w:rsid w:val="006A2E38"/>
    <w:rsid w:val="006A3157"/>
    <w:rsid w:val="006A35C1"/>
    <w:rsid w:val="006A3C33"/>
    <w:rsid w:val="006A3C5A"/>
    <w:rsid w:val="006A4088"/>
    <w:rsid w:val="006A40B9"/>
    <w:rsid w:val="006A40CC"/>
    <w:rsid w:val="006A42FD"/>
    <w:rsid w:val="006A4A88"/>
    <w:rsid w:val="006A4B1A"/>
    <w:rsid w:val="006A5069"/>
    <w:rsid w:val="006A5302"/>
    <w:rsid w:val="006A546A"/>
    <w:rsid w:val="006A5535"/>
    <w:rsid w:val="006A5839"/>
    <w:rsid w:val="006A597E"/>
    <w:rsid w:val="006A5FA3"/>
    <w:rsid w:val="006A6274"/>
    <w:rsid w:val="006A69D8"/>
    <w:rsid w:val="006A6C17"/>
    <w:rsid w:val="006A6E60"/>
    <w:rsid w:val="006A6E89"/>
    <w:rsid w:val="006A6FA7"/>
    <w:rsid w:val="006A7325"/>
    <w:rsid w:val="006A7588"/>
    <w:rsid w:val="006A77C5"/>
    <w:rsid w:val="006A7899"/>
    <w:rsid w:val="006A796D"/>
    <w:rsid w:val="006ABBAB"/>
    <w:rsid w:val="006ABE42"/>
    <w:rsid w:val="006B02A6"/>
    <w:rsid w:val="006B05F0"/>
    <w:rsid w:val="006B0FE3"/>
    <w:rsid w:val="006B1054"/>
    <w:rsid w:val="006B120E"/>
    <w:rsid w:val="006B13A1"/>
    <w:rsid w:val="006B152A"/>
    <w:rsid w:val="006B1699"/>
    <w:rsid w:val="006B19F0"/>
    <w:rsid w:val="006B1B39"/>
    <w:rsid w:val="006B1C7A"/>
    <w:rsid w:val="006B1F54"/>
    <w:rsid w:val="006B2290"/>
    <w:rsid w:val="006B2485"/>
    <w:rsid w:val="006B25DB"/>
    <w:rsid w:val="006B301C"/>
    <w:rsid w:val="006B335A"/>
    <w:rsid w:val="006B33F3"/>
    <w:rsid w:val="006B3724"/>
    <w:rsid w:val="006B3BEE"/>
    <w:rsid w:val="006B47C2"/>
    <w:rsid w:val="006B49C5"/>
    <w:rsid w:val="006B4CF2"/>
    <w:rsid w:val="006B564F"/>
    <w:rsid w:val="006B57A1"/>
    <w:rsid w:val="006B5C5C"/>
    <w:rsid w:val="006B638D"/>
    <w:rsid w:val="006B64D7"/>
    <w:rsid w:val="006B65CB"/>
    <w:rsid w:val="006B6804"/>
    <w:rsid w:val="006B6BA4"/>
    <w:rsid w:val="006B6E68"/>
    <w:rsid w:val="006B7122"/>
    <w:rsid w:val="006B7324"/>
    <w:rsid w:val="006B7408"/>
    <w:rsid w:val="006B74BE"/>
    <w:rsid w:val="006B7524"/>
    <w:rsid w:val="006B79F6"/>
    <w:rsid w:val="006B7F92"/>
    <w:rsid w:val="006BFEE4"/>
    <w:rsid w:val="006C0211"/>
    <w:rsid w:val="006C0231"/>
    <w:rsid w:val="006C07F4"/>
    <w:rsid w:val="006C0B90"/>
    <w:rsid w:val="006C0C98"/>
    <w:rsid w:val="006C0CC6"/>
    <w:rsid w:val="006C0F7A"/>
    <w:rsid w:val="006C10C9"/>
    <w:rsid w:val="006C17A4"/>
    <w:rsid w:val="006C1ECA"/>
    <w:rsid w:val="006C211E"/>
    <w:rsid w:val="006C2351"/>
    <w:rsid w:val="006C2BE8"/>
    <w:rsid w:val="006C3381"/>
    <w:rsid w:val="006C35AF"/>
    <w:rsid w:val="006C40AB"/>
    <w:rsid w:val="006C43EB"/>
    <w:rsid w:val="006C4554"/>
    <w:rsid w:val="006C479C"/>
    <w:rsid w:val="006C48EE"/>
    <w:rsid w:val="006C4ADB"/>
    <w:rsid w:val="006C5288"/>
    <w:rsid w:val="006C59C6"/>
    <w:rsid w:val="006C5D07"/>
    <w:rsid w:val="006C5DF3"/>
    <w:rsid w:val="006C61B3"/>
    <w:rsid w:val="006C63DC"/>
    <w:rsid w:val="006C6CAF"/>
    <w:rsid w:val="006C702A"/>
    <w:rsid w:val="006C718D"/>
    <w:rsid w:val="006C7D31"/>
    <w:rsid w:val="006C7D5B"/>
    <w:rsid w:val="006C7EB1"/>
    <w:rsid w:val="006C7F89"/>
    <w:rsid w:val="006C7FB9"/>
    <w:rsid w:val="006D0839"/>
    <w:rsid w:val="006D0A90"/>
    <w:rsid w:val="006D1277"/>
    <w:rsid w:val="006D1879"/>
    <w:rsid w:val="006D1C15"/>
    <w:rsid w:val="006D1E1F"/>
    <w:rsid w:val="006D1EE2"/>
    <w:rsid w:val="006D201F"/>
    <w:rsid w:val="006D2477"/>
    <w:rsid w:val="006D3C47"/>
    <w:rsid w:val="006D3F95"/>
    <w:rsid w:val="006D44B9"/>
    <w:rsid w:val="006D47E5"/>
    <w:rsid w:val="006D57D2"/>
    <w:rsid w:val="006D5F18"/>
    <w:rsid w:val="006D5F34"/>
    <w:rsid w:val="006D617E"/>
    <w:rsid w:val="006D6268"/>
    <w:rsid w:val="006D686E"/>
    <w:rsid w:val="006D6B11"/>
    <w:rsid w:val="006D6B81"/>
    <w:rsid w:val="006D77BD"/>
    <w:rsid w:val="006D7BDB"/>
    <w:rsid w:val="006DC3E5"/>
    <w:rsid w:val="006E0233"/>
    <w:rsid w:val="006E045D"/>
    <w:rsid w:val="006E0483"/>
    <w:rsid w:val="006E051C"/>
    <w:rsid w:val="006E17FC"/>
    <w:rsid w:val="006E1F31"/>
    <w:rsid w:val="006E2042"/>
    <w:rsid w:val="006E226C"/>
    <w:rsid w:val="006E271C"/>
    <w:rsid w:val="006E2B35"/>
    <w:rsid w:val="006E2E87"/>
    <w:rsid w:val="006E2E9E"/>
    <w:rsid w:val="006E302F"/>
    <w:rsid w:val="006E3191"/>
    <w:rsid w:val="006E31EA"/>
    <w:rsid w:val="006E3668"/>
    <w:rsid w:val="006E36EB"/>
    <w:rsid w:val="006E3921"/>
    <w:rsid w:val="006E3C2E"/>
    <w:rsid w:val="006E4253"/>
    <w:rsid w:val="006E46BE"/>
    <w:rsid w:val="006E49AE"/>
    <w:rsid w:val="006E49B5"/>
    <w:rsid w:val="006E52CD"/>
    <w:rsid w:val="006E576A"/>
    <w:rsid w:val="006E5F5C"/>
    <w:rsid w:val="006E66BA"/>
    <w:rsid w:val="006E6A6E"/>
    <w:rsid w:val="006E6BE9"/>
    <w:rsid w:val="006E6D60"/>
    <w:rsid w:val="006E73C5"/>
    <w:rsid w:val="006E77D4"/>
    <w:rsid w:val="006E7B44"/>
    <w:rsid w:val="006E7B99"/>
    <w:rsid w:val="006E7E41"/>
    <w:rsid w:val="006E7FDE"/>
    <w:rsid w:val="006F11AE"/>
    <w:rsid w:val="006F1628"/>
    <w:rsid w:val="006F202B"/>
    <w:rsid w:val="006F2275"/>
    <w:rsid w:val="006F2607"/>
    <w:rsid w:val="006F2A82"/>
    <w:rsid w:val="006F2C80"/>
    <w:rsid w:val="006F2F1C"/>
    <w:rsid w:val="006F2F92"/>
    <w:rsid w:val="006F3121"/>
    <w:rsid w:val="006F334A"/>
    <w:rsid w:val="006F3A29"/>
    <w:rsid w:val="006F3D38"/>
    <w:rsid w:val="006F56CC"/>
    <w:rsid w:val="006F57D5"/>
    <w:rsid w:val="006F5D77"/>
    <w:rsid w:val="006F6199"/>
    <w:rsid w:val="006F6479"/>
    <w:rsid w:val="006F6527"/>
    <w:rsid w:val="006F7089"/>
    <w:rsid w:val="006F757E"/>
    <w:rsid w:val="006F763A"/>
    <w:rsid w:val="006F7646"/>
    <w:rsid w:val="006F7BB1"/>
    <w:rsid w:val="006FB8DA"/>
    <w:rsid w:val="00700144"/>
    <w:rsid w:val="0070030F"/>
    <w:rsid w:val="00700743"/>
    <w:rsid w:val="00700962"/>
    <w:rsid w:val="007009C2"/>
    <w:rsid w:val="0070195D"/>
    <w:rsid w:val="00701F86"/>
    <w:rsid w:val="00702196"/>
    <w:rsid w:val="00702487"/>
    <w:rsid w:val="00702F6B"/>
    <w:rsid w:val="0070349D"/>
    <w:rsid w:val="00703751"/>
    <w:rsid w:val="007039CA"/>
    <w:rsid w:val="00703A81"/>
    <w:rsid w:val="00704076"/>
    <w:rsid w:val="00704315"/>
    <w:rsid w:val="007049A9"/>
    <w:rsid w:val="00704D3D"/>
    <w:rsid w:val="00705399"/>
    <w:rsid w:val="007055FD"/>
    <w:rsid w:val="0070581A"/>
    <w:rsid w:val="00705EFF"/>
    <w:rsid w:val="007064A6"/>
    <w:rsid w:val="0070652E"/>
    <w:rsid w:val="00706566"/>
    <w:rsid w:val="00706573"/>
    <w:rsid w:val="007065ED"/>
    <w:rsid w:val="007069FB"/>
    <w:rsid w:val="00706AA5"/>
    <w:rsid w:val="00706F80"/>
    <w:rsid w:val="00707046"/>
    <w:rsid w:val="007074E0"/>
    <w:rsid w:val="007078CE"/>
    <w:rsid w:val="00707FE1"/>
    <w:rsid w:val="0070BBAD"/>
    <w:rsid w:val="00710158"/>
    <w:rsid w:val="00710752"/>
    <w:rsid w:val="0071075E"/>
    <w:rsid w:val="00710794"/>
    <w:rsid w:val="0071093F"/>
    <w:rsid w:val="0071097F"/>
    <w:rsid w:val="00710BBC"/>
    <w:rsid w:val="0071135D"/>
    <w:rsid w:val="0071151A"/>
    <w:rsid w:val="00711A9B"/>
    <w:rsid w:val="00712842"/>
    <w:rsid w:val="00712B38"/>
    <w:rsid w:val="00712C1A"/>
    <w:rsid w:val="00713188"/>
    <w:rsid w:val="0071341D"/>
    <w:rsid w:val="007138C9"/>
    <w:rsid w:val="007140D1"/>
    <w:rsid w:val="007141D3"/>
    <w:rsid w:val="00714321"/>
    <w:rsid w:val="007146D1"/>
    <w:rsid w:val="007149F9"/>
    <w:rsid w:val="00714B77"/>
    <w:rsid w:val="00715053"/>
    <w:rsid w:val="0071506A"/>
    <w:rsid w:val="00715270"/>
    <w:rsid w:val="0071549B"/>
    <w:rsid w:val="00715554"/>
    <w:rsid w:val="007155BD"/>
    <w:rsid w:val="007157B1"/>
    <w:rsid w:val="00715909"/>
    <w:rsid w:val="00715D25"/>
    <w:rsid w:val="007160CA"/>
    <w:rsid w:val="007170F2"/>
    <w:rsid w:val="0071721C"/>
    <w:rsid w:val="00717591"/>
    <w:rsid w:val="00717B82"/>
    <w:rsid w:val="00717D88"/>
    <w:rsid w:val="00717FC0"/>
    <w:rsid w:val="0072028A"/>
    <w:rsid w:val="0072069F"/>
    <w:rsid w:val="007207A9"/>
    <w:rsid w:val="007207C6"/>
    <w:rsid w:val="00720AF7"/>
    <w:rsid w:val="00720BBB"/>
    <w:rsid w:val="00720EA9"/>
    <w:rsid w:val="007211CE"/>
    <w:rsid w:val="00721A4A"/>
    <w:rsid w:val="00721DB0"/>
    <w:rsid w:val="00721E39"/>
    <w:rsid w:val="00722390"/>
    <w:rsid w:val="00722486"/>
    <w:rsid w:val="007228BC"/>
    <w:rsid w:val="00722D0B"/>
    <w:rsid w:val="0072312B"/>
    <w:rsid w:val="007231FC"/>
    <w:rsid w:val="0072330E"/>
    <w:rsid w:val="00723F88"/>
    <w:rsid w:val="00724878"/>
    <w:rsid w:val="0072495E"/>
    <w:rsid w:val="00724A95"/>
    <w:rsid w:val="00724CF7"/>
    <w:rsid w:val="00725100"/>
    <w:rsid w:val="00725170"/>
    <w:rsid w:val="007256F0"/>
    <w:rsid w:val="00726134"/>
    <w:rsid w:val="00726598"/>
    <w:rsid w:val="00726678"/>
    <w:rsid w:val="00726793"/>
    <w:rsid w:val="00726ACD"/>
    <w:rsid w:val="00726F51"/>
    <w:rsid w:val="00727681"/>
    <w:rsid w:val="00728E39"/>
    <w:rsid w:val="0073039B"/>
    <w:rsid w:val="007306FD"/>
    <w:rsid w:val="00730792"/>
    <w:rsid w:val="00730D11"/>
    <w:rsid w:val="00730DB7"/>
    <w:rsid w:val="00731956"/>
    <w:rsid w:val="00731D38"/>
    <w:rsid w:val="00731E66"/>
    <w:rsid w:val="007326D7"/>
    <w:rsid w:val="0073274B"/>
    <w:rsid w:val="00732C7D"/>
    <w:rsid w:val="00732CE0"/>
    <w:rsid w:val="00733095"/>
    <w:rsid w:val="007331E1"/>
    <w:rsid w:val="00733902"/>
    <w:rsid w:val="00734082"/>
    <w:rsid w:val="00734306"/>
    <w:rsid w:val="00734831"/>
    <w:rsid w:val="00734915"/>
    <w:rsid w:val="0073541E"/>
    <w:rsid w:val="00735553"/>
    <w:rsid w:val="007356DE"/>
    <w:rsid w:val="00735EB6"/>
    <w:rsid w:val="00735FDE"/>
    <w:rsid w:val="0073659F"/>
    <w:rsid w:val="0073676C"/>
    <w:rsid w:val="0073687C"/>
    <w:rsid w:val="00736BB5"/>
    <w:rsid w:val="00736BE1"/>
    <w:rsid w:val="00737A14"/>
    <w:rsid w:val="00737A76"/>
    <w:rsid w:val="00737F24"/>
    <w:rsid w:val="007407A8"/>
    <w:rsid w:val="007411D6"/>
    <w:rsid w:val="007414FE"/>
    <w:rsid w:val="00741841"/>
    <w:rsid w:val="0074216D"/>
    <w:rsid w:val="0074253F"/>
    <w:rsid w:val="00742575"/>
    <w:rsid w:val="00742A0E"/>
    <w:rsid w:val="00742CA5"/>
    <w:rsid w:val="00742CD6"/>
    <w:rsid w:val="007436E9"/>
    <w:rsid w:val="00744377"/>
    <w:rsid w:val="00744E1F"/>
    <w:rsid w:val="00744E44"/>
    <w:rsid w:val="00745095"/>
    <w:rsid w:val="007459F0"/>
    <w:rsid w:val="00745B50"/>
    <w:rsid w:val="00745F7C"/>
    <w:rsid w:val="007464A9"/>
    <w:rsid w:val="00747172"/>
    <w:rsid w:val="00747521"/>
    <w:rsid w:val="00747875"/>
    <w:rsid w:val="007479DA"/>
    <w:rsid w:val="00747B58"/>
    <w:rsid w:val="00750A93"/>
    <w:rsid w:val="00751DEA"/>
    <w:rsid w:val="00751E3B"/>
    <w:rsid w:val="00751FF5"/>
    <w:rsid w:val="0075219E"/>
    <w:rsid w:val="007522DA"/>
    <w:rsid w:val="007530A8"/>
    <w:rsid w:val="007531B3"/>
    <w:rsid w:val="00753238"/>
    <w:rsid w:val="00753586"/>
    <w:rsid w:val="00753ADB"/>
    <w:rsid w:val="007543A7"/>
    <w:rsid w:val="00754501"/>
    <w:rsid w:val="00755367"/>
    <w:rsid w:val="00755462"/>
    <w:rsid w:val="0075565C"/>
    <w:rsid w:val="007557A3"/>
    <w:rsid w:val="007566F5"/>
    <w:rsid w:val="00756882"/>
    <w:rsid w:val="0075723D"/>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A2"/>
    <w:rsid w:val="00766ED4"/>
    <w:rsid w:val="0076733A"/>
    <w:rsid w:val="007676B2"/>
    <w:rsid w:val="007677DD"/>
    <w:rsid w:val="00767FC0"/>
    <w:rsid w:val="0076997B"/>
    <w:rsid w:val="0076BFFD"/>
    <w:rsid w:val="00770056"/>
    <w:rsid w:val="00770128"/>
    <w:rsid w:val="00770CD5"/>
    <w:rsid w:val="00771360"/>
    <w:rsid w:val="007713B3"/>
    <w:rsid w:val="007718E3"/>
    <w:rsid w:val="00771FCE"/>
    <w:rsid w:val="007721F8"/>
    <w:rsid w:val="00772534"/>
    <w:rsid w:val="00772698"/>
    <w:rsid w:val="007727FC"/>
    <w:rsid w:val="00772BF8"/>
    <w:rsid w:val="00773483"/>
    <w:rsid w:val="007735DF"/>
    <w:rsid w:val="00773852"/>
    <w:rsid w:val="00773D6E"/>
    <w:rsid w:val="00774351"/>
    <w:rsid w:val="007745FE"/>
    <w:rsid w:val="00774673"/>
    <w:rsid w:val="007746DA"/>
    <w:rsid w:val="0077493B"/>
    <w:rsid w:val="00774CFB"/>
    <w:rsid w:val="00775033"/>
    <w:rsid w:val="00775106"/>
    <w:rsid w:val="007751AC"/>
    <w:rsid w:val="00775611"/>
    <w:rsid w:val="00775A6B"/>
    <w:rsid w:val="007767DA"/>
    <w:rsid w:val="00776F72"/>
    <w:rsid w:val="00777709"/>
    <w:rsid w:val="00777764"/>
    <w:rsid w:val="00777A57"/>
    <w:rsid w:val="00777CB9"/>
    <w:rsid w:val="0077B93F"/>
    <w:rsid w:val="00780185"/>
    <w:rsid w:val="007802AF"/>
    <w:rsid w:val="00780326"/>
    <w:rsid w:val="00780F55"/>
    <w:rsid w:val="0078158C"/>
    <w:rsid w:val="0078160E"/>
    <w:rsid w:val="00781955"/>
    <w:rsid w:val="00781D54"/>
    <w:rsid w:val="00781D6F"/>
    <w:rsid w:val="007820AD"/>
    <w:rsid w:val="0078226B"/>
    <w:rsid w:val="0078235B"/>
    <w:rsid w:val="00782C41"/>
    <w:rsid w:val="007845E2"/>
    <w:rsid w:val="00784FFC"/>
    <w:rsid w:val="007853A6"/>
    <w:rsid w:val="00786056"/>
    <w:rsid w:val="007860D1"/>
    <w:rsid w:val="0078622D"/>
    <w:rsid w:val="007862ED"/>
    <w:rsid w:val="00786908"/>
    <w:rsid w:val="00786A14"/>
    <w:rsid w:val="00786CC9"/>
    <w:rsid w:val="00786D67"/>
    <w:rsid w:val="00787B66"/>
    <w:rsid w:val="00787F8D"/>
    <w:rsid w:val="00790FCC"/>
    <w:rsid w:val="007913DD"/>
    <w:rsid w:val="007917F7"/>
    <w:rsid w:val="00791AE0"/>
    <w:rsid w:val="00791AF0"/>
    <w:rsid w:val="00791C50"/>
    <w:rsid w:val="00792130"/>
    <w:rsid w:val="00792294"/>
    <w:rsid w:val="00792B80"/>
    <w:rsid w:val="00793C00"/>
    <w:rsid w:val="007942D3"/>
    <w:rsid w:val="00794622"/>
    <w:rsid w:val="007946B0"/>
    <w:rsid w:val="00794C7D"/>
    <w:rsid w:val="00794FB1"/>
    <w:rsid w:val="007956C2"/>
    <w:rsid w:val="007956CC"/>
    <w:rsid w:val="00795F10"/>
    <w:rsid w:val="0079627A"/>
    <w:rsid w:val="007962EB"/>
    <w:rsid w:val="00796451"/>
    <w:rsid w:val="007966BE"/>
    <w:rsid w:val="007969C2"/>
    <w:rsid w:val="00796AE7"/>
    <w:rsid w:val="00796F55"/>
    <w:rsid w:val="00797141"/>
    <w:rsid w:val="00797A52"/>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8E9"/>
    <w:rsid w:val="007A4FB5"/>
    <w:rsid w:val="007A5074"/>
    <w:rsid w:val="007A523E"/>
    <w:rsid w:val="007A585E"/>
    <w:rsid w:val="007A58A8"/>
    <w:rsid w:val="007A5AE8"/>
    <w:rsid w:val="007A5BB2"/>
    <w:rsid w:val="007A5BE5"/>
    <w:rsid w:val="007A5F2D"/>
    <w:rsid w:val="007A5FD0"/>
    <w:rsid w:val="007A6039"/>
    <w:rsid w:val="007A629D"/>
    <w:rsid w:val="007A6B55"/>
    <w:rsid w:val="007A71A9"/>
    <w:rsid w:val="007A7230"/>
    <w:rsid w:val="007A7351"/>
    <w:rsid w:val="007A8CE4"/>
    <w:rsid w:val="007B005C"/>
    <w:rsid w:val="007B0AD5"/>
    <w:rsid w:val="007B0B23"/>
    <w:rsid w:val="007B12C8"/>
    <w:rsid w:val="007B1938"/>
    <w:rsid w:val="007B1C39"/>
    <w:rsid w:val="007B1C7C"/>
    <w:rsid w:val="007B1D79"/>
    <w:rsid w:val="007B1D81"/>
    <w:rsid w:val="007B1DDD"/>
    <w:rsid w:val="007B1EB8"/>
    <w:rsid w:val="007B2099"/>
    <w:rsid w:val="007B2437"/>
    <w:rsid w:val="007B27F9"/>
    <w:rsid w:val="007B29DD"/>
    <w:rsid w:val="007B2DB0"/>
    <w:rsid w:val="007B2FCB"/>
    <w:rsid w:val="007B36E3"/>
    <w:rsid w:val="007B3E4C"/>
    <w:rsid w:val="007B408F"/>
    <w:rsid w:val="007B4D79"/>
    <w:rsid w:val="007B5006"/>
    <w:rsid w:val="007B5132"/>
    <w:rsid w:val="007B5237"/>
    <w:rsid w:val="007B5481"/>
    <w:rsid w:val="007B561F"/>
    <w:rsid w:val="007B5B54"/>
    <w:rsid w:val="007B65E1"/>
    <w:rsid w:val="007B6606"/>
    <w:rsid w:val="007B6AE6"/>
    <w:rsid w:val="007B6C09"/>
    <w:rsid w:val="007B6CA9"/>
    <w:rsid w:val="007B6D85"/>
    <w:rsid w:val="007B6FE0"/>
    <w:rsid w:val="007B744F"/>
    <w:rsid w:val="007B74B2"/>
    <w:rsid w:val="007B7741"/>
    <w:rsid w:val="007B7F1A"/>
    <w:rsid w:val="007C01C7"/>
    <w:rsid w:val="007C0A0B"/>
    <w:rsid w:val="007C0A3C"/>
    <w:rsid w:val="007C0DAF"/>
    <w:rsid w:val="007C0EE8"/>
    <w:rsid w:val="007C1690"/>
    <w:rsid w:val="007C174D"/>
    <w:rsid w:val="007C1D5A"/>
    <w:rsid w:val="007C21B9"/>
    <w:rsid w:val="007C2727"/>
    <w:rsid w:val="007C28FC"/>
    <w:rsid w:val="007C2EE7"/>
    <w:rsid w:val="007C3074"/>
    <w:rsid w:val="007C3249"/>
    <w:rsid w:val="007C3B1B"/>
    <w:rsid w:val="007C3FF4"/>
    <w:rsid w:val="007C4247"/>
    <w:rsid w:val="007C470E"/>
    <w:rsid w:val="007C4887"/>
    <w:rsid w:val="007C4BFE"/>
    <w:rsid w:val="007C4C9A"/>
    <w:rsid w:val="007C4E15"/>
    <w:rsid w:val="007C4EEC"/>
    <w:rsid w:val="007C5460"/>
    <w:rsid w:val="007C54DA"/>
    <w:rsid w:val="007C59E0"/>
    <w:rsid w:val="007C60FC"/>
    <w:rsid w:val="007C6432"/>
    <w:rsid w:val="007C64C7"/>
    <w:rsid w:val="007C675C"/>
    <w:rsid w:val="007C6807"/>
    <w:rsid w:val="007C6900"/>
    <w:rsid w:val="007C7048"/>
    <w:rsid w:val="007C71D8"/>
    <w:rsid w:val="007C7839"/>
    <w:rsid w:val="007C78E9"/>
    <w:rsid w:val="007D01CA"/>
    <w:rsid w:val="007D050E"/>
    <w:rsid w:val="007D052A"/>
    <w:rsid w:val="007D0674"/>
    <w:rsid w:val="007D0891"/>
    <w:rsid w:val="007D13CE"/>
    <w:rsid w:val="007D1516"/>
    <w:rsid w:val="007D17F8"/>
    <w:rsid w:val="007D1DC1"/>
    <w:rsid w:val="007D203F"/>
    <w:rsid w:val="007D273E"/>
    <w:rsid w:val="007D2918"/>
    <w:rsid w:val="007D3025"/>
    <w:rsid w:val="007D33C0"/>
    <w:rsid w:val="007D3431"/>
    <w:rsid w:val="007D3765"/>
    <w:rsid w:val="007D4A31"/>
    <w:rsid w:val="007D4CF4"/>
    <w:rsid w:val="007D5554"/>
    <w:rsid w:val="007D57B5"/>
    <w:rsid w:val="007D58B7"/>
    <w:rsid w:val="007D5A04"/>
    <w:rsid w:val="007D5E57"/>
    <w:rsid w:val="007D6557"/>
    <w:rsid w:val="007D6667"/>
    <w:rsid w:val="007D6A11"/>
    <w:rsid w:val="007D6AD6"/>
    <w:rsid w:val="007D7186"/>
    <w:rsid w:val="007D793F"/>
    <w:rsid w:val="007D7AC8"/>
    <w:rsid w:val="007E0028"/>
    <w:rsid w:val="007E004D"/>
    <w:rsid w:val="007E022B"/>
    <w:rsid w:val="007E053D"/>
    <w:rsid w:val="007E0576"/>
    <w:rsid w:val="007E0785"/>
    <w:rsid w:val="007E08D0"/>
    <w:rsid w:val="007E09DA"/>
    <w:rsid w:val="007E0A21"/>
    <w:rsid w:val="007E0EEE"/>
    <w:rsid w:val="007E1185"/>
    <w:rsid w:val="007E140D"/>
    <w:rsid w:val="007E1598"/>
    <w:rsid w:val="007E18D3"/>
    <w:rsid w:val="007E239D"/>
    <w:rsid w:val="007E25A0"/>
    <w:rsid w:val="007E2B21"/>
    <w:rsid w:val="007E2F1A"/>
    <w:rsid w:val="007E3329"/>
    <w:rsid w:val="007E3498"/>
    <w:rsid w:val="007E368B"/>
    <w:rsid w:val="007E377E"/>
    <w:rsid w:val="007E3912"/>
    <w:rsid w:val="007E3C61"/>
    <w:rsid w:val="007E4B0B"/>
    <w:rsid w:val="007E5435"/>
    <w:rsid w:val="007E5489"/>
    <w:rsid w:val="007E5E92"/>
    <w:rsid w:val="007E640E"/>
    <w:rsid w:val="007E66D6"/>
    <w:rsid w:val="007E7538"/>
    <w:rsid w:val="007E75FD"/>
    <w:rsid w:val="007E7A8E"/>
    <w:rsid w:val="007E7BCF"/>
    <w:rsid w:val="007E7D16"/>
    <w:rsid w:val="007F0A1D"/>
    <w:rsid w:val="007F0E29"/>
    <w:rsid w:val="007F1384"/>
    <w:rsid w:val="007F1D10"/>
    <w:rsid w:val="007F1DB5"/>
    <w:rsid w:val="007F236C"/>
    <w:rsid w:val="007F259F"/>
    <w:rsid w:val="007F25DF"/>
    <w:rsid w:val="007F2744"/>
    <w:rsid w:val="007F3301"/>
    <w:rsid w:val="007F33EC"/>
    <w:rsid w:val="007F347B"/>
    <w:rsid w:val="007F3513"/>
    <w:rsid w:val="007F434F"/>
    <w:rsid w:val="007F4443"/>
    <w:rsid w:val="007F4E41"/>
    <w:rsid w:val="007F4E5E"/>
    <w:rsid w:val="007F4EB2"/>
    <w:rsid w:val="007F5429"/>
    <w:rsid w:val="007F594B"/>
    <w:rsid w:val="007F5A20"/>
    <w:rsid w:val="007F5DBF"/>
    <w:rsid w:val="007F60E4"/>
    <w:rsid w:val="007F634F"/>
    <w:rsid w:val="007F654B"/>
    <w:rsid w:val="007F6F5D"/>
    <w:rsid w:val="007F70D2"/>
    <w:rsid w:val="007F72A3"/>
    <w:rsid w:val="007F74B1"/>
    <w:rsid w:val="007F758E"/>
    <w:rsid w:val="007F7AA7"/>
    <w:rsid w:val="007F7FA8"/>
    <w:rsid w:val="008007D2"/>
    <w:rsid w:val="00800804"/>
    <w:rsid w:val="00800EA5"/>
    <w:rsid w:val="00800F1A"/>
    <w:rsid w:val="00801AA1"/>
    <w:rsid w:val="008020DD"/>
    <w:rsid w:val="008022EC"/>
    <w:rsid w:val="00802858"/>
    <w:rsid w:val="00802B89"/>
    <w:rsid w:val="00802BDF"/>
    <w:rsid w:val="00803CD2"/>
    <w:rsid w:val="00804075"/>
    <w:rsid w:val="008043A2"/>
    <w:rsid w:val="00804805"/>
    <w:rsid w:val="00804A31"/>
    <w:rsid w:val="00804F15"/>
    <w:rsid w:val="008051A3"/>
    <w:rsid w:val="008059B8"/>
    <w:rsid w:val="00806368"/>
    <w:rsid w:val="008063D1"/>
    <w:rsid w:val="00806730"/>
    <w:rsid w:val="00806B84"/>
    <w:rsid w:val="00806CEE"/>
    <w:rsid w:val="00806D11"/>
    <w:rsid w:val="00806DFE"/>
    <w:rsid w:val="00806E34"/>
    <w:rsid w:val="008070D7"/>
    <w:rsid w:val="00807D49"/>
    <w:rsid w:val="0080836D"/>
    <w:rsid w:val="00808D17"/>
    <w:rsid w:val="0080E13D"/>
    <w:rsid w:val="00810013"/>
    <w:rsid w:val="008100C0"/>
    <w:rsid w:val="00810300"/>
    <w:rsid w:val="008105EE"/>
    <w:rsid w:val="00810A55"/>
    <w:rsid w:val="00810B17"/>
    <w:rsid w:val="00811263"/>
    <w:rsid w:val="0081140F"/>
    <w:rsid w:val="00811842"/>
    <w:rsid w:val="0081189C"/>
    <w:rsid w:val="008118AF"/>
    <w:rsid w:val="00811FAA"/>
    <w:rsid w:val="00812046"/>
    <w:rsid w:val="00812316"/>
    <w:rsid w:val="00812376"/>
    <w:rsid w:val="00812566"/>
    <w:rsid w:val="00812B85"/>
    <w:rsid w:val="00812E10"/>
    <w:rsid w:val="00812E9D"/>
    <w:rsid w:val="0081318C"/>
    <w:rsid w:val="008132E4"/>
    <w:rsid w:val="00814023"/>
    <w:rsid w:val="00814121"/>
    <w:rsid w:val="008143FE"/>
    <w:rsid w:val="00814713"/>
    <w:rsid w:val="00814A9D"/>
    <w:rsid w:val="00814CC6"/>
    <w:rsid w:val="00814CF1"/>
    <w:rsid w:val="008152E5"/>
    <w:rsid w:val="008155E4"/>
    <w:rsid w:val="00815B8C"/>
    <w:rsid w:val="00815EEE"/>
    <w:rsid w:val="008165EF"/>
    <w:rsid w:val="00816680"/>
    <w:rsid w:val="00816A40"/>
    <w:rsid w:val="00816AD2"/>
    <w:rsid w:val="00816FED"/>
    <w:rsid w:val="00817536"/>
    <w:rsid w:val="008178B6"/>
    <w:rsid w:val="00817BA0"/>
    <w:rsid w:val="00817CB0"/>
    <w:rsid w:val="00817D65"/>
    <w:rsid w:val="00817F23"/>
    <w:rsid w:val="00817F59"/>
    <w:rsid w:val="00817FBB"/>
    <w:rsid w:val="00817FEF"/>
    <w:rsid w:val="00820055"/>
    <w:rsid w:val="00820172"/>
    <w:rsid w:val="00820A89"/>
    <w:rsid w:val="0082126D"/>
    <w:rsid w:val="00821C33"/>
    <w:rsid w:val="00821E9D"/>
    <w:rsid w:val="00822126"/>
    <w:rsid w:val="00822127"/>
    <w:rsid w:val="008233CF"/>
    <w:rsid w:val="00823836"/>
    <w:rsid w:val="00823885"/>
    <w:rsid w:val="00823B4B"/>
    <w:rsid w:val="00823CF3"/>
    <w:rsid w:val="00823E20"/>
    <w:rsid w:val="008242E7"/>
    <w:rsid w:val="0082430D"/>
    <w:rsid w:val="008244D2"/>
    <w:rsid w:val="008246B5"/>
    <w:rsid w:val="008247A9"/>
    <w:rsid w:val="00824B83"/>
    <w:rsid w:val="00824D9B"/>
    <w:rsid w:val="00824DD0"/>
    <w:rsid w:val="00825464"/>
    <w:rsid w:val="00825CC8"/>
    <w:rsid w:val="008263D0"/>
    <w:rsid w:val="00826ECC"/>
    <w:rsid w:val="00827092"/>
    <w:rsid w:val="00827BB7"/>
    <w:rsid w:val="00827EE6"/>
    <w:rsid w:val="0083080B"/>
    <w:rsid w:val="00830C94"/>
    <w:rsid w:val="00830F35"/>
    <w:rsid w:val="008313DC"/>
    <w:rsid w:val="00831E17"/>
    <w:rsid w:val="008325BB"/>
    <w:rsid w:val="0083286C"/>
    <w:rsid w:val="00832C2F"/>
    <w:rsid w:val="00832C95"/>
    <w:rsid w:val="008334D0"/>
    <w:rsid w:val="0083357E"/>
    <w:rsid w:val="00833BF5"/>
    <w:rsid w:val="00833D7D"/>
    <w:rsid w:val="00834262"/>
    <w:rsid w:val="00834AAF"/>
    <w:rsid w:val="00834F4E"/>
    <w:rsid w:val="0083558D"/>
    <w:rsid w:val="008356A2"/>
    <w:rsid w:val="0083597A"/>
    <w:rsid w:val="00835DEB"/>
    <w:rsid w:val="008361C9"/>
    <w:rsid w:val="008362A8"/>
    <w:rsid w:val="008367B7"/>
    <w:rsid w:val="00836B64"/>
    <w:rsid w:val="00837379"/>
    <w:rsid w:val="00837883"/>
    <w:rsid w:val="00837907"/>
    <w:rsid w:val="00837CB3"/>
    <w:rsid w:val="0083C432"/>
    <w:rsid w:val="00840643"/>
    <w:rsid w:val="0084066B"/>
    <w:rsid w:val="0084090C"/>
    <w:rsid w:val="00840C99"/>
    <w:rsid w:val="0084126F"/>
    <w:rsid w:val="00841469"/>
    <w:rsid w:val="0084151D"/>
    <w:rsid w:val="00841DAD"/>
    <w:rsid w:val="008420BD"/>
    <w:rsid w:val="0084251A"/>
    <w:rsid w:val="0084257D"/>
    <w:rsid w:val="0084270D"/>
    <w:rsid w:val="00842B7E"/>
    <w:rsid w:val="00842FE8"/>
    <w:rsid w:val="0084348A"/>
    <w:rsid w:val="008436B9"/>
    <w:rsid w:val="008438DF"/>
    <w:rsid w:val="0084412D"/>
    <w:rsid w:val="00844BC1"/>
    <w:rsid w:val="00845D4A"/>
    <w:rsid w:val="00845E4D"/>
    <w:rsid w:val="00845EAC"/>
    <w:rsid w:val="00846771"/>
    <w:rsid w:val="00846E1F"/>
    <w:rsid w:val="00847883"/>
    <w:rsid w:val="0084789B"/>
    <w:rsid w:val="0084A7B9"/>
    <w:rsid w:val="008502F8"/>
    <w:rsid w:val="0085031F"/>
    <w:rsid w:val="00850617"/>
    <w:rsid w:val="00850657"/>
    <w:rsid w:val="008506F3"/>
    <w:rsid w:val="00850A9C"/>
    <w:rsid w:val="00851102"/>
    <w:rsid w:val="00851640"/>
    <w:rsid w:val="00851861"/>
    <w:rsid w:val="0085196E"/>
    <w:rsid w:val="00851AA3"/>
    <w:rsid w:val="00851AA5"/>
    <w:rsid w:val="008532F6"/>
    <w:rsid w:val="00853761"/>
    <w:rsid w:val="00853BE2"/>
    <w:rsid w:val="00853CB8"/>
    <w:rsid w:val="00854354"/>
    <w:rsid w:val="008544FA"/>
    <w:rsid w:val="00854B78"/>
    <w:rsid w:val="00855AC0"/>
    <w:rsid w:val="00855F6C"/>
    <w:rsid w:val="008564FE"/>
    <w:rsid w:val="008565A5"/>
    <w:rsid w:val="0085686A"/>
    <w:rsid w:val="00856C0A"/>
    <w:rsid w:val="00856D9C"/>
    <w:rsid w:val="008573B8"/>
    <w:rsid w:val="00857AD4"/>
    <w:rsid w:val="0086037A"/>
    <w:rsid w:val="00860467"/>
    <w:rsid w:val="00860733"/>
    <w:rsid w:val="00860F2C"/>
    <w:rsid w:val="008613A4"/>
    <w:rsid w:val="008614AE"/>
    <w:rsid w:val="00861747"/>
    <w:rsid w:val="0086188A"/>
    <w:rsid w:val="00861989"/>
    <w:rsid w:val="00861CA0"/>
    <w:rsid w:val="0086243C"/>
    <w:rsid w:val="0086252F"/>
    <w:rsid w:val="00862AC3"/>
    <w:rsid w:val="00862E85"/>
    <w:rsid w:val="00862ED2"/>
    <w:rsid w:val="008630D2"/>
    <w:rsid w:val="008630ED"/>
    <w:rsid w:val="00863193"/>
    <w:rsid w:val="00863665"/>
    <w:rsid w:val="008638D2"/>
    <w:rsid w:val="008638FB"/>
    <w:rsid w:val="00863DA5"/>
    <w:rsid w:val="008641E4"/>
    <w:rsid w:val="00864A79"/>
    <w:rsid w:val="00864CAA"/>
    <w:rsid w:val="00865635"/>
    <w:rsid w:val="008657C0"/>
    <w:rsid w:val="00865B74"/>
    <w:rsid w:val="00866087"/>
    <w:rsid w:val="00866BE1"/>
    <w:rsid w:val="00866F9F"/>
    <w:rsid w:val="008673A8"/>
    <w:rsid w:val="00867737"/>
    <w:rsid w:val="00867BE0"/>
    <w:rsid w:val="00867DD0"/>
    <w:rsid w:val="00868561"/>
    <w:rsid w:val="008700BA"/>
    <w:rsid w:val="008701D8"/>
    <w:rsid w:val="008705E4"/>
    <w:rsid w:val="00870761"/>
    <w:rsid w:val="00871124"/>
    <w:rsid w:val="00871530"/>
    <w:rsid w:val="00871571"/>
    <w:rsid w:val="008715C3"/>
    <w:rsid w:val="00872004"/>
    <w:rsid w:val="0087298D"/>
    <w:rsid w:val="0087351F"/>
    <w:rsid w:val="00873C35"/>
    <w:rsid w:val="008743AE"/>
    <w:rsid w:val="0087442B"/>
    <w:rsid w:val="00874886"/>
    <w:rsid w:val="00874989"/>
    <w:rsid w:val="00874D04"/>
    <w:rsid w:val="0087556F"/>
    <w:rsid w:val="0087558B"/>
    <w:rsid w:val="008759AB"/>
    <w:rsid w:val="00875D94"/>
    <w:rsid w:val="00876A87"/>
    <w:rsid w:val="00876AFB"/>
    <w:rsid w:val="00876B0C"/>
    <w:rsid w:val="00876FBC"/>
    <w:rsid w:val="008770A7"/>
    <w:rsid w:val="0087753A"/>
    <w:rsid w:val="008776FB"/>
    <w:rsid w:val="00877830"/>
    <w:rsid w:val="00877AAB"/>
    <w:rsid w:val="00877D0A"/>
    <w:rsid w:val="00877DB4"/>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2126"/>
    <w:rsid w:val="00882C3E"/>
    <w:rsid w:val="00882CB0"/>
    <w:rsid w:val="00882E60"/>
    <w:rsid w:val="00882F50"/>
    <w:rsid w:val="00883182"/>
    <w:rsid w:val="0088339C"/>
    <w:rsid w:val="00883452"/>
    <w:rsid w:val="00883735"/>
    <w:rsid w:val="008841E3"/>
    <w:rsid w:val="00884214"/>
    <w:rsid w:val="008844A6"/>
    <w:rsid w:val="00884824"/>
    <w:rsid w:val="00885079"/>
    <w:rsid w:val="008855A0"/>
    <w:rsid w:val="0088567E"/>
    <w:rsid w:val="00885D2F"/>
    <w:rsid w:val="008862E5"/>
    <w:rsid w:val="008864FE"/>
    <w:rsid w:val="008865A7"/>
    <w:rsid w:val="00886934"/>
    <w:rsid w:val="00886D6F"/>
    <w:rsid w:val="00886FE9"/>
    <w:rsid w:val="00887056"/>
    <w:rsid w:val="00887241"/>
    <w:rsid w:val="008872BE"/>
    <w:rsid w:val="0088736D"/>
    <w:rsid w:val="00887C60"/>
    <w:rsid w:val="00887D12"/>
    <w:rsid w:val="008906EB"/>
    <w:rsid w:val="00890850"/>
    <w:rsid w:val="0089090E"/>
    <w:rsid w:val="00890A5B"/>
    <w:rsid w:val="00890A89"/>
    <w:rsid w:val="00890F0C"/>
    <w:rsid w:val="00891035"/>
    <w:rsid w:val="008911FC"/>
    <w:rsid w:val="008916A7"/>
    <w:rsid w:val="008916EE"/>
    <w:rsid w:val="00891A33"/>
    <w:rsid w:val="00891D1B"/>
    <w:rsid w:val="00891DD5"/>
    <w:rsid w:val="00891DEE"/>
    <w:rsid w:val="00892B00"/>
    <w:rsid w:val="00892ECD"/>
    <w:rsid w:val="0089323F"/>
    <w:rsid w:val="008940A5"/>
    <w:rsid w:val="00894701"/>
    <w:rsid w:val="00894881"/>
    <w:rsid w:val="00894B1F"/>
    <w:rsid w:val="00894D09"/>
    <w:rsid w:val="008955B8"/>
    <w:rsid w:val="008958D8"/>
    <w:rsid w:val="00896B54"/>
    <w:rsid w:val="00896DA7"/>
    <w:rsid w:val="00897439"/>
    <w:rsid w:val="008974F0"/>
    <w:rsid w:val="0089756E"/>
    <w:rsid w:val="00897588"/>
    <w:rsid w:val="00897F38"/>
    <w:rsid w:val="008A090D"/>
    <w:rsid w:val="008A0912"/>
    <w:rsid w:val="008A0CD4"/>
    <w:rsid w:val="008A1207"/>
    <w:rsid w:val="008A1923"/>
    <w:rsid w:val="008A1933"/>
    <w:rsid w:val="008A19CE"/>
    <w:rsid w:val="008A1BDF"/>
    <w:rsid w:val="008A1FD5"/>
    <w:rsid w:val="008A2ABA"/>
    <w:rsid w:val="008A2AF6"/>
    <w:rsid w:val="008A2B93"/>
    <w:rsid w:val="008A2F1E"/>
    <w:rsid w:val="008A3509"/>
    <w:rsid w:val="008A35AC"/>
    <w:rsid w:val="008A35C5"/>
    <w:rsid w:val="008A4399"/>
    <w:rsid w:val="008A492E"/>
    <w:rsid w:val="008A4937"/>
    <w:rsid w:val="008A4AFA"/>
    <w:rsid w:val="008A4D35"/>
    <w:rsid w:val="008A4F62"/>
    <w:rsid w:val="008A5490"/>
    <w:rsid w:val="008A64EE"/>
    <w:rsid w:val="008A688E"/>
    <w:rsid w:val="008A6D09"/>
    <w:rsid w:val="008A6DE0"/>
    <w:rsid w:val="008A6F75"/>
    <w:rsid w:val="008A7153"/>
    <w:rsid w:val="008A764C"/>
    <w:rsid w:val="008A7846"/>
    <w:rsid w:val="008A7895"/>
    <w:rsid w:val="008A7966"/>
    <w:rsid w:val="008A7A3E"/>
    <w:rsid w:val="008B012A"/>
    <w:rsid w:val="008B0537"/>
    <w:rsid w:val="008B0550"/>
    <w:rsid w:val="008B071F"/>
    <w:rsid w:val="008B0952"/>
    <w:rsid w:val="008B19B2"/>
    <w:rsid w:val="008B1D66"/>
    <w:rsid w:val="008B212C"/>
    <w:rsid w:val="008B242C"/>
    <w:rsid w:val="008B2743"/>
    <w:rsid w:val="008B2BF0"/>
    <w:rsid w:val="008B3428"/>
    <w:rsid w:val="008B34BD"/>
    <w:rsid w:val="008B3E38"/>
    <w:rsid w:val="008B3EC0"/>
    <w:rsid w:val="008B3FDB"/>
    <w:rsid w:val="008B408C"/>
    <w:rsid w:val="008B4416"/>
    <w:rsid w:val="008B46A1"/>
    <w:rsid w:val="008B4B3E"/>
    <w:rsid w:val="008B4C3D"/>
    <w:rsid w:val="008B4D9E"/>
    <w:rsid w:val="008B4F5E"/>
    <w:rsid w:val="008B5068"/>
    <w:rsid w:val="008B52F2"/>
    <w:rsid w:val="008B531D"/>
    <w:rsid w:val="008B5AEC"/>
    <w:rsid w:val="008B5B60"/>
    <w:rsid w:val="008B611D"/>
    <w:rsid w:val="008B624A"/>
    <w:rsid w:val="008B63D1"/>
    <w:rsid w:val="008B6C81"/>
    <w:rsid w:val="008B73F2"/>
    <w:rsid w:val="008B7A6B"/>
    <w:rsid w:val="008B7B3B"/>
    <w:rsid w:val="008B7EEB"/>
    <w:rsid w:val="008B7F3B"/>
    <w:rsid w:val="008B7F50"/>
    <w:rsid w:val="008C02CD"/>
    <w:rsid w:val="008C078A"/>
    <w:rsid w:val="008C081F"/>
    <w:rsid w:val="008C08EB"/>
    <w:rsid w:val="008C0D43"/>
    <w:rsid w:val="008C0EC1"/>
    <w:rsid w:val="008C11E8"/>
    <w:rsid w:val="008C1269"/>
    <w:rsid w:val="008C2051"/>
    <w:rsid w:val="008C35EB"/>
    <w:rsid w:val="008C3F30"/>
    <w:rsid w:val="008C41C0"/>
    <w:rsid w:val="008C4731"/>
    <w:rsid w:val="008C48FE"/>
    <w:rsid w:val="008C4CB5"/>
    <w:rsid w:val="008C5324"/>
    <w:rsid w:val="008C542B"/>
    <w:rsid w:val="008C5473"/>
    <w:rsid w:val="008C5665"/>
    <w:rsid w:val="008C595D"/>
    <w:rsid w:val="008C624D"/>
    <w:rsid w:val="008C64F0"/>
    <w:rsid w:val="008C65FC"/>
    <w:rsid w:val="008C6619"/>
    <w:rsid w:val="008C67F3"/>
    <w:rsid w:val="008C6D30"/>
    <w:rsid w:val="008C6DA2"/>
    <w:rsid w:val="008D0415"/>
    <w:rsid w:val="008D057F"/>
    <w:rsid w:val="008D0A18"/>
    <w:rsid w:val="008D0C5D"/>
    <w:rsid w:val="008D14ED"/>
    <w:rsid w:val="008D17C6"/>
    <w:rsid w:val="008D1C00"/>
    <w:rsid w:val="008D1E57"/>
    <w:rsid w:val="008D1EF1"/>
    <w:rsid w:val="008D21B6"/>
    <w:rsid w:val="008D2AC7"/>
    <w:rsid w:val="008D3052"/>
    <w:rsid w:val="008D3157"/>
    <w:rsid w:val="008D3A21"/>
    <w:rsid w:val="008D3B30"/>
    <w:rsid w:val="008D41E6"/>
    <w:rsid w:val="008D46DF"/>
    <w:rsid w:val="008D4A5F"/>
    <w:rsid w:val="008D5140"/>
    <w:rsid w:val="008D5C08"/>
    <w:rsid w:val="008D66A6"/>
    <w:rsid w:val="008D67BF"/>
    <w:rsid w:val="008D6BBE"/>
    <w:rsid w:val="008D6F56"/>
    <w:rsid w:val="008D752E"/>
    <w:rsid w:val="008D75A2"/>
    <w:rsid w:val="008D767C"/>
    <w:rsid w:val="008D7956"/>
    <w:rsid w:val="008D7C59"/>
    <w:rsid w:val="008E0055"/>
    <w:rsid w:val="008E00FB"/>
    <w:rsid w:val="008E076E"/>
    <w:rsid w:val="008E0F89"/>
    <w:rsid w:val="008E1599"/>
    <w:rsid w:val="008E1F89"/>
    <w:rsid w:val="008E2158"/>
    <w:rsid w:val="008E284A"/>
    <w:rsid w:val="008E2E84"/>
    <w:rsid w:val="008E2FF8"/>
    <w:rsid w:val="008E341F"/>
    <w:rsid w:val="008E37CC"/>
    <w:rsid w:val="008E3FA3"/>
    <w:rsid w:val="008E4D4C"/>
    <w:rsid w:val="008E51EB"/>
    <w:rsid w:val="008E573A"/>
    <w:rsid w:val="008E5A3F"/>
    <w:rsid w:val="008E5A43"/>
    <w:rsid w:val="008E5D47"/>
    <w:rsid w:val="008E5DA1"/>
    <w:rsid w:val="008E5EF2"/>
    <w:rsid w:val="008E610A"/>
    <w:rsid w:val="008E6172"/>
    <w:rsid w:val="008E62C5"/>
    <w:rsid w:val="008E6D5D"/>
    <w:rsid w:val="008E6FE3"/>
    <w:rsid w:val="008E773E"/>
    <w:rsid w:val="008E7B1D"/>
    <w:rsid w:val="008E7D1D"/>
    <w:rsid w:val="008E7E32"/>
    <w:rsid w:val="008E7E4A"/>
    <w:rsid w:val="008E7F06"/>
    <w:rsid w:val="008E9261"/>
    <w:rsid w:val="008F03B0"/>
    <w:rsid w:val="008F20EC"/>
    <w:rsid w:val="008F2ABC"/>
    <w:rsid w:val="008F2D6A"/>
    <w:rsid w:val="008F2EE7"/>
    <w:rsid w:val="008F2F3D"/>
    <w:rsid w:val="008F36A6"/>
    <w:rsid w:val="008F3762"/>
    <w:rsid w:val="008F3C85"/>
    <w:rsid w:val="008F3EC2"/>
    <w:rsid w:val="008F4312"/>
    <w:rsid w:val="008F44E4"/>
    <w:rsid w:val="008F4964"/>
    <w:rsid w:val="008F4CDB"/>
    <w:rsid w:val="008F4CDE"/>
    <w:rsid w:val="008F4E8D"/>
    <w:rsid w:val="008F4E9A"/>
    <w:rsid w:val="008F4F90"/>
    <w:rsid w:val="008F58F8"/>
    <w:rsid w:val="008F5B35"/>
    <w:rsid w:val="008F6C2D"/>
    <w:rsid w:val="008F6CD7"/>
    <w:rsid w:val="008F6D94"/>
    <w:rsid w:val="008F74F0"/>
    <w:rsid w:val="008F7906"/>
    <w:rsid w:val="008FA09E"/>
    <w:rsid w:val="009000C8"/>
    <w:rsid w:val="00900649"/>
    <w:rsid w:val="0090074A"/>
    <w:rsid w:val="00900A05"/>
    <w:rsid w:val="00900FF6"/>
    <w:rsid w:val="00901129"/>
    <w:rsid w:val="009013EA"/>
    <w:rsid w:val="00901449"/>
    <w:rsid w:val="0090168F"/>
    <w:rsid w:val="00901FFB"/>
    <w:rsid w:val="009020B2"/>
    <w:rsid w:val="00902222"/>
    <w:rsid w:val="009027BB"/>
    <w:rsid w:val="009028F8"/>
    <w:rsid w:val="00902973"/>
    <w:rsid w:val="00902BFD"/>
    <w:rsid w:val="00902D0D"/>
    <w:rsid w:val="00902E1F"/>
    <w:rsid w:val="00902EB3"/>
    <w:rsid w:val="009031A6"/>
    <w:rsid w:val="0090325B"/>
    <w:rsid w:val="009033A4"/>
    <w:rsid w:val="00903488"/>
    <w:rsid w:val="009034ED"/>
    <w:rsid w:val="00903DB2"/>
    <w:rsid w:val="00904096"/>
    <w:rsid w:val="009041E3"/>
    <w:rsid w:val="0090430E"/>
    <w:rsid w:val="00904499"/>
    <w:rsid w:val="009044B6"/>
    <w:rsid w:val="00904737"/>
    <w:rsid w:val="009048B2"/>
    <w:rsid w:val="00905251"/>
    <w:rsid w:val="00905461"/>
    <w:rsid w:val="00905602"/>
    <w:rsid w:val="0090562A"/>
    <w:rsid w:val="00905DBB"/>
    <w:rsid w:val="00905E74"/>
    <w:rsid w:val="00906212"/>
    <w:rsid w:val="009064D3"/>
    <w:rsid w:val="00906AF8"/>
    <w:rsid w:val="00906E17"/>
    <w:rsid w:val="00906F91"/>
    <w:rsid w:val="00907BBA"/>
    <w:rsid w:val="00907BF3"/>
    <w:rsid w:val="00907DA2"/>
    <w:rsid w:val="00907E40"/>
    <w:rsid w:val="00907EB1"/>
    <w:rsid w:val="00910322"/>
    <w:rsid w:val="0091043A"/>
    <w:rsid w:val="009109CB"/>
    <w:rsid w:val="00910B29"/>
    <w:rsid w:val="00911154"/>
    <w:rsid w:val="009117CD"/>
    <w:rsid w:val="00911916"/>
    <w:rsid w:val="00911B28"/>
    <w:rsid w:val="00911C3C"/>
    <w:rsid w:val="00912087"/>
    <w:rsid w:val="00912829"/>
    <w:rsid w:val="009129CC"/>
    <w:rsid w:val="00912A8B"/>
    <w:rsid w:val="00912E42"/>
    <w:rsid w:val="00913017"/>
    <w:rsid w:val="00913043"/>
    <w:rsid w:val="00913260"/>
    <w:rsid w:val="0091352C"/>
    <w:rsid w:val="00913595"/>
    <w:rsid w:val="00913689"/>
    <w:rsid w:val="009136A0"/>
    <w:rsid w:val="009136AE"/>
    <w:rsid w:val="00913F36"/>
    <w:rsid w:val="009144EF"/>
    <w:rsid w:val="00914840"/>
    <w:rsid w:val="00914899"/>
    <w:rsid w:val="00914C95"/>
    <w:rsid w:val="00915731"/>
    <w:rsid w:val="00915F66"/>
    <w:rsid w:val="00915FDF"/>
    <w:rsid w:val="009160FD"/>
    <w:rsid w:val="00916229"/>
    <w:rsid w:val="009162B6"/>
    <w:rsid w:val="00916369"/>
    <w:rsid w:val="00916C01"/>
    <w:rsid w:val="0091740C"/>
    <w:rsid w:val="009176CD"/>
    <w:rsid w:val="009177E3"/>
    <w:rsid w:val="00917832"/>
    <w:rsid w:val="00917954"/>
    <w:rsid w:val="00920282"/>
    <w:rsid w:val="009212B3"/>
    <w:rsid w:val="00921CFB"/>
    <w:rsid w:val="00921DC9"/>
    <w:rsid w:val="00922007"/>
    <w:rsid w:val="00922700"/>
    <w:rsid w:val="00922D2D"/>
    <w:rsid w:val="0092380D"/>
    <w:rsid w:val="009239C9"/>
    <w:rsid w:val="00923EB3"/>
    <w:rsid w:val="0092409E"/>
    <w:rsid w:val="00924903"/>
    <w:rsid w:val="00925019"/>
    <w:rsid w:val="009257B8"/>
    <w:rsid w:val="009257D9"/>
    <w:rsid w:val="00925C3C"/>
    <w:rsid w:val="00925F48"/>
    <w:rsid w:val="00925F76"/>
    <w:rsid w:val="00926040"/>
    <w:rsid w:val="00926550"/>
    <w:rsid w:val="009273E2"/>
    <w:rsid w:val="009277E3"/>
    <w:rsid w:val="00927DFE"/>
    <w:rsid w:val="00927EF6"/>
    <w:rsid w:val="009304FE"/>
    <w:rsid w:val="009306CB"/>
    <w:rsid w:val="009309D8"/>
    <w:rsid w:val="00930BA1"/>
    <w:rsid w:val="009311D0"/>
    <w:rsid w:val="0093169E"/>
    <w:rsid w:val="00931966"/>
    <w:rsid w:val="009324B5"/>
    <w:rsid w:val="00932CE9"/>
    <w:rsid w:val="009330F4"/>
    <w:rsid w:val="00933357"/>
    <w:rsid w:val="00933779"/>
    <w:rsid w:val="009337A3"/>
    <w:rsid w:val="00933B29"/>
    <w:rsid w:val="00933D40"/>
    <w:rsid w:val="00933E55"/>
    <w:rsid w:val="00933EC3"/>
    <w:rsid w:val="00933F99"/>
    <w:rsid w:val="0093409C"/>
    <w:rsid w:val="00934171"/>
    <w:rsid w:val="0093424B"/>
    <w:rsid w:val="009342BC"/>
    <w:rsid w:val="009344EA"/>
    <w:rsid w:val="009345BB"/>
    <w:rsid w:val="009345EB"/>
    <w:rsid w:val="009347F5"/>
    <w:rsid w:val="009349E8"/>
    <w:rsid w:val="00934CDE"/>
    <w:rsid w:val="00934F31"/>
    <w:rsid w:val="009352F9"/>
    <w:rsid w:val="00935DAA"/>
    <w:rsid w:val="00935EDD"/>
    <w:rsid w:val="009363A5"/>
    <w:rsid w:val="0093679D"/>
    <w:rsid w:val="00936A4E"/>
    <w:rsid w:val="00936BF8"/>
    <w:rsid w:val="00936CAB"/>
    <w:rsid w:val="009374EE"/>
    <w:rsid w:val="00937D12"/>
    <w:rsid w:val="00940E57"/>
    <w:rsid w:val="009414C1"/>
    <w:rsid w:val="009417ED"/>
    <w:rsid w:val="00941902"/>
    <w:rsid w:val="00941941"/>
    <w:rsid w:val="00941B61"/>
    <w:rsid w:val="00941E4E"/>
    <w:rsid w:val="0094204F"/>
    <w:rsid w:val="009421B2"/>
    <w:rsid w:val="009421E2"/>
    <w:rsid w:val="009427C6"/>
    <w:rsid w:val="009427E5"/>
    <w:rsid w:val="009431CC"/>
    <w:rsid w:val="00943616"/>
    <w:rsid w:val="009439AE"/>
    <w:rsid w:val="00943BAD"/>
    <w:rsid w:val="0094492C"/>
    <w:rsid w:val="009454E6"/>
    <w:rsid w:val="0094557B"/>
    <w:rsid w:val="009457F4"/>
    <w:rsid w:val="00945807"/>
    <w:rsid w:val="00945CD8"/>
    <w:rsid w:val="009465DB"/>
    <w:rsid w:val="00946B5E"/>
    <w:rsid w:val="009479BA"/>
    <w:rsid w:val="00947A75"/>
    <w:rsid w:val="00947F0C"/>
    <w:rsid w:val="00947F49"/>
    <w:rsid w:val="009502DB"/>
    <w:rsid w:val="009505C9"/>
    <w:rsid w:val="00950752"/>
    <w:rsid w:val="009509A4"/>
    <w:rsid w:val="00950F6C"/>
    <w:rsid w:val="0095136F"/>
    <w:rsid w:val="009517BB"/>
    <w:rsid w:val="00951930"/>
    <w:rsid w:val="00951BD3"/>
    <w:rsid w:val="00952DCF"/>
    <w:rsid w:val="00952E8F"/>
    <w:rsid w:val="00953015"/>
    <w:rsid w:val="00953DF7"/>
    <w:rsid w:val="00953F02"/>
    <w:rsid w:val="009542BC"/>
    <w:rsid w:val="009544B8"/>
    <w:rsid w:val="00954528"/>
    <w:rsid w:val="0095472D"/>
    <w:rsid w:val="009552A8"/>
    <w:rsid w:val="0095555C"/>
    <w:rsid w:val="0095595D"/>
    <w:rsid w:val="00955DDC"/>
    <w:rsid w:val="009567B9"/>
    <w:rsid w:val="00957117"/>
    <w:rsid w:val="00957646"/>
    <w:rsid w:val="009577D8"/>
    <w:rsid w:val="00957908"/>
    <w:rsid w:val="0096003A"/>
    <w:rsid w:val="00960584"/>
    <w:rsid w:val="00960690"/>
    <w:rsid w:val="009606E1"/>
    <w:rsid w:val="00960789"/>
    <w:rsid w:val="009609A2"/>
    <w:rsid w:val="00960C28"/>
    <w:rsid w:val="0096171E"/>
    <w:rsid w:val="0096203C"/>
    <w:rsid w:val="00962268"/>
    <w:rsid w:val="0096233B"/>
    <w:rsid w:val="009623E9"/>
    <w:rsid w:val="0096250D"/>
    <w:rsid w:val="00962749"/>
    <w:rsid w:val="00962A1B"/>
    <w:rsid w:val="00962BA7"/>
    <w:rsid w:val="00962F99"/>
    <w:rsid w:val="009630FC"/>
    <w:rsid w:val="00963167"/>
    <w:rsid w:val="009639F0"/>
    <w:rsid w:val="00963E0C"/>
    <w:rsid w:val="009646A3"/>
    <w:rsid w:val="00964B7B"/>
    <w:rsid w:val="00964CDB"/>
    <w:rsid w:val="00965147"/>
    <w:rsid w:val="00965343"/>
    <w:rsid w:val="009654EC"/>
    <w:rsid w:val="00965551"/>
    <w:rsid w:val="00966084"/>
    <w:rsid w:val="009660BF"/>
    <w:rsid w:val="00966374"/>
    <w:rsid w:val="0096639C"/>
    <w:rsid w:val="00966424"/>
    <w:rsid w:val="0096642A"/>
    <w:rsid w:val="00966501"/>
    <w:rsid w:val="00966A19"/>
    <w:rsid w:val="00966DBC"/>
    <w:rsid w:val="00966E61"/>
    <w:rsid w:val="009676FD"/>
    <w:rsid w:val="00967AEF"/>
    <w:rsid w:val="00967D3F"/>
    <w:rsid w:val="00967E1B"/>
    <w:rsid w:val="00970448"/>
    <w:rsid w:val="00970E59"/>
    <w:rsid w:val="00971AE3"/>
    <w:rsid w:val="0097213C"/>
    <w:rsid w:val="009726F9"/>
    <w:rsid w:val="00972B54"/>
    <w:rsid w:val="00972C12"/>
    <w:rsid w:val="00972C17"/>
    <w:rsid w:val="00972CAE"/>
    <w:rsid w:val="00973189"/>
    <w:rsid w:val="009738D7"/>
    <w:rsid w:val="00973B63"/>
    <w:rsid w:val="00973DA7"/>
    <w:rsid w:val="00973E07"/>
    <w:rsid w:val="00973FBE"/>
    <w:rsid w:val="00974106"/>
    <w:rsid w:val="009742F1"/>
    <w:rsid w:val="009743B6"/>
    <w:rsid w:val="0097448D"/>
    <w:rsid w:val="00974642"/>
    <w:rsid w:val="00974F6A"/>
    <w:rsid w:val="00974F96"/>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727"/>
    <w:rsid w:val="00980902"/>
    <w:rsid w:val="00980AE1"/>
    <w:rsid w:val="00980CF0"/>
    <w:rsid w:val="00980F9A"/>
    <w:rsid w:val="009818F2"/>
    <w:rsid w:val="00981ECF"/>
    <w:rsid w:val="009825BE"/>
    <w:rsid w:val="0098274A"/>
    <w:rsid w:val="009828F9"/>
    <w:rsid w:val="00982B98"/>
    <w:rsid w:val="009832D6"/>
    <w:rsid w:val="00983645"/>
    <w:rsid w:val="00983827"/>
    <w:rsid w:val="00983D3F"/>
    <w:rsid w:val="00983ED7"/>
    <w:rsid w:val="00983EE4"/>
    <w:rsid w:val="00984088"/>
    <w:rsid w:val="009843FC"/>
    <w:rsid w:val="00984D96"/>
    <w:rsid w:val="00984E5C"/>
    <w:rsid w:val="00984E89"/>
    <w:rsid w:val="00985697"/>
    <w:rsid w:val="00985842"/>
    <w:rsid w:val="00985B7E"/>
    <w:rsid w:val="0098619A"/>
    <w:rsid w:val="00986496"/>
    <w:rsid w:val="00986628"/>
    <w:rsid w:val="009868F8"/>
    <w:rsid w:val="00986957"/>
    <w:rsid w:val="00986B3C"/>
    <w:rsid w:val="00986DFC"/>
    <w:rsid w:val="00986F8C"/>
    <w:rsid w:val="00986F9F"/>
    <w:rsid w:val="009877BD"/>
    <w:rsid w:val="00987814"/>
    <w:rsid w:val="0098788A"/>
    <w:rsid w:val="00987BFE"/>
    <w:rsid w:val="00990253"/>
    <w:rsid w:val="00990274"/>
    <w:rsid w:val="009907C9"/>
    <w:rsid w:val="00990AF3"/>
    <w:rsid w:val="0099178C"/>
    <w:rsid w:val="009918B6"/>
    <w:rsid w:val="00991B17"/>
    <w:rsid w:val="00991B76"/>
    <w:rsid w:val="00991B85"/>
    <w:rsid w:val="0099241B"/>
    <w:rsid w:val="00992501"/>
    <w:rsid w:val="00993809"/>
    <w:rsid w:val="00993BF7"/>
    <w:rsid w:val="00993E15"/>
    <w:rsid w:val="00993F70"/>
    <w:rsid w:val="00994056"/>
    <w:rsid w:val="00994441"/>
    <w:rsid w:val="009945AB"/>
    <w:rsid w:val="009945D8"/>
    <w:rsid w:val="00994606"/>
    <w:rsid w:val="00994D8B"/>
    <w:rsid w:val="00994DB9"/>
    <w:rsid w:val="00994E62"/>
    <w:rsid w:val="00995716"/>
    <w:rsid w:val="00996287"/>
    <w:rsid w:val="009965A8"/>
    <w:rsid w:val="00996894"/>
    <w:rsid w:val="00996D46"/>
    <w:rsid w:val="0099700D"/>
    <w:rsid w:val="0099737A"/>
    <w:rsid w:val="009976F4"/>
    <w:rsid w:val="00997B8E"/>
    <w:rsid w:val="00997E83"/>
    <w:rsid w:val="009A00DA"/>
    <w:rsid w:val="009A0527"/>
    <w:rsid w:val="009A1751"/>
    <w:rsid w:val="009A19B3"/>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F43"/>
    <w:rsid w:val="009A3F8F"/>
    <w:rsid w:val="009A426C"/>
    <w:rsid w:val="009A43F7"/>
    <w:rsid w:val="009A460B"/>
    <w:rsid w:val="009A4CBA"/>
    <w:rsid w:val="009A4D22"/>
    <w:rsid w:val="009A4D59"/>
    <w:rsid w:val="009A559D"/>
    <w:rsid w:val="009A56CB"/>
    <w:rsid w:val="009A57C3"/>
    <w:rsid w:val="009A59D4"/>
    <w:rsid w:val="009A5B13"/>
    <w:rsid w:val="009A5B41"/>
    <w:rsid w:val="009A6078"/>
    <w:rsid w:val="009A623C"/>
    <w:rsid w:val="009A6668"/>
    <w:rsid w:val="009A6695"/>
    <w:rsid w:val="009A6C56"/>
    <w:rsid w:val="009A6E54"/>
    <w:rsid w:val="009A7545"/>
    <w:rsid w:val="009A7A71"/>
    <w:rsid w:val="009AF986"/>
    <w:rsid w:val="009B0531"/>
    <w:rsid w:val="009B0D8E"/>
    <w:rsid w:val="009B0DD3"/>
    <w:rsid w:val="009B19CD"/>
    <w:rsid w:val="009B1FFF"/>
    <w:rsid w:val="009B2417"/>
    <w:rsid w:val="009B2564"/>
    <w:rsid w:val="009B2642"/>
    <w:rsid w:val="009B2B2D"/>
    <w:rsid w:val="009B2BF3"/>
    <w:rsid w:val="009B2C66"/>
    <w:rsid w:val="009B3735"/>
    <w:rsid w:val="009B3938"/>
    <w:rsid w:val="009B3EFE"/>
    <w:rsid w:val="009B3F7F"/>
    <w:rsid w:val="009B42C4"/>
    <w:rsid w:val="009B4626"/>
    <w:rsid w:val="009B4BA6"/>
    <w:rsid w:val="009B4C72"/>
    <w:rsid w:val="009B4C79"/>
    <w:rsid w:val="009B4DD5"/>
    <w:rsid w:val="009B4DEA"/>
    <w:rsid w:val="009B50D1"/>
    <w:rsid w:val="009B5131"/>
    <w:rsid w:val="009B5505"/>
    <w:rsid w:val="009B5886"/>
    <w:rsid w:val="009B5E97"/>
    <w:rsid w:val="009B5F1D"/>
    <w:rsid w:val="009B73F2"/>
    <w:rsid w:val="009B7B9C"/>
    <w:rsid w:val="009BC282"/>
    <w:rsid w:val="009C09FE"/>
    <w:rsid w:val="009C0B83"/>
    <w:rsid w:val="009C0FF3"/>
    <w:rsid w:val="009C105C"/>
    <w:rsid w:val="009C185D"/>
    <w:rsid w:val="009C1A96"/>
    <w:rsid w:val="009C210A"/>
    <w:rsid w:val="009C2A81"/>
    <w:rsid w:val="009C2D00"/>
    <w:rsid w:val="009C2DE6"/>
    <w:rsid w:val="009C2FAE"/>
    <w:rsid w:val="009C3B8D"/>
    <w:rsid w:val="009C3EE4"/>
    <w:rsid w:val="009C4221"/>
    <w:rsid w:val="009C4341"/>
    <w:rsid w:val="009C4347"/>
    <w:rsid w:val="009C528C"/>
    <w:rsid w:val="009C577C"/>
    <w:rsid w:val="009C678B"/>
    <w:rsid w:val="009C68B0"/>
    <w:rsid w:val="009C6B3B"/>
    <w:rsid w:val="009C6DF9"/>
    <w:rsid w:val="009C7173"/>
    <w:rsid w:val="009C7254"/>
    <w:rsid w:val="009C7285"/>
    <w:rsid w:val="009C760B"/>
    <w:rsid w:val="009C7996"/>
    <w:rsid w:val="009C7DFB"/>
    <w:rsid w:val="009C867C"/>
    <w:rsid w:val="009D0860"/>
    <w:rsid w:val="009D0D84"/>
    <w:rsid w:val="009D0E69"/>
    <w:rsid w:val="009D18E3"/>
    <w:rsid w:val="009D1ACD"/>
    <w:rsid w:val="009D1E32"/>
    <w:rsid w:val="009D20B3"/>
    <w:rsid w:val="009D21A5"/>
    <w:rsid w:val="009D3CD7"/>
    <w:rsid w:val="009D3DA9"/>
    <w:rsid w:val="009D3DBD"/>
    <w:rsid w:val="009D40BC"/>
    <w:rsid w:val="009D44F9"/>
    <w:rsid w:val="009D478D"/>
    <w:rsid w:val="009D491A"/>
    <w:rsid w:val="009D4C87"/>
    <w:rsid w:val="009D4CC0"/>
    <w:rsid w:val="009D4D11"/>
    <w:rsid w:val="009D4F7A"/>
    <w:rsid w:val="009D5066"/>
    <w:rsid w:val="009D5082"/>
    <w:rsid w:val="009D538D"/>
    <w:rsid w:val="009D5553"/>
    <w:rsid w:val="009D5C15"/>
    <w:rsid w:val="009D6208"/>
    <w:rsid w:val="009D6E77"/>
    <w:rsid w:val="009D70E3"/>
    <w:rsid w:val="009D758F"/>
    <w:rsid w:val="009D7A0A"/>
    <w:rsid w:val="009D7D13"/>
    <w:rsid w:val="009D7DDC"/>
    <w:rsid w:val="009E0987"/>
    <w:rsid w:val="009E127A"/>
    <w:rsid w:val="009E16D9"/>
    <w:rsid w:val="009E2204"/>
    <w:rsid w:val="009E238E"/>
    <w:rsid w:val="009E2742"/>
    <w:rsid w:val="009E2AD8"/>
    <w:rsid w:val="009E3134"/>
    <w:rsid w:val="009E31EF"/>
    <w:rsid w:val="009E3805"/>
    <w:rsid w:val="009E3B17"/>
    <w:rsid w:val="009E3D74"/>
    <w:rsid w:val="009E42C6"/>
    <w:rsid w:val="009E4367"/>
    <w:rsid w:val="009E449E"/>
    <w:rsid w:val="009E4A6F"/>
    <w:rsid w:val="009E4B2A"/>
    <w:rsid w:val="009E4F82"/>
    <w:rsid w:val="009E522D"/>
    <w:rsid w:val="009E5559"/>
    <w:rsid w:val="009E5693"/>
    <w:rsid w:val="009E576C"/>
    <w:rsid w:val="009E57A7"/>
    <w:rsid w:val="009E57E3"/>
    <w:rsid w:val="009E58AF"/>
    <w:rsid w:val="009E655C"/>
    <w:rsid w:val="009E7166"/>
    <w:rsid w:val="009F0CE1"/>
    <w:rsid w:val="009F0F36"/>
    <w:rsid w:val="009F16D8"/>
    <w:rsid w:val="009F1734"/>
    <w:rsid w:val="009F192B"/>
    <w:rsid w:val="009F1A2E"/>
    <w:rsid w:val="009F1AAF"/>
    <w:rsid w:val="009F1CD7"/>
    <w:rsid w:val="009F271D"/>
    <w:rsid w:val="009F2E24"/>
    <w:rsid w:val="009F34C4"/>
    <w:rsid w:val="009F3943"/>
    <w:rsid w:val="009F39E2"/>
    <w:rsid w:val="009F3DC1"/>
    <w:rsid w:val="009F41A7"/>
    <w:rsid w:val="009F455F"/>
    <w:rsid w:val="009F4DD0"/>
    <w:rsid w:val="009F4F36"/>
    <w:rsid w:val="009F4FC1"/>
    <w:rsid w:val="009F5173"/>
    <w:rsid w:val="009F5309"/>
    <w:rsid w:val="009F5B79"/>
    <w:rsid w:val="009F5D71"/>
    <w:rsid w:val="009F5DF1"/>
    <w:rsid w:val="009F605B"/>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8EF"/>
    <w:rsid w:val="00A029AE"/>
    <w:rsid w:val="00A03B6B"/>
    <w:rsid w:val="00A041BC"/>
    <w:rsid w:val="00A047B7"/>
    <w:rsid w:val="00A04F2A"/>
    <w:rsid w:val="00A05063"/>
    <w:rsid w:val="00A055F0"/>
    <w:rsid w:val="00A06048"/>
    <w:rsid w:val="00A06201"/>
    <w:rsid w:val="00A069A2"/>
    <w:rsid w:val="00A0706C"/>
    <w:rsid w:val="00A073AB"/>
    <w:rsid w:val="00A07851"/>
    <w:rsid w:val="00A078F5"/>
    <w:rsid w:val="00A079C2"/>
    <w:rsid w:val="00A07F04"/>
    <w:rsid w:val="00A07F87"/>
    <w:rsid w:val="00A104A3"/>
    <w:rsid w:val="00A105C6"/>
    <w:rsid w:val="00A108A6"/>
    <w:rsid w:val="00A109A9"/>
    <w:rsid w:val="00A10E6C"/>
    <w:rsid w:val="00A1183C"/>
    <w:rsid w:val="00A11C3B"/>
    <w:rsid w:val="00A11DC1"/>
    <w:rsid w:val="00A123F8"/>
    <w:rsid w:val="00A13634"/>
    <w:rsid w:val="00A138F5"/>
    <w:rsid w:val="00A141CF"/>
    <w:rsid w:val="00A14EB0"/>
    <w:rsid w:val="00A1527F"/>
    <w:rsid w:val="00A15396"/>
    <w:rsid w:val="00A15483"/>
    <w:rsid w:val="00A1550E"/>
    <w:rsid w:val="00A1678E"/>
    <w:rsid w:val="00A16806"/>
    <w:rsid w:val="00A16F57"/>
    <w:rsid w:val="00A1758D"/>
    <w:rsid w:val="00A2017F"/>
    <w:rsid w:val="00A20253"/>
    <w:rsid w:val="00A204DA"/>
    <w:rsid w:val="00A20894"/>
    <w:rsid w:val="00A20964"/>
    <w:rsid w:val="00A20BFF"/>
    <w:rsid w:val="00A20CDB"/>
    <w:rsid w:val="00A21A96"/>
    <w:rsid w:val="00A2283D"/>
    <w:rsid w:val="00A22AF6"/>
    <w:rsid w:val="00A22F18"/>
    <w:rsid w:val="00A23096"/>
    <w:rsid w:val="00A230DD"/>
    <w:rsid w:val="00A23172"/>
    <w:rsid w:val="00A23243"/>
    <w:rsid w:val="00A24536"/>
    <w:rsid w:val="00A24706"/>
    <w:rsid w:val="00A24857"/>
    <w:rsid w:val="00A25D7A"/>
    <w:rsid w:val="00A25E0C"/>
    <w:rsid w:val="00A25F3F"/>
    <w:rsid w:val="00A2614F"/>
    <w:rsid w:val="00A26468"/>
    <w:rsid w:val="00A264D9"/>
    <w:rsid w:val="00A26644"/>
    <w:rsid w:val="00A26B61"/>
    <w:rsid w:val="00A26C18"/>
    <w:rsid w:val="00A26F73"/>
    <w:rsid w:val="00A27529"/>
    <w:rsid w:val="00A27C12"/>
    <w:rsid w:val="00A29F0C"/>
    <w:rsid w:val="00A2AA77"/>
    <w:rsid w:val="00A30284"/>
    <w:rsid w:val="00A303A3"/>
    <w:rsid w:val="00A3088D"/>
    <w:rsid w:val="00A30FCA"/>
    <w:rsid w:val="00A31264"/>
    <w:rsid w:val="00A318E8"/>
    <w:rsid w:val="00A31E30"/>
    <w:rsid w:val="00A3201E"/>
    <w:rsid w:val="00A32FCF"/>
    <w:rsid w:val="00A335CC"/>
    <w:rsid w:val="00A339A8"/>
    <w:rsid w:val="00A3404A"/>
    <w:rsid w:val="00A34231"/>
    <w:rsid w:val="00A34614"/>
    <w:rsid w:val="00A3489D"/>
    <w:rsid w:val="00A34A29"/>
    <w:rsid w:val="00A34BAE"/>
    <w:rsid w:val="00A34C2C"/>
    <w:rsid w:val="00A359EA"/>
    <w:rsid w:val="00A35D10"/>
    <w:rsid w:val="00A35FBA"/>
    <w:rsid w:val="00A365CA"/>
    <w:rsid w:val="00A36692"/>
    <w:rsid w:val="00A37A9F"/>
    <w:rsid w:val="00A37BC4"/>
    <w:rsid w:val="00A37CC7"/>
    <w:rsid w:val="00A37EF4"/>
    <w:rsid w:val="00A37F80"/>
    <w:rsid w:val="00A40532"/>
    <w:rsid w:val="00A40542"/>
    <w:rsid w:val="00A408E9"/>
    <w:rsid w:val="00A40978"/>
    <w:rsid w:val="00A40AC6"/>
    <w:rsid w:val="00A40DD9"/>
    <w:rsid w:val="00A4180B"/>
    <w:rsid w:val="00A4182F"/>
    <w:rsid w:val="00A4189A"/>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5006"/>
    <w:rsid w:val="00A45286"/>
    <w:rsid w:val="00A45396"/>
    <w:rsid w:val="00A45451"/>
    <w:rsid w:val="00A461B9"/>
    <w:rsid w:val="00A4681A"/>
    <w:rsid w:val="00A468B1"/>
    <w:rsid w:val="00A46C43"/>
    <w:rsid w:val="00A46D58"/>
    <w:rsid w:val="00A47042"/>
    <w:rsid w:val="00A479A5"/>
    <w:rsid w:val="00A479B0"/>
    <w:rsid w:val="00A47D94"/>
    <w:rsid w:val="00A50369"/>
    <w:rsid w:val="00A50578"/>
    <w:rsid w:val="00A50CDB"/>
    <w:rsid w:val="00A510E6"/>
    <w:rsid w:val="00A51112"/>
    <w:rsid w:val="00A511A1"/>
    <w:rsid w:val="00A51462"/>
    <w:rsid w:val="00A52E40"/>
    <w:rsid w:val="00A53163"/>
    <w:rsid w:val="00A532CD"/>
    <w:rsid w:val="00A5392E"/>
    <w:rsid w:val="00A539D6"/>
    <w:rsid w:val="00A53C4E"/>
    <w:rsid w:val="00A53E3F"/>
    <w:rsid w:val="00A54605"/>
    <w:rsid w:val="00A54E02"/>
    <w:rsid w:val="00A54E9F"/>
    <w:rsid w:val="00A550B9"/>
    <w:rsid w:val="00A554E2"/>
    <w:rsid w:val="00A55615"/>
    <w:rsid w:val="00A55D71"/>
    <w:rsid w:val="00A5668C"/>
    <w:rsid w:val="00A566AA"/>
    <w:rsid w:val="00A56B21"/>
    <w:rsid w:val="00A56B29"/>
    <w:rsid w:val="00A57136"/>
    <w:rsid w:val="00A5756F"/>
    <w:rsid w:val="00A5A33D"/>
    <w:rsid w:val="00A604E4"/>
    <w:rsid w:val="00A6051A"/>
    <w:rsid w:val="00A60B28"/>
    <w:rsid w:val="00A60E17"/>
    <w:rsid w:val="00A60E72"/>
    <w:rsid w:val="00A6123B"/>
    <w:rsid w:val="00A6129B"/>
    <w:rsid w:val="00A61BD3"/>
    <w:rsid w:val="00A62234"/>
    <w:rsid w:val="00A62719"/>
    <w:rsid w:val="00A628F5"/>
    <w:rsid w:val="00A628FC"/>
    <w:rsid w:val="00A63188"/>
    <w:rsid w:val="00A63460"/>
    <w:rsid w:val="00A6367D"/>
    <w:rsid w:val="00A6416B"/>
    <w:rsid w:val="00A64291"/>
    <w:rsid w:val="00A642F2"/>
    <w:rsid w:val="00A64399"/>
    <w:rsid w:val="00A645F3"/>
    <w:rsid w:val="00A6464D"/>
    <w:rsid w:val="00A64D31"/>
    <w:rsid w:val="00A64F8C"/>
    <w:rsid w:val="00A64FAE"/>
    <w:rsid w:val="00A65A80"/>
    <w:rsid w:val="00A65D7D"/>
    <w:rsid w:val="00A65F18"/>
    <w:rsid w:val="00A662D7"/>
    <w:rsid w:val="00A66C05"/>
    <w:rsid w:val="00A6707C"/>
    <w:rsid w:val="00A6711F"/>
    <w:rsid w:val="00A6ACC3"/>
    <w:rsid w:val="00A70046"/>
    <w:rsid w:val="00A70877"/>
    <w:rsid w:val="00A70D5A"/>
    <w:rsid w:val="00A70DF7"/>
    <w:rsid w:val="00A710FE"/>
    <w:rsid w:val="00A713AA"/>
    <w:rsid w:val="00A719A9"/>
    <w:rsid w:val="00A71E69"/>
    <w:rsid w:val="00A72056"/>
    <w:rsid w:val="00A720FC"/>
    <w:rsid w:val="00A72B52"/>
    <w:rsid w:val="00A72F02"/>
    <w:rsid w:val="00A735F8"/>
    <w:rsid w:val="00A73AA4"/>
    <w:rsid w:val="00A73D92"/>
    <w:rsid w:val="00A74A7B"/>
    <w:rsid w:val="00A74D17"/>
    <w:rsid w:val="00A756D5"/>
    <w:rsid w:val="00A757A6"/>
    <w:rsid w:val="00A75935"/>
    <w:rsid w:val="00A75E99"/>
    <w:rsid w:val="00A75F2A"/>
    <w:rsid w:val="00A7617D"/>
    <w:rsid w:val="00A76243"/>
    <w:rsid w:val="00A76358"/>
    <w:rsid w:val="00A76992"/>
    <w:rsid w:val="00A76F60"/>
    <w:rsid w:val="00A770E6"/>
    <w:rsid w:val="00A773FD"/>
    <w:rsid w:val="00A77B14"/>
    <w:rsid w:val="00A80528"/>
    <w:rsid w:val="00A807AA"/>
    <w:rsid w:val="00A80851"/>
    <w:rsid w:val="00A811B3"/>
    <w:rsid w:val="00A8237F"/>
    <w:rsid w:val="00A82595"/>
    <w:rsid w:val="00A827C7"/>
    <w:rsid w:val="00A8281E"/>
    <w:rsid w:val="00A832D3"/>
    <w:rsid w:val="00A83351"/>
    <w:rsid w:val="00A835C2"/>
    <w:rsid w:val="00A83966"/>
    <w:rsid w:val="00A83A88"/>
    <w:rsid w:val="00A83E02"/>
    <w:rsid w:val="00A8409A"/>
    <w:rsid w:val="00A840A7"/>
    <w:rsid w:val="00A84282"/>
    <w:rsid w:val="00A84841"/>
    <w:rsid w:val="00A84C47"/>
    <w:rsid w:val="00A84F03"/>
    <w:rsid w:val="00A853B0"/>
    <w:rsid w:val="00A85DC3"/>
    <w:rsid w:val="00A85F8B"/>
    <w:rsid w:val="00A860F4"/>
    <w:rsid w:val="00A86174"/>
    <w:rsid w:val="00A865FC"/>
    <w:rsid w:val="00A866F7"/>
    <w:rsid w:val="00A86889"/>
    <w:rsid w:val="00A8695F"/>
    <w:rsid w:val="00A86AD3"/>
    <w:rsid w:val="00A86EB3"/>
    <w:rsid w:val="00A873CB"/>
    <w:rsid w:val="00A878CA"/>
    <w:rsid w:val="00A8797D"/>
    <w:rsid w:val="00A87B02"/>
    <w:rsid w:val="00A905C8"/>
    <w:rsid w:val="00A907E4"/>
    <w:rsid w:val="00A90D6B"/>
    <w:rsid w:val="00A910CB"/>
    <w:rsid w:val="00A91661"/>
    <w:rsid w:val="00A9190E"/>
    <w:rsid w:val="00A91A16"/>
    <w:rsid w:val="00A91A4C"/>
    <w:rsid w:val="00A91E6D"/>
    <w:rsid w:val="00A923C9"/>
    <w:rsid w:val="00A9259B"/>
    <w:rsid w:val="00A9260D"/>
    <w:rsid w:val="00A92750"/>
    <w:rsid w:val="00A927EC"/>
    <w:rsid w:val="00A928A8"/>
    <w:rsid w:val="00A92E43"/>
    <w:rsid w:val="00A9323A"/>
    <w:rsid w:val="00A9339C"/>
    <w:rsid w:val="00A936D2"/>
    <w:rsid w:val="00A93D18"/>
    <w:rsid w:val="00A94684"/>
    <w:rsid w:val="00A94959"/>
    <w:rsid w:val="00A94E23"/>
    <w:rsid w:val="00A94E99"/>
    <w:rsid w:val="00A95773"/>
    <w:rsid w:val="00A959C6"/>
    <w:rsid w:val="00A95A2A"/>
    <w:rsid w:val="00A9655F"/>
    <w:rsid w:val="00A96A4D"/>
    <w:rsid w:val="00A96E8C"/>
    <w:rsid w:val="00A96F37"/>
    <w:rsid w:val="00A96FA3"/>
    <w:rsid w:val="00A9779B"/>
    <w:rsid w:val="00A97A3E"/>
    <w:rsid w:val="00A97C88"/>
    <w:rsid w:val="00A97D50"/>
    <w:rsid w:val="00AA0994"/>
    <w:rsid w:val="00AA1848"/>
    <w:rsid w:val="00AA1AD1"/>
    <w:rsid w:val="00AA2037"/>
    <w:rsid w:val="00AA20E8"/>
    <w:rsid w:val="00AA20FA"/>
    <w:rsid w:val="00AA2DFD"/>
    <w:rsid w:val="00AA2EE1"/>
    <w:rsid w:val="00AA37E7"/>
    <w:rsid w:val="00AA3936"/>
    <w:rsid w:val="00AA402E"/>
    <w:rsid w:val="00AA40CD"/>
    <w:rsid w:val="00AA452D"/>
    <w:rsid w:val="00AA502D"/>
    <w:rsid w:val="00AA52E8"/>
    <w:rsid w:val="00AA5942"/>
    <w:rsid w:val="00AA63F8"/>
    <w:rsid w:val="00AA64E5"/>
    <w:rsid w:val="00AA655C"/>
    <w:rsid w:val="00AA6993"/>
    <w:rsid w:val="00AA6BF2"/>
    <w:rsid w:val="00AA6BFF"/>
    <w:rsid w:val="00AA6C3E"/>
    <w:rsid w:val="00AA6F92"/>
    <w:rsid w:val="00AA70F7"/>
    <w:rsid w:val="00AA71BB"/>
    <w:rsid w:val="00AA73D1"/>
    <w:rsid w:val="00AA753A"/>
    <w:rsid w:val="00AA7F14"/>
    <w:rsid w:val="00AB000E"/>
    <w:rsid w:val="00AB0201"/>
    <w:rsid w:val="00AB07F4"/>
    <w:rsid w:val="00AB0924"/>
    <w:rsid w:val="00AB0C9C"/>
    <w:rsid w:val="00AB0D66"/>
    <w:rsid w:val="00AB0E52"/>
    <w:rsid w:val="00AB0F0B"/>
    <w:rsid w:val="00AB11E5"/>
    <w:rsid w:val="00AB16E3"/>
    <w:rsid w:val="00AB18CB"/>
    <w:rsid w:val="00AB1D0C"/>
    <w:rsid w:val="00AB1F9D"/>
    <w:rsid w:val="00AB2087"/>
    <w:rsid w:val="00AB22FC"/>
    <w:rsid w:val="00AB28DF"/>
    <w:rsid w:val="00AB2DEE"/>
    <w:rsid w:val="00AB309B"/>
    <w:rsid w:val="00AB341C"/>
    <w:rsid w:val="00AB398E"/>
    <w:rsid w:val="00AB400B"/>
    <w:rsid w:val="00AB41F3"/>
    <w:rsid w:val="00AB4313"/>
    <w:rsid w:val="00AB49F0"/>
    <w:rsid w:val="00AB4AC7"/>
    <w:rsid w:val="00AB4CBD"/>
    <w:rsid w:val="00AB4EC1"/>
    <w:rsid w:val="00AB4F0C"/>
    <w:rsid w:val="00AB50E6"/>
    <w:rsid w:val="00AB50F1"/>
    <w:rsid w:val="00AB53E1"/>
    <w:rsid w:val="00AB5418"/>
    <w:rsid w:val="00AB57E6"/>
    <w:rsid w:val="00AB58B3"/>
    <w:rsid w:val="00AB5FA8"/>
    <w:rsid w:val="00AB6010"/>
    <w:rsid w:val="00AB6088"/>
    <w:rsid w:val="00AB6844"/>
    <w:rsid w:val="00AB6934"/>
    <w:rsid w:val="00AB7043"/>
    <w:rsid w:val="00AB7141"/>
    <w:rsid w:val="00AB73C9"/>
    <w:rsid w:val="00AB7658"/>
    <w:rsid w:val="00AB7DC4"/>
    <w:rsid w:val="00ABD617"/>
    <w:rsid w:val="00AC077E"/>
    <w:rsid w:val="00AC09E4"/>
    <w:rsid w:val="00AC0C9B"/>
    <w:rsid w:val="00AC22D1"/>
    <w:rsid w:val="00AC23AF"/>
    <w:rsid w:val="00AC347F"/>
    <w:rsid w:val="00AC351E"/>
    <w:rsid w:val="00AC3560"/>
    <w:rsid w:val="00AC3DAC"/>
    <w:rsid w:val="00AC4165"/>
    <w:rsid w:val="00AC44DC"/>
    <w:rsid w:val="00AC4789"/>
    <w:rsid w:val="00AC5743"/>
    <w:rsid w:val="00AC5E9E"/>
    <w:rsid w:val="00AC60A1"/>
    <w:rsid w:val="00AC6127"/>
    <w:rsid w:val="00AC63C8"/>
    <w:rsid w:val="00AC69E3"/>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9"/>
    <w:rsid w:val="00AD4084"/>
    <w:rsid w:val="00AD4B9E"/>
    <w:rsid w:val="00AD4F86"/>
    <w:rsid w:val="00AD50FF"/>
    <w:rsid w:val="00AD526E"/>
    <w:rsid w:val="00AD52C8"/>
    <w:rsid w:val="00AD5C8B"/>
    <w:rsid w:val="00AD5CE7"/>
    <w:rsid w:val="00AD5F34"/>
    <w:rsid w:val="00AD610D"/>
    <w:rsid w:val="00AD63D5"/>
    <w:rsid w:val="00AD6DAA"/>
    <w:rsid w:val="00AD6DB8"/>
    <w:rsid w:val="00AD74C1"/>
    <w:rsid w:val="00AD77BF"/>
    <w:rsid w:val="00AD7AF2"/>
    <w:rsid w:val="00AD7BC4"/>
    <w:rsid w:val="00AD7F67"/>
    <w:rsid w:val="00AD7FA0"/>
    <w:rsid w:val="00ADD262"/>
    <w:rsid w:val="00AE0521"/>
    <w:rsid w:val="00AE0976"/>
    <w:rsid w:val="00AE0BA3"/>
    <w:rsid w:val="00AE0C87"/>
    <w:rsid w:val="00AE0DAE"/>
    <w:rsid w:val="00AE12D1"/>
    <w:rsid w:val="00AE1B78"/>
    <w:rsid w:val="00AE1C35"/>
    <w:rsid w:val="00AE1D2C"/>
    <w:rsid w:val="00AE2A66"/>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7B65"/>
    <w:rsid w:val="00AEBBFB"/>
    <w:rsid w:val="00AF0676"/>
    <w:rsid w:val="00AF11E1"/>
    <w:rsid w:val="00AF1DFC"/>
    <w:rsid w:val="00AF2090"/>
    <w:rsid w:val="00AF239D"/>
    <w:rsid w:val="00AF29F4"/>
    <w:rsid w:val="00AF2A10"/>
    <w:rsid w:val="00AF2A9E"/>
    <w:rsid w:val="00AF2CC5"/>
    <w:rsid w:val="00AF42DE"/>
    <w:rsid w:val="00AF466E"/>
    <w:rsid w:val="00AF5262"/>
    <w:rsid w:val="00AF5E81"/>
    <w:rsid w:val="00AF60BC"/>
    <w:rsid w:val="00AF6578"/>
    <w:rsid w:val="00AF65EE"/>
    <w:rsid w:val="00AF69C1"/>
    <w:rsid w:val="00AF7493"/>
    <w:rsid w:val="00AF7559"/>
    <w:rsid w:val="00AF7870"/>
    <w:rsid w:val="00AF7906"/>
    <w:rsid w:val="00AF7B99"/>
    <w:rsid w:val="00AF7BEB"/>
    <w:rsid w:val="00B00453"/>
    <w:rsid w:val="00B004F4"/>
    <w:rsid w:val="00B0098B"/>
    <w:rsid w:val="00B0099B"/>
    <w:rsid w:val="00B009FC"/>
    <w:rsid w:val="00B00FE2"/>
    <w:rsid w:val="00B010A5"/>
    <w:rsid w:val="00B012AF"/>
    <w:rsid w:val="00B014B5"/>
    <w:rsid w:val="00B01605"/>
    <w:rsid w:val="00B01804"/>
    <w:rsid w:val="00B01B73"/>
    <w:rsid w:val="00B01EC9"/>
    <w:rsid w:val="00B02078"/>
    <w:rsid w:val="00B02572"/>
    <w:rsid w:val="00B025B7"/>
    <w:rsid w:val="00B02603"/>
    <w:rsid w:val="00B02E6B"/>
    <w:rsid w:val="00B02E92"/>
    <w:rsid w:val="00B0319A"/>
    <w:rsid w:val="00B0334D"/>
    <w:rsid w:val="00B03551"/>
    <w:rsid w:val="00B03682"/>
    <w:rsid w:val="00B036F3"/>
    <w:rsid w:val="00B03782"/>
    <w:rsid w:val="00B03B4F"/>
    <w:rsid w:val="00B04809"/>
    <w:rsid w:val="00B048DB"/>
    <w:rsid w:val="00B04A1D"/>
    <w:rsid w:val="00B05190"/>
    <w:rsid w:val="00B0531C"/>
    <w:rsid w:val="00B05650"/>
    <w:rsid w:val="00B05C63"/>
    <w:rsid w:val="00B05F4F"/>
    <w:rsid w:val="00B060DB"/>
    <w:rsid w:val="00B0653F"/>
    <w:rsid w:val="00B06D00"/>
    <w:rsid w:val="00B06EDD"/>
    <w:rsid w:val="00B073BB"/>
    <w:rsid w:val="00B07452"/>
    <w:rsid w:val="00B07A6E"/>
    <w:rsid w:val="00B10EC0"/>
    <w:rsid w:val="00B11673"/>
    <w:rsid w:val="00B11A08"/>
    <w:rsid w:val="00B1213A"/>
    <w:rsid w:val="00B12E48"/>
    <w:rsid w:val="00B12EB5"/>
    <w:rsid w:val="00B132A7"/>
    <w:rsid w:val="00B1339A"/>
    <w:rsid w:val="00B134FC"/>
    <w:rsid w:val="00B1361E"/>
    <w:rsid w:val="00B13893"/>
    <w:rsid w:val="00B13B18"/>
    <w:rsid w:val="00B13D2A"/>
    <w:rsid w:val="00B13F38"/>
    <w:rsid w:val="00B13FE4"/>
    <w:rsid w:val="00B1495D"/>
    <w:rsid w:val="00B14A41"/>
    <w:rsid w:val="00B14B73"/>
    <w:rsid w:val="00B150A8"/>
    <w:rsid w:val="00B1517C"/>
    <w:rsid w:val="00B15348"/>
    <w:rsid w:val="00B154C4"/>
    <w:rsid w:val="00B15616"/>
    <w:rsid w:val="00B1577C"/>
    <w:rsid w:val="00B16050"/>
    <w:rsid w:val="00B1696D"/>
    <w:rsid w:val="00B16A4D"/>
    <w:rsid w:val="00B16DCF"/>
    <w:rsid w:val="00B16FF3"/>
    <w:rsid w:val="00B17140"/>
    <w:rsid w:val="00B17202"/>
    <w:rsid w:val="00B1736D"/>
    <w:rsid w:val="00B17790"/>
    <w:rsid w:val="00B17C9D"/>
    <w:rsid w:val="00B17FA7"/>
    <w:rsid w:val="00B2013C"/>
    <w:rsid w:val="00B20FCF"/>
    <w:rsid w:val="00B21179"/>
    <w:rsid w:val="00B217A2"/>
    <w:rsid w:val="00B22A72"/>
    <w:rsid w:val="00B22A87"/>
    <w:rsid w:val="00B22C35"/>
    <w:rsid w:val="00B22D49"/>
    <w:rsid w:val="00B230D6"/>
    <w:rsid w:val="00B2349B"/>
    <w:rsid w:val="00B235CD"/>
    <w:rsid w:val="00B2381F"/>
    <w:rsid w:val="00B24098"/>
    <w:rsid w:val="00B240C0"/>
    <w:rsid w:val="00B249B0"/>
    <w:rsid w:val="00B25648"/>
    <w:rsid w:val="00B26058"/>
    <w:rsid w:val="00B2626B"/>
    <w:rsid w:val="00B2632C"/>
    <w:rsid w:val="00B26465"/>
    <w:rsid w:val="00B27283"/>
    <w:rsid w:val="00B272D7"/>
    <w:rsid w:val="00B274F1"/>
    <w:rsid w:val="00B27617"/>
    <w:rsid w:val="00B2783D"/>
    <w:rsid w:val="00B2795B"/>
    <w:rsid w:val="00B300C5"/>
    <w:rsid w:val="00B30526"/>
    <w:rsid w:val="00B30878"/>
    <w:rsid w:val="00B30D70"/>
    <w:rsid w:val="00B30FD1"/>
    <w:rsid w:val="00B31127"/>
    <w:rsid w:val="00B3143C"/>
    <w:rsid w:val="00B31B59"/>
    <w:rsid w:val="00B31FE7"/>
    <w:rsid w:val="00B32728"/>
    <w:rsid w:val="00B32C19"/>
    <w:rsid w:val="00B32FB2"/>
    <w:rsid w:val="00B33044"/>
    <w:rsid w:val="00B3369F"/>
    <w:rsid w:val="00B33B2A"/>
    <w:rsid w:val="00B3413D"/>
    <w:rsid w:val="00B34435"/>
    <w:rsid w:val="00B34FC3"/>
    <w:rsid w:val="00B357CC"/>
    <w:rsid w:val="00B35A19"/>
    <w:rsid w:val="00B35E82"/>
    <w:rsid w:val="00B3644B"/>
    <w:rsid w:val="00B368F6"/>
    <w:rsid w:val="00B36A81"/>
    <w:rsid w:val="00B373E9"/>
    <w:rsid w:val="00B37407"/>
    <w:rsid w:val="00B3790F"/>
    <w:rsid w:val="00B37E03"/>
    <w:rsid w:val="00B4057A"/>
    <w:rsid w:val="00B4065E"/>
    <w:rsid w:val="00B41656"/>
    <w:rsid w:val="00B4170A"/>
    <w:rsid w:val="00B42419"/>
    <w:rsid w:val="00B4253D"/>
    <w:rsid w:val="00B42C8C"/>
    <w:rsid w:val="00B42FBB"/>
    <w:rsid w:val="00B43202"/>
    <w:rsid w:val="00B43622"/>
    <w:rsid w:val="00B4378A"/>
    <w:rsid w:val="00B43C9C"/>
    <w:rsid w:val="00B4454D"/>
    <w:rsid w:val="00B4459E"/>
    <w:rsid w:val="00B44C34"/>
    <w:rsid w:val="00B44E11"/>
    <w:rsid w:val="00B454C8"/>
    <w:rsid w:val="00B456C2"/>
    <w:rsid w:val="00B456EA"/>
    <w:rsid w:val="00B45A15"/>
    <w:rsid w:val="00B45D1E"/>
    <w:rsid w:val="00B4605D"/>
    <w:rsid w:val="00B46639"/>
    <w:rsid w:val="00B46888"/>
    <w:rsid w:val="00B468F8"/>
    <w:rsid w:val="00B46A60"/>
    <w:rsid w:val="00B46DBC"/>
    <w:rsid w:val="00B46F6D"/>
    <w:rsid w:val="00B47181"/>
    <w:rsid w:val="00B4735A"/>
    <w:rsid w:val="00B47871"/>
    <w:rsid w:val="00B47A19"/>
    <w:rsid w:val="00B47B5B"/>
    <w:rsid w:val="00B47E08"/>
    <w:rsid w:val="00B5047E"/>
    <w:rsid w:val="00B506CA"/>
    <w:rsid w:val="00B507AA"/>
    <w:rsid w:val="00B5092A"/>
    <w:rsid w:val="00B50FB7"/>
    <w:rsid w:val="00B510F5"/>
    <w:rsid w:val="00B514E2"/>
    <w:rsid w:val="00B51B87"/>
    <w:rsid w:val="00B51C71"/>
    <w:rsid w:val="00B51C9E"/>
    <w:rsid w:val="00B52137"/>
    <w:rsid w:val="00B52448"/>
    <w:rsid w:val="00B52A56"/>
    <w:rsid w:val="00B52A91"/>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25"/>
    <w:rsid w:val="00B55E5A"/>
    <w:rsid w:val="00B55ED8"/>
    <w:rsid w:val="00B5622B"/>
    <w:rsid w:val="00B567B4"/>
    <w:rsid w:val="00B56A8F"/>
    <w:rsid w:val="00B56D6D"/>
    <w:rsid w:val="00B56F2C"/>
    <w:rsid w:val="00B5738D"/>
    <w:rsid w:val="00B57B4F"/>
    <w:rsid w:val="00B60100"/>
    <w:rsid w:val="00B601AE"/>
    <w:rsid w:val="00B60249"/>
    <w:rsid w:val="00B609BE"/>
    <w:rsid w:val="00B60DC4"/>
    <w:rsid w:val="00B611A5"/>
    <w:rsid w:val="00B6145F"/>
    <w:rsid w:val="00B615E9"/>
    <w:rsid w:val="00B617CE"/>
    <w:rsid w:val="00B61853"/>
    <w:rsid w:val="00B61F8E"/>
    <w:rsid w:val="00B62E16"/>
    <w:rsid w:val="00B63250"/>
    <w:rsid w:val="00B6352A"/>
    <w:rsid w:val="00B638EE"/>
    <w:rsid w:val="00B63A2B"/>
    <w:rsid w:val="00B648F7"/>
    <w:rsid w:val="00B64B17"/>
    <w:rsid w:val="00B64EEB"/>
    <w:rsid w:val="00B65021"/>
    <w:rsid w:val="00B6516E"/>
    <w:rsid w:val="00B652B3"/>
    <w:rsid w:val="00B656C8"/>
    <w:rsid w:val="00B656D6"/>
    <w:rsid w:val="00B65FD6"/>
    <w:rsid w:val="00B66080"/>
    <w:rsid w:val="00B661FA"/>
    <w:rsid w:val="00B667F4"/>
    <w:rsid w:val="00B66E4C"/>
    <w:rsid w:val="00B676B4"/>
    <w:rsid w:val="00B67EE1"/>
    <w:rsid w:val="00B707DE"/>
    <w:rsid w:val="00B71017"/>
    <w:rsid w:val="00B71B68"/>
    <w:rsid w:val="00B71B94"/>
    <w:rsid w:val="00B71BC6"/>
    <w:rsid w:val="00B7207E"/>
    <w:rsid w:val="00B72A5E"/>
    <w:rsid w:val="00B72AB1"/>
    <w:rsid w:val="00B72B8E"/>
    <w:rsid w:val="00B72C35"/>
    <w:rsid w:val="00B72D81"/>
    <w:rsid w:val="00B72E02"/>
    <w:rsid w:val="00B731AE"/>
    <w:rsid w:val="00B73431"/>
    <w:rsid w:val="00B73D65"/>
    <w:rsid w:val="00B73FC8"/>
    <w:rsid w:val="00B74A99"/>
    <w:rsid w:val="00B74BA8"/>
    <w:rsid w:val="00B74D1F"/>
    <w:rsid w:val="00B74D8D"/>
    <w:rsid w:val="00B74F6C"/>
    <w:rsid w:val="00B75290"/>
    <w:rsid w:val="00B75396"/>
    <w:rsid w:val="00B75511"/>
    <w:rsid w:val="00B7568F"/>
    <w:rsid w:val="00B75943"/>
    <w:rsid w:val="00B75A5F"/>
    <w:rsid w:val="00B75CF2"/>
    <w:rsid w:val="00B7642A"/>
    <w:rsid w:val="00B76AF2"/>
    <w:rsid w:val="00B76C04"/>
    <w:rsid w:val="00B77040"/>
    <w:rsid w:val="00B77542"/>
    <w:rsid w:val="00B775D3"/>
    <w:rsid w:val="00B777DD"/>
    <w:rsid w:val="00B77B81"/>
    <w:rsid w:val="00B801BE"/>
    <w:rsid w:val="00B80297"/>
    <w:rsid w:val="00B80554"/>
    <w:rsid w:val="00B80890"/>
    <w:rsid w:val="00B80D0D"/>
    <w:rsid w:val="00B80EB6"/>
    <w:rsid w:val="00B810AB"/>
    <w:rsid w:val="00B8164E"/>
    <w:rsid w:val="00B81657"/>
    <w:rsid w:val="00B81A33"/>
    <w:rsid w:val="00B81F0C"/>
    <w:rsid w:val="00B81F3D"/>
    <w:rsid w:val="00B82037"/>
    <w:rsid w:val="00B8226F"/>
    <w:rsid w:val="00B83B49"/>
    <w:rsid w:val="00B84052"/>
    <w:rsid w:val="00B84139"/>
    <w:rsid w:val="00B847D1"/>
    <w:rsid w:val="00B84DC1"/>
    <w:rsid w:val="00B854E5"/>
    <w:rsid w:val="00B8609C"/>
    <w:rsid w:val="00B860C9"/>
    <w:rsid w:val="00B86677"/>
    <w:rsid w:val="00B86A6C"/>
    <w:rsid w:val="00B86CD1"/>
    <w:rsid w:val="00B872D6"/>
    <w:rsid w:val="00B873F5"/>
    <w:rsid w:val="00B8755F"/>
    <w:rsid w:val="00B87713"/>
    <w:rsid w:val="00B87721"/>
    <w:rsid w:val="00B9080F"/>
    <w:rsid w:val="00B90BC7"/>
    <w:rsid w:val="00B90ECE"/>
    <w:rsid w:val="00B910BF"/>
    <w:rsid w:val="00B91A48"/>
    <w:rsid w:val="00B92243"/>
    <w:rsid w:val="00B922AC"/>
    <w:rsid w:val="00B92769"/>
    <w:rsid w:val="00B92A0A"/>
    <w:rsid w:val="00B92AF0"/>
    <w:rsid w:val="00B9306E"/>
    <w:rsid w:val="00B93130"/>
    <w:rsid w:val="00B9325C"/>
    <w:rsid w:val="00B9347E"/>
    <w:rsid w:val="00B93BC9"/>
    <w:rsid w:val="00B93F3D"/>
    <w:rsid w:val="00B9411A"/>
    <w:rsid w:val="00B945B3"/>
    <w:rsid w:val="00B94DE1"/>
    <w:rsid w:val="00B94E68"/>
    <w:rsid w:val="00B94E6C"/>
    <w:rsid w:val="00B94FE9"/>
    <w:rsid w:val="00B95534"/>
    <w:rsid w:val="00B95724"/>
    <w:rsid w:val="00B957F1"/>
    <w:rsid w:val="00B9672C"/>
    <w:rsid w:val="00B968C6"/>
    <w:rsid w:val="00B971F1"/>
    <w:rsid w:val="00B9782C"/>
    <w:rsid w:val="00B97B34"/>
    <w:rsid w:val="00B97CB8"/>
    <w:rsid w:val="00B97E00"/>
    <w:rsid w:val="00B97EF4"/>
    <w:rsid w:val="00BA028C"/>
    <w:rsid w:val="00BA09CD"/>
    <w:rsid w:val="00BA134F"/>
    <w:rsid w:val="00BA143B"/>
    <w:rsid w:val="00BA1BD1"/>
    <w:rsid w:val="00BA1CB9"/>
    <w:rsid w:val="00BA25E0"/>
    <w:rsid w:val="00BA28B6"/>
    <w:rsid w:val="00BA2B2F"/>
    <w:rsid w:val="00BA2D4E"/>
    <w:rsid w:val="00BA3385"/>
    <w:rsid w:val="00BA346C"/>
    <w:rsid w:val="00BA35AE"/>
    <w:rsid w:val="00BA394C"/>
    <w:rsid w:val="00BA3A48"/>
    <w:rsid w:val="00BA3AEF"/>
    <w:rsid w:val="00BA40AD"/>
    <w:rsid w:val="00BA4597"/>
    <w:rsid w:val="00BA4976"/>
    <w:rsid w:val="00BA4CAB"/>
    <w:rsid w:val="00BA5226"/>
    <w:rsid w:val="00BA573A"/>
    <w:rsid w:val="00BA6348"/>
    <w:rsid w:val="00BA6525"/>
    <w:rsid w:val="00BA659A"/>
    <w:rsid w:val="00BA71FA"/>
    <w:rsid w:val="00BA7662"/>
    <w:rsid w:val="00BA7868"/>
    <w:rsid w:val="00BB097D"/>
    <w:rsid w:val="00BB0FE9"/>
    <w:rsid w:val="00BB103A"/>
    <w:rsid w:val="00BB106A"/>
    <w:rsid w:val="00BB16BB"/>
    <w:rsid w:val="00BB2095"/>
    <w:rsid w:val="00BB2D62"/>
    <w:rsid w:val="00BB2F68"/>
    <w:rsid w:val="00BB32D8"/>
    <w:rsid w:val="00BB3D05"/>
    <w:rsid w:val="00BB4606"/>
    <w:rsid w:val="00BB479A"/>
    <w:rsid w:val="00BB4D30"/>
    <w:rsid w:val="00BB4F87"/>
    <w:rsid w:val="00BB51E9"/>
    <w:rsid w:val="00BB5405"/>
    <w:rsid w:val="00BB55A7"/>
    <w:rsid w:val="00BB5668"/>
    <w:rsid w:val="00BB577F"/>
    <w:rsid w:val="00BB58F3"/>
    <w:rsid w:val="00BB5E3F"/>
    <w:rsid w:val="00BB612C"/>
    <w:rsid w:val="00BB6673"/>
    <w:rsid w:val="00BB694C"/>
    <w:rsid w:val="00BB699E"/>
    <w:rsid w:val="00BB6A5F"/>
    <w:rsid w:val="00BB71D8"/>
    <w:rsid w:val="00BB71DB"/>
    <w:rsid w:val="00BB7930"/>
    <w:rsid w:val="00BB7FB6"/>
    <w:rsid w:val="00BC011B"/>
    <w:rsid w:val="00BC088C"/>
    <w:rsid w:val="00BC08D4"/>
    <w:rsid w:val="00BC0913"/>
    <w:rsid w:val="00BC0929"/>
    <w:rsid w:val="00BC0957"/>
    <w:rsid w:val="00BC0CEA"/>
    <w:rsid w:val="00BC1322"/>
    <w:rsid w:val="00BC15FB"/>
    <w:rsid w:val="00BC1897"/>
    <w:rsid w:val="00BC1F02"/>
    <w:rsid w:val="00BC1FBE"/>
    <w:rsid w:val="00BC1FD5"/>
    <w:rsid w:val="00BC21FB"/>
    <w:rsid w:val="00BC2425"/>
    <w:rsid w:val="00BC24BC"/>
    <w:rsid w:val="00BC2B06"/>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ABF"/>
    <w:rsid w:val="00BC6D13"/>
    <w:rsid w:val="00BC7640"/>
    <w:rsid w:val="00BC796A"/>
    <w:rsid w:val="00BC799D"/>
    <w:rsid w:val="00BC7BE7"/>
    <w:rsid w:val="00BC7E23"/>
    <w:rsid w:val="00BD007F"/>
    <w:rsid w:val="00BD09F6"/>
    <w:rsid w:val="00BD0A6F"/>
    <w:rsid w:val="00BD0F86"/>
    <w:rsid w:val="00BD205B"/>
    <w:rsid w:val="00BD2313"/>
    <w:rsid w:val="00BD2662"/>
    <w:rsid w:val="00BD27C2"/>
    <w:rsid w:val="00BD2839"/>
    <w:rsid w:val="00BD2B00"/>
    <w:rsid w:val="00BD2C71"/>
    <w:rsid w:val="00BD315F"/>
    <w:rsid w:val="00BD3B23"/>
    <w:rsid w:val="00BD3F4A"/>
    <w:rsid w:val="00BD416A"/>
    <w:rsid w:val="00BD4185"/>
    <w:rsid w:val="00BD430D"/>
    <w:rsid w:val="00BD441A"/>
    <w:rsid w:val="00BD44C0"/>
    <w:rsid w:val="00BD4D42"/>
    <w:rsid w:val="00BD4D90"/>
    <w:rsid w:val="00BD53BD"/>
    <w:rsid w:val="00BD544D"/>
    <w:rsid w:val="00BD567F"/>
    <w:rsid w:val="00BD5694"/>
    <w:rsid w:val="00BD6503"/>
    <w:rsid w:val="00BD6576"/>
    <w:rsid w:val="00BD6928"/>
    <w:rsid w:val="00BD6CCE"/>
    <w:rsid w:val="00BD6D04"/>
    <w:rsid w:val="00BD7126"/>
    <w:rsid w:val="00BD713C"/>
    <w:rsid w:val="00BD71F8"/>
    <w:rsid w:val="00BD7283"/>
    <w:rsid w:val="00BD7373"/>
    <w:rsid w:val="00BD765C"/>
    <w:rsid w:val="00BD7B92"/>
    <w:rsid w:val="00BD7BD1"/>
    <w:rsid w:val="00BE04A5"/>
    <w:rsid w:val="00BE2263"/>
    <w:rsid w:val="00BE231E"/>
    <w:rsid w:val="00BE236C"/>
    <w:rsid w:val="00BE293A"/>
    <w:rsid w:val="00BE3155"/>
    <w:rsid w:val="00BE3698"/>
    <w:rsid w:val="00BE3842"/>
    <w:rsid w:val="00BE38E8"/>
    <w:rsid w:val="00BE442D"/>
    <w:rsid w:val="00BE4456"/>
    <w:rsid w:val="00BE4C5A"/>
    <w:rsid w:val="00BE4EE7"/>
    <w:rsid w:val="00BE4FD6"/>
    <w:rsid w:val="00BE5333"/>
    <w:rsid w:val="00BE5995"/>
    <w:rsid w:val="00BE5BD5"/>
    <w:rsid w:val="00BE5FD2"/>
    <w:rsid w:val="00BE60B7"/>
    <w:rsid w:val="00BE6F2A"/>
    <w:rsid w:val="00BE73E0"/>
    <w:rsid w:val="00BE758E"/>
    <w:rsid w:val="00BE78AD"/>
    <w:rsid w:val="00BE792C"/>
    <w:rsid w:val="00BE7AC6"/>
    <w:rsid w:val="00BE7C46"/>
    <w:rsid w:val="00BEE00C"/>
    <w:rsid w:val="00BF04EB"/>
    <w:rsid w:val="00BF066F"/>
    <w:rsid w:val="00BF137B"/>
    <w:rsid w:val="00BF183B"/>
    <w:rsid w:val="00BF1B03"/>
    <w:rsid w:val="00BF1BC7"/>
    <w:rsid w:val="00BF1D14"/>
    <w:rsid w:val="00BF1EC5"/>
    <w:rsid w:val="00BF20A7"/>
    <w:rsid w:val="00BF2125"/>
    <w:rsid w:val="00BF2271"/>
    <w:rsid w:val="00BF247B"/>
    <w:rsid w:val="00BF25A2"/>
    <w:rsid w:val="00BF2BF6"/>
    <w:rsid w:val="00BF3233"/>
    <w:rsid w:val="00BF3450"/>
    <w:rsid w:val="00BF38F2"/>
    <w:rsid w:val="00BF3BAC"/>
    <w:rsid w:val="00BF4321"/>
    <w:rsid w:val="00BF48C3"/>
    <w:rsid w:val="00BF4992"/>
    <w:rsid w:val="00BF4D23"/>
    <w:rsid w:val="00BF56CC"/>
    <w:rsid w:val="00BF5A1D"/>
    <w:rsid w:val="00BF5DDA"/>
    <w:rsid w:val="00BF618A"/>
    <w:rsid w:val="00BF7008"/>
    <w:rsid w:val="00BF759B"/>
    <w:rsid w:val="00BF7DD2"/>
    <w:rsid w:val="00BF7EE0"/>
    <w:rsid w:val="00C0012E"/>
    <w:rsid w:val="00C003AF"/>
    <w:rsid w:val="00C006B0"/>
    <w:rsid w:val="00C009A8"/>
    <w:rsid w:val="00C00BB5"/>
    <w:rsid w:val="00C014F5"/>
    <w:rsid w:val="00C0183F"/>
    <w:rsid w:val="00C028C1"/>
    <w:rsid w:val="00C03191"/>
    <w:rsid w:val="00C03257"/>
    <w:rsid w:val="00C03825"/>
    <w:rsid w:val="00C03C06"/>
    <w:rsid w:val="00C03E1F"/>
    <w:rsid w:val="00C03F70"/>
    <w:rsid w:val="00C04140"/>
    <w:rsid w:val="00C04356"/>
    <w:rsid w:val="00C0460E"/>
    <w:rsid w:val="00C04755"/>
    <w:rsid w:val="00C04B07"/>
    <w:rsid w:val="00C05913"/>
    <w:rsid w:val="00C0595E"/>
    <w:rsid w:val="00C06226"/>
    <w:rsid w:val="00C06644"/>
    <w:rsid w:val="00C06800"/>
    <w:rsid w:val="00C06867"/>
    <w:rsid w:val="00C06AAB"/>
    <w:rsid w:val="00C06ED6"/>
    <w:rsid w:val="00C07E2B"/>
    <w:rsid w:val="00C0CC8D"/>
    <w:rsid w:val="00C0E2A2"/>
    <w:rsid w:val="00C1049F"/>
    <w:rsid w:val="00C1085C"/>
    <w:rsid w:val="00C10B40"/>
    <w:rsid w:val="00C10D4B"/>
    <w:rsid w:val="00C11604"/>
    <w:rsid w:val="00C11FB5"/>
    <w:rsid w:val="00C1202F"/>
    <w:rsid w:val="00C12E83"/>
    <w:rsid w:val="00C141B7"/>
    <w:rsid w:val="00C15735"/>
    <w:rsid w:val="00C15933"/>
    <w:rsid w:val="00C160ED"/>
    <w:rsid w:val="00C16E62"/>
    <w:rsid w:val="00C16EB0"/>
    <w:rsid w:val="00C171B3"/>
    <w:rsid w:val="00C1725F"/>
    <w:rsid w:val="00C173CD"/>
    <w:rsid w:val="00C1756D"/>
    <w:rsid w:val="00C17C76"/>
    <w:rsid w:val="00C17F64"/>
    <w:rsid w:val="00C1AF57"/>
    <w:rsid w:val="00C1C202"/>
    <w:rsid w:val="00C202DE"/>
    <w:rsid w:val="00C203A0"/>
    <w:rsid w:val="00C20514"/>
    <w:rsid w:val="00C2072D"/>
    <w:rsid w:val="00C20CBA"/>
    <w:rsid w:val="00C2109B"/>
    <w:rsid w:val="00C21255"/>
    <w:rsid w:val="00C21283"/>
    <w:rsid w:val="00C21744"/>
    <w:rsid w:val="00C21AB9"/>
    <w:rsid w:val="00C21FCE"/>
    <w:rsid w:val="00C222B1"/>
    <w:rsid w:val="00C2256C"/>
    <w:rsid w:val="00C22931"/>
    <w:rsid w:val="00C22F36"/>
    <w:rsid w:val="00C231CC"/>
    <w:rsid w:val="00C232CD"/>
    <w:rsid w:val="00C233E4"/>
    <w:rsid w:val="00C235D4"/>
    <w:rsid w:val="00C237C2"/>
    <w:rsid w:val="00C239F1"/>
    <w:rsid w:val="00C23D2F"/>
    <w:rsid w:val="00C23D77"/>
    <w:rsid w:val="00C23E00"/>
    <w:rsid w:val="00C24266"/>
    <w:rsid w:val="00C247DE"/>
    <w:rsid w:val="00C25C89"/>
    <w:rsid w:val="00C265E5"/>
    <w:rsid w:val="00C271AB"/>
    <w:rsid w:val="00C273D7"/>
    <w:rsid w:val="00C275D6"/>
    <w:rsid w:val="00C276BE"/>
    <w:rsid w:val="00C27FA2"/>
    <w:rsid w:val="00C30AF0"/>
    <w:rsid w:val="00C310D1"/>
    <w:rsid w:val="00C31126"/>
    <w:rsid w:val="00C311B7"/>
    <w:rsid w:val="00C3122A"/>
    <w:rsid w:val="00C31254"/>
    <w:rsid w:val="00C313E5"/>
    <w:rsid w:val="00C31495"/>
    <w:rsid w:val="00C31566"/>
    <w:rsid w:val="00C31A61"/>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6E6C"/>
    <w:rsid w:val="00C371BF"/>
    <w:rsid w:val="00C373E1"/>
    <w:rsid w:val="00C376D7"/>
    <w:rsid w:val="00C3782A"/>
    <w:rsid w:val="00C37943"/>
    <w:rsid w:val="00C37A6F"/>
    <w:rsid w:val="00C37BE5"/>
    <w:rsid w:val="00C40598"/>
    <w:rsid w:val="00C40652"/>
    <w:rsid w:val="00C409F9"/>
    <w:rsid w:val="00C40B7F"/>
    <w:rsid w:val="00C4109B"/>
    <w:rsid w:val="00C410F6"/>
    <w:rsid w:val="00C41855"/>
    <w:rsid w:val="00C42A19"/>
    <w:rsid w:val="00C42DF9"/>
    <w:rsid w:val="00C42FB7"/>
    <w:rsid w:val="00C4303B"/>
    <w:rsid w:val="00C43B0E"/>
    <w:rsid w:val="00C43D94"/>
    <w:rsid w:val="00C43DB3"/>
    <w:rsid w:val="00C43E8B"/>
    <w:rsid w:val="00C441CE"/>
    <w:rsid w:val="00C443BD"/>
    <w:rsid w:val="00C44673"/>
    <w:rsid w:val="00C446AB"/>
    <w:rsid w:val="00C44A53"/>
    <w:rsid w:val="00C44BAB"/>
    <w:rsid w:val="00C44C0A"/>
    <w:rsid w:val="00C451C5"/>
    <w:rsid w:val="00C45307"/>
    <w:rsid w:val="00C45724"/>
    <w:rsid w:val="00C457C1"/>
    <w:rsid w:val="00C45EDB"/>
    <w:rsid w:val="00C4602E"/>
    <w:rsid w:val="00C462C1"/>
    <w:rsid w:val="00C464AF"/>
    <w:rsid w:val="00C46C38"/>
    <w:rsid w:val="00C46D39"/>
    <w:rsid w:val="00C47154"/>
    <w:rsid w:val="00C4789A"/>
    <w:rsid w:val="00C478E4"/>
    <w:rsid w:val="00C4E287"/>
    <w:rsid w:val="00C500AF"/>
    <w:rsid w:val="00C502B0"/>
    <w:rsid w:val="00C50322"/>
    <w:rsid w:val="00C507D5"/>
    <w:rsid w:val="00C51060"/>
    <w:rsid w:val="00C5136B"/>
    <w:rsid w:val="00C516D0"/>
    <w:rsid w:val="00C51768"/>
    <w:rsid w:val="00C52B47"/>
    <w:rsid w:val="00C52BBB"/>
    <w:rsid w:val="00C52C76"/>
    <w:rsid w:val="00C52D3E"/>
    <w:rsid w:val="00C53207"/>
    <w:rsid w:val="00C538D8"/>
    <w:rsid w:val="00C53BA0"/>
    <w:rsid w:val="00C53CBA"/>
    <w:rsid w:val="00C53DBA"/>
    <w:rsid w:val="00C54345"/>
    <w:rsid w:val="00C54629"/>
    <w:rsid w:val="00C54A52"/>
    <w:rsid w:val="00C55658"/>
    <w:rsid w:val="00C5570B"/>
    <w:rsid w:val="00C558DA"/>
    <w:rsid w:val="00C55B9A"/>
    <w:rsid w:val="00C55DEE"/>
    <w:rsid w:val="00C55F84"/>
    <w:rsid w:val="00C565C8"/>
    <w:rsid w:val="00C56819"/>
    <w:rsid w:val="00C5713A"/>
    <w:rsid w:val="00C5720D"/>
    <w:rsid w:val="00C572DF"/>
    <w:rsid w:val="00C57528"/>
    <w:rsid w:val="00C57CB0"/>
    <w:rsid w:val="00C600E5"/>
    <w:rsid w:val="00C60536"/>
    <w:rsid w:val="00C605E3"/>
    <w:rsid w:val="00C60AE4"/>
    <w:rsid w:val="00C60EE8"/>
    <w:rsid w:val="00C61117"/>
    <w:rsid w:val="00C61125"/>
    <w:rsid w:val="00C616E4"/>
    <w:rsid w:val="00C61717"/>
    <w:rsid w:val="00C618C2"/>
    <w:rsid w:val="00C61C69"/>
    <w:rsid w:val="00C62259"/>
    <w:rsid w:val="00C62911"/>
    <w:rsid w:val="00C62DEF"/>
    <w:rsid w:val="00C635E0"/>
    <w:rsid w:val="00C63AFC"/>
    <w:rsid w:val="00C63E47"/>
    <w:rsid w:val="00C63F7C"/>
    <w:rsid w:val="00C644D5"/>
    <w:rsid w:val="00C64AAD"/>
    <w:rsid w:val="00C65219"/>
    <w:rsid w:val="00C65871"/>
    <w:rsid w:val="00C659B8"/>
    <w:rsid w:val="00C65E5C"/>
    <w:rsid w:val="00C65F1A"/>
    <w:rsid w:val="00C66908"/>
    <w:rsid w:val="00C66CA1"/>
    <w:rsid w:val="00C6711E"/>
    <w:rsid w:val="00C67666"/>
    <w:rsid w:val="00C70A4C"/>
    <w:rsid w:val="00C70C4A"/>
    <w:rsid w:val="00C712AD"/>
    <w:rsid w:val="00C715C7"/>
    <w:rsid w:val="00C71818"/>
    <w:rsid w:val="00C71A01"/>
    <w:rsid w:val="00C71BB3"/>
    <w:rsid w:val="00C7212E"/>
    <w:rsid w:val="00C7264C"/>
    <w:rsid w:val="00C72963"/>
    <w:rsid w:val="00C72DA6"/>
    <w:rsid w:val="00C72DAF"/>
    <w:rsid w:val="00C72E47"/>
    <w:rsid w:val="00C7316E"/>
    <w:rsid w:val="00C73590"/>
    <w:rsid w:val="00C738EE"/>
    <w:rsid w:val="00C739A4"/>
    <w:rsid w:val="00C73A34"/>
    <w:rsid w:val="00C73E21"/>
    <w:rsid w:val="00C74597"/>
    <w:rsid w:val="00C74892"/>
    <w:rsid w:val="00C74A41"/>
    <w:rsid w:val="00C74F09"/>
    <w:rsid w:val="00C7505B"/>
    <w:rsid w:val="00C7510A"/>
    <w:rsid w:val="00C751E3"/>
    <w:rsid w:val="00C753FE"/>
    <w:rsid w:val="00C755BB"/>
    <w:rsid w:val="00C757FB"/>
    <w:rsid w:val="00C7620C"/>
    <w:rsid w:val="00C763FD"/>
    <w:rsid w:val="00C764A8"/>
    <w:rsid w:val="00C765F0"/>
    <w:rsid w:val="00C7661A"/>
    <w:rsid w:val="00C767F6"/>
    <w:rsid w:val="00C76A2C"/>
    <w:rsid w:val="00C76C06"/>
    <w:rsid w:val="00C76D05"/>
    <w:rsid w:val="00C76D6B"/>
    <w:rsid w:val="00C76ECB"/>
    <w:rsid w:val="00C7713B"/>
    <w:rsid w:val="00C77307"/>
    <w:rsid w:val="00C77927"/>
    <w:rsid w:val="00C77A2E"/>
    <w:rsid w:val="00C77C01"/>
    <w:rsid w:val="00C7F5F4"/>
    <w:rsid w:val="00C80161"/>
    <w:rsid w:val="00C8049A"/>
    <w:rsid w:val="00C80579"/>
    <w:rsid w:val="00C80CCA"/>
    <w:rsid w:val="00C80F29"/>
    <w:rsid w:val="00C80F84"/>
    <w:rsid w:val="00C81046"/>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7CC"/>
    <w:rsid w:val="00C85B95"/>
    <w:rsid w:val="00C863A6"/>
    <w:rsid w:val="00C8698D"/>
    <w:rsid w:val="00C86C04"/>
    <w:rsid w:val="00C870E4"/>
    <w:rsid w:val="00C87714"/>
    <w:rsid w:val="00C87845"/>
    <w:rsid w:val="00C87BEB"/>
    <w:rsid w:val="00C87CEE"/>
    <w:rsid w:val="00C902EB"/>
    <w:rsid w:val="00C9077C"/>
    <w:rsid w:val="00C90DE9"/>
    <w:rsid w:val="00C914CE"/>
    <w:rsid w:val="00C91572"/>
    <w:rsid w:val="00C9161D"/>
    <w:rsid w:val="00C91650"/>
    <w:rsid w:val="00C91ACF"/>
    <w:rsid w:val="00C91DBB"/>
    <w:rsid w:val="00C91E1B"/>
    <w:rsid w:val="00C91E56"/>
    <w:rsid w:val="00C925E5"/>
    <w:rsid w:val="00C92945"/>
    <w:rsid w:val="00C92993"/>
    <w:rsid w:val="00C92CB8"/>
    <w:rsid w:val="00C934DE"/>
    <w:rsid w:val="00C9397C"/>
    <w:rsid w:val="00C93AC6"/>
    <w:rsid w:val="00C940F1"/>
    <w:rsid w:val="00C94960"/>
    <w:rsid w:val="00C9561E"/>
    <w:rsid w:val="00C95803"/>
    <w:rsid w:val="00C959AF"/>
    <w:rsid w:val="00C96373"/>
    <w:rsid w:val="00C965F2"/>
    <w:rsid w:val="00C9695E"/>
    <w:rsid w:val="00C96F94"/>
    <w:rsid w:val="00C96FAA"/>
    <w:rsid w:val="00C97195"/>
    <w:rsid w:val="00C971F4"/>
    <w:rsid w:val="00C97420"/>
    <w:rsid w:val="00C97FC2"/>
    <w:rsid w:val="00CA01A6"/>
    <w:rsid w:val="00CA0443"/>
    <w:rsid w:val="00CA05D7"/>
    <w:rsid w:val="00CA0AD0"/>
    <w:rsid w:val="00CA0C1D"/>
    <w:rsid w:val="00CA0C95"/>
    <w:rsid w:val="00CA0E69"/>
    <w:rsid w:val="00CA13C6"/>
    <w:rsid w:val="00CA14C2"/>
    <w:rsid w:val="00CA1C80"/>
    <w:rsid w:val="00CA1D02"/>
    <w:rsid w:val="00CA1E49"/>
    <w:rsid w:val="00CA2041"/>
    <w:rsid w:val="00CA28D3"/>
    <w:rsid w:val="00CA29FB"/>
    <w:rsid w:val="00CA34D2"/>
    <w:rsid w:val="00CA3715"/>
    <w:rsid w:val="00CA404C"/>
    <w:rsid w:val="00CA407B"/>
    <w:rsid w:val="00CA48D1"/>
    <w:rsid w:val="00CA5E09"/>
    <w:rsid w:val="00CA5E34"/>
    <w:rsid w:val="00CA62D9"/>
    <w:rsid w:val="00CA6AD3"/>
    <w:rsid w:val="00CA6C0E"/>
    <w:rsid w:val="00CA6E3B"/>
    <w:rsid w:val="00CA6E66"/>
    <w:rsid w:val="00CA717C"/>
    <w:rsid w:val="00CA76CB"/>
    <w:rsid w:val="00CA7AF7"/>
    <w:rsid w:val="00CA7B73"/>
    <w:rsid w:val="00CAB93C"/>
    <w:rsid w:val="00CB0072"/>
    <w:rsid w:val="00CB009A"/>
    <w:rsid w:val="00CB0A24"/>
    <w:rsid w:val="00CB0E61"/>
    <w:rsid w:val="00CB0F3D"/>
    <w:rsid w:val="00CB10AA"/>
    <w:rsid w:val="00CB167B"/>
    <w:rsid w:val="00CB1CF1"/>
    <w:rsid w:val="00CB1D9B"/>
    <w:rsid w:val="00CB245C"/>
    <w:rsid w:val="00CB2B20"/>
    <w:rsid w:val="00CB2CCF"/>
    <w:rsid w:val="00CB2E18"/>
    <w:rsid w:val="00CB307A"/>
    <w:rsid w:val="00CB358A"/>
    <w:rsid w:val="00CB3744"/>
    <w:rsid w:val="00CB3764"/>
    <w:rsid w:val="00CB4242"/>
    <w:rsid w:val="00CB62FE"/>
    <w:rsid w:val="00CB69CD"/>
    <w:rsid w:val="00CB6AD3"/>
    <w:rsid w:val="00CB6AF8"/>
    <w:rsid w:val="00CB6EA7"/>
    <w:rsid w:val="00CB7289"/>
    <w:rsid w:val="00CB7460"/>
    <w:rsid w:val="00CB7D01"/>
    <w:rsid w:val="00CB7F51"/>
    <w:rsid w:val="00CBF2D6"/>
    <w:rsid w:val="00CC0207"/>
    <w:rsid w:val="00CC0304"/>
    <w:rsid w:val="00CC06DB"/>
    <w:rsid w:val="00CC0728"/>
    <w:rsid w:val="00CC091F"/>
    <w:rsid w:val="00CC12BB"/>
    <w:rsid w:val="00CC1A53"/>
    <w:rsid w:val="00CC1B16"/>
    <w:rsid w:val="00CC2045"/>
    <w:rsid w:val="00CC28A0"/>
    <w:rsid w:val="00CC2A69"/>
    <w:rsid w:val="00CC2B14"/>
    <w:rsid w:val="00CC3304"/>
    <w:rsid w:val="00CC3508"/>
    <w:rsid w:val="00CC3E83"/>
    <w:rsid w:val="00CC4526"/>
    <w:rsid w:val="00CC5553"/>
    <w:rsid w:val="00CC5926"/>
    <w:rsid w:val="00CC5AA8"/>
    <w:rsid w:val="00CC5C42"/>
    <w:rsid w:val="00CC5E20"/>
    <w:rsid w:val="00CC6153"/>
    <w:rsid w:val="00CC669D"/>
    <w:rsid w:val="00CC6848"/>
    <w:rsid w:val="00CC69C7"/>
    <w:rsid w:val="00CC6C45"/>
    <w:rsid w:val="00CC6D07"/>
    <w:rsid w:val="00CC6E91"/>
    <w:rsid w:val="00CC6FBD"/>
    <w:rsid w:val="00CC73D1"/>
    <w:rsid w:val="00CC73D7"/>
    <w:rsid w:val="00CD039E"/>
    <w:rsid w:val="00CD1005"/>
    <w:rsid w:val="00CD1362"/>
    <w:rsid w:val="00CD2405"/>
    <w:rsid w:val="00CD25D3"/>
    <w:rsid w:val="00CD27BA"/>
    <w:rsid w:val="00CD2A2C"/>
    <w:rsid w:val="00CD2C52"/>
    <w:rsid w:val="00CD2EF0"/>
    <w:rsid w:val="00CD2F8C"/>
    <w:rsid w:val="00CD3470"/>
    <w:rsid w:val="00CD34A3"/>
    <w:rsid w:val="00CD3868"/>
    <w:rsid w:val="00CD38F3"/>
    <w:rsid w:val="00CD3C69"/>
    <w:rsid w:val="00CD43C6"/>
    <w:rsid w:val="00CD4415"/>
    <w:rsid w:val="00CD444E"/>
    <w:rsid w:val="00CD44DD"/>
    <w:rsid w:val="00CD463C"/>
    <w:rsid w:val="00CD48A0"/>
    <w:rsid w:val="00CD4A2E"/>
    <w:rsid w:val="00CD4E0F"/>
    <w:rsid w:val="00CD54E7"/>
    <w:rsid w:val="00CD5BEE"/>
    <w:rsid w:val="00CD64B6"/>
    <w:rsid w:val="00CD693D"/>
    <w:rsid w:val="00CD6B7B"/>
    <w:rsid w:val="00CD7257"/>
    <w:rsid w:val="00CD7310"/>
    <w:rsid w:val="00CD7359"/>
    <w:rsid w:val="00CD7596"/>
    <w:rsid w:val="00CD7768"/>
    <w:rsid w:val="00CD7EC0"/>
    <w:rsid w:val="00CE0EE1"/>
    <w:rsid w:val="00CE1184"/>
    <w:rsid w:val="00CE15E0"/>
    <w:rsid w:val="00CE1604"/>
    <w:rsid w:val="00CE175E"/>
    <w:rsid w:val="00CE182D"/>
    <w:rsid w:val="00CE195A"/>
    <w:rsid w:val="00CE1A50"/>
    <w:rsid w:val="00CE1B94"/>
    <w:rsid w:val="00CE2214"/>
    <w:rsid w:val="00CE2A8E"/>
    <w:rsid w:val="00CE38A0"/>
    <w:rsid w:val="00CE39D1"/>
    <w:rsid w:val="00CE4990"/>
    <w:rsid w:val="00CE4F32"/>
    <w:rsid w:val="00CE4FE3"/>
    <w:rsid w:val="00CE5341"/>
    <w:rsid w:val="00CE5367"/>
    <w:rsid w:val="00CE5488"/>
    <w:rsid w:val="00CE59C6"/>
    <w:rsid w:val="00CE5EE5"/>
    <w:rsid w:val="00CE5FF9"/>
    <w:rsid w:val="00CE6025"/>
    <w:rsid w:val="00CE7168"/>
    <w:rsid w:val="00CE720B"/>
    <w:rsid w:val="00CE7892"/>
    <w:rsid w:val="00CE79CA"/>
    <w:rsid w:val="00CE7D4D"/>
    <w:rsid w:val="00CE7DC2"/>
    <w:rsid w:val="00CF03D7"/>
    <w:rsid w:val="00CF03EC"/>
    <w:rsid w:val="00CF0447"/>
    <w:rsid w:val="00CF06C1"/>
    <w:rsid w:val="00CF0A1B"/>
    <w:rsid w:val="00CF1660"/>
    <w:rsid w:val="00CF1848"/>
    <w:rsid w:val="00CF1B72"/>
    <w:rsid w:val="00CF2047"/>
    <w:rsid w:val="00CF2217"/>
    <w:rsid w:val="00CF2398"/>
    <w:rsid w:val="00CF241F"/>
    <w:rsid w:val="00CF26CC"/>
    <w:rsid w:val="00CF2DF6"/>
    <w:rsid w:val="00CF3315"/>
    <w:rsid w:val="00CF33FA"/>
    <w:rsid w:val="00CF35A0"/>
    <w:rsid w:val="00CF4461"/>
    <w:rsid w:val="00CF4776"/>
    <w:rsid w:val="00CF4C76"/>
    <w:rsid w:val="00CF4D76"/>
    <w:rsid w:val="00CF531C"/>
    <w:rsid w:val="00CF5CB1"/>
    <w:rsid w:val="00CF5EDE"/>
    <w:rsid w:val="00CF636D"/>
    <w:rsid w:val="00CF63A6"/>
    <w:rsid w:val="00CF645C"/>
    <w:rsid w:val="00CF6490"/>
    <w:rsid w:val="00CF67CD"/>
    <w:rsid w:val="00CF6ADC"/>
    <w:rsid w:val="00CF6F46"/>
    <w:rsid w:val="00CF7BB4"/>
    <w:rsid w:val="00CF7DB1"/>
    <w:rsid w:val="00CF7E71"/>
    <w:rsid w:val="00D000E2"/>
    <w:rsid w:val="00D0029E"/>
    <w:rsid w:val="00D00FC4"/>
    <w:rsid w:val="00D01024"/>
    <w:rsid w:val="00D0137C"/>
    <w:rsid w:val="00D01678"/>
    <w:rsid w:val="00D01974"/>
    <w:rsid w:val="00D01BD4"/>
    <w:rsid w:val="00D01C09"/>
    <w:rsid w:val="00D01C9C"/>
    <w:rsid w:val="00D01CDE"/>
    <w:rsid w:val="00D01F04"/>
    <w:rsid w:val="00D021F4"/>
    <w:rsid w:val="00D02682"/>
    <w:rsid w:val="00D02C87"/>
    <w:rsid w:val="00D036C8"/>
    <w:rsid w:val="00D03FAA"/>
    <w:rsid w:val="00D0419E"/>
    <w:rsid w:val="00D04AAF"/>
    <w:rsid w:val="00D04CE4"/>
    <w:rsid w:val="00D04EE0"/>
    <w:rsid w:val="00D050FB"/>
    <w:rsid w:val="00D05696"/>
    <w:rsid w:val="00D05DAC"/>
    <w:rsid w:val="00D05E90"/>
    <w:rsid w:val="00D05FB5"/>
    <w:rsid w:val="00D06139"/>
    <w:rsid w:val="00D06415"/>
    <w:rsid w:val="00D065A6"/>
    <w:rsid w:val="00D06AC0"/>
    <w:rsid w:val="00D06C28"/>
    <w:rsid w:val="00D07288"/>
    <w:rsid w:val="00D07752"/>
    <w:rsid w:val="00D089E2"/>
    <w:rsid w:val="00D1072C"/>
    <w:rsid w:val="00D1084B"/>
    <w:rsid w:val="00D10929"/>
    <w:rsid w:val="00D109C3"/>
    <w:rsid w:val="00D1116D"/>
    <w:rsid w:val="00D117CE"/>
    <w:rsid w:val="00D118C8"/>
    <w:rsid w:val="00D12010"/>
    <w:rsid w:val="00D12044"/>
    <w:rsid w:val="00D120C4"/>
    <w:rsid w:val="00D12177"/>
    <w:rsid w:val="00D12A86"/>
    <w:rsid w:val="00D12EB7"/>
    <w:rsid w:val="00D1322F"/>
    <w:rsid w:val="00D13276"/>
    <w:rsid w:val="00D13E6B"/>
    <w:rsid w:val="00D14156"/>
    <w:rsid w:val="00D14225"/>
    <w:rsid w:val="00D144FB"/>
    <w:rsid w:val="00D1472E"/>
    <w:rsid w:val="00D14C17"/>
    <w:rsid w:val="00D150E3"/>
    <w:rsid w:val="00D154D7"/>
    <w:rsid w:val="00D159E8"/>
    <w:rsid w:val="00D161FB"/>
    <w:rsid w:val="00D16401"/>
    <w:rsid w:val="00D16978"/>
    <w:rsid w:val="00D17346"/>
    <w:rsid w:val="00D177F4"/>
    <w:rsid w:val="00D1797B"/>
    <w:rsid w:val="00D17A63"/>
    <w:rsid w:val="00D17D2D"/>
    <w:rsid w:val="00D17E40"/>
    <w:rsid w:val="00D17FE1"/>
    <w:rsid w:val="00D2045E"/>
    <w:rsid w:val="00D20743"/>
    <w:rsid w:val="00D212C8"/>
    <w:rsid w:val="00D214D5"/>
    <w:rsid w:val="00D2153F"/>
    <w:rsid w:val="00D215C7"/>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435"/>
    <w:rsid w:val="00D259C0"/>
    <w:rsid w:val="00D25C2A"/>
    <w:rsid w:val="00D25FDD"/>
    <w:rsid w:val="00D260DE"/>
    <w:rsid w:val="00D26F7A"/>
    <w:rsid w:val="00D274BF"/>
    <w:rsid w:val="00D27A82"/>
    <w:rsid w:val="00D27C14"/>
    <w:rsid w:val="00D27F24"/>
    <w:rsid w:val="00D300F9"/>
    <w:rsid w:val="00D307B4"/>
    <w:rsid w:val="00D3095B"/>
    <w:rsid w:val="00D30AB8"/>
    <w:rsid w:val="00D30B10"/>
    <w:rsid w:val="00D31307"/>
    <w:rsid w:val="00D3142C"/>
    <w:rsid w:val="00D31553"/>
    <w:rsid w:val="00D32286"/>
    <w:rsid w:val="00D322B2"/>
    <w:rsid w:val="00D32514"/>
    <w:rsid w:val="00D326E2"/>
    <w:rsid w:val="00D32CCA"/>
    <w:rsid w:val="00D33687"/>
    <w:rsid w:val="00D33EDE"/>
    <w:rsid w:val="00D33EFC"/>
    <w:rsid w:val="00D3413D"/>
    <w:rsid w:val="00D34321"/>
    <w:rsid w:val="00D34894"/>
    <w:rsid w:val="00D35031"/>
    <w:rsid w:val="00D35C0D"/>
    <w:rsid w:val="00D35CF4"/>
    <w:rsid w:val="00D360D9"/>
    <w:rsid w:val="00D366AE"/>
    <w:rsid w:val="00D3696B"/>
    <w:rsid w:val="00D36A3A"/>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EF"/>
    <w:rsid w:val="00D42388"/>
    <w:rsid w:val="00D42510"/>
    <w:rsid w:val="00D42551"/>
    <w:rsid w:val="00D4312F"/>
    <w:rsid w:val="00D4314A"/>
    <w:rsid w:val="00D43A43"/>
    <w:rsid w:val="00D43B47"/>
    <w:rsid w:val="00D44765"/>
    <w:rsid w:val="00D44815"/>
    <w:rsid w:val="00D44B15"/>
    <w:rsid w:val="00D45261"/>
    <w:rsid w:val="00D45423"/>
    <w:rsid w:val="00D45903"/>
    <w:rsid w:val="00D45CDD"/>
    <w:rsid w:val="00D46316"/>
    <w:rsid w:val="00D4658B"/>
    <w:rsid w:val="00D467A0"/>
    <w:rsid w:val="00D46D40"/>
    <w:rsid w:val="00D47221"/>
    <w:rsid w:val="00D47925"/>
    <w:rsid w:val="00D47C6D"/>
    <w:rsid w:val="00D47E2B"/>
    <w:rsid w:val="00D47FAC"/>
    <w:rsid w:val="00D504E7"/>
    <w:rsid w:val="00D50652"/>
    <w:rsid w:val="00D50A25"/>
    <w:rsid w:val="00D50D25"/>
    <w:rsid w:val="00D50F71"/>
    <w:rsid w:val="00D50FB7"/>
    <w:rsid w:val="00D510F0"/>
    <w:rsid w:val="00D512C9"/>
    <w:rsid w:val="00D51DE7"/>
    <w:rsid w:val="00D526FD"/>
    <w:rsid w:val="00D5282B"/>
    <w:rsid w:val="00D53846"/>
    <w:rsid w:val="00D539E2"/>
    <w:rsid w:val="00D549B9"/>
    <w:rsid w:val="00D55C53"/>
    <w:rsid w:val="00D55EA5"/>
    <w:rsid w:val="00D55F24"/>
    <w:rsid w:val="00D5649F"/>
    <w:rsid w:val="00D56651"/>
    <w:rsid w:val="00D566D8"/>
    <w:rsid w:val="00D567EB"/>
    <w:rsid w:val="00D56996"/>
    <w:rsid w:val="00D56AA6"/>
    <w:rsid w:val="00D57199"/>
    <w:rsid w:val="00D57BD4"/>
    <w:rsid w:val="00D57C06"/>
    <w:rsid w:val="00D57D47"/>
    <w:rsid w:val="00D5F44C"/>
    <w:rsid w:val="00D6027A"/>
    <w:rsid w:val="00D6035C"/>
    <w:rsid w:val="00D60975"/>
    <w:rsid w:val="00D609A3"/>
    <w:rsid w:val="00D60C2C"/>
    <w:rsid w:val="00D60E86"/>
    <w:rsid w:val="00D61141"/>
    <w:rsid w:val="00D6155D"/>
    <w:rsid w:val="00D61CEE"/>
    <w:rsid w:val="00D61DB9"/>
    <w:rsid w:val="00D61EEA"/>
    <w:rsid w:val="00D61F17"/>
    <w:rsid w:val="00D62390"/>
    <w:rsid w:val="00D62953"/>
    <w:rsid w:val="00D63B8D"/>
    <w:rsid w:val="00D63D19"/>
    <w:rsid w:val="00D63E9C"/>
    <w:rsid w:val="00D63EFF"/>
    <w:rsid w:val="00D64069"/>
    <w:rsid w:val="00D640BF"/>
    <w:rsid w:val="00D6424F"/>
    <w:rsid w:val="00D643FA"/>
    <w:rsid w:val="00D64658"/>
    <w:rsid w:val="00D647BF"/>
    <w:rsid w:val="00D64E6D"/>
    <w:rsid w:val="00D64F67"/>
    <w:rsid w:val="00D652F2"/>
    <w:rsid w:val="00D65DF6"/>
    <w:rsid w:val="00D660F8"/>
    <w:rsid w:val="00D666B4"/>
    <w:rsid w:val="00D6695C"/>
    <w:rsid w:val="00D67F34"/>
    <w:rsid w:val="00D70062"/>
    <w:rsid w:val="00D709AD"/>
    <w:rsid w:val="00D70A04"/>
    <w:rsid w:val="00D70AF6"/>
    <w:rsid w:val="00D70B01"/>
    <w:rsid w:val="00D714BB"/>
    <w:rsid w:val="00D71AD0"/>
    <w:rsid w:val="00D720D9"/>
    <w:rsid w:val="00D72929"/>
    <w:rsid w:val="00D7303B"/>
    <w:rsid w:val="00D73153"/>
    <w:rsid w:val="00D73AAF"/>
    <w:rsid w:val="00D74432"/>
    <w:rsid w:val="00D74649"/>
    <w:rsid w:val="00D74DF9"/>
    <w:rsid w:val="00D7526C"/>
    <w:rsid w:val="00D753AC"/>
    <w:rsid w:val="00D75CC0"/>
    <w:rsid w:val="00D76306"/>
    <w:rsid w:val="00D76A18"/>
    <w:rsid w:val="00D76D7B"/>
    <w:rsid w:val="00D76FEC"/>
    <w:rsid w:val="00D77A95"/>
    <w:rsid w:val="00D77B77"/>
    <w:rsid w:val="00D77C92"/>
    <w:rsid w:val="00D77ED4"/>
    <w:rsid w:val="00D77EF3"/>
    <w:rsid w:val="00D77F11"/>
    <w:rsid w:val="00D80839"/>
    <w:rsid w:val="00D80849"/>
    <w:rsid w:val="00D80E45"/>
    <w:rsid w:val="00D81147"/>
    <w:rsid w:val="00D818CB"/>
    <w:rsid w:val="00D81AD6"/>
    <w:rsid w:val="00D81AE9"/>
    <w:rsid w:val="00D81E3C"/>
    <w:rsid w:val="00D82397"/>
    <w:rsid w:val="00D82E8F"/>
    <w:rsid w:val="00D8348D"/>
    <w:rsid w:val="00D8393D"/>
    <w:rsid w:val="00D83C89"/>
    <w:rsid w:val="00D8428E"/>
    <w:rsid w:val="00D846F6"/>
    <w:rsid w:val="00D848EA"/>
    <w:rsid w:val="00D84C03"/>
    <w:rsid w:val="00D84CFC"/>
    <w:rsid w:val="00D84DA6"/>
    <w:rsid w:val="00D84E94"/>
    <w:rsid w:val="00D85054"/>
    <w:rsid w:val="00D85776"/>
    <w:rsid w:val="00D8586C"/>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4724"/>
    <w:rsid w:val="00D9475B"/>
    <w:rsid w:val="00D949CA"/>
    <w:rsid w:val="00D94E45"/>
    <w:rsid w:val="00D94E6C"/>
    <w:rsid w:val="00D95A43"/>
    <w:rsid w:val="00D96217"/>
    <w:rsid w:val="00D9626B"/>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19F"/>
    <w:rsid w:val="00DA234C"/>
    <w:rsid w:val="00DA254A"/>
    <w:rsid w:val="00DA25A6"/>
    <w:rsid w:val="00DA2920"/>
    <w:rsid w:val="00DA29D3"/>
    <w:rsid w:val="00DA2BAF"/>
    <w:rsid w:val="00DA2C04"/>
    <w:rsid w:val="00DA35CF"/>
    <w:rsid w:val="00DA3D89"/>
    <w:rsid w:val="00DA508E"/>
    <w:rsid w:val="00DA54B0"/>
    <w:rsid w:val="00DA5845"/>
    <w:rsid w:val="00DA60AC"/>
    <w:rsid w:val="00DA6448"/>
    <w:rsid w:val="00DA6C5C"/>
    <w:rsid w:val="00DA6D97"/>
    <w:rsid w:val="00DA6F51"/>
    <w:rsid w:val="00DA71F4"/>
    <w:rsid w:val="00DA7427"/>
    <w:rsid w:val="00DA7DAC"/>
    <w:rsid w:val="00DB0306"/>
    <w:rsid w:val="00DB0610"/>
    <w:rsid w:val="00DB0742"/>
    <w:rsid w:val="00DB0AE5"/>
    <w:rsid w:val="00DB0B63"/>
    <w:rsid w:val="00DB0E05"/>
    <w:rsid w:val="00DB0E4B"/>
    <w:rsid w:val="00DB166C"/>
    <w:rsid w:val="00DB1839"/>
    <w:rsid w:val="00DB1DCF"/>
    <w:rsid w:val="00DB21AF"/>
    <w:rsid w:val="00DB2522"/>
    <w:rsid w:val="00DB2898"/>
    <w:rsid w:val="00DB2A8C"/>
    <w:rsid w:val="00DB2BA5"/>
    <w:rsid w:val="00DB2C47"/>
    <w:rsid w:val="00DB2DE9"/>
    <w:rsid w:val="00DB4893"/>
    <w:rsid w:val="00DB56E2"/>
    <w:rsid w:val="00DB5732"/>
    <w:rsid w:val="00DB5A85"/>
    <w:rsid w:val="00DB611F"/>
    <w:rsid w:val="00DB6125"/>
    <w:rsid w:val="00DB63C4"/>
    <w:rsid w:val="00DB6473"/>
    <w:rsid w:val="00DB657F"/>
    <w:rsid w:val="00DB6F60"/>
    <w:rsid w:val="00DB710F"/>
    <w:rsid w:val="00DB7190"/>
    <w:rsid w:val="00DB726A"/>
    <w:rsid w:val="00DB7345"/>
    <w:rsid w:val="00DB7761"/>
    <w:rsid w:val="00DB789C"/>
    <w:rsid w:val="00DB7B8F"/>
    <w:rsid w:val="00DB7C6D"/>
    <w:rsid w:val="00DB7FB1"/>
    <w:rsid w:val="00DC0903"/>
    <w:rsid w:val="00DC0D42"/>
    <w:rsid w:val="00DC112A"/>
    <w:rsid w:val="00DC1D6F"/>
    <w:rsid w:val="00DC20CE"/>
    <w:rsid w:val="00DC2C55"/>
    <w:rsid w:val="00DC2D8E"/>
    <w:rsid w:val="00DC3315"/>
    <w:rsid w:val="00DC3859"/>
    <w:rsid w:val="00DC3B4B"/>
    <w:rsid w:val="00DC3DA3"/>
    <w:rsid w:val="00DC3F5B"/>
    <w:rsid w:val="00DC498D"/>
    <w:rsid w:val="00DC4BA0"/>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D5B"/>
    <w:rsid w:val="00DC72FD"/>
    <w:rsid w:val="00DC7F66"/>
    <w:rsid w:val="00DD0206"/>
    <w:rsid w:val="00DD0420"/>
    <w:rsid w:val="00DD094A"/>
    <w:rsid w:val="00DD09AE"/>
    <w:rsid w:val="00DD09D0"/>
    <w:rsid w:val="00DD0ACB"/>
    <w:rsid w:val="00DD118C"/>
    <w:rsid w:val="00DD1291"/>
    <w:rsid w:val="00DD1765"/>
    <w:rsid w:val="00DD1AB2"/>
    <w:rsid w:val="00DD1AC5"/>
    <w:rsid w:val="00DD1B21"/>
    <w:rsid w:val="00DD22F1"/>
    <w:rsid w:val="00DD365B"/>
    <w:rsid w:val="00DD3BB3"/>
    <w:rsid w:val="00DD404B"/>
    <w:rsid w:val="00DD408D"/>
    <w:rsid w:val="00DD40D5"/>
    <w:rsid w:val="00DD41FD"/>
    <w:rsid w:val="00DD49D8"/>
    <w:rsid w:val="00DD49FD"/>
    <w:rsid w:val="00DD4E81"/>
    <w:rsid w:val="00DD5760"/>
    <w:rsid w:val="00DD5B11"/>
    <w:rsid w:val="00DD5C52"/>
    <w:rsid w:val="00DD6FFE"/>
    <w:rsid w:val="00DD795C"/>
    <w:rsid w:val="00DD7AA5"/>
    <w:rsid w:val="00DE0031"/>
    <w:rsid w:val="00DE06DF"/>
    <w:rsid w:val="00DE0BE2"/>
    <w:rsid w:val="00DE0E5E"/>
    <w:rsid w:val="00DE12F6"/>
    <w:rsid w:val="00DE1446"/>
    <w:rsid w:val="00DE15FA"/>
    <w:rsid w:val="00DE239E"/>
    <w:rsid w:val="00DE2A3A"/>
    <w:rsid w:val="00DE2C8F"/>
    <w:rsid w:val="00DE3271"/>
    <w:rsid w:val="00DE3576"/>
    <w:rsid w:val="00DE37DE"/>
    <w:rsid w:val="00DE3835"/>
    <w:rsid w:val="00DE444C"/>
    <w:rsid w:val="00DE46D7"/>
    <w:rsid w:val="00DE4841"/>
    <w:rsid w:val="00DE4A76"/>
    <w:rsid w:val="00DE517E"/>
    <w:rsid w:val="00DE55C2"/>
    <w:rsid w:val="00DE632C"/>
    <w:rsid w:val="00DE7022"/>
    <w:rsid w:val="00DE766B"/>
    <w:rsid w:val="00DE78EC"/>
    <w:rsid w:val="00DE79E5"/>
    <w:rsid w:val="00DE7A28"/>
    <w:rsid w:val="00DE9806"/>
    <w:rsid w:val="00DF017E"/>
    <w:rsid w:val="00DF08A2"/>
    <w:rsid w:val="00DF1052"/>
    <w:rsid w:val="00DF13D9"/>
    <w:rsid w:val="00DF1EDD"/>
    <w:rsid w:val="00DF223B"/>
    <w:rsid w:val="00DF28AE"/>
    <w:rsid w:val="00DF2C46"/>
    <w:rsid w:val="00DF2DCA"/>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7238"/>
    <w:rsid w:val="00DF756D"/>
    <w:rsid w:val="00DF7927"/>
    <w:rsid w:val="00DF79B0"/>
    <w:rsid w:val="00DF7E82"/>
    <w:rsid w:val="00DF7F63"/>
    <w:rsid w:val="00E00E5F"/>
    <w:rsid w:val="00E01C8F"/>
    <w:rsid w:val="00E01D0B"/>
    <w:rsid w:val="00E02059"/>
    <w:rsid w:val="00E021B5"/>
    <w:rsid w:val="00E02426"/>
    <w:rsid w:val="00E0263D"/>
    <w:rsid w:val="00E02B37"/>
    <w:rsid w:val="00E02CD2"/>
    <w:rsid w:val="00E02FBC"/>
    <w:rsid w:val="00E036B0"/>
    <w:rsid w:val="00E03758"/>
    <w:rsid w:val="00E0395F"/>
    <w:rsid w:val="00E041FB"/>
    <w:rsid w:val="00E042E4"/>
    <w:rsid w:val="00E04753"/>
    <w:rsid w:val="00E05755"/>
    <w:rsid w:val="00E05978"/>
    <w:rsid w:val="00E06013"/>
    <w:rsid w:val="00E0694B"/>
    <w:rsid w:val="00E06A75"/>
    <w:rsid w:val="00E06CA0"/>
    <w:rsid w:val="00E0703A"/>
    <w:rsid w:val="00E070B1"/>
    <w:rsid w:val="00E07646"/>
    <w:rsid w:val="00E0784A"/>
    <w:rsid w:val="00E1011C"/>
    <w:rsid w:val="00E104D7"/>
    <w:rsid w:val="00E10549"/>
    <w:rsid w:val="00E10F03"/>
    <w:rsid w:val="00E110E6"/>
    <w:rsid w:val="00E111A7"/>
    <w:rsid w:val="00E1127D"/>
    <w:rsid w:val="00E112FA"/>
    <w:rsid w:val="00E113AB"/>
    <w:rsid w:val="00E114B6"/>
    <w:rsid w:val="00E11A37"/>
    <w:rsid w:val="00E11BE9"/>
    <w:rsid w:val="00E11DAF"/>
    <w:rsid w:val="00E11FCF"/>
    <w:rsid w:val="00E12049"/>
    <w:rsid w:val="00E1212A"/>
    <w:rsid w:val="00E12500"/>
    <w:rsid w:val="00E1394D"/>
    <w:rsid w:val="00E13B30"/>
    <w:rsid w:val="00E14127"/>
    <w:rsid w:val="00E142F7"/>
    <w:rsid w:val="00E1432E"/>
    <w:rsid w:val="00E146C6"/>
    <w:rsid w:val="00E1495B"/>
    <w:rsid w:val="00E14FC4"/>
    <w:rsid w:val="00E1502E"/>
    <w:rsid w:val="00E1511A"/>
    <w:rsid w:val="00E15336"/>
    <w:rsid w:val="00E1603C"/>
    <w:rsid w:val="00E1698E"/>
    <w:rsid w:val="00E16A5D"/>
    <w:rsid w:val="00E16B90"/>
    <w:rsid w:val="00E17456"/>
    <w:rsid w:val="00E174CA"/>
    <w:rsid w:val="00E17CB7"/>
    <w:rsid w:val="00E17FA4"/>
    <w:rsid w:val="00E2020E"/>
    <w:rsid w:val="00E20472"/>
    <w:rsid w:val="00E2049A"/>
    <w:rsid w:val="00E2100E"/>
    <w:rsid w:val="00E2136E"/>
    <w:rsid w:val="00E21521"/>
    <w:rsid w:val="00E2195E"/>
    <w:rsid w:val="00E220D9"/>
    <w:rsid w:val="00E2245F"/>
    <w:rsid w:val="00E229FF"/>
    <w:rsid w:val="00E234D1"/>
    <w:rsid w:val="00E23808"/>
    <w:rsid w:val="00E23AE6"/>
    <w:rsid w:val="00E23D9C"/>
    <w:rsid w:val="00E23DED"/>
    <w:rsid w:val="00E23E74"/>
    <w:rsid w:val="00E23EA7"/>
    <w:rsid w:val="00E23F54"/>
    <w:rsid w:val="00E242A8"/>
    <w:rsid w:val="00E246D6"/>
    <w:rsid w:val="00E24B9C"/>
    <w:rsid w:val="00E24D58"/>
    <w:rsid w:val="00E2562C"/>
    <w:rsid w:val="00E2597F"/>
    <w:rsid w:val="00E25D2B"/>
    <w:rsid w:val="00E262CA"/>
    <w:rsid w:val="00E26426"/>
    <w:rsid w:val="00E26637"/>
    <w:rsid w:val="00E26826"/>
    <w:rsid w:val="00E2744A"/>
    <w:rsid w:val="00E278FE"/>
    <w:rsid w:val="00E27AB6"/>
    <w:rsid w:val="00E27EE7"/>
    <w:rsid w:val="00E27FD2"/>
    <w:rsid w:val="00E301E1"/>
    <w:rsid w:val="00E30B7C"/>
    <w:rsid w:val="00E3159C"/>
    <w:rsid w:val="00E320E7"/>
    <w:rsid w:val="00E32240"/>
    <w:rsid w:val="00E3227D"/>
    <w:rsid w:val="00E329D7"/>
    <w:rsid w:val="00E33232"/>
    <w:rsid w:val="00E334DA"/>
    <w:rsid w:val="00E33F16"/>
    <w:rsid w:val="00E34629"/>
    <w:rsid w:val="00E34D2F"/>
    <w:rsid w:val="00E351A7"/>
    <w:rsid w:val="00E3523A"/>
    <w:rsid w:val="00E3526D"/>
    <w:rsid w:val="00E355C0"/>
    <w:rsid w:val="00E355DB"/>
    <w:rsid w:val="00E3565F"/>
    <w:rsid w:val="00E3571C"/>
    <w:rsid w:val="00E35923"/>
    <w:rsid w:val="00E367D7"/>
    <w:rsid w:val="00E36B88"/>
    <w:rsid w:val="00E3737B"/>
    <w:rsid w:val="00E3780B"/>
    <w:rsid w:val="00E37854"/>
    <w:rsid w:val="00E37875"/>
    <w:rsid w:val="00E37CB7"/>
    <w:rsid w:val="00E40621"/>
    <w:rsid w:val="00E41020"/>
    <w:rsid w:val="00E41214"/>
    <w:rsid w:val="00E41FFA"/>
    <w:rsid w:val="00E4201B"/>
    <w:rsid w:val="00E4210A"/>
    <w:rsid w:val="00E42560"/>
    <w:rsid w:val="00E42637"/>
    <w:rsid w:val="00E42782"/>
    <w:rsid w:val="00E43058"/>
    <w:rsid w:val="00E43183"/>
    <w:rsid w:val="00E4359C"/>
    <w:rsid w:val="00E438A2"/>
    <w:rsid w:val="00E43AD4"/>
    <w:rsid w:val="00E44047"/>
    <w:rsid w:val="00E44549"/>
    <w:rsid w:val="00E44A66"/>
    <w:rsid w:val="00E44FF2"/>
    <w:rsid w:val="00E455B8"/>
    <w:rsid w:val="00E45963"/>
    <w:rsid w:val="00E4619A"/>
    <w:rsid w:val="00E467DD"/>
    <w:rsid w:val="00E468B5"/>
    <w:rsid w:val="00E468B8"/>
    <w:rsid w:val="00E46950"/>
    <w:rsid w:val="00E46D47"/>
    <w:rsid w:val="00E46DB9"/>
    <w:rsid w:val="00E46E22"/>
    <w:rsid w:val="00E46FE2"/>
    <w:rsid w:val="00E4733C"/>
    <w:rsid w:val="00E47700"/>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2011"/>
    <w:rsid w:val="00E52137"/>
    <w:rsid w:val="00E5223B"/>
    <w:rsid w:val="00E52669"/>
    <w:rsid w:val="00E529C9"/>
    <w:rsid w:val="00E52FCD"/>
    <w:rsid w:val="00E53A06"/>
    <w:rsid w:val="00E53A69"/>
    <w:rsid w:val="00E53E46"/>
    <w:rsid w:val="00E540AF"/>
    <w:rsid w:val="00E546E8"/>
    <w:rsid w:val="00E54A94"/>
    <w:rsid w:val="00E55947"/>
    <w:rsid w:val="00E55AE6"/>
    <w:rsid w:val="00E55CEC"/>
    <w:rsid w:val="00E55D70"/>
    <w:rsid w:val="00E5655C"/>
    <w:rsid w:val="00E56578"/>
    <w:rsid w:val="00E56A69"/>
    <w:rsid w:val="00E5761C"/>
    <w:rsid w:val="00E57743"/>
    <w:rsid w:val="00E5789F"/>
    <w:rsid w:val="00E5794C"/>
    <w:rsid w:val="00E57A00"/>
    <w:rsid w:val="00E57A94"/>
    <w:rsid w:val="00E57D5F"/>
    <w:rsid w:val="00E57DFA"/>
    <w:rsid w:val="00E60545"/>
    <w:rsid w:val="00E60A57"/>
    <w:rsid w:val="00E60E35"/>
    <w:rsid w:val="00E61032"/>
    <w:rsid w:val="00E6164E"/>
    <w:rsid w:val="00E61F6F"/>
    <w:rsid w:val="00E621F4"/>
    <w:rsid w:val="00E6234F"/>
    <w:rsid w:val="00E6258B"/>
    <w:rsid w:val="00E62C46"/>
    <w:rsid w:val="00E63024"/>
    <w:rsid w:val="00E6322B"/>
    <w:rsid w:val="00E642BA"/>
    <w:rsid w:val="00E643B5"/>
    <w:rsid w:val="00E645CD"/>
    <w:rsid w:val="00E646D8"/>
    <w:rsid w:val="00E648CC"/>
    <w:rsid w:val="00E64BF7"/>
    <w:rsid w:val="00E64CFB"/>
    <w:rsid w:val="00E64F4C"/>
    <w:rsid w:val="00E652ED"/>
    <w:rsid w:val="00E6550B"/>
    <w:rsid w:val="00E657DF"/>
    <w:rsid w:val="00E65A45"/>
    <w:rsid w:val="00E65E16"/>
    <w:rsid w:val="00E65ECC"/>
    <w:rsid w:val="00E66037"/>
    <w:rsid w:val="00E6606A"/>
    <w:rsid w:val="00E660AB"/>
    <w:rsid w:val="00E66235"/>
    <w:rsid w:val="00E669A7"/>
    <w:rsid w:val="00E66C36"/>
    <w:rsid w:val="00E677D8"/>
    <w:rsid w:val="00E678DE"/>
    <w:rsid w:val="00E67C16"/>
    <w:rsid w:val="00E67D8D"/>
    <w:rsid w:val="00E67E8E"/>
    <w:rsid w:val="00E696DA"/>
    <w:rsid w:val="00E70165"/>
    <w:rsid w:val="00E70428"/>
    <w:rsid w:val="00E7042C"/>
    <w:rsid w:val="00E70809"/>
    <w:rsid w:val="00E70F00"/>
    <w:rsid w:val="00E71568"/>
    <w:rsid w:val="00E716FD"/>
    <w:rsid w:val="00E7248D"/>
    <w:rsid w:val="00E72840"/>
    <w:rsid w:val="00E72F13"/>
    <w:rsid w:val="00E7307E"/>
    <w:rsid w:val="00E739F6"/>
    <w:rsid w:val="00E73B5A"/>
    <w:rsid w:val="00E73C20"/>
    <w:rsid w:val="00E73E4A"/>
    <w:rsid w:val="00E73E8E"/>
    <w:rsid w:val="00E73FE2"/>
    <w:rsid w:val="00E74319"/>
    <w:rsid w:val="00E743C5"/>
    <w:rsid w:val="00E744A6"/>
    <w:rsid w:val="00E74996"/>
    <w:rsid w:val="00E753C3"/>
    <w:rsid w:val="00E7568E"/>
    <w:rsid w:val="00E7578D"/>
    <w:rsid w:val="00E763F0"/>
    <w:rsid w:val="00E764FE"/>
    <w:rsid w:val="00E76DA9"/>
    <w:rsid w:val="00E7711C"/>
    <w:rsid w:val="00E77CB0"/>
    <w:rsid w:val="00E77F47"/>
    <w:rsid w:val="00E77F88"/>
    <w:rsid w:val="00E800CB"/>
    <w:rsid w:val="00E800E8"/>
    <w:rsid w:val="00E80881"/>
    <w:rsid w:val="00E80D07"/>
    <w:rsid w:val="00E80FF9"/>
    <w:rsid w:val="00E81402"/>
    <w:rsid w:val="00E81594"/>
    <w:rsid w:val="00E81A41"/>
    <w:rsid w:val="00E821DF"/>
    <w:rsid w:val="00E82270"/>
    <w:rsid w:val="00E82602"/>
    <w:rsid w:val="00E8262A"/>
    <w:rsid w:val="00E82723"/>
    <w:rsid w:val="00E82793"/>
    <w:rsid w:val="00E830E6"/>
    <w:rsid w:val="00E83C24"/>
    <w:rsid w:val="00E83EA1"/>
    <w:rsid w:val="00E8447B"/>
    <w:rsid w:val="00E84C8E"/>
    <w:rsid w:val="00E84EC3"/>
    <w:rsid w:val="00E85220"/>
    <w:rsid w:val="00E85E57"/>
    <w:rsid w:val="00E85FB6"/>
    <w:rsid w:val="00E863F7"/>
    <w:rsid w:val="00E86596"/>
    <w:rsid w:val="00E86BA3"/>
    <w:rsid w:val="00E86EAA"/>
    <w:rsid w:val="00E8736A"/>
    <w:rsid w:val="00E87393"/>
    <w:rsid w:val="00E878AD"/>
    <w:rsid w:val="00E8792B"/>
    <w:rsid w:val="00E879A4"/>
    <w:rsid w:val="00E87AD2"/>
    <w:rsid w:val="00E87B42"/>
    <w:rsid w:val="00E87F78"/>
    <w:rsid w:val="00E87FA0"/>
    <w:rsid w:val="00E902C1"/>
    <w:rsid w:val="00E90654"/>
    <w:rsid w:val="00E9071A"/>
    <w:rsid w:val="00E908D1"/>
    <w:rsid w:val="00E90BBB"/>
    <w:rsid w:val="00E90BD3"/>
    <w:rsid w:val="00E90C97"/>
    <w:rsid w:val="00E913D3"/>
    <w:rsid w:val="00E917A0"/>
    <w:rsid w:val="00E91F36"/>
    <w:rsid w:val="00E92338"/>
    <w:rsid w:val="00E92B69"/>
    <w:rsid w:val="00E92B7B"/>
    <w:rsid w:val="00E92DF9"/>
    <w:rsid w:val="00E9318D"/>
    <w:rsid w:val="00E93224"/>
    <w:rsid w:val="00E9354D"/>
    <w:rsid w:val="00E93738"/>
    <w:rsid w:val="00E93797"/>
    <w:rsid w:val="00E93E3C"/>
    <w:rsid w:val="00E9507D"/>
    <w:rsid w:val="00E95D6F"/>
    <w:rsid w:val="00E9652F"/>
    <w:rsid w:val="00E96F25"/>
    <w:rsid w:val="00E9706C"/>
    <w:rsid w:val="00E970FE"/>
    <w:rsid w:val="00E9713F"/>
    <w:rsid w:val="00E9733C"/>
    <w:rsid w:val="00E97E4A"/>
    <w:rsid w:val="00EA08F6"/>
    <w:rsid w:val="00EA0B53"/>
    <w:rsid w:val="00EA19A8"/>
    <w:rsid w:val="00EA2044"/>
    <w:rsid w:val="00EA204E"/>
    <w:rsid w:val="00EA2101"/>
    <w:rsid w:val="00EA2A47"/>
    <w:rsid w:val="00EA3214"/>
    <w:rsid w:val="00EA3323"/>
    <w:rsid w:val="00EA3750"/>
    <w:rsid w:val="00EA3ABC"/>
    <w:rsid w:val="00EA3DB6"/>
    <w:rsid w:val="00EA40B0"/>
    <w:rsid w:val="00EA424F"/>
    <w:rsid w:val="00EA4761"/>
    <w:rsid w:val="00EA4E41"/>
    <w:rsid w:val="00EA4E5B"/>
    <w:rsid w:val="00EA58BF"/>
    <w:rsid w:val="00EA59FC"/>
    <w:rsid w:val="00EA5BA9"/>
    <w:rsid w:val="00EA6227"/>
    <w:rsid w:val="00EA6B5E"/>
    <w:rsid w:val="00EA7300"/>
    <w:rsid w:val="00EA7D5B"/>
    <w:rsid w:val="00EB0046"/>
    <w:rsid w:val="00EB0500"/>
    <w:rsid w:val="00EB0C6D"/>
    <w:rsid w:val="00EB0F4F"/>
    <w:rsid w:val="00EB1763"/>
    <w:rsid w:val="00EB179B"/>
    <w:rsid w:val="00EB1CB0"/>
    <w:rsid w:val="00EB1E8B"/>
    <w:rsid w:val="00EB214A"/>
    <w:rsid w:val="00EB2724"/>
    <w:rsid w:val="00EB281D"/>
    <w:rsid w:val="00EB283F"/>
    <w:rsid w:val="00EB2A34"/>
    <w:rsid w:val="00EB2DF7"/>
    <w:rsid w:val="00EB2F1C"/>
    <w:rsid w:val="00EB304C"/>
    <w:rsid w:val="00EB3073"/>
    <w:rsid w:val="00EB3D6E"/>
    <w:rsid w:val="00EB3E55"/>
    <w:rsid w:val="00EB484E"/>
    <w:rsid w:val="00EB4C65"/>
    <w:rsid w:val="00EB4EFA"/>
    <w:rsid w:val="00EB558F"/>
    <w:rsid w:val="00EB5A41"/>
    <w:rsid w:val="00EB5C9F"/>
    <w:rsid w:val="00EB62C0"/>
    <w:rsid w:val="00EB63E1"/>
    <w:rsid w:val="00EB6917"/>
    <w:rsid w:val="00EB74F6"/>
    <w:rsid w:val="00EB75FC"/>
    <w:rsid w:val="00EB7C66"/>
    <w:rsid w:val="00EC0601"/>
    <w:rsid w:val="00EC07AE"/>
    <w:rsid w:val="00EC08E7"/>
    <w:rsid w:val="00EC0916"/>
    <w:rsid w:val="00EC0AFA"/>
    <w:rsid w:val="00EC0E44"/>
    <w:rsid w:val="00EC1103"/>
    <w:rsid w:val="00EC175E"/>
    <w:rsid w:val="00EC1E99"/>
    <w:rsid w:val="00EC20AC"/>
    <w:rsid w:val="00EC2320"/>
    <w:rsid w:val="00EC2AB5"/>
    <w:rsid w:val="00EC2FDD"/>
    <w:rsid w:val="00EC4FBC"/>
    <w:rsid w:val="00EC51C3"/>
    <w:rsid w:val="00EC5AA9"/>
    <w:rsid w:val="00EC5BF1"/>
    <w:rsid w:val="00EC64D8"/>
    <w:rsid w:val="00EC6698"/>
    <w:rsid w:val="00EC6709"/>
    <w:rsid w:val="00EC72EE"/>
    <w:rsid w:val="00EC79A4"/>
    <w:rsid w:val="00EC7D82"/>
    <w:rsid w:val="00ED0136"/>
    <w:rsid w:val="00ED03E4"/>
    <w:rsid w:val="00ED085E"/>
    <w:rsid w:val="00ED0F0D"/>
    <w:rsid w:val="00ED1175"/>
    <w:rsid w:val="00ED1320"/>
    <w:rsid w:val="00ED13FE"/>
    <w:rsid w:val="00ED1616"/>
    <w:rsid w:val="00ED1EE2"/>
    <w:rsid w:val="00ED207B"/>
    <w:rsid w:val="00ED242E"/>
    <w:rsid w:val="00ED2632"/>
    <w:rsid w:val="00ED2F81"/>
    <w:rsid w:val="00ED2F93"/>
    <w:rsid w:val="00ED32CC"/>
    <w:rsid w:val="00ED3592"/>
    <w:rsid w:val="00ED41D5"/>
    <w:rsid w:val="00ED48AC"/>
    <w:rsid w:val="00ED4B4E"/>
    <w:rsid w:val="00ED4E54"/>
    <w:rsid w:val="00ED511C"/>
    <w:rsid w:val="00ED54B1"/>
    <w:rsid w:val="00ED558F"/>
    <w:rsid w:val="00ED609F"/>
    <w:rsid w:val="00ED673E"/>
    <w:rsid w:val="00ED6A53"/>
    <w:rsid w:val="00ED6CBF"/>
    <w:rsid w:val="00ED6F31"/>
    <w:rsid w:val="00ED70C7"/>
    <w:rsid w:val="00ED70F3"/>
    <w:rsid w:val="00ED715E"/>
    <w:rsid w:val="00ED7B55"/>
    <w:rsid w:val="00EE13E9"/>
    <w:rsid w:val="00EE1714"/>
    <w:rsid w:val="00EE1921"/>
    <w:rsid w:val="00EE1F30"/>
    <w:rsid w:val="00EE27C8"/>
    <w:rsid w:val="00EE2E58"/>
    <w:rsid w:val="00EE2FA7"/>
    <w:rsid w:val="00EE3119"/>
    <w:rsid w:val="00EE327D"/>
    <w:rsid w:val="00EE353D"/>
    <w:rsid w:val="00EE369E"/>
    <w:rsid w:val="00EE3994"/>
    <w:rsid w:val="00EE3D68"/>
    <w:rsid w:val="00EE3E28"/>
    <w:rsid w:val="00EE3EBA"/>
    <w:rsid w:val="00EE3FE3"/>
    <w:rsid w:val="00EE4221"/>
    <w:rsid w:val="00EE4A7C"/>
    <w:rsid w:val="00EE4A9E"/>
    <w:rsid w:val="00EE4CB5"/>
    <w:rsid w:val="00EE4E38"/>
    <w:rsid w:val="00EE52B0"/>
    <w:rsid w:val="00EE5345"/>
    <w:rsid w:val="00EE62DF"/>
    <w:rsid w:val="00EE63BB"/>
    <w:rsid w:val="00EE69B5"/>
    <w:rsid w:val="00EE6A9A"/>
    <w:rsid w:val="00EE6D1A"/>
    <w:rsid w:val="00EE6DBA"/>
    <w:rsid w:val="00EE6F7B"/>
    <w:rsid w:val="00EE71F6"/>
    <w:rsid w:val="00EE7A41"/>
    <w:rsid w:val="00EE7A86"/>
    <w:rsid w:val="00EE7DC9"/>
    <w:rsid w:val="00EF03F7"/>
    <w:rsid w:val="00EF0537"/>
    <w:rsid w:val="00EF070F"/>
    <w:rsid w:val="00EF10BD"/>
    <w:rsid w:val="00EF11D8"/>
    <w:rsid w:val="00EF13C9"/>
    <w:rsid w:val="00EF1593"/>
    <w:rsid w:val="00EF2C1B"/>
    <w:rsid w:val="00EF2DD8"/>
    <w:rsid w:val="00EF2E03"/>
    <w:rsid w:val="00EF3B31"/>
    <w:rsid w:val="00EF3F00"/>
    <w:rsid w:val="00EF4509"/>
    <w:rsid w:val="00EF47D3"/>
    <w:rsid w:val="00EF5037"/>
    <w:rsid w:val="00EF52E5"/>
    <w:rsid w:val="00EF5B96"/>
    <w:rsid w:val="00EF5FED"/>
    <w:rsid w:val="00EF66E5"/>
    <w:rsid w:val="00EF7713"/>
    <w:rsid w:val="00EF98B1"/>
    <w:rsid w:val="00F001AF"/>
    <w:rsid w:val="00F00B07"/>
    <w:rsid w:val="00F00D11"/>
    <w:rsid w:val="00F00D45"/>
    <w:rsid w:val="00F01B2E"/>
    <w:rsid w:val="00F01D03"/>
    <w:rsid w:val="00F01D8C"/>
    <w:rsid w:val="00F02226"/>
    <w:rsid w:val="00F02269"/>
    <w:rsid w:val="00F02326"/>
    <w:rsid w:val="00F02C0F"/>
    <w:rsid w:val="00F02C48"/>
    <w:rsid w:val="00F02ED1"/>
    <w:rsid w:val="00F02FAC"/>
    <w:rsid w:val="00F02FBB"/>
    <w:rsid w:val="00F03134"/>
    <w:rsid w:val="00F03306"/>
    <w:rsid w:val="00F0376A"/>
    <w:rsid w:val="00F03AE5"/>
    <w:rsid w:val="00F03D84"/>
    <w:rsid w:val="00F04546"/>
    <w:rsid w:val="00F04EE4"/>
    <w:rsid w:val="00F04F7B"/>
    <w:rsid w:val="00F05006"/>
    <w:rsid w:val="00F05738"/>
    <w:rsid w:val="00F0599C"/>
    <w:rsid w:val="00F05C9C"/>
    <w:rsid w:val="00F06561"/>
    <w:rsid w:val="00F069E1"/>
    <w:rsid w:val="00F07349"/>
    <w:rsid w:val="00F0760D"/>
    <w:rsid w:val="00F07B17"/>
    <w:rsid w:val="00F07F0F"/>
    <w:rsid w:val="00F101BC"/>
    <w:rsid w:val="00F104EE"/>
    <w:rsid w:val="00F10623"/>
    <w:rsid w:val="00F10AD3"/>
    <w:rsid w:val="00F10BBB"/>
    <w:rsid w:val="00F1233E"/>
    <w:rsid w:val="00F1239F"/>
    <w:rsid w:val="00F12B51"/>
    <w:rsid w:val="00F12E21"/>
    <w:rsid w:val="00F135D3"/>
    <w:rsid w:val="00F13680"/>
    <w:rsid w:val="00F13748"/>
    <w:rsid w:val="00F13BBA"/>
    <w:rsid w:val="00F13EAB"/>
    <w:rsid w:val="00F13FC1"/>
    <w:rsid w:val="00F1406C"/>
    <w:rsid w:val="00F14234"/>
    <w:rsid w:val="00F142BB"/>
    <w:rsid w:val="00F14903"/>
    <w:rsid w:val="00F14B73"/>
    <w:rsid w:val="00F14E02"/>
    <w:rsid w:val="00F153B0"/>
    <w:rsid w:val="00F158BC"/>
    <w:rsid w:val="00F15F46"/>
    <w:rsid w:val="00F16372"/>
    <w:rsid w:val="00F16889"/>
    <w:rsid w:val="00F16C61"/>
    <w:rsid w:val="00F16EC8"/>
    <w:rsid w:val="00F16F55"/>
    <w:rsid w:val="00F16F9A"/>
    <w:rsid w:val="00F1793D"/>
    <w:rsid w:val="00F17CFF"/>
    <w:rsid w:val="00F2045D"/>
    <w:rsid w:val="00F2055F"/>
    <w:rsid w:val="00F205D0"/>
    <w:rsid w:val="00F20CA0"/>
    <w:rsid w:val="00F20CAA"/>
    <w:rsid w:val="00F21231"/>
    <w:rsid w:val="00F2135D"/>
    <w:rsid w:val="00F21600"/>
    <w:rsid w:val="00F218A3"/>
    <w:rsid w:val="00F22124"/>
    <w:rsid w:val="00F2270F"/>
    <w:rsid w:val="00F22C4C"/>
    <w:rsid w:val="00F233CD"/>
    <w:rsid w:val="00F23608"/>
    <w:rsid w:val="00F236C4"/>
    <w:rsid w:val="00F23876"/>
    <w:rsid w:val="00F239B7"/>
    <w:rsid w:val="00F239E5"/>
    <w:rsid w:val="00F23B56"/>
    <w:rsid w:val="00F23C13"/>
    <w:rsid w:val="00F2484B"/>
    <w:rsid w:val="00F24BFE"/>
    <w:rsid w:val="00F24C98"/>
    <w:rsid w:val="00F24CBB"/>
    <w:rsid w:val="00F24CC5"/>
    <w:rsid w:val="00F24FE7"/>
    <w:rsid w:val="00F25250"/>
    <w:rsid w:val="00F2562C"/>
    <w:rsid w:val="00F257C0"/>
    <w:rsid w:val="00F25913"/>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1ACC"/>
    <w:rsid w:val="00F321EF"/>
    <w:rsid w:val="00F322DE"/>
    <w:rsid w:val="00F3239D"/>
    <w:rsid w:val="00F32701"/>
    <w:rsid w:val="00F3287C"/>
    <w:rsid w:val="00F32953"/>
    <w:rsid w:val="00F32A8E"/>
    <w:rsid w:val="00F32ADA"/>
    <w:rsid w:val="00F32E19"/>
    <w:rsid w:val="00F33171"/>
    <w:rsid w:val="00F332CF"/>
    <w:rsid w:val="00F332F3"/>
    <w:rsid w:val="00F33415"/>
    <w:rsid w:val="00F33DC4"/>
    <w:rsid w:val="00F33DF1"/>
    <w:rsid w:val="00F33E0F"/>
    <w:rsid w:val="00F33F3F"/>
    <w:rsid w:val="00F33FEB"/>
    <w:rsid w:val="00F340AF"/>
    <w:rsid w:val="00F340C1"/>
    <w:rsid w:val="00F343CB"/>
    <w:rsid w:val="00F34524"/>
    <w:rsid w:val="00F3453B"/>
    <w:rsid w:val="00F345A6"/>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742"/>
    <w:rsid w:val="00F37D42"/>
    <w:rsid w:val="00F37ED8"/>
    <w:rsid w:val="00F40019"/>
    <w:rsid w:val="00F41486"/>
    <w:rsid w:val="00F4153B"/>
    <w:rsid w:val="00F41C09"/>
    <w:rsid w:val="00F42322"/>
    <w:rsid w:val="00F42727"/>
    <w:rsid w:val="00F42C63"/>
    <w:rsid w:val="00F42C65"/>
    <w:rsid w:val="00F42DE0"/>
    <w:rsid w:val="00F43287"/>
    <w:rsid w:val="00F43C7C"/>
    <w:rsid w:val="00F43F57"/>
    <w:rsid w:val="00F4404A"/>
    <w:rsid w:val="00F44C65"/>
    <w:rsid w:val="00F44D2C"/>
    <w:rsid w:val="00F45005"/>
    <w:rsid w:val="00F4589D"/>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2102"/>
    <w:rsid w:val="00F5256D"/>
    <w:rsid w:val="00F528E1"/>
    <w:rsid w:val="00F52E8D"/>
    <w:rsid w:val="00F5306D"/>
    <w:rsid w:val="00F53193"/>
    <w:rsid w:val="00F5357E"/>
    <w:rsid w:val="00F5364E"/>
    <w:rsid w:val="00F53D05"/>
    <w:rsid w:val="00F53EF8"/>
    <w:rsid w:val="00F542A4"/>
    <w:rsid w:val="00F543F1"/>
    <w:rsid w:val="00F54B3E"/>
    <w:rsid w:val="00F5513B"/>
    <w:rsid w:val="00F556C1"/>
    <w:rsid w:val="00F5585F"/>
    <w:rsid w:val="00F55B5F"/>
    <w:rsid w:val="00F55CCC"/>
    <w:rsid w:val="00F5626D"/>
    <w:rsid w:val="00F5655A"/>
    <w:rsid w:val="00F568B3"/>
    <w:rsid w:val="00F569C2"/>
    <w:rsid w:val="00F57072"/>
    <w:rsid w:val="00F571FB"/>
    <w:rsid w:val="00F5799C"/>
    <w:rsid w:val="00F57B7B"/>
    <w:rsid w:val="00F6037F"/>
    <w:rsid w:val="00F60AA5"/>
    <w:rsid w:val="00F60B23"/>
    <w:rsid w:val="00F60D23"/>
    <w:rsid w:val="00F610DD"/>
    <w:rsid w:val="00F6134B"/>
    <w:rsid w:val="00F61564"/>
    <w:rsid w:val="00F61C87"/>
    <w:rsid w:val="00F61FA1"/>
    <w:rsid w:val="00F62031"/>
    <w:rsid w:val="00F621A2"/>
    <w:rsid w:val="00F635E2"/>
    <w:rsid w:val="00F639AD"/>
    <w:rsid w:val="00F641D4"/>
    <w:rsid w:val="00F642C9"/>
    <w:rsid w:val="00F64498"/>
    <w:rsid w:val="00F645DD"/>
    <w:rsid w:val="00F64919"/>
    <w:rsid w:val="00F64A7C"/>
    <w:rsid w:val="00F64AE0"/>
    <w:rsid w:val="00F653E7"/>
    <w:rsid w:val="00F65701"/>
    <w:rsid w:val="00F6579C"/>
    <w:rsid w:val="00F65815"/>
    <w:rsid w:val="00F6586C"/>
    <w:rsid w:val="00F65AF8"/>
    <w:rsid w:val="00F65F2B"/>
    <w:rsid w:val="00F662D2"/>
    <w:rsid w:val="00F66589"/>
    <w:rsid w:val="00F66A1C"/>
    <w:rsid w:val="00F66B63"/>
    <w:rsid w:val="00F66EDD"/>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F2E"/>
    <w:rsid w:val="00F7312E"/>
    <w:rsid w:val="00F731C4"/>
    <w:rsid w:val="00F73B44"/>
    <w:rsid w:val="00F73C15"/>
    <w:rsid w:val="00F74C4F"/>
    <w:rsid w:val="00F75B63"/>
    <w:rsid w:val="00F75C74"/>
    <w:rsid w:val="00F75D51"/>
    <w:rsid w:val="00F761E4"/>
    <w:rsid w:val="00F762E9"/>
    <w:rsid w:val="00F7695D"/>
    <w:rsid w:val="00F76C4D"/>
    <w:rsid w:val="00F76E1D"/>
    <w:rsid w:val="00F77604"/>
    <w:rsid w:val="00F77A29"/>
    <w:rsid w:val="00F77F7D"/>
    <w:rsid w:val="00F7AF50"/>
    <w:rsid w:val="00F80040"/>
    <w:rsid w:val="00F804F5"/>
    <w:rsid w:val="00F80BFF"/>
    <w:rsid w:val="00F80EA7"/>
    <w:rsid w:val="00F810D8"/>
    <w:rsid w:val="00F8181E"/>
    <w:rsid w:val="00F82156"/>
    <w:rsid w:val="00F8237E"/>
    <w:rsid w:val="00F826B1"/>
    <w:rsid w:val="00F8278B"/>
    <w:rsid w:val="00F82CEB"/>
    <w:rsid w:val="00F82F59"/>
    <w:rsid w:val="00F82FE5"/>
    <w:rsid w:val="00F83D2F"/>
    <w:rsid w:val="00F83E54"/>
    <w:rsid w:val="00F845A4"/>
    <w:rsid w:val="00F848CB"/>
    <w:rsid w:val="00F84918"/>
    <w:rsid w:val="00F8566A"/>
    <w:rsid w:val="00F85865"/>
    <w:rsid w:val="00F85DA2"/>
    <w:rsid w:val="00F8631D"/>
    <w:rsid w:val="00F863DF"/>
    <w:rsid w:val="00F87271"/>
    <w:rsid w:val="00F8747E"/>
    <w:rsid w:val="00F8775C"/>
    <w:rsid w:val="00F87A68"/>
    <w:rsid w:val="00F87A82"/>
    <w:rsid w:val="00F87B15"/>
    <w:rsid w:val="00F90412"/>
    <w:rsid w:val="00F90877"/>
    <w:rsid w:val="00F91006"/>
    <w:rsid w:val="00F91322"/>
    <w:rsid w:val="00F918E0"/>
    <w:rsid w:val="00F91988"/>
    <w:rsid w:val="00F91D5F"/>
    <w:rsid w:val="00F93213"/>
    <w:rsid w:val="00F93554"/>
    <w:rsid w:val="00F935BE"/>
    <w:rsid w:val="00F93E14"/>
    <w:rsid w:val="00F9463B"/>
    <w:rsid w:val="00F94774"/>
    <w:rsid w:val="00F94F50"/>
    <w:rsid w:val="00F9533B"/>
    <w:rsid w:val="00F957FE"/>
    <w:rsid w:val="00F95A5E"/>
    <w:rsid w:val="00F95AB3"/>
    <w:rsid w:val="00F95B02"/>
    <w:rsid w:val="00F96120"/>
    <w:rsid w:val="00F9630A"/>
    <w:rsid w:val="00F9669F"/>
    <w:rsid w:val="00F96D7D"/>
    <w:rsid w:val="00F96DFB"/>
    <w:rsid w:val="00F979D4"/>
    <w:rsid w:val="00F97E96"/>
    <w:rsid w:val="00FA0455"/>
    <w:rsid w:val="00FA0739"/>
    <w:rsid w:val="00FA097C"/>
    <w:rsid w:val="00FA0F8B"/>
    <w:rsid w:val="00FA1791"/>
    <w:rsid w:val="00FA2027"/>
    <w:rsid w:val="00FA28F2"/>
    <w:rsid w:val="00FA2B04"/>
    <w:rsid w:val="00FA2E45"/>
    <w:rsid w:val="00FA2F0D"/>
    <w:rsid w:val="00FA2F2C"/>
    <w:rsid w:val="00FA36E6"/>
    <w:rsid w:val="00FA3A60"/>
    <w:rsid w:val="00FA3AC7"/>
    <w:rsid w:val="00FA4084"/>
    <w:rsid w:val="00FA4495"/>
    <w:rsid w:val="00FA4660"/>
    <w:rsid w:val="00FA4C4F"/>
    <w:rsid w:val="00FA4D06"/>
    <w:rsid w:val="00FA4F53"/>
    <w:rsid w:val="00FA5795"/>
    <w:rsid w:val="00FA58AE"/>
    <w:rsid w:val="00FA5B48"/>
    <w:rsid w:val="00FA5C06"/>
    <w:rsid w:val="00FA61CD"/>
    <w:rsid w:val="00FA6270"/>
    <w:rsid w:val="00FA62B2"/>
    <w:rsid w:val="00FA663B"/>
    <w:rsid w:val="00FA681F"/>
    <w:rsid w:val="00FA70BC"/>
    <w:rsid w:val="00FA721C"/>
    <w:rsid w:val="00FA72EE"/>
    <w:rsid w:val="00FA736C"/>
    <w:rsid w:val="00FA7686"/>
    <w:rsid w:val="00FA79BE"/>
    <w:rsid w:val="00FA7B2E"/>
    <w:rsid w:val="00FA7E2E"/>
    <w:rsid w:val="00FAB6AE"/>
    <w:rsid w:val="00FB0044"/>
    <w:rsid w:val="00FB01E6"/>
    <w:rsid w:val="00FB045D"/>
    <w:rsid w:val="00FB09D3"/>
    <w:rsid w:val="00FB0CC6"/>
    <w:rsid w:val="00FB1522"/>
    <w:rsid w:val="00FB15CF"/>
    <w:rsid w:val="00FB1C0B"/>
    <w:rsid w:val="00FB355E"/>
    <w:rsid w:val="00FB389F"/>
    <w:rsid w:val="00FB394A"/>
    <w:rsid w:val="00FB3D85"/>
    <w:rsid w:val="00FB3E50"/>
    <w:rsid w:val="00FB3FBF"/>
    <w:rsid w:val="00FB48B0"/>
    <w:rsid w:val="00FB4AAF"/>
    <w:rsid w:val="00FB51D0"/>
    <w:rsid w:val="00FB541E"/>
    <w:rsid w:val="00FB5486"/>
    <w:rsid w:val="00FB565F"/>
    <w:rsid w:val="00FB5CCE"/>
    <w:rsid w:val="00FB5D53"/>
    <w:rsid w:val="00FB67E6"/>
    <w:rsid w:val="00FB6B9F"/>
    <w:rsid w:val="00FB6C30"/>
    <w:rsid w:val="00FB6C6C"/>
    <w:rsid w:val="00FB6E0A"/>
    <w:rsid w:val="00FB6E0B"/>
    <w:rsid w:val="00FB723A"/>
    <w:rsid w:val="00FB77A7"/>
    <w:rsid w:val="00FB7C5B"/>
    <w:rsid w:val="00FB7DD0"/>
    <w:rsid w:val="00FC054A"/>
    <w:rsid w:val="00FC1117"/>
    <w:rsid w:val="00FC14A8"/>
    <w:rsid w:val="00FC1638"/>
    <w:rsid w:val="00FC20D0"/>
    <w:rsid w:val="00FC2463"/>
    <w:rsid w:val="00FC26C3"/>
    <w:rsid w:val="00FC2AE4"/>
    <w:rsid w:val="00FC2C54"/>
    <w:rsid w:val="00FC3AEC"/>
    <w:rsid w:val="00FC3E15"/>
    <w:rsid w:val="00FC4063"/>
    <w:rsid w:val="00FC42E5"/>
    <w:rsid w:val="00FC46BB"/>
    <w:rsid w:val="00FC46F9"/>
    <w:rsid w:val="00FC497B"/>
    <w:rsid w:val="00FC4A2A"/>
    <w:rsid w:val="00FC4C53"/>
    <w:rsid w:val="00FC53DB"/>
    <w:rsid w:val="00FC55B9"/>
    <w:rsid w:val="00FC5C85"/>
    <w:rsid w:val="00FC60A4"/>
    <w:rsid w:val="00FC6542"/>
    <w:rsid w:val="00FC6748"/>
    <w:rsid w:val="00FC6752"/>
    <w:rsid w:val="00FC6AA7"/>
    <w:rsid w:val="00FC6BE0"/>
    <w:rsid w:val="00FC7336"/>
    <w:rsid w:val="00FC78E8"/>
    <w:rsid w:val="00FC79DA"/>
    <w:rsid w:val="00FD0208"/>
    <w:rsid w:val="00FD04F2"/>
    <w:rsid w:val="00FD063A"/>
    <w:rsid w:val="00FD0EAB"/>
    <w:rsid w:val="00FD1206"/>
    <w:rsid w:val="00FD1259"/>
    <w:rsid w:val="00FD1C5F"/>
    <w:rsid w:val="00FD21DE"/>
    <w:rsid w:val="00FD2A8F"/>
    <w:rsid w:val="00FD2AD4"/>
    <w:rsid w:val="00FD3297"/>
    <w:rsid w:val="00FD3327"/>
    <w:rsid w:val="00FD3437"/>
    <w:rsid w:val="00FD38FC"/>
    <w:rsid w:val="00FD3A70"/>
    <w:rsid w:val="00FD3B22"/>
    <w:rsid w:val="00FD3CC4"/>
    <w:rsid w:val="00FD423B"/>
    <w:rsid w:val="00FD453E"/>
    <w:rsid w:val="00FD5092"/>
    <w:rsid w:val="00FD53F8"/>
    <w:rsid w:val="00FD53FC"/>
    <w:rsid w:val="00FD59DF"/>
    <w:rsid w:val="00FD5A04"/>
    <w:rsid w:val="00FD5B65"/>
    <w:rsid w:val="00FD5C4E"/>
    <w:rsid w:val="00FD6D63"/>
    <w:rsid w:val="00FD7137"/>
    <w:rsid w:val="00FD79CC"/>
    <w:rsid w:val="00FD7BC1"/>
    <w:rsid w:val="00FD7C9B"/>
    <w:rsid w:val="00FD7CE4"/>
    <w:rsid w:val="00FD7F6D"/>
    <w:rsid w:val="00FE09F5"/>
    <w:rsid w:val="00FE14F1"/>
    <w:rsid w:val="00FE1773"/>
    <w:rsid w:val="00FE17AA"/>
    <w:rsid w:val="00FE1A3D"/>
    <w:rsid w:val="00FE1AFD"/>
    <w:rsid w:val="00FE2640"/>
    <w:rsid w:val="00FE274A"/>
    <w:rsid w:val="00FE27BE"/>
    <w:rsid w:val="00FE27C3"/>
    <w:rsid w:val="00FE2AB1"/>
    <w:rsid w:val="00FE2D64"/>
    <w:rsid w:val="00FE2E98"/>
    <w:rsid w:val="00FE3812"/>
    <w:rsid w:val="00FE3958"/>
    <w:rsid w:val="00FE3CBD"/>
    <w:rsid w:val="00FE4022"/>
    <w:rsid w:val="00FE44AD"/>
    <w:rsid w:val="00FE4D09"/>
    <w:rsid w:val="00FE4E20"/>
    <w:rsid w:val="00FE537D"/>
    <w:rsid w:val="00FE554B"/>
    <w:rsid w:val="00FE5E8D"/>
    <w:rsid w:val="00FE6155"/>
    <w:rsid w:val="00FE61E6"/>
    <w:rsid w:val="00FE65FB"/>
    <w:rsid w:val="00FE6800"/>
    <w:rsid w:val="00FE6C3D"/>
    <w:rsid w:val="00FE6C44"/>
    <w:rsid w:val="00FE6C8A"/>
    <w:rsid w:val="00FE6EAE"/>
    <w:rsid w:val="00FE6FBE"/>
    <w:rsid w:val="00FE7009"/>
    <w:rsid w:val="00FE71DE"/>
    <w:rsid w:val="00FE73E6"/>
    <w:rsid w:val="00FE77AB"/>
    <w:rsid w:val="00FE78DC"/>
    <w:rsid w:val="00FE7920"/>
    <w:rsid w:val="00FED472"/>
    <w:rsid w:val="00FF002F"/>
    <w:rsid w:val="00FF11C6"/>
    <w:rsid w:val="00FF1505"/>
    <w:rsid w:val="00FF150E"/>
    <w:rsid w:val="00FF1981"/>
    <w:rsid w:val="00FF1EA0"/>
    <w:rsid w:val="00FF2EC1"/>
    <w:rsid w:val="00FF3246"/>
    <w:rsid w:val="00FF3A3D"/>
    <w:rsid w:val="00FF438A"/>
    <w:rsid w:val="00FF48E4"/>
    <w:rsid w:val="00FF4A05"/>
    <w:rsid w:val="00FF4A7A"/>
    <w:rsid w:val="00FF5202"/>
    <w:rsid w:val="00FF578C"/>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0410FE5"/>
  <w15:docId w15:val="{7BCCE0A5-60CC-4FAF-A82F-24D63858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Courier New"/>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qFormat="1"/>
    <w:lsdException w:name="annotation text" w:locked="1"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macro" w:semiHidden="1" w:unhideWhenUsed="1"/>
    <w:lsdException w:name="toa heading"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nhideWhenUsed="1"/>
    <w:lsdException w:name="Balloon Text" w:uiPriority="99"/>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link w:val="Heading8Char"/>
    <w:qFormat/>
    <w:rPr>
      <w:rFonts w:eastAsia="MS Mincho" w:cs="Times New Roman"/>
      <w:snapToGrid w:val="0"/>
      <w:sz w:val="24"/>
      <w:szCs w:val="24"/>
      <w:lang w:val="en-CA" w:eastAsia="ko-KR"/>
    </w:rPr>
  </w:style>
  <w:style w:type="paragraph" w:styleId="Heading1">
    <w:name w:val="heading 1"/>
    <w:basedOn w:val="Normal"/>
    <w:next w:val="Heading2"/>
    <w:qFormat/>
    <w:pPr>
      <w:keepNext/>
      <w:tabs>
        <w:tab w:val="left" w:pos="720"/>
      </w:tabs>
      <w:spacing w:before="240" w:after="120"/>
      <w:jc w:val="center"/>
      <w:outlineLvl w:val="0"/>
    </w:pPr>
    <w:rPr>
      <w:b/>
      <w:bCs/>
      <w:caps/>
      <w:sz w:val="22"/>
      <w:szCs w:val="22"/>
      <w:lang w:val="en-GB"/>
    </w:rPr>
  </w:style>
  <w:style w:type="paragraph" w:styleId="Heading2">
    <w:name w:val="heading 2"/>
    <w:basedOn w:val="Normal"/>
    <w:next w:val="Normal"/>
    <w:link w:val="PlaceholderText"/>
    <w:qFormat/>
    <w:pPr>
      <w:keepNext/>
      <w:tabs>
        <w:tab w:val="left" w:pos="720"/>
      </w:tabs>
      <w:spacing w:before="120" w:after="120"/>
      <w:jc w:val="center"/>
      <w:outlineLvl w:val="1"/>
    </w:pPr>
    <w:rPr>
      <w:b/>
      <w:bCs/>
      <w:sz w:val="22"/>
      <w:szCs w:val="22"/>
      <w:lang w:val="en-GB"/>
    </w:rPr>
  </w:style>
  <w:style w:type="paragraph" w:styleId="Heading3">
    <w:name w:val="heading 3"/>
    <w:basedOn w:val="Normal"/>
    <w:next w:val="Normal"/>
    <w:qFormat/>
    <w:pPr>
      <w:keepNext/>
      <w:tabs>
        <w:tab w:val="left" w:pos="567"/>
      </w:tabs>
      <w:spacing w:before="120" w:after="120"/>
      <w:jc w:val="center"/>
      <w:outlineLvl w:val="2"/>
    </w:pPr>
    <w:rPr>
      <w:i/>
      <w:iCs/>
      <w:sz w:val="22"/>
      <w:szCs w:val="22"/>
      <w:lang w:val="en-GB"/>
    </w:rPr>
  </w:style>
  <w:style w:type="paragraph" w:styleId="Heading4">
    <w:name w:val="heading 4"/>
    <w:basedOn w:val="Normal"/>
    <w:qFormat/>
    <w:pPr>
      <w:keepNext/>
      <w:spacing w:before="120" w:after="120"/>
      <w:jc w:val="both"/>
      <w:outlineLvl w:val="3"/>
    </w:pPr>
    <w:rPr>
      <w:rFonts w:ascii="Times New Roman Bold" w:eastAsia="Times New Roman" w:hAnsi="Times New Roman Bold" w:cs="Times New Roman Bold"/>
      <w:b/>
      <w:bCs/>
      <w:i/>
      <w:iCs/>
      <w:sz w:val="22"/>
      <w:szCs w:val="22"/>
      <w:lang w:val="en-GB"/>
    </w:rPr>
  </w:style>
  <w:style w:type="paragraph" w:styleId="Heading5">
    <w:name w:val="heading 5"/>
    <w:basedOn w:val="Normal"/>
    <w:next w:val="Normal"/>
    <w:qFormat/>
    <w:pPr>
      <w:keepNext/>
      <w:numPr>
        <w:ilvl w:val="4"/>
        <w:numId w:val="2"/>
      </w:numPr>
      <w:spacing w:before="120" w:after="120"/>
      <w:outlineLvl w:val="4"/>
    </w:pPr>
    <w:rPr>
      <w:i/>
      <w:iCs/>
      <w:sz w:val="22"/>
      <w:szCs w:val="22"/>
    </w:rPr>
  </w:style>
  <w:style w:type="paragraph" w:styleId="Heading6">
    <w:name w:val="heading 6"/>
    <w:basedOn w:val="Normal"/>
    <w:next w:val="Normal"/>
    <w:qFormat/>
    <w:pPr>
      <w:keepNext/>
      <w:spacing w:after="240" w:line="240" w:lineRule="exact"/>
      <w:ind w:left="720"/>
      <w:jc w:val="both"/>
      <w:outlineLvl w:val="5"/>
    </w:pPr>
    <w:rPr>
      <w:sz w:val="22"/>
      <w:szCs w:val="22"/>
      <w:u w:val="single"/>
      <w:lang w:val="en-GB"/>
    </w:rPr>
  </w:style>
  <w:style w:type="paragraph" w:styleId="Heading7">
    <w:name w:val="heading 7"/>
    <w:basedOn w:val="Normal"/>
    <w:next w:val="Normal"/>
    <w:qFormat/>
    <w:pPr>
      <w:keepNext/>
      <w:jc w:val="right"/>
      <w:outlineLvl w:val="6"/>
    </w:pPr>
    <w:rPr>
      <w:rFonts w:ascii="Univers" w:hAnsi="Univers" w:cs="Univers"/>
      <w:b/>
      <w:bCs/>
      <w:sz w:val="28"/>
      <w:szCs w:val="28"/>
      <w:lang w:val="en-GB"/>
    </w:rPr>
  </w:style>
  <w:style w:type="paragraph" w:styleId="Heading8">
    <w:name w:val="heading 8"/>
    <w:basedOn w:val="Normal"/>
    <w:next w:val="Normal"/>
    <w:qFormat/>
    <w:pPr>
      <w:keepNext/>
      <w:jc w:val="right"/>
      <w:outlineLvl w:val="7"/>
    </w:pPr>
    <w:rPr>
      <w:rFonts w:ascii="Univers" w:hAnsi="Univers" w:cs="Univers"/>
      <w:b/>
      <w:bCs/>
      <w:sz w:val="32"/>
      <w:szCs w:val="32"/>
      <w:lang w:val="en-GB"/>
    </w:rPr>
  </w:style>
  <w:style w:type="paragraph" w:styleId="Heading9">
    <w:name w:val="heading 9"/>
    <w:basedOn w:val="Normal"/>
    <w:next w:val="Normal"/>
    <w:qFormat/>
    <w:pPr>
      <w:keepNext/>
      <w:spacing w:before="100" w:beforeAutospacing="1" w:after="120"/>
      <w:jc w:val="both"/>
      <w:outlineLvl w:val="8"/>
    </w:pPr>
    <w:rPr>
      <w:i/>
      <w:i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Pr>
      <w:rFonts w:ascii="Cambria" w:eastAsia="MS Mincho" w:hAnsi="Cambria" w:cs="Cambria"/>
      <w:snapToGrid w:val="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1"/>
    <w:uiPriority w:val="99"/>
    <w:semiHidden/>
    <w:pPr>
      <w:jc w:val="both"/>
    </w:pPr>
    <w:rPr>
      <w:sz w:val="18"/>
      <w:szCs w:val="18"/>
      <w:lang w:val="en-GB"/>
    </w:rPr>
  </w:style>
  <w:style w:type="character" w:customStyle="1" w:styleId="BalloonTextChar">
    <w:name w:val="Balloon Text Char"/>
    <w:basedOn w:val="DefaultParagraphFont"/>
    <w:uiPriority w:val="99"/>
    <w:semiHidden/>
    <w:locked/>
    <w:rPr>
      <w:rFonts w:ascii="Times New Roman" w:hAnsi="Times New Roman" w:cs="Times New Roman"/>
      <w:sz w:val="18"/>
      <w:szCs w:val="18"/>
      <w:lang w:val="en-US"/>
    </w:rPr>
  </w:style>
  <w:style w:type="character" w:styleId="PlaceholderText">
    <w:name w:val="Placeholder Text"/>
    <w:aliases w:val="Heading 2 Char1"/>
    <w:basedOn w:val="DefaultParagraphFont"/>
    <w:link w:val="Heading2"/>
    <w:uiPriority w:val="99"/>
    <w:rPr>
      <w:color w:val="808080"/>
    </w:rPr>
  </w:style>
  <w:style w:type="paragraph" w:styleId="Header">
    <w:name w:val="header"/>
    <w:basedOn w:val="Normal"/>
    <w:pPr>
      <w:tabs>
        <w:tab w:val="center" w:pos="4320"/>
        <w:tab w:val="right" w:pos="8640"/>
      </w:tabs>
      <w:jc w:val="both"/>
    </w:pPr>
    <w:rPr>
      <w:sz w:val="22"/>
      <w:szCs w:val="22"/>
      <w:lang w:val="en-GB"/>
    </w:rPr>
  </w:style>
  <w:style w:type="character" w:customStyle="1" w:styleId="HeaderChar">
    <w:name w:val="Header Char"/>
    <w:basedOn w:val="DefaultParagraphFont"/>
    <w:locked/>
    <w:rPr>
      <w:rFonts w:ascii="Times New Roman" w:hAnsi="Times New Roman" w:cs="Times New Roman"/>
      <w:sz w:val="22"/>
      <w:szCs w:val="22"/>
      <w:lang w:val="en-GB"/>
    </w:rPr>
  </w:style>
  <w:style w:type="paragraph" w:styleId="Footer">
    <w:name w:val="footer"/>
    <w:basedOn w:val="Normal"/>
    <w:uiPriority w:val="99"/>
    <w:pPr>
      <w:tabs>
        <w:tab w:val="center" w:pos="4320"/>
        <w:tab w:val="right" w:pos="8640"/>
      </w:tabs>
      <w:ind w:firstLine="720"/>
      <w:jc w:val="right"/>
    </w:pPr>
    <w:rPr>
      <w:sz w:val="22"/>
      <w:szCs w:val="22"/>
      <w:lang w:val="en-GB"/>
    </w:rPr>
  </w:style>
  <w:style w:type="character" w:customStyle="1" w:styleId="FooterChar">
    <w:name w:val="Footer Char"/>
    <w:basedOn w:val="DefaultParagraphFont"/>
    <w:uiPriority w:val="99"/>
    <w:locked/>
    <w:rPr>
      <w:rFonts w:ascii="Times New Roman" w:hAnsi="Times New Roman" w:cs="Times New Roman"/>
      <w:sz w:val="22"/>
      <w:szCs w:val="22"/>
      <w:lang w:val="en-GB"/>
    </w:rPr>
  </w:style>
  <w:style w:type="paragraph" w:customStyle="1" w:styleId="meetingname">
    <w:name w:val="meeting name"/>
    <w:basedOn w:val="Normal"/>
    <w:qFormat/>
    <w:pPr>
      <w:ind w:left="142" w:right="4218" w:hanging="142"/>
      <w:jc w:val="both"/>
    </w:pPr>
    <w:rPr>
      <w:caps/>
      <w:sz w:val="22"/>
      <w:szCs w:val="22"/>
      <w:lang w:val="en-GB"/>
    </w:rPr>
  </w:style>
  <w:style w:type="paragraph" w:styleId="Title">
    <w:name w:val="Title"/>
    <w:basedOn w:val="Normal"/>
    <w:next w:val="Normal"/>
    <w:uiPriority w:val="10"/>
    <w:qFormat/>
    <w:pPr>
      <w:pBdr>
        <w:bottom w:val="single" w:sz="8" w:space="4" w:color="4F81BD"/>
      </w:pBdr>
      <w:spacing w:after="300"/>
      <w:jc w:val="both"/>
    </w:pPr>
    <w:rPr>
      <w:rFonts w:ascii="Calibri" w:eastAsia="Times New Roman" w:hAnsi="Calibri" w:cs="Calibri"/>
      <w:color w:val="17365D"/>
      <w:spacing w:val="5"/>
      <w:kern w:val="28"/>
      <w:sz w:val="52"/>
      <w:szCs w:val="52"/>
      <w:lang w:val="en-GB"/>
    </w:rPr>
  </w:style>
  <w:style w:type="character" w:customStyle="1" w:styleId="TitleChar">
    <w:name w:val="Title Char"/>
    <w:basedOn w:val="DefaultParagraphFont"/>
    <w:uiPriority w:val="10"/>
    <w:locked/>
    <w:rPr>
      <w:rFonts w:ascii="Calibri" w:eastAsia="Times New Roman" w:hAnsi="Calibri" w:cs="Calibri"/>
      <w:color w:val="17365D"/>
      <w:spacing w:val="5"/>
      <w:kern w:val="28"/>
      <w:sz w:val="52"/>
      <w:szCs w:val="52"/>
      <w:lang w:val="en-US"/>
    </w:rPr>
  </w:style>
  <w:style w:type="paragraph" w:styleId="Subtitle">
    <w:name w:val="Subtitle"/>
    <w:basedOn w:val="Normal"/>
    <w:next w:val="Normal"/>
    <w:uiPriority w:val="11"/>
    <w:qFormat/>
    <w:pPr>
      <w:numPr>
        <w:ilvl w:val="1"/>
      </w:numPr>
      <w:jc w:val="both"/>
    </w:pPr>
    <w:rPr>
      <w:rFonts w:ascii="Calibri" w:eastAsia="Times New Roman" w:hAnsi="Calibri" w:cs="Calibri"/>
      <w:i/>
      <w:iCs/>
      <w:color w:val="4F81BD"/>
      <w:spacing w:val="15"/>
      <w:lang w:val="en-GB"/>
    </w:rPr>
  </w:style>
  <w:style w:type="character" w:customStyle="1" w:styleId="SubtitleChar">
    <w:name w:val="Subtitle Char"/>
    <w:basedOn w:val="DefaultParagraphFont"/>
    <w:uiPriority w:val="11"/>
    <w:locked/>
    <w:rPr>
      <w:rFonts w:ascii="Calibri" w:eastAsia="Times New Roman" w:hAnsi="Calibri" w:cs="Calibri"/>
      <w:i/>
      <w:iCs/>
      <w:color w:val="4F81BD"/>
      <w:spacing w:val="15"/>
      <w:lang w:val="en-US"/>
    </w:rPr>
  </w:style>
  <w:style w:type="character" w:customStyle="1" w:styleId="Heading1Char">
    <w:name w:val="Heading 1 Char"/>
    <w:basedOn w:val="DefaultParagraphFont"/>
    <w:locked/>
    <w:rPr>
      <w:rFonts w:ascii="Times New Roman" w:hAnsi="Times New Roman" w:cs="Times New Roman"/>
      <w:b/>
      <w:bCs/>
      <w:caps/>
      <w:sz w:val="22"/>
      <w:szCs w:val="22"/>
      <w:lang w:val="en-GB"/>
    </w:rPr>
  </w:style>
  <w:style w:type="paragraph" w:styleId="BodyText">
    <w:name w:val="Body Text"/>
    <w:basedOn w:val="Normal"/>
    <w:link w:val="BodyTextChar"/>
    <w:pPr>
      <w:spacing w:before="120" w:after="120"/>
      <w:ind w:firstLine="720"/>
      <w:jc w:val="both"/>
    </w:pPr>
    <w:rPr>
      <w:sz w:val="22"/>
      <w:szCs w:val="22"/>
      <w:lang w:val="en-GB"/>
    </w:rPr>
  </w:style>
  <w:style w:type="character" w:customStyle="1" w:styleId="BalloonTextChar1">
    <w:name w:val="Balloon Text Char1"/>
    <w:basedOn w:val="DefaultParagraphFont"/>
    <w:link w:val="BalloonText"/>
    <w:locked/>
    <w:rPr>
      <w:rFonts w:ascii="Times New Roman" w:hAnsi="Times New Roman" w:cs="Times New Roman"/>
      <w:sz w:val="22"/>
      <w:szCs w:val="22"/>
      <w:lang w:val="en-GB"/>
    </w:rPr>
  </w:style>
  <w:style w:type="paragraph" w:styleId="BodyTextIndent">
    <w:name w:val="Body Text Indent"/>
    <w:basedOn w:val="Normal"/>
    <w:pPr>
      <w:spacing w:before="120" w:after="120"/>
      <w:ind w:left="1440" w:hanging="720"/>
    </w:pPr>
    <w:rPr>
      <w:sz w:val="22"/>
      <w:szCs w:val="22"/>
      <w:lang w:val="en-GB"/>
    </w:rPr>
  </w:style>
  <w:style w:type="character" w:customStyle="1" w:styleId="BodyTextIndentChar">
    <w:name w:val="Body Text Indent Char"/>
    <w:basedOn w:val="DefaultParagraphFont"/>
    <w:locked/>
    <w:rPr>
      <w:rFonts w:ascii="Times New Roman" w:hAnsi="Times New Roman" w:cs="Times New Roman"/>
      <w:sz w:val="22"/>
      <w:szCs w:val="22"/>
      <w:lang w:val="en-GB"/>
    </w:rPr>
  </w:style>
  <w:style w:type="character" w:styleId="CommentReference">
    <w:name w:val="annotation reference"/>
    <w:basedOn w:val="DefaultParagraphFont"/>
    <w:rPr>
      <w:sz w:val="16"/>
      <w:szCs w:val="16"/>
    </w:rPr>
  </w:style>
  <w:style w:type="paragraph" w:styleId="CommentText">
    <w:name w:val="annotation text"/>
    <w:basedOn w:val="Normal"/>
    <w:pPr>
      <w:spacing w:after="120" w:line="240" w:lineRule="exact"/>
      <w:jc w:val="both"/>
    </w:pPr>
    <w:rPr>
      <w:sz w:val="22"/>
      <w:szCs w:val="22"/>
      <w:lang w:val="en-GB"/>
    </w:rPr>
  </w:style>
  <w:style w:type="character" w:customStyle="1" w:styleId="CommentTextChar">
    <w:name w:val="Comment Text Char"/>
    <w:basedOn w:val="DefaultParagraphFont"/>
    <w:locked/>
    <w:rPr>
      <w:rFonts w:ascii="Times New Roman" w:hAnsi="Times New Roman" w:cs="Times New Roman"/>
      <w:sz w:val="22"/>
      <w:szCs w:val="22"/>
      <w:lang w:val="en-GB"/>
    </w:rPr>
  </w:style>
  <w:style w:type="paragraph" w:customStyle="1" w:styleId="Cornernotation">
    <w:name w:val="Corner notation"/>
    <w:basedOn w:val="Normal"/>
    <w:pPr>
      <w:ind w:left="170" w:right="3119" w:hanging="170"/>
    </w:pPr>
    <w:rPr>
      <w:sz w:val="22"/>
      <w:szCs w:val="22"/>
      <w:lang w:val="en-GB"/>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widowControl w:val="0"/>
      <w:tabs>
        <w:tab w:val="left" w:pos="-720"/>
      </w:tabs>
      <w:suppressAutoHyphens/>
      <w:jc w:val="both"/>
    </w:pPr>
    <w:rPr>
      <w:rFonts w:ascii="Courier New" w:hAnsi="Courier New" w:cs="Courier New"/>
      <w:sz w:val="22"/>
      <w:szCs w:val="22"/>
      <w:lang w:val="en-GB"/>
    </w:rPr>
  </w:style>
  <w:style w:type="character" w:customStyle="1" w:styleId="EndnoteTextChar">
    <w:name w:val="Endnote Text Char"/>
    <w:basedOn w:val="DefaultParagraphFont"/>
    <w:semiHidden/>
    <w:locked/>
    <w:rPr>
      <w:rFonts w:ascii="Courier New" w:hAnsi="Courier New" w:cs="Courier New"/>
      <w:sz w:val="22"/>
      <w:szCs w:val="22"/>
      <w:lang w:val="en-GB"/>
    </w:rPr>
  </w:style>
  <w:style w:type="character" w:styleId="FollowedHyperlink">
    <w:name w:val="FollowedHyperlink"/>
    <w:basedOn w:val="DefaultParagraphFont"/>
    <w:uiPriority w:val="99"/>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qFormat/>
    <w:locked/>
    <w:rPr>
      <w:sz w:val="22"/>
      <w:szCs w:val="22"/>
      <w:u w:val="none"/>
      <w:vertAlign w:val="superscript"/>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qFormat/>
    <w:pPr>
      <w:keepLines/>
      <w:spacing w:after="60"/>
      <w:ind w:firstLine="720"/>
      <w:jc w:val="both"/>
    </w:pPr>
    <w:rPr>
      <w:sz w:val="18"/>
      <w:szCs w:val="18"/>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
    <w:basedOn w:val="DefaultParagraphFont"/>
    <w:locked/>
    <w:rPr>
      <w:rFonts w:ascii="Times New Roman" w:hAnsi="Times New Roman" w:cs="Times New Roman"/>
      <w:sz w:val="18"/>
      <w:szCs w:val="18"/>
      <w:lang w:val="en-GB"/>
    </w:rPr>
  </w:style>
  <w:style w:type="paragraph" w:customStyle="1" w:styleId="HEADING">
    <w:name w:val="HEADING"/>
    <w:basedOn w:val="Normal"/>
    <w:pPr>
      <w:keepNext/>
      <w:spacing w:before="240" w:after="120"/>
      <w:jc w:val="center"/>
    </w:pPr>
    <w:rPr>
      <w:b/>
      <w:bCs/>
      <w:caps/>
      <w:sz w:val="22"/>
      <w:szCs w:val="22"/>
      <w:lang w:val="en-GB"/>
    </w:rPr>
  </w:style>
  <w:style w:type="character" w:customStyle="1" w:styleId="Heading2Char">
    <w:name w:val="Heading 2 Char"/>
    <w:basedOn w:val="DefaultParagraphFont"/>
    <w:locked/>
    <w:rPr>
      <w:rFonts w:ascii="Times New Roman" w:hAnsi="Times New Roman" w:cs="Times New Roman"/>
      <w:b/>
      <w:bCs/>
      <w:sz w:val="22"/>
      <w:szCs w:val="22"/>
      <w:lang w:val="en-GB"/>
    </w:rPr>
  </w:style>
  <w:style w:type="paragraph" w:customStyle="1" w:styleId="HEADINGNOTFORTOC">
    <w:name w:val="HEADING (NOT FOR TOC)"/>
    <w:basedOn w:val="Heading1"/>
    <w:next w:val="Heading2"/>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character" w:customStyle="1" w:styleId="Heading3Char">
    <w:name w:val="Heading 3 Char"/>
    <w:basedOn w:val="DefaultParagraphFont"/>
    <w:locked/>
    <w:rPr>
      <w:rFonts w:ascii="Times New Roman" w:hAnsi="Times New Roman" w:cs="Times New Roman"/>
      <w:i/>
      <w:iCs/>
      <w:sz w:val="22"/>
      <w:szCs w:val="22"/>
      <w:lang w:val="en-GB"/>
    </w:rPr>
  </w:style>
  <w:style w:type="paragraph" w:customStyle="1" w:styleId="heading2notforTOC">
    <w:name w:val="heading 2 not for TOC"/>
    <w:basedOn w:val="Heading3"/>
  </w:style>
  <w:style w:type="paragraph" w:customStyle="1" w:styleId="Heading3multiline">
    <w:name w:val="Heading 3 (multiline)"/>
    <w:basedOn w:val="Heading3"/>
    <w:next w:val="Normal"/>
    <w:pPr>
      <w:ind w:left="1418" w:hanging="425"/>
      <w:jc w:val="left"/>
    </w:pPr>
  </w:style>
  <w:style w:type="character" w:customStyle="1" w:styleId="Heading4Char">
    <w:name w:val="Heading 4 Char"/>
    <w:basedOn w:val="DefaultParagraphFont"/>
    <w:locked/>
    <w:rPr>
      <w:rFonts w:ascii="Times New Roman Bold" w:eastAsia="Times New Roman" w:hAnsi="Times New Roman Bold" w:cs="Times New Roman Bold"/>
      <w:b/>
      <w:bCs/>
      <w:i/>
      <w:iCs/>
      <w:sz w:val="22"/>
      <w:szCs w:val="22"/>
      <w:lang w:val="en-GB"/>
    </w:rPr>
  </w:style>
  <w:style w:type="paragraph" w:customStyle="1" w:styleId="Heading4indent">
    <w:name w:val="Heading 4 indent"/>
    <w:basedOn w:val="Heading4"/>
    <w:pPr>
      <w:ind w:left="720"/>
      <w:outlineLvl w:val="9"/>
    </w:pPr>
    <w:rPr>
      <w:rFonts w:ascii="Times New Roman" w:hAnsi="Times New Roman" w:cs="Times New Roman"/>
    </w:rPr>
  </w:style>
  <w:style w:type="character" w:customStyle="1" w:styleId="Heading5Char">
    <w:name w:val="Heading 5 Char"/>
    <w:basedOn w:val="DefaultParagraphFont"/>
    <w:locked/>
    <w:rPr>
      <w:rFonts w:ascii="Times New Roman" w:hAnsi="Times New Roman" w:cs="Times New Roman"/>
      <w:i/>
      <w:iCs/>
      <w:sz w:val="26"/>
      <w:szCs w:val="26"/>
      <w:lang w:val="en-CA"/>
    </w:rPr>
  </w:style>
  <w:style w:type="character" w:customStyle="1" w:styleId="Heading6Char">
    <w:name w:val="Heading 6 Char"/>
    <w:basedOn w:val="DefaultParagraphFont"/>
    <w:locked/>
    <w:rPr>
      <w:rFonts w:ascii="Times New Roman" w:hAnsi="Times New Roman" w:cs="Times New Roman"/>
      <w:sz w:val="22"/>
      <w:szCs w:val="22"/>
      <w:u w:val="single"/>
      <w:lang w:val="en-GB"/>
    </w:rPr>
  </w:style>
  <w:style w:type="character" w:customStyle="1" w:styleId="Heading7Char">
    <w:name w:val="Heading 7 Char"/>
    <w:basedOn w:val="DefaultParagraphFont"/>
    <w:locked/>
    <w:rPr>
      <w:rFonts w:ascii="Univers" w:hAnsi="Univers" w:cs="Univers"/>
      <w:b/>
      <w:bCs/>
      <w:sz w:val="28"/>
      <w:szCs w:val="28"/>
      <w:lang w:val="en-GB"/>
    </w:rPr>
  </w:style>
  <w:style w:type="character" w:customStyle="1" w:styleId="Heading8Char">
    <w:name w:val="Heading 8 Char"/>
    <w:basedOn w:val="DefaultParagraphFont"/>
    <w:locked/>
    <w:rPr>
      <w:rFonts w:ascii="Univers" w:hAnsi="Univers" w:cs="Univers"/>
      <w:b/>
      <w:bCs/>
      <w:sz w:val="32"/>
      <w:szCs w:val="32"/>
      <w:lang w:val="en-GB"/>
    </w:rPr>
  </w:style>
  <w:style w:type="character" w:customStyle="1" w:styleId="Heading9Char">
    <w:name w:val="Heading 9 Char"/>
    <w:basedOn w:val="DefaultParagraphFont"/>
    <w:locked/>
    <w:rPr>
      <w:rFonts w:ascii="Times New Roman" w:hAnsi="Times New Roman" w:cs="Times New Roman"/>
      <w:i/>
      <w:iCs/>
      <w:sz w:val="22"/>
      <w:szCs w:val="22"/>
      <w:lang w:val="en-GB"/>
    </w:rPr>
  </w:style>
  <w:style w:type="character" w:styleId="PageNumber">
    <w:name w:val="page number"/>
    <w:basedOn w:val="DefaultParagraphFont"/>
    <w:rPr>
      <w:rFonts w:ascii="Times New Roman" w:hAnsi="Times New Roman" w:cs="Times New Roman"/>
      <w:sz w:val="22"/>
      <w:szCs w:val="22"/>
    </w:rPr>
  </w:style>
  <w:style w:type="paragraph" w:customStyle="1" w:styleId="Para1">
    <w:name w:val="Para1"/>
    <w:basedOn w:val="Normal"/>
    <w:pPr>
      <w:numPr>
        <w:numId w:val="3"/>
      </w:numPr>
      <w:spacing w:before="120" w:after="120"/>
      <w:jc w:val="both"/>
    </w:pPr>
    <w:rPr>
      <w:sz w:val="22"/>
      <w:szCs w:val="22"/>
      <w:lang w:val="en-GB"/>
    </w:rPr>
  </w:style>
  <w:style w:type="paragraph" w:customStyle="1" w:styleId="Para2">
    <w:name w:val="Para2"/>
    <w:basedOn w:val="Para1"/>
    <w:pPr>
      <w:numPr>
        <w:numId w:val="0"/>
      </w:numPr>
      <w:autoSpaceDE w:val="0"/>
      <w:autoSpaceDN w:val="0"/>
    </w:pPr>
  </w:style>
  <w:style w:type="paragraph" w:customStyle="1" w:styleId="Para3">
    <w:name w:val="Para3"/>
    <w:basedOn w:val="Normal"/>
    <w:pPr>
      <w:numPr>
        <w:ilvl w:val="3"/>
        <w:numId w:val="4"/>
      </w:numPr>
      <w:tabs>
        <w:tab w:val="left" w:pos="1980"/>
      </w:tabs>
      <w:spacing w:before="80" w:after="80"/>
      <w:jc w:val="both"/>
    </w:pPr>
    <w:rPr>
      <w:sz w:val="22"/>
      <w:szCs w:val="22"/>
      <w:lang w:val="en-GB"/>
    </w:rPr>
  </w:style>
  <w:style w:type="paragraph" w:customStyle="1" w:styleId="para4">
    <w:name w:val="para4"/>
    <w:basedOn w:val="Normal"/>
    <w:pPr>
      <w:overflowPunct w:val="0"/>
      <w:autoSpaceDE w:val="0"/>
      <w:autoSpaceDN w:val="0"/>
      <w:adjustRightInd w:val="0"/>
      <w:spacing w:after="120" w:line="240" w:lineRule="atLeast"/>
      <w:jc w:val="both"/>
      <w:textAlignment w:val="baseline"/>
    </w:pPr>
    <w:rPr>
      <w:rFonts w:ascii="Courier" w:hAnsi="Courier" w:cs="Courier"/>
      <w:color w:val="000000"/>
      <w:sz w:val="20"/>
      <w:szCs w:val="20"/>
      <w:lang w:val="en-GB"/>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szCs w:val="22"/>
      <w:lang w:val="en-GB"/>
    </w:rPr>
  </w:style>
  <w:style w:type="paragraph" w:customStyle="1" w:styleId="Quotationtextindented">
    <w:name w:val="Quotation text (indented)"/>
    <w:basedOn w:val="Normal"/>
    <w:qFormat/>
    <w:pPr>
      <w:spacing w:before="120" w:after="120"/>
      <w:ind w:left="720" w:right="720"/>
      <w:jc w:val="both"/>
    </w:pPr>
    <w:rPr>
      <w:sz w:val="22"/>
      <w:szCs w:val="22"/>
      <w:lang w:val="en-GB"/>
    </w:rPr>
  </w:style>
  <w:style w:type="paragraph" w:customStyle="1" w:styleId="recommendationheader">
    <w:name w:val="recommendation header"/>
    <w:basedOn w:val="Heading2"/>
    <w:qFormat/>
  </w:style>
  <w:style w:type="paragraph" w:customStyle="1" w:styleId="recommendationheaderlong">
    <w:name w:val="recommendation header long"/>
    <w:basedOn w:val="Heading2longmultiline"/>
    <w:qFormat/>
  </w:style>
  <w:style w:type="paragraph" w:customStyle="1" w:styleId="reference">
    <w:name w:val="reference"/>
    <w:basedOn w:val="Heading9"/>
    <w:qFormat/>
    <w:rPr>
      <w:i w:val="0"/>
      <w:iCs w:val="0"/>
      <w:sz w:val="18"/>
      <w:szCs w:val="18"/>
    </w:rPr>
  </w:style>
  <w:style w:type="character" w:customStyle="1" w:styleId="StyleFootnoteReferenceNounderline">
    <w:name w:val="Style Footnote Reference + No underline"/>
    <w:rPr>
      <w:sz w:val="18"/>
      <w:szCs w:val="18"/>
      <w:u w:val="none"/>
      <w:vertAlign w:val="baseline"/>
    </w:rPr>
  </w:style>
  <w:style w:type="paragraph" w:customStyle="1" w:styleId="tabletitle">
    <w:name w:val="table title"/>
    <w:basedOn w:val="Heading2"/>
    <w:qFormat/>
    <w:pPr>
      <w:jc w:val="left"/>
      <w:outlineLvl w:val="9"/>
    </w:pPr>
    <w:rPr>
      <w:i/>
      <w:iCs/>
    </w:rPr>
  </w:style>
  <w:style w:type="paragraph" w:styleId="TOAHeading">
    <w:name w:val="toa heading"/>
    <w:basedOn w:val="Normal"/>
    <w:next w:val="Normal"/>
    <w:semiHidden/>
    <w:pPr>
      <w:spacing w:before="120"/>
      <w:jc w:val="both"/>
    </w:pPr>
    <w:rPr>
      <w:b/>
      <w:bCs/>
      <w:lang w:val="en-GB"/>
    </w:rPr>
  </w:style>
  <w:style w:type="paragraph" w:styleId="TOC1">
    <w:name w:val="toc 1"/>
    <w:basedOn w:val="Normal"/>
    <w:next w:val="Normal"/>
    <w:autoRedefine/>
    <w:semiHidden/>
    <w:pPr>
      <w:ind w:left="720" w:hanging="720"/>
      <w:jc w:val="both"/>
    </w:pPr>
    <w:rPr>
      <w:caps/>
      <w:sz w:val="22"/>
      <w:szCs w:val="22"/>
      <w:lang w:val="en-GB"/>
    </w:rPr>
  </w:style>
  <w:style w:type="paragraph" w:styleId="TOC2">
    <w:name w:val="toc 2"/>
    <w:basedOn w:val="Normal"/>
    <w:next w:val="Normal"/>
    <w:autoRedefine/>
    <w:semiHidden/>
    <w:pPr>
      <w:tabs>
        <w:tab w:val="right" w:leader="dot" w:pos="9356"/>
      </w:tabs>
      <w:ind w:left="1440" w:hanging="720"/>
      <w:jc w:val="both"/>
    </w:pPr>
    <w:rPr>
      <w:noProof/>
      <w:sz w:val="22"/>
      <w:szCs w:val="22"/>
      <w:lang w:val="en-US"/>
    </w:rPr>
  </w:style>
  <w:style w:type="paragraph" w:styleId="TOC3">
    <w:name w:val="toc 3"/>
    <w:basedOn w:val="Normal"/>
    <w:next w:val="Normal"/>
    <w:autoRedefine/>
    <w:semiHidden/>
    <w:pPr>
      <w:ind w:left="2160" w:hanging="720"/>
      <w:jc w:val="both"/>
    </w:pPr>
    <w:rPr>
      <w:sz w:val="22"/>
      <w:szCs w:val="22"/>
      <w:lang w:val="en-GB"/>
    </w:rPr>
  </w:style>
  <w:style w:type="paragraph" w:styleId="TOC4">
    <w:name w:val="toc 4"/>
    <w:basedOn w:val="Normal"/>
    <w:next w:val="Normal"/>
    <w:autoRedefine/>
    <w:semiHidden/>
    <w:pPr>
      <w:spacing w:before="120" w:after="120"/>
      <w:ind w:left="660"/>
    </w:pPr>
    <w:rPr>
      <w:sz w:val="22"/>
      <w:szCs w:val="22"/>
      <w:lang w:val="en-GB"/>
    </w:rPr>
  </w:style>
  <w:style w:type="paragraph" w:styleId="TOC5">
    <w:name w:val="toc 5"/>
    <w:basedOn w:val="Normal"/>
    <w:next w:val="Normal"/>
    <w:autoRedefine/>
    <w:semiHidden/>
    <w:pPr>
      <w:spacing w:before="120" w:after="120"/>
      <w:ind w:left="880"/>
    </w:pPr>
    <w:rPr>
      <w:sz w:val="22"/>
      <w:szCs w:val="22"/>
      <w:lang w:val="en-GB"/>
    </w:rPr>
  </w:style>
  <w:style w:type="paragraph" w:styleId="TOC6">
    <w:name w:val="toc 6"/>
    <w:basedOn w:val="Normal"/>
    <w:next w:val="Normal"/>
    <w:autoRedefine/>
    <w:semiHidden/>
    <w:pPr>
      <w:spacing w:before="120" w:after="120"/>
      <w:ind w:left="1100"/>
    </w:pPr>
    <w:rPr>
      <w:sz w:val="22"/>
      <w:szCs w:val="22"/>
      <w:lang w:val="en-GB"/>
    </w:rPr>
  </w:style>
  <w:style w:type="paragraph" w:styleId="TOC7">
    <w:name w:val="toc 7"/>
    <w:basedOn w:val="Normal"/>
    <w:next w:val="Normal"/>
    <w:autoRedefine/>
    <w:semiHidden/>
    <w:pPr>
      <w:spacing w:before="120" w:after="120"/>
      <w:ind w:left="1320"/>
    </w:pPr>
    <w:rPr>
      <w:sz w:val="22"/>
      <w:szCs w:val="22"/>
      <w:lang w:val="en-GB"/>
    </w:rPr>
  </w:style>
  <w:style w:type="paragraph" w:styleId="TOC8">
    <w:name w:val="toc 8"/>
    <w:basedOn w:val="Normal"/>
    <w:next w:val="Normal"/>
    <w:autoRedefine/>
    <w:semiHidden/>
    <w:pPr>
      <w:spacing w:before="120" w:after="120"/>
      <w:ind w:left="1540"/>
    </w:pPr>
    <w:rPr>
      <w:sz w:val="22"/>
      <w:szCs w:val="22"/>
      <w:lang w:val="en-GB"/>
    </w:rPr>
  </w:style>
  <w:style w:type="paragraph" w:styleId="TOC9">
    <w:name w:val="toc 9"/>
    <w:basedOn w:val="Normal"/>
    <w:next w:val="Normal"/>
    <w:autoRedefine/>
    <w:semiHidden/>
    <w:pPr>
      <w:spacing w:before="120" w:after="120"/>
      <w:ind w:left="1760"/>
    </w:pPr>
    <w:rPr>
      <w:sz w:val="22"/>
      <w:szCs w:val="22"/>
      <w:lang w:val="en-GB"/>
    </w:rPr>
  </w:style>
  <w:style w:type="character" w:styleId="Hyperlink">
    <w:name w:val="Hyperlink"/>
    <w:basedOn w:val="DefaultParagraphFont"/>
    <w:uiPriority w:val="99"/>
    <w:rPr>
      <w:color w:val="0000FF"/>
      <w:sz w:val="18"/>
      <w:szCs w:val="18"/>
      <w:u w:val="single"/>
    </w:rPr>
  </w:style>
  <w:style w:type="character" w:customStyle="1" w:styleId="Para1Char">
    <w:name w:val="Para1 Char"/>
    <w:locked/>
    <w:rPr>
      <w:rFonts w:ascii="Times New Roman" w:hAnsi="Times New Roman" w:cs="Times New Roman"/>
      <w:snapToGrid w:val="0"/>
      <w:sz w:val="18"/>
      <w:szCs w:val="18"/>
      <w:lang w:val="en-GB"/>
    </w:rPr>
  </w:style>
  <w:style w:type="paragraph" w:customStyle="1" w:styleId="CBD-Doc-Type">
    <w:name w:val="CBD-Doc-Type"/>
    <w:basedOn w:val="Normal"/>
    <w:pPr>
      <w:keepLines/>
      <w:spacing w:before="240" w:after="120"/>
      <w:jc w:val="both"/>
    </w:pPr>
    <w:rPr>
      <w:b/>
      <w:bCs/>
      <w:i/>
      <w:iCs/>
      <w:lang w:val="en-GB"/>
    </w:rPr>
  </w:style>
  <w:style w:type="paragraph" w:customStyle="1" w:styleId="CBD-Doc">
    <w:name w:val="CBD-Doc"/>
    <w:basedOn w:val="Normal"/>
    <w:pPr>
      <w:keepLines/>
      <w:numPr>
        <w:numId w:val="5"/>
      </w:numPr>
      <w:spacing w:after="120"/>
      <w:jc w:val="both"/>
    </w:pPr>
    <w:rPr>
      <w:sz w:val="22"/>
      <w:szCs w:val="22"/>
      <w:lang w:val="en-GB"/>
    </w:rPr>
  </w:style>
  <w:style w:type="paragraph" w:styleId="ListParagraph">
    <w:name w:val="List Paragraph"/>
    <w:basedOn w:val="Normal"/>
    <w:uiPriority w:val="34"/>
    <w:qFormat/>
    <w:pPr>
      <w:ind w:left="720"/>
      <w:jc w:val="both"/>
    </w:pPr>
    <w:rPr>
      <w:sz w:val="22"/>
      <w:szCs w:val="22"/>
      <w:lang w:val="en-GB"/>
    </w:rPr>
  </w:style>
  <w:style w:type="paragraph" w:styleId="Caption">
    <w:name w:val="caption"/>
    <w:basedOn w:val="Normal"/>
    <w:next w:val="Normal"/>
    <w:uiPriority w:val="35"/>
    <w:qFormat/>
    <w:pPr>
      <w:keepNext/>
      <w:keepLines/>
      <w:spacing w:after="200"/>
      <w:jc w:val="both"/>
    </w:pPr>
    <w:rPr>
      <w:b/>
      <w:bCs/>
      <w:sz w:val="22"/>
      <w:szCs w:val="22"/>
      <w:lang w:val="en-GB"/>
    </w:rPr>
  </w:style>
  <w:style w:type="paragraph" w:customStyle="1" w:styleId="Style1">
    <w:name w:val="Style1"/>
    <w:basedOn w:val="Heading2"/>
    <w:qFormat/>
    <w:rPr>
      <w:i/>
      <w:iCs/>
    </w:rPr>
  </w:style>
  <w:style w:type="paragraph" w:customStyle="1" w:styleId="paragraph">
    <w:name w:val="paragraph"/>
    <w:basedOn w:val="Normal"/>
    <w:pPr>
      <w:spacing w:before="100" w:beforeAutospacing="1" w:after="100" w:afterAutospacing="1"/>
    </w:pPr>
    <w:rPr>
      <w:lang w:val="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Heading-plain">
    <w:name w:val="Heading - plain"/>
    <w:basedOn w:val="Heading2"/>
    <w:next w:val="BodyText"/>
    <w:pPr>
      <w:numPr>
        <w:numId w:val="7"/>
      </w:numPr>
    </w:pPr>
    <w:rPr>
      <w:b w:val="0"/>
      <w:bCs w:val="0"/>
      <w:i/>
      <w:iCs/>
    </w:rPr>
  </w:style>
  <w:style w:type="paragraph" w:customStyle="1" w:styleId="H23">
    <w:name w:val="_ H_2/3"/>
    <w:basedOn w:val="Normal"/>
    <w:next w:val="Normal"/>
    <w:pPr>
      <w:suppressAutoHyphens/>
      <w:spacing w:before="120" w:after="120" w:line="240" w:lineRule="exact"/>
      <w:outlineLvl w:val="1"/>
    </w:pPr>
    <w:rPr>
      <w:rFonts w:eastAsia="Times New Roman"/>
      <w:b/>
      <w:bCs/>
      <w:spacing w:val="4"/>
      <w:w w:val="103"/>
      <w:kern w:val="14"/>
      <w:sz w:val="20"/>
      <w:szCs w:val="20"/>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pPr>
      <w:spacing w:after="160" w:line="240" w:lineRule="exact"/>
      <w:jc w:val="both"/>
    </w:pPr>
    <w:rPr>
      <w:rFonts w:ascii="Cambria" w:hAnsi="Cambria" w:cs="Cambria"/>
      <w:sz w:val="22"/>
      <w:szCs w:val="22"/>
      <w:vertAlign w:val="superscript"/>
      <w:lang w:val="en-US"/>
    </w:rPr>
  </w:style>
  <w:style w:type="paragraph" w:customStyle="1" w:styleId="SingleTxt">
    <w:name w:val="__Single Txt"/>
    <w:basedOn w:val="Normal"/>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Times New Roman"/>
      <w:spacing w:val="4"/>
      <w:w w:val="103"/>
      <w:kern w:val="14"/>
      <w:sz w:val="20"/>
      <w:szCs w:val="20"/>
      <w:lang w:val="en-GB"/>
    </w:rPr>
  </w:style>
  <w:style w:type="paragraph" w:customStyle="1" w:styleId="H56">
    <w:name w:val="_ H_5/6"/>
    <w:basedOn w:val="Normal"/>
    <w:next w:val="Normal"/>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Times New Roman"/>
      <w:spacing w:val="4"/>
      <w:w w:val="103"/>
      <w:kern w:val="14"/>
      <w:sz w:val="20"/>
      <w:szCs w:val="20"/>
      <w:lang w:val="en-GB"/>
    </w:rPr>
  </w:style>
  <w:style w:type="table" w:customStyle="1" w:styleId="PlainTable41">
    <w:name w:val="Plain Table 41"/>
    <w:uiPriority w:val="44"/>
    <w:rPr>
      <w:rFonts w:ascii="Cambria" w:eastAsia="MS Mincho" w:hAnsi="Cambria" w:cs="Cambria"/>
      <w:snapToGrid w:val="0"/>
      <w:lang w:eastAsia="ko-KR"/>
    </w:rPr>
    <w:tblPr>
      <w:tblCellMar>
        <w:top w:w="0" w:type="dxa"/>
        <w:left w:w="108" w:type="dxa"/>
        <w:bottom w:w="0" w:type="dxa"/>
        <w:right w:w="108" w:type="dxa"/>
      </w:tblCellMar>
    </w:tblPr>
  </w:style>
  <w:style w:type="paragraph" w:customStyle="1" w:styleId="HCh">
    <w:name w:val="_ H _Ch"/>
    <w:basedOn w:val="Normal"/>
    <w:next w:val="SingleTxt"/>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Times New Roman"/>
      <w:b/>
      <w:bCs/>
      <w:spacing w:val="-2"/>
      <w:w w:val="103"/>
      <w:kern w:val="14"/>
      <w:sz w:val="28"/>
      <w:szCs w:val="28"/>
      <w:lang w:val="en-GB"/>
    </w:rPr>
  </w:style>
  <w:style w:type="paragraph" w:customStyle="1" w:styleId="H4">
    <w:name w:val="_ H_4"/>
    <w:basedOn w:val="Normal"/>
    <w:next w:val="Normal"/>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Times New Roman"/>
      <w:i/>
      <w:iCs/>
      <w:spacing w:val="3"/>
      <w:w w:val="103"/>
      <w:kern w:val="14"/>
      <w:sz w:val="20"/>
      <w:szCs w:val="20"/>
      <w:lang w:val="en-GB"/>
    </w:rPr>
  </w:style>
  <w:style w:type="paragraph" w:customStyle="1" w:styleId="H1">
    <w:name w:val="_ H_1"/>
    <w:basedOn w:val="Normal"/>
    <w:next w:val="SingleTxt"/>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Times New Roman"/>
      <w:b/>
      <w:bCs/>
      <w:spacing w:val="4"/>
      <w:w w:val="103"/>
      <w:kern w:val="14"/>
      <w:lang w:val="en-GB"/>
    </w:rPr>
  </w:style>
  <w:style w:type="paragraph" w:styleId="CommentSubject">
    <w:name w:val="annotation subject"/>
    <w:basedOn w:val="CommentText"/>
    <w:next w:val="CommentText"/>
    <w:uiPriority w:val="99"/>
    <w:semiHidden/>
    <w:pPr>
      <w:spacing w:after="0" w:line="240" w:lineRule="auto"/>
    </w:pPr>
    <w:rPr>
      <w:b/>
      <w:bCs/>
      <w:sz w:val="20"/>
      <w:szCs w:val="20"/>
    </w:rPr>
  </w:style>
  <w:style w:type="character" w:customStyle="1" w:styleId="CommentSubjectChar">
    <w:name w:val="Comment Subject Char"/>
    <w:basedOn w:val="CommentTextChar"/>
    <w:uiPriority w:val="99"/>
    <w:semiHidden/>
    <w:locked/>
    <w:rPr>
      <w:rFonts w:ascii="Times New Roman" w:hAnsi="Times New Roman" w:cs="Times New Roman"/>
      <w:b/>
      <w:bCs/>
      <w:sz w:val="20"/>
      <w:szCs w:val="20"/>
      <w:lang w:val="en-GB"/>
    </w:rPr>
  </w:style>
  <w:style w:type="paragraph" w:styleId="NormalWeb">
    <w:name w:val="Normal (Web)"/>
    <w:basedOn w:val="Normal"/>
    <w:uiPriority w:val="99"/>
    <w:semiHidden/>
    <w:pPr>
      <w:spacing w:before="100" w:beforeAutospacing="1" w:after="100" w:afterAutospacing="1"/>
    </w:pPr>
    <w:rPr>
      <w:lang w:val="en-US"/>
    </w:rPr>
  </w:style>
  <w:style w:type="paragraph" w:customStyle="1" w:styleId="Default">
    <w:name w:val="Default"/>
    <w:pPr>
      <w:autoSpaceDE w:val="0"/>
      <w:autoSpaceDN w:val="0"/>
      <w:adjustRightInd w:val="0"/>
    </w:pPr>
    <w:rPr>
      <w:rFonts w:eastAsia="MS Mincho" w:cs="Times New Roman"/>
      <w:snapToGrid w:val="0"/>
      <w:color w:val="000000"/>
      <w:sz w:val="24"/>
      <w:szCs w:val="24"/>
      <w:lang w:eastAsia="ko-KR"/>
    </w:rPr>
  </w:style>
  <w:style w:type="paragraph" w:styleId="Revision">
    <w:name w:val="Revision"/>
    <w:hidden/>
    <w:uiPriority w:val="99"/>
    <w:semiHidden/>
    <w:rPr>
      <w:rFonts w:eastAsia="MS Mincho" w:cs="Times New Roman"/>
      <w:snapToGrid w:val="0"/>
      <w:sz w:val="22"/>
      <w:szCs w:val="22"/>
      <w:lang w:val="en-GB" w:eastAsia="ko-KR"/>
    </w:rPr>
  </w:style>
  <w:style w:type="paragraph" w:customStyle="1" w:styleId="p1">
    <w:name w:val="p1"/>
    <w:basedOn w:val="Normal"/>
    <w:pPr>
      <w:spacing w:before="100" w:beforeAutospacing="1" w:after="100" w:afterAutospacing="1"/>
    </w:pPr>
    <w:rPr>
      <w:rFonts w:ascii="Calibri" w:hAnsi="Calibri" w:cs="Calibri"/>
      <w:sz w:val="22"/>
      <w:szCs w:val="22"/>
      <w:lang w:val="en-US"/>
    </w:rPr>
  </w:style>
  <w:style w:type="character" w:customStyle="1" w:styleId="s1">
    <w:name w:val="s1"/>
    <w:basedOn w:val="DefaultParagraphFont"/>
  </w:style>
  <w:style w:type="paragraph" w:styleId="NoSpacing">
    <w:name w:val="No Spacing"/>
    <w:uiPriority w:val="1"/>
    <w:qFormat/>
    <w:pPr>
      <w:jc w:val="both"/>
    </w:pPr>
    <w:rPr>
      <w:rFonts w:eastAsia="MS Mincho" w:cs="Times New Roman"/>
      <w:snapToGrid w:val="0"/>
      <w:sz w:val="22"/>
      <w:szCs w:val="22"/>
      <w:lang w:val="en-GB" w:eastAsia="ko-KR"/>
    </w:rPr>
  </w:style>
  <w:style w:type="table" w:customStyle="1" w:styleId="TableGrid1">
    <w:name w:val="Table Grid1"/>
    <w:uiPriority w:val="59"/>
    <w:rPr>
      <w:rFonts w:eastAsia="MS Mincho" w:cs="Times New Roman"/>
      <w:snapToGrid w:val="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Pr>
      <w:b/>
      <w:bCs/>
    </w:rPr>
  </w:style>
  <w:style w:type="paragraph" w:customStyle="1" w:styleId="Para10">
    <w:name w:val="Para 1"/>
    <w:basedOn w:val="Normal"/>
    <w:autoRedefine/>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Times New Roman"/>
      <w:kern w:val="22"/>
      <w:sz w:val="22"/>
      <w:szCs w:val="22"/>
      <w:lang w:val="en-GB"/>
    </w:rPr>
  </w:style>
  <w:style w:type="character" w:customStyle="1" w:styleId="Mention1">
    <w:name w:val="Mention1"/>
    <w:basedOn w:val="DefaultParagraphFont"/>
    <w:uiPriority w:val="99"/>
    <w:rPr>
      <w:color w:val="auto"/>
      <w:shd w:val="clear" w:color="auto" w:fill="E6E6E6"/>
    </w:rPr>
  </w:style>
  <w:style w:type="character" w:customStyle="1" w:styleId="scxw241879823">
    <w:name w:val="scxw241879823"/>
    <w:basedOn w:val="DefaultParagraphFont"/>
  </w:style>
  <w:style w:type="character" w:customStyle="1" w:styleId="UnresolvedMention1">
    <w:name w:val="Unresolved Mention1"/>
    <w:basedOn w:val="DefaultParagraphFont"/>
    <w:uiPriority w:val="99"/>
    <w:semiHidden/>
    <w:rPr>
      <w:color w:val="auto"/>
      <w:shd w:val="clear" w:color="auto" w:fill="auto"/>
    </w:rPr>
  </w:style>
  <w:style w:type="paragraph" w:customStyle="1" w:styleId="msonormal0">
    <w:name w:val="msonormal"/>
    <w:basedOn w:val="Normal"/>
    <w:pPr>
      <w:spacing w:before="100" w:beforeAutospacing="1" w:after="100" w:afterAutospacing="1"/>
    </w:pPr>
    <w:rPr>
      <w:lang w:val="en-US"/>
    </w:rPr>
  </w:style>
  <w:style w:type="paragraph" w:customStyle="1" w:styleId="xl33">
    <w:name w:val="xl33"/>
    <w:basedOn w:val="Normal"/>
    <w:pPr>
      <w:spacing w:before="100" w:beforeAutospacing="1" w:after="100" w:afterAutospacing="1"/>
      <w:textAlignment w:val="center"/>
    </w:pPr>
    <w:rPr>
      <w:sz w:val="18"/>
      <w:szCs w:val="18"/>
      <w:lang w:val="en-US"/>
    </w:rPr>
  </w:style>
  <w:style w:type="paragraph" w:customStyle="1" w:styleId="xl36">
    <w:name w:val="xl36"/>
    <w:basedOn w:val="Normal"/>
    <w:pPr>
      <w:spacing w:before="100" w:beforeAutospacing="1" w:after="100" w:afterAutospacing="1"/>
      <w:jc w:val="center"/>
      <w:textAlignment w:val="center"/>
    </w:pPr>
    <w:rPr>
      <w:sz w:val="18"/>
      <w:szCs w:val="18"/>
      <w:lang w:val="en-U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US"/>
    </w:rPr>
  </w:style>
  <w:style w:type="paragraph" w:customStyle="1" w:styleId="xl54">
    <w:name w:val="xl5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55">
    <w:name w:val="xl55"/>
    <w:basedOn w:val="Normal"/>
    <w:pPr>
      <w:spacing w:before="100" w:beforeAutospacing="1" w:after="100" w:afterAutospacing="1"/>
      <w:jc w:val="center"/>
      <w:textAlignment w:val="center"/>
    </w:pPr>
    <w:rPr>
      <w:sz w:val="18"/>
      <w:szCs w:val="18"/>
      <w:lang w:val="en-US"/>
    </w:rPr>
  </w:style>
  <w:style w:type="paragraph" w:customStyle="1" w:styleId="xl57">
    <w:name w:val="xl57"/>
    <w:basedOn w:val="Normal"/>
    <w:pPr>
      <w:spacing w:before="100" w:beforeAutospacing="1" w:after="100" w:afterAutospacing="1"/>
      <w:textAlignment w:val="center"/>
    </w:pPr>
    <w:rPr>
      <w:sz w:val="18"/>
      <w:szCs w:val="18"/>
      <w:lang w:val="en-US"/>
    </w:rPr>
  </w:style>
  <w:style w:type="paragraph" w:customStyle="1" w:styleId="xl58">
    <w:name w:val="xl5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60">
    <w:name w:val="xl6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U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U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69">
    <w:name w:val="xl69"/>
    <w:basedOn w:val="Normal"/>
    <w:pPr>
      <w:spacing w:before="100" w:beforeAutospacing="1" w:after="100" w:afterAutospacing="1"/>
      <w:jc w:val="right"/>
      <w:textAlignment w:val="center"/>
    </w:pPr>
    <w:rPr>
      <w:sz w:val="18"/>
      <w:szCs w:val="18"/>
      <w:lang w:val="en-US"/>
    </w:rPr>
  </w:style>
  <w:style w:type="paragraph" w:customStyle="1" w:styleId="xl70">
    <w:name w:val="xl70"/>
    <w:basedOn w:val="Normal"/>
    <w:pPr>
      <w:spacing w:before="100" w:beforeAutospacing="1" w:after="100" w:afterAutospacing="1"/>
      <w:jc w:val="right"/>
      <w:textAlignment w:val="center"/>
    </w:pPr>
    <w:rPr>
      <w:sz w:val="18"/>
      <w:szCs w:val="18"/>
      <w:lang w:val="en-US"/>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rPr>
  </w:style>
  <w:style w:type="paragraph" w:customStyle="1" w:styleId="xl82">
    <w:name w:val="xl82"/>
    <w:basedOn w:val="Normal"/>
    <w:pPr>
      <w:spacing w:before="100" w:beforeAutospacing="1" w:after="100" w:afterAutospacing="1"/>
      <w:jc w:val="center"/>
      <w:textAlignment w:val="center"/>
    </w:pPr>
    <w:rPr>
      <w:sz w:val="16"/>
      <w:szCs w:val="16"/>
      <w:lang w:val="en-US"/>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US"/>
    </w:rPr>
  </w:style>
  <w:style w:type="paragraph" w:customStyle="1" w:styleId="xl99">
    <w:name w:val="xl99"/>
    <w:basedOn w:val="Normal"/>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US"/>
    </w:rPr>
  </w:style>
  <w:style w:type="paragraph" w:customStyle="1" w:styleId="xl100">
    <w:name w:val="xl100"/>
    <w:basedOn w:val="Normal"/>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US"/>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102">
    <w:name w:val="xl10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US"/>
    </w:r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US"/>
    </w:rPr>
  </w:style>
  <w:style w:type="paragraph" w:customStyle="1" w:styleId="xl108">
    <w:name w:val="xl108"/>
    <w:basedOn w:val="Normal"/>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US"/>
    </w:rPr>
  </w:style>
  <w:style w:type="paragraph" w:customStyle="1" w:styleId="xl109">
    <w:name w:val="xl109"/>
    <w:basedOn w:val="Normal"/>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US"/>
    </w:rPr>
  </w:style>
  <w:style w:type="paragraph" w:customStyle="1" w:styleId="xl17">
    <w:name w:val="xl1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18">
    <w:name w:val="xl18"/>
    <w:basedOn w:val="Normal"/>
    <w:pPr>
      <w:spacing w:before="100" w:beforeAutospacing="1" w:after="100" w:afterAutospacing="1"/>
      <w:jc w:val="center"/>
      <w:textAlignment w:val="center"/>
    </w:pPr>
    <w:rPr>
      <w:sz w:val="18"/>
      <w:szCs w:val="18"/>
      <w:lang w:val="en-US"/>
    </w:rPr>
  </w:style>
  <w:style w:type="paragraph" w:customStyle="1" w:styleId="xl34">
    <w:name w:val="xl34"/>
    <w:basedOn w:val="Normal"/>
    <w:pPr>
      <w:spacing w:before="100" w:beforeAutospacing="1" w:after="100" w:afterAutospacing="1"/>
      <w:textAlignment w:val="center"/>
    </w:pPr>
    <w:rPr>
      <w:b/>
      <w:bCs/>
      <w:sz w:val="18"/>
      <w:szCs w:val="18"/>
      <w:lang w:val="en-US"/>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rPr>
  </w:style>
  <w:style w:type="paragraph" w:customStyle="1" w:styleId="xl98">
    <w:name w:val="xl98"/>
    <w:basedOn w:val="Normal"/>
    <w:pPr>
      <w:spacing w:before="100" w:beforeAutospacing="1" w:after="100" w:afterAutospacing="1"/>
      <w:jc w:val="center"/>
      <w:textAlignment w:val="center"/>
    </w:pPr>
    <w:rPr>
      <w:b/>
      <w:bCs/>
      <w:sz w:val="18"/>
      <w:szCs w:val="18"/>
      <w:lang w:val="en-US"/>
    </w:rPr>
  </w:style>
  <w:style w:type="paragraph" w:customStyle="1" w:styleId="xl103">
    <w:name w:val="xl103"/>
    <w:basedOn w:val="Normal"/>
    <w:pPr>
      <w:pBdr>
        <w:top w:val="single" w:sz="4" w:space="0" w:color="auto"/>
        <w:left w:val="single" w:sz="4" w:space="0" w:color="auto"/>
      </w:pBdr>
      <w:spacing w:before="100" w:beforeAutospacing="1" w:after="100" w:afterAutospacing="1"/>
      <w:jc w:val="center"/>
      <w:textAlignment w:val="center"/>
    </w:pPr>
    <w:rPr>
      <w:b/>
      <w:bCs/>
      <w:sz w:val="16"/>
      <w:szCs w:val="16"/>
      <w:lang w:val="en-US"/>
    </w:rPr>
  </w:style>
  <w:style w:type="paragraph" w:customStyle="1" w:styleId="xl104">
    <w:name w:val="xl104"/>
    <w:basedOn w:val="Normal"/>
    <w:pPr>
      <w:pBdr>
        <w:left w:val="single" w:sz="4" w:space="0" w:color="auto"/>
        <w:bottom w:val="single" w:sz="4" w:space="0" w:color="auto"/>
      </w:pBdr>
      <w:spacing w:before="100" w:beforeAutospacing="1" w:after="100" w:afterAutospacing="1"/>
      <w:jc w:val="center"/>
      <w:textAlignment w:val="center"/>
    </w:pPr>
    <w:rPr>
      <w:b/>
      <w:bCs/>
      <w:sz w:val="16"/>
      <w:szCs w:val="16"/>
      <w:lang w:val="en-US"/>
    </w:rPr>
  </w:style>
  <w:style w:type="paragraph" w:customStyle="1" w:styleId="xl105">
    <w:name w:val="xl10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rPr>
  </w:style>
  <w:style w:type="paragraph" w:customStyle="1" w:styleId="xl19">
    <w:name w:val="xl19"/>
    <w:basedOn w:val="Normal"/>
    <w:pPr>
      <w:spacing w:before="100" w:beforeAutospacing="1" w:after="100" w:afterAutospacing="1"/>
      <w:textAlignment w:val="center"/>
    </w:pPr>
    <w:rPr>
      <w:sz w:val="18"/>
      <w:szCs w:val="18"/>
      <w:lang w:val="en-US"/>
    </w:rPr>
  </w:style>
  <w:style w:type="paragraph" w:customStyle="1" w:styleId="xl21">
    <w:name w:val="xl2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22">
    <w:name w:val="xl22"/>
    <w:basedOn w:val="Normal"/>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23">
    <w:name w:val="xl23"/>
    <w:basedOn w:val="Normal"/>
    <w:pPr>
      <w:spacing w:before="100" w:beforeAutospacing="1" w:after="100" w:afterAutospacing="1"/>
      <w:textAlignment w:val="center"/>
    </w:pPr>
    <w:rPr>
      <w:b/>
      <w:bCs/>
      <w:sz w:val="18"/>
      <w:szCs w:val="18"/>
      <w:lang w:val="en-US"/>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rPr>
  </w:style>
  <w:style w:type="paragraph" w:customStyle="1" w:styleId="xl90">
    <w:name w:val="xl90"/>
    <w:basedOn w:val="Normal"/>
    <w:pPr>
      <w:spacing w:before="100" w:beforeAutospacing="1" w:after="100" w:afterAutospacing="1"/>
      <w:jc w:val="center"/>
      <w:textAlignment w:val="center"/>
    </w:pPr>
    <w:rPr>
      <w:sz w:val="16"/>
      <w:szCs w:val="16"/>
      <w:lang w:val="en-US"/>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maintextbldleft1">
    <w:name w:val="maintextbldleft1"/>
    <w:rPr>
      <w:rFonts w:ascii="Arial" w:hAnsi="Arial" w:cs="Arial"/>
      <w:b/>
      <w:bCs/>
      <w:color w:val="000000"/>
      <w:spacing w:val="0"/>
      <w:sz w:val="18"/>
      <w:szCs w:val="18"/>
      <w:u w:val="none"/>
      <w:effect w:val="none"/>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character" w:customStyle="1" w:styleId="BodyTextChar">
    <w:name w:val="Body Text Char"/>
    <w:basedOn w:val="DefaultParagraphFont"/>
    <w:link w:val="BodyText"/>
    <w:rsid w:val="002809FB"/>
    <w:rPr>
      <w:rFonts w:eastAsia="MS Mincho" w:cs="Times New Roman"/>
      <w:snapToGrid w:val="0"/>
      <w:sz w:val="22"/>
      <w:szCs w:val="22"/>
      <w:lang w:val="en-GB" w:eastAsia="ko-KR"/>
    </w:rPr>
  </w:style>
  <w:style w:type="numbering" w:customStyle="1" w:styleId="NoList1">
    <w:name w:val="No List1"/>
    <w:next w:val="NoList"/>
    <w:uiPriority w:val="99"/>
    <w:semiHidden/>
    <w:unhideWhenUsed/>
    <w:rsid w:val="002809FB"/>
  </w:style>
  <w:style w:type="numbering" w:customStyle="1" w:styleId="NoList2">
    <w:name w:val="No List2"/>
    <w:next w:val="NoList"/>
    <w:uiPriority w:val="99"/>
    <w:semiHidden/>
    <w:unhideWhenUsed/>
    <w:rsid w:val="002809FB"/>
  </w:style>
  <w:style w:type="numbering" w:customStyle="1" w:styleId="NoList3">
    <w:name w:val="No List3"/>
    <w:next w:val="NoList"/>
    <w:uiPriority w:val="99"/>
    <w:semiHidden/>
    <w:unhideWhenUsed/>
    <w:rsid w:val="00280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
            <w:div w:id="212">
              <w:marLeft w:val="0"/>
              <w:marRight w:val="0"/>
              <w:marTop w:val="0"/>
              <w:marBottom w:val="0"/>
              <w:divBdr>
                <w:top w:val="none" w:sz="0" w:space="0" w:color="auto"/>
                <w:left w:val="none" w:sz="0" w:space="0" w:color="auto"/>
                <w:bottom w:val="none" w:sz="0" w:space="0" w:color="auto"/>
                <w:right w:val="none" w:sz="0" w:space="0" w:color="auto"/>
              </w:divBdr>
            </w:div>
            <w:div w:id="233">
              <w:marLeft w:val="0"/>
              <w:marRight w:val="0"/>
              <w:marTop w:val="0"/>
              <w:marBottom w:val="0"/>
              <w:divBdr>
                <w:top w:val="none" w:sz="0" w:space="0" w:color="auto"/>
                <w:left w:val="none" w:sz="0" w:space="0" w:color="auto"/>
                <w:bottom w:val="none" w:sz="0" w:space="0" w:color="auto"/>
                <w:right w:val="none" w:sz="0" w:space="0" w:color="auto"/>
              </w:divBdr>
            </w:div>
          </w:divsChild>
        </w:div>
        <w:div w:id="14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
            <w:div w:id="225">
              <w:marLeft w:val="0"/>
              <w:marRight w:val="0"/>
              <w:marTop w:val="0"/>
              <w:marBottom w:val="0"/>
              <w:divBdr>
                <w:top w:val="none" w:sz="0" w:space="0" w:color="auto"/>
                <w:left w:val="none" w:sz="0" w:space="0" w:color="auto"/>
                <w:bottom w:val="none" w:sz="0" w:space="0" w:color="auto"/>
                <w:right w:val="none" w:sz="0" w:space="0" w:color="auto"/>
              </w:divBdr>
            </w:div>
          </w:divsChild>
        </w:div>
        <w:div w:id="167">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184">
          <w:marLeft w:val="0"/>
          <w:marRight w:val="0"/>
          <w:marTop w:val="0"/>
          <w:marBottom w:val="0"/>
          <w:divBdr>
            <w:top w:val="none" w:sz="0" w:space="0" w:color="auto"/>
            <w:left w:val="none" w:sz="0" w:space="0" w:color="auto"/>
            <w:bottom w:val="none" w:sz="0" w:space="0" w:color="auto"/>
            <w:right w:val="none" w:sz="0" w:space="0" w:color="auto"/>
          </w:divBdr>
        </w:div>
        <w:div w:id="185">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sChild>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204">
          <w:marLeft w:val="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30"/>
              <w:marBottom w:val="3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122">
                      <w:marLeft w:val="0"/>
                      <w:marRight w:val="0"/>
                      <w:marTop w:val="0"/>
                      <w:marBottom w:val="0"/>
                      <w:divBdr>
                        <w:top w:val="none" w:sz="0" w:space="0" w:color="auto"/>
                        <w:left w:val="none" w:sz="0" w:space="0" w:color="auto"/>
                        <w:bottom w:val="none" w:sz="0" w:space="0" w:color="auto"/>
                        <w:right w:val="none" w:sz="0" w:space="0" w:color="auto"/>
                      </w:divBdr>
                    </w:div>
                  </w:divsChild>
                </w:div>
                <w:div w:id="62">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245">
                      <w:marLeft w:val="0"/>
                      <w:marRight w:val="0"/>
                      <w:marTop w:val="0"/>
                      <w:marBottom w:val="0"/>
                      <w:divBdr>
                        <w:top w:val="none" w:sz="0" w:space="0" w:color="auto"/>
                        <w:left w:val="none" w:sz="0" w:space="0" w:color="auto"/>
                        <w:bottom w:val="none" w:sz="0" w:space="0" w:color="auto"/>
                        <w:right w:val="none" w:sz="0" w:space="0" w:color="auto"/>
                      </w:divBdr>
                    </w:div>
                    <w:div w:id="246">
                      <w:marLeft w:val="0"/>
                      <w:marRight w:val="0"/>
                      <w:marTop w:val="0"/>
                      <w:marBottom w:val="0"/>
                      <w:divBdr>
                        <w:top w:val="none" w:sz="0" w:space="0" w:color="auto"/>
                        <w:left w:val="none" w:sz="0" w:space="0" w:color="auto"/>
                        <w:bottom w:val="none" w:sz="0" w:space="0" w:color="auto"/>
                        <w:right w:val="none" w:sz="0" w:space="0" w:color="auto"/>
                      </w:divBdr>
                    </w:div>
                  </w:divsChild>
                </w:div>
                <w:div w:id="72">
                  <w:marLeft w:val="0"/>
                  <w:marRight w:val="0"/>
                  <w:marTop w:val="0"/>
                  <w:marBottom w:val="0"/>
                  <w:divBdr>
                    <w:top w:val="none" w:sz="0" w:space="0" w:color="auto"/>
                    <w:left w:val="none" w:sz="0" w:space="0" w:color="auto"/>
                    <w:bottom w:val="none" w:sz="0" w:space="0" w:color="auto"/>
                    <w:right w:val="none" w:sz="0" w:space="0" w:color="auto"/>
                  </w:divBdr>
                  <w:divsChild>
                    <w:div w:id="93">
                      <w:marLeft w:val="0"/>
                      <w:marRight w:val="0"/>
                      <w:marTop w:val="0"/>
                      <w:marBottom w:val="0"/>
                      <w:divBdr>
                        <w:top w:val="none" w:sz="0" w:space="0" w:color="auto"/>
                        <w:left w:val="none" w:sz="0" w:space="0" w:color="auto"/>
                        <w:bottom w:val="none" w:sz="0" w:space="0" w:color="auto"/>
                        <w:right w:val="none" w:sz="0" w:space="0" w:color="auto"/>
                      </w:divBdr>
                    </w:div>
                  </w:divsChild>
                </w:div>
                <w:div w:id="89">
                  <w:marLeft w:val="0"/>
                  <w:marRight w:val="0"/>
                  <w:marTop w:val="0"/>
                  <w:marBottom w:val="0"/>
                  <w:divBdr>
                    <w:top w:val="none" w:sz="0" w:space="0" w:color="auto"/>
                    <w:left w:val="none" w:sz="0" w:space="0" w:color="auto"/>
                    <w:bottom w:val="none" w:sz="0" w:space="0" w:color="auto"/>
                    <w:right w:val="none" w:sz="0" w:space="0" w:color="auto"/>
                  </w:divBdr>
                  <w:divsChild>
                    <w:div w:id="175">
                      <w:marLeft w:val="0"/>
                      <w:marRight w:val="0"/>
                      <w:marTop w:val="0"/>
                      <w:marBottom w:val="0"/>
                      <w:divBdr>
                        <w:top w:val="none" w:sz="0" w:space="0" w:color="auto"/>
                        <w:left w:val="none" w:sz="0" w:space="0" w:color="auto"/>
                        <w:bottom w:val="none" w:sz="0" w:space="0" w:color="auto"/>
                        <w:right w:val="none" w:sz="0" w:space="0" w:color="auto"/>
                      </w:divBdr>
                    </w:div>
                  </w:divsChild>
                </w:div>
                <w:div w:id="106">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 w:id="117">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
                  </w:divsChild>
                </w:div>
                <w:div w:id="155">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
                  </w:divsChild>
                </w:div>
                <w:div w:id="169">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174">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none" w:sz="0" w:space="0" w:color="auto"/>
                        <w:left w:val="none" w:sz="0" w:space="0" w:color="auto"/>
                        <w:bottom w:val="none" w:sz="0" w:space="0" w:color="auto"/>
                        <w:right w:val="none" w:sz="0" w:space="0" w:color="auto"/>
                      </w:divBdr>
                    </w:div>
                  </w:divsChild>
                </w:div>
                <w:div w:id="179">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
                    <w:div w:id="194">
                      <w:marLeft w:val="0"/>
                      <w:marRight w:val="0"/>
                      <w:marTop w:val="0"/>
                      <w:marBottom w:val="0"/>
                      <w:divBdr>
                        <w:top w:val="none" w:sz="0" w:space="0" w:color="auto"/>
                        <w:left w:val="none" w:sz="0" w:space="0" w:color="auto"/>
                        <w:bottom w:val="none" w:sz="0" w:space="0" w:color="auto"/>
                        <w:right w:val="none" w:sz="0" w:space="0" w:color="auto"/>
                      </w:divBdr>
                    </w:div>
                  </w:divsChild>
                </w:div>
                <w:div w:id="186">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189">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
                    <w:div w:id="197">
                      <w:marLeft w:val="0"/>
                      <w:marRight w:val="0"/>
                      <w:marTop w:val="0"/>
                      <w:marBottom w:val="0"/>
                      <w:divBdr>
                        <w:top w:val="none" w:sz="0" w:space="0" w:color="auto"/>
                        <w:left w:val="none" w:sz="0" w:space="0" w:color="auto"/>
                        <w:bottom w:val="none" w:sz="0" w:space="0" w:color="auto"/>
                        <w:right w:val="none" w:sz="0" w:space="0" w:color="auto"/>
                      </w:divBdr>
                    </w:div>
                    <w:div w:id="253">
                      <w:marLeft w:val="0"/>
                      <w:marRight w:val="0"/>
                      <w:marTop w:val="0"/>
                      <w:marBottom w:val="0"/>
                      <w:divBdr>
                        <w:top w:val="none" w:sz="0" w:space="0" w:color="auto"/>
                        <w:left w:val="none" w:sz="0" w:space="0" w:color="auto"/>
                        <w:bottom w:val="none" w:sz="0" w:space="0" w:color="auto"/>
                        <w:right w:val="none" w:sz="0" w:space="0" w:color="auto"/>
                      </w:divBdr>
                    </w:div>
                  </w:divsChild>
                </w:div>
                <w:div w:id="201">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 w:id="202">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
                  </w:divsChild>
                </w:div>
                <w:div w:id="209">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87">
                      <w:marLeft w:val="0"/>
                      <w:marRight w:val="0"/>
                      <w:marTop w:val="0"/>
                      <w:marBottom w:val="0"/>
                      <w:divBdr>
                        <w:top w:val="none" w:sz="0" w:space="0" w:color="auto"/>
                        <w:left w:val="none" w:sz="0" w:space="0" w:color="auto"/>
                        <w:bottom w:val="none" w:sz="0" w:space="0" w:color="auto"/>
                        <w:right w:val="none" w:sz="0" w:space="0" w:color="auto"/>
                      </w:divBdr>
                    </w:div>
                    <w:div w:id="210">
                      <w:marLeft w:val="0"/>
                      <w:marRight w:val="0"/>
                      <w:marTop w:val="0"/>
                      <w:marBottom w:val="0"/>
                      <w:divBdr>
                        <w:top w:val="none" w:sz="0" w:space="0" w:color="auto"/>
                        <w:left w:val="none" w:sz="0" w:space="0" w:color="auto"/>
                        <w:bottom w:val="none" w:sz="0" w:space="0" w:color="auto"/>
                        <w:right w:val="none" w:sz="0" w:space="0" w:color="auto"/>
                      </w:divBdr>
                    </w:div>
                  </w:divsChild>
                </w:div>
                <w:div w:id="217">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83">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 w:id="211">
                      <w:marLeft w:val="0"/>
                      <w:marRight w:val="0"/>
                      <w:marTop w:val="0"/>
                      <w:marBottom w:val="0"/>
                      <w:divBdr>
                        <w:top w:val="none" w:sz="0" w:space="0" w:color="auto"/>
                        <w:left w:val="none" w:sz="0" w:space="0" w:color="auto"/>
                        <w:bottom w:val="none" w:sz="0" w:space="0" w:color="auto"/>
                        <w:right w:val="none" w:sz="0" w:space="0" w:color="auto"/>
                      </w:divBdr>
                    </w:div>
                    <w:div w:id="230">
                      <w:marLeft w:val="0"/>
                      <w:marRight w:val="0"/>
                      <w:marTop w:val="0"/>
                      <w:marBottom w:val="0"/>
                      <w:divBdr>
                        <w:top w:val="none" w:sz="0" w:space="0" w:color="auto"/>
                        <w:left w:val="none" w:sz="0" w:space="0" w:color="auto"/>
                        <w:bottom w:val="none" w:sz="0" w:space="0" w:color="auto"/>
                        <w:right w:val="none" w:sz="0" w:space="0" w:color="auto"/>
                      </w:divBdr>
                    </w:div>
                    <w:div w:id="248">
                      <w:marLeft w:val="0"/>
                      <w:marRight w:val="0"/>
                      <w:marTop w:val="0"/>
                      <w:marBottom w:val="0"/>
                      <w:divBdr>
                        <w:top w:val="none" w:sz="0" w:space="0" w:color="auto"/>
                        <w:left w:val="none" w:sz="0" w:space="0" w:color="auto"/>
                        <w:bottom w:val="none" w:sz="0" w:space="0" w:color="auto"/>
                        <w:right w:val="none" w:sz="0" w:space="0" w:color="auto"/>
                      </w:divBdr>
                    </w:div>
                  </w:divsChild>
                </w:div>
                <w:div w:id="221">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
                  </w:divsChild>
                </w:div>
                <w:div w:id="235">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sChild>
        <w:div w:id="214">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sChild>
    </w:div>
    <w:div w:id="15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20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
          </w:divsChild>
        </w:div>
        <w:div w:id="133">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
            <w:div w:id="215">
              <w:marLeft w:val="0"/>
              <w:marRight w:val="0"/>
              <w:marTop w:val="0"/>
              <w:marBottom w:val="0"/>
              <w:divBdr>
                <w:top w:val="none" w:sz="0" w:space="0" w:color="auto"/>
                <w:left w:val="none" w:sz="0" w:space="0" w:color="auto"/>
                <w:bottom w:val="none" w:sz="0" w:space="0" w:color="auto"/>
                <w:right w:val="none" w:sz="0" w:space="0" w:color="auto"/>
              </w:divBdr>
            </w:div>
            <w:div w:id="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63">
      <w:marLeft w:val="0"/>
      <w:marRight w:val="0"/>
      <w:marTop w:val="0"/>
      <w:marBottom w:val="0"/>
      <w:divBdr>
        <w:top w:val="none" w:sz="0" w:space="0" w:color="auto"/>
        <w:left w:val="none" w:sz="0" w:space="0" w:color="auto"/>
        <w:bottom w:val="none" w:sz="0" w:space="0" w:color="auto"/>
        <w:right w:val="none" w:sz="0" w:space="0" w:color="auto"/>
      </w:divBdr>
    </w:div>
    <w:div w:id="166">
      <w:marLeft w:val="0"/>
      <w:marRight w:val="0"/>
      <w:marTop w:val="0"/>
      <w:marBottom w:val="0"/>
      <w:divBdr>
        <w:top w:val="none" w:sz="0" w:space="0" w:color="auto"/>
        <w:left w:val="none" w:sz="0" w:space="0" w:color="auto"/>
        <w:bottom w:val="none" w:sz="0" w:space="0" w:color="auto"/>
        <w:right w:val="none" w:sz="0" w:space="0" w:color="auto"/>
      </w:divBdr>
    </w:div>
    <w:div w:id="168">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
    <w:div w:id="176">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181">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98">
              <w:marLeft w:val="0"/>
              <w:marRight w:val="0"/>
              <w:marTop w:val="0"/>
              <w:marBottom w:val="0"/>
              <w:divBdr>
                <w:top w:val="none" w:sz="0" w:space="0" w:color="auto"/>
                <w:left w:val="none" w:sz="0" w:space="0" w:color="auto"/>
                <w:bottom w:val="none" w:sz="0" w:space="0" w:color="auto"/>
                <w:right w:val="none" w:sz="0" w:space="0" w:color="auto"/>
              </w:divBdr>
            </w:div>
            <w:div w:id="220">
              <w:marLeft w:val="0"/>
              <w:marRight w:val="0"/>
              <w:marTop w:val="0"/>
              <w:marBottom w:val="0"/>
              <w:divBdr>
                <w:top w:val="none" w:sz="0" w:space="0" w:color="auto"/>
                <w:left w:val="none" w:sz="0" w:space="0" w:color="auto"/>
                <w:bottom w:val="none" w:sz="0" w:space="0" w:color="auto"/>
                <w:right w:val="none" w:sz="0" w:space="0" w:color="auto"/>
              </w:divBdr>
            </w:div>
          </w:divsChild>
        </w:div>
        <w:div w:id="219">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88">
              <w:marLeft w:val="0"/>
              <w:marRight w:val="0"/>
              <w:marTop w:val="0"/>
              <w:marBottom w:val="0"/>
              <w:divBdr>
                <w:top w:val="none" w:sz="0" w:space="0" w:color="auto"/>
                <w:left w:val="none" w:sz="0" w:space="0" w:color="auto"/>
                <w:bottom w:val="none" w:sz="0" w:space="0" w:color="auto"/>
                <w:right w:val="none" w:sz="0" w:space="0" w:color="auto"/>
              </w:divBdr>
            </w:div>
            <w:div w:id="208">
              <w:marLeft w:val="0"/>
              <w:marRight w:val="0"/>
              <w:marTop w:val="0"/>
              <w:marBottom w:val="0"/>
              <w:divBdr>
                <w:top w:val="none" w:sz="0" w:space="0" w:color="auto"/>
                <w:left w:val="none" w:sz="0" w:space="0" w:color="auto"/>
                <w:bottom w:val="none" w:sz="0" w:space="0" w:color="auto"/>
                <w:right w:val="none" w:sz="0" w:space="0" w:color="auto"/>
              </w:divBdr>
            </w:div>
          </w:divsChild>
        </w:div>
        <w:div w:id="244">
          <w:marLeft w:val="0"/>
          <w:marRight w:val="0"/>
          <w:marTop w:val="0"/>
          <w:marBottom w:val="0"/>
          <w:divBdr>
            <w:top w:val="none" w:sz="0" w:space="0" w:color="auto"/>
            <w:left w:val="none" w:sz="0" w:space="0" w:color="auto"/>
            <w:bottom w:val="none" w:sz="0" w:space="0" w:color="auto"/>
            <w:right w:val="none" w:sz="0" w:space="0" w:color="auto"/>
          </w:divBdr>
        </w:div>
      </w:divsChild>
    </w:div>
    <w:div w:id="192">
      <w:marLeft w:val="0"/>
      <w:marRight w:val="0"/>
      <w:marTop w:val="0"/>
      <w:marBottom w:val="0"/>
      <w:divBdr>
        <w:top w:val="none" w:sz="0" w:space="0" w:color="auto"/>
        <w:left w:val="none" w:sz="0" w:space="0" w:color="auto"/>
        <w:bottom w:val="none" w:sz="0" w:space="0" w:color="auto"/>
        <w:right w:val="none" w:sz="0" w:space="0" w:color="auto"/>
      </w:divBdr>
    </w:div>
    <w:div w:id="193">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200">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
    <w:div w:id="207">
      <w:marLeft w:val="0"/>
      <w:marRight w:val="0"/>
      <w:marTop w:val="0"/>
      <w:marBottom w:val="0"/>
      <w:divBdr>
        <w:top w:val="none" w:sz="0" w:space="0" w:color="auto"/>
        <w:left w:val="none" w:sz="0" w:space="0" w:color="auto"/>
        <w:bottom w:val="none" w:sz="0" w:space="0" w:color="auto"/>
        <w:right w:val="none" w:sz="0" w:space="0" w:color="auto"/>
      </w:divBdr>
    </w:div>
    <w:div w:id="218">
      <w:marLeft w:val="0"/>
      <w:marRight w:val="0"/>
      <w:marTop w:val="0"/>
      <w:marBottom w:val="0"/>
      <w:divBdr>
        <w:top w:val="none" w:sz="0" w:space="0" w:color="auto"/>
        <w:left w:val="none" w:sz="0" w:space="0" w:color="auto"/>
        <w:bottom w:val="none" w:sz="0" w:space="0" w:color="auto"/>
        <w:right w:val="none" w:sz="0" w:space="0" w:color="auto"/>
      </w:divBdr>
    </w:div>
    <w:div w:id="222">
      <w:marLeft w:val="0"/>
      <w:marRight w:val="0"/>
      <w:marTop w:val="0"/>
      <w:marBottom w:val="0"/>
      <w:divBdr>
        <w:top w:val="none" w:sz="0" w:space="0" w:color="auto"/>
        <w:left w:val="none" w:sz="0" w:space="0" w:color="auto"/>
        <w:bottom w:val="none" w:sz="0" w:space="0" w:color="auto"/>
        <w:right w:val="none" w:sz="0" w:space="0" w:color="auto"/>
      </w:divBdr>
    </w:div>
    <w:div w:id="223">
      <w:marLeft w:val="0"/>
      <w:marRight w:val="0"/>
      <w:marTop w:val="0"/>
      <w:marBottom w:val="0"/>
      <w:divBdr>
        <w:top w:val="none" w:sz="0" w:space="0" w:color="auto"/>
        <w:left w:val="none" w:sz="0" w:space="0" w:color="auto"/>
        <w:bottom w:val="none" w:sz="0" w:space="0" w:color="auto"/>
        <w:right w:val="none" w:sz="0" w:space="0" w:color="auto"/>
      </w:divBdr>
    </w:div>
    <w:div w:id="224">
      <w:marLeft w:val="0"/>
      <w:marRight w:val="0"/>
      <w:marTop w:val="0"/>
      <w:marBottom w:val="0"/>
      <w:divBdr>
        <w:top w:val="none" w:sz="0" w:space="0" w:color="auto"/>
        <w:left w:val="none" w:sz="0" w:space="0" w:color="auto"/>
        <w:bottom w:val="none" w:sz="0" w:space="0" w:color="auto"/>
        <w:right w:val="none" w:sz="0" w:space="0" w:color="auto"/>
      </w:divBdr>
    </w:div>
    <w:div w:id="227">
      <w:marLeft w:val="0"/>
      <w:marRight w:val="0"/>
      <w:marTop w:val="0"/>
      <w:marBottom w:val="0"/>
      <w:divBdr>
        <w:top w:val="none" w:sz="0" w:space="0" w:color="auto"/>
        <w:left w:val="none" w:sz="0" w:space="0" w:color="auto"/>
        <w:bottom w:val="none" w:sz="0" w:space="0" w:color="auto"/>
        <w:right w:val="none" w:sz="0" w:space="0" w:color="auto"/>
      </w:divBdr>
    </w:div>
    <w:div w:id="228">
      <w:marLeft w:val="0"/>
      <w:marRight w:val="0"/>
      <w:marTop w:val="0"/>
      <w:marBottom w:val="0"/>
      <w:divBdr>
        <w:top w:val="none" w:sz="0" w:space="0" w:color="auto"/>
        <w:left w:val="none" w:sz="0" w:space="0" w:color="auto"/>
        <w:bottom w:val="none" w:sz="0" w:space="0" w:color="auto"/>
        <w:right w:val="none" w:sz="0" w:space="0" w:color="auto"/>
      </w:divBdr>
    </w:div>
    <w:div w:id="229">
      <w:marLeft w:val="0"/>
      <w:marRight w:val="0"/>
      <w:marTop w:val="0"/>
      <w:marBottom w:val="0"/>
      <w:divBdr>
        <w:top w:val="none" w:sz="0" w:space="0" w:color="auto"/>
        <w:left w:val="none" w:sz="0" w:space="0" w:color="auto"/>
        <w:bottom w:val="none" w:sz="0" w:space="0" w:color="auto"/>
        <w:right w:val="none" w:sz="0" w:space="0" w:color="auto"/>
      </w:divBdr>
    </w:div>
    <w:div w:id="231">
      <w:marLeft w:val="0"/>
      <w:marRight w:val="0"/>
      <w:marTop w:val="0"/>
      <w:marBottom w:val="0"/>
      <w:divBdr>
        <w:top w:val="none" w:sz="0" w:space="0" w:color="auto"/>
        <w:left w:val="none" w:sz="0" w:space="0" w:color="auto"/>
        <w:bottom w:val="none" w:sz="0" w:space="0" w:color="auto"/>
        <w:right w:val="none" w:sz="0" w:space="0" w:color="auto"/>
      </w:divBdr>
    </w:div>
    <w:div w:id="232">
      <w:marLeft w:val="0"/>
      <w:marRight w:val="0"/>
      <w:marTop w:val="0"/>
      <w:marBottom w:val="0"/>
      <w:divBdr>
        <w:top w:val="none" w:sz="0" w:space="0" w:color="auto"/>
        <w:left w:val="none" w:sz="0" w:space="0" w:color="auto"/>
        <w:bottom w:val="none" w:sz="0" w:space="0" w:color="auto"/>
        <w:right w:val="none" w:sz="0" w:space="0" w:color="auto"/>
      </w:divBdr>
    </w:div>
    <w:div w:id="234">
      <w:marLeft w:val="0"/>
      <w:marRight w:val="0"/>
      <w:marTop w:val="0"/>
      <w:marBottom w:val="0"/>
      <w:divBdr>
        <w:top w:val="none" w:sz="0" w:space="0" w:color="auto"/>
        <w:left w:val="none" w:sz="0" w:space="0" w:color="auto"/>
        <w:bottom w:val="none" w:sz="0" w:space="0" w:color="auto"/>
        <w:right w:val="none" w:sz="0" w:space="0" w:color="auto"/>
      </w:divBdr>
    </w:div>
    <w:div w:id="236">
      <w:marLeft w:val="0"/>
      <w:marRight w:val="0"/>
      <w:marTop w:val="0"/>
      <w:marBottom w:val="0"/>
      <w:divBdr>
        <w:top w:val="none" w:sz="0" w:space="0" w:color="auto"/>
        <w:left w:val="none" w:sz="0" w:space="0" w:color="auto"/>
        <w:bottom w:val="none" w:sz="0" w:space="0" w:color="auto"/>
        <w:right w:val="none" w:sz="0" w:space="0" w:color="auto"/>
      </w:divBdr>
    </w:div>
    <w:div w:id="237">
      <w:marLeft w:val="0"/>
      <w:marRight w:val="0"/>
      <w:marTop w:val="0"/>
      <w:marBottom w:val="0"/>
      <w:divBdr>
        <w:top w:val="none" w:sz="0" w:space="0" w:color="auto"/>
        <w:left w:val="none" w:sz="0" w:space="0" w:color="auto"/>
        <w:bottom w:val="none" w:sz="0" w:space="0" w:color="auto"/>
        <w:right w:val="none" w:sz="0" w:space="0" w:color="auto"/>
      </w:divBdr>
    </w:div>
    <w:div w:id="238">
      <w:marLeft w:val="0"/>
      <w:marRight w:val="0"/>
      <w:marTop w:val="0"/>
      <w:marBottom w:val="0"/>
      <w:divBdr>
        <w:top w:val="none" w:sz="0" w:space="0" w:color="auto"/>
        <w:left w:val="none" w:sz="0" w:space="0" w:color="auto"/>
        <w:bottom w:val="none" w:sz="0" w:space="0" w:color="auto"/>
        <w:right w:val="none" w:sz="0" w:space="0" w:color="auto"/>
      </w:divBdr>
    </w:div>
    <w:div w:id="239">
      <w:marLeft w:val="0"/>
      <w:marRight w:val="0"/>
      <w:marTop w:val="0"/>
      <w:marBottom w:val="0"/>
      <w:divBdr>
        <w:top w:val="none" w:sz="0" w:space="0" w:color="auto"/>
        <w:left w:val="none" w:sz="0" w:space="0" w:color="auto"/>
        <w:bottom w:val="none" w:sz="0" w:space="0" w:color="auto"/>
        <w:right w:val="none" w:sz="0" w:space="0" w:color="auto"/>
      </w:divBdr>
    </w:div>
    <w:div w:id="240">
      <w:marLeft w:val="0"/>
      <w:marRight w:val="0"/>
      <w:marTop w:val="0"/>
      <w:marBottom w:val="0"/>
      <w:divBdr>
        <w:top w:val="none" w:sz="0" w:space="0" w:color="auto"/>
        <w:left w:val="none" w:sz="0" w:space="0" w:color="auto"/>
        <w:bottom w:val="none" w:sz="0" w:space="0" w:color="auto"/>
        <w:right w:val="none" w:sz="0" w:space="0" w:color="auto"/>
      </w:divBdr>
    </w:div>
    <w:div w:id="241">
      <w:marLeft w:val="0"/>
      <w:marRight w:val="0"/>
      <w:marTop w:val="0"/>
      <w:marBottom w:val="0"/>
      <w:divBdr>
        <w:top w:val="none" w:sz="0" w:space="0" w:color="auto"/>
        <w:left w:val="none" w:sz="0" w:space="0" w:color="auto"/>
        <w:bottom w:val="none" w:sz="0" w:space="0" w:color="auto"/>
        <w:right w:val="none" w:sz="0" w:space="0" w:color="auto"/>
      </w:divBdr>
    </w:div>
    <w:div w:id="242">
      <w:marLeft w:val="0"/>
      <w:marRight w:val="0"/>
      <w:marTop w:val="0"/>
      <w:marBottom w:val="0"/>
      <w:divBdr>
        <w:top w:val="none" w:sz="0" w:space="0" w:color="auto"/>
        <w:left w:val="none" w:sz="0" w:space="0" w:color="auto"/>
        <w:bottom w:val="none" w:sz="0" w:space="0" w:color="auto"/>
        <w:right w:val="none" w:sz="0" w:space="0" w:color="auto"/>
      </w:divBdr>
    </w:div>
    <w:div w:id="243">
      <w:marLeft w:val="0"/>
      <w:marRight w:val="0"/>
      <w:marTop w:val="0"/>
      <w:marBottom w:val="0"/>
      <w:divBdr>
        <w:top w:val="none" w:sz="0" w:space="0" w:color="auto"/>
        <w:left w:val="none" w:sz="0" w:space="0" w:color="auto"/>
        <w:bottom w:val="none" w:sz="0" w:space="0" w:color="auto"/>
        <w:right w:val="none" w:sz="0" w:space="0" w:color="auto"/>
      </w:divBdr>
    </w:div>
    <w:div w:id="247">
      <w:marLeft w:val="0"/>
      <w:marRight w:val="0"/>
      <w:marTop w:val="0"/>
      <w:marBottom w:val="0"/>
      <w:divBdr>
        <w:top w:val="none" w:sz="0" w:space="0" w:color="auto"/>
        <w:left w:val="none" w:sz="0" w:space="0" w:color="auto"/>
        <w:bottom w:val="none" w:sz="0" w:space="0" w:color="auto"/>
        <w:right w:val="none" w:sz="0" w:space="0" w:color="auto"/>
      </w:divBdr>
    </w:div>
    <w:div w:id="249">
      <w:marLeft w:val="0"/>
      <w:marRight w:val="0"/>
      <w:marTop w:val="0"/>
      <w:marBottom w:val="0"/>
      <w:divBdr>
        <w:top w:val="none" w:sz="0" w:space="0" w:color="auto"/>
        <w:left w:val="none" w:sz="0" w:space="0" w:color="auto"/>
        <w:bottom w:val="none" w:sz="0" w:space="0" w:color="auto"/>
        <w:right w:val="none" w:sz="0" w:space="0" w:color="auto"/>
      </w:divBdr>
    </w:div>
    <w:div w:id="250">
      <w:marLeft w:val="0"/>
      <w:marRight w:val="0"/>
      <w:marTop w:val="0"/>
      <w:marBottom w:val="0"/>
      <w:divBdr>
        <w:top w:val="none" w:sz="0" w:space="0" w:color="auto"/>
        <w:left w:val="none" w:sz="0" w:space="0" w:color="auto"/>
        <w:bottom w:val="none" w:sz="0" w:space="0" w:color="auto"/>
        <w:right w:val="none" w:sz="0" w:space="0" w:color="auto"/>
      </w:divBdr>
    </w:div>
    <w:div w:id="251">
      <w:marLeft w:val="0"/>
      <w:marRight w:val="0"/>
      <w:marTop w:val="0"/>
      <w:marBottom w:val="0"/>
      <w:divBdr>
        <w:top w:val="none" w:sz="0" w:space="0" w:color="auto"/>
        <w:left w:val="none" w:sz="0" w:space="0" w:color="auto"/>
        <w:bottom w:val="none" w:sz="0" w:space="0" w:color="auto"/>
        <w:right w:val="none" w:sz="0" w:space="0" w:color="auto"/>
      </w:divBdr>
    </w:div>
    <w:div w:id="254">
      <w:marLeft w:val="0"/>
      <w:marRight w:val="0"/>
      <w:marTop w:val="0"/>
      <w:marBottom w:val="0"/>
      <w:divBdr>
        <w:top w:val="none" w:sz="0" w:space="0" w:color="auto"/>
        <w:left w:val="none" w:sz="0" w:space="0" w:color="auto"/>
        <w:bottom w:val="none" w:sz="0" w:space="0" w:color="auto"/>
        <w:right w:val="none" w:sz="0" w:space="0" w:color="auto"/>
      </w:divBdr>
    </w:div>
    <w:div w:id="255">
      <w:marLeft w:val="0"/>
      <w:marRight w:val="0"/>
      <w:marTop w:val="0"/>
      <w:marBottom w:val="0"/>
      <w:divBdr>
        <w:top w:val="none" w:sz="0" w:space="0" w:color="auto"/>
        <w:left w:val="none" w:sz="0" w:space="0" w:color="auto"/>
        <w:bottom w:val="none" w:sz="0" w:space="0" w:color="auto"/>
        <w:right w:val="none" w:sz="0" w:space="0" w:color="auto"/>
      </w:divBdr>
    </w:div>
    <w:div w:id="257">
      <w:marLeft w:val="0"/>
      <w:marRight w:val="0"/>
      <w:marTop w:val="0"/>
      <w:marBottom w:val="0"/>
      <w:divBdr>
        <w:top w:val="none" w:sz="0" w:space="0" w:color="auto"/>
        <w:left w:val="none" w:sz="0" w:space="0" w:color="auto"/>
        <w:bottom w:val="none" w:sz="0" w:space="0" w:color="auto"/>
        <w:right w:val="none" w:sz="0" w:space="0" w:color="auto"/>
      </w:divBdr>
    </w:div>
    <w:div w:id="258">
      <w:marLeft w:val="0"/>
      <w:marRight w:val="0"/>
      <w:marTop w:val="0"/>
      <w:marBottom w:val="0"/>
      <w:divBdr>
        <w:top w:val="none" w:sz="0" w:space="0" w:color="auto"/>
        <w:left w:val="none" w:sz="0" w:space="0" w:color="auto"/>
        <w:bottom w:val="none" w:sz="0" w:space="0" w:color="auto"/>
        <w:right w:val="none" w:sz="0" w:space="0" w:color="auto"/>
      </w:divBdr>
    </w:div>
    <w:div w:id="259">
      <w:marLeft w:val="0"/>
      <w:marRight w:val="0"/>
      <w:marTop w:val="0"/>
      <w:marBottom w:val="0"/>
      <w:divBdr>
        <w:top w:val="none" w:sz="0" w:space="0" w:color="auto"/>
        <w:left w:val="none" w:sz="0" w:space="0" w:color="auto"/>
        <w:bottom w:val="none" w:sz="0" w:space="0" w:color="auto"/>
        <w:right w:val="none" w:sz="0" w:space="0" w:color="auto"/>
      </w:divBdr>
    </w:div>
    <w:div w:id="260">
      <w:marLeft w:val="0"/>
      <w:marRight w:val="0"/>
      <w:marTop w:val="0"/>
      <w:marBottom w:val="0"/>
      <w:divBdr>
        <w:top w:val="none" w:sz="0" w:space="0" w:color="auto"/>
        <w:left w:val="none" w:sz="0" w:space="0" w:color="auto"/>
        <w:bottom w:val="none" w:sz="0" w:space="0" w:color="auto"/>
        <w:right w:val="none" w:sz="0" w:space="0" w:color="auto"/>
      </w:divBdr>
    </w:div>
    <w:div w:id="261">
      <w:marLeft w:val="0"/>
      <w:marRight w:val="0"/>
      <w:marTop w:val="0"/>
      <w:marBottom w:val="0"/>
      <w:divBdr>
        <w:top w:val="none" w:sz="0" w:space="0" w:color="auto"/>
        <w:left w:val="none" w:sz="0" w:space="0" w:color="auto"/>
        <w:bottom w:val="none" w:sz="0" w:space="0" w:color="auto"/>
        <w:right w:val="none" w:sz="0" w:space="0" w:color="auto"/>
      </w:divBdr>
    </w:div>
    <w:div w:id="268">
      <w:marLeft w:val="0"/>
      <w:marRight w:val="0"/>
      <w:marTop w:val="0"/>
      <w:marBottom w:val="0"/>
      <w:divBdr>
        <w:top w:val="none" w:sz="0" w:space="0" w:color="auto"/>
        <w:left w:val="none" w:sz="0" w:space="0" w:color="auto"/>
        <w:bottom w:val="none" w:sz="0" w:space="0" w:color="auto"/>
        <w:right w:val="none" w:sz="0" w:space="0" w:color="auto"/>
      </w:divBdr>
      <w:divsChild>
        <w:div w:id="263">
          <w:marLeft w:val="0"/>
          <w:marRight w:val="0"/>
          <w:marTop w:val="0"/>
          <w:marBottom w:val="0"/>
          <w:divBdr>
            <w:top w:val="none" w:sz="0" w:space="0" w:color="auto"/>
            <w:left w:val="none" w:sz="0" w:space="0" w:color="auto"/>
            <w:bottom w:val="none" w:sz="0" w:space="0" w:color="auto"/>
            <w:right w:val="none" w:sz="0" w:space="0" w:color="auto"/>
          </w:divBdr>
        </w:div>
        <w:div w:id="265">
          <w:marLeft w:val="0"/>
          <w:marRight w:val="0"/>
          <w:marTop w:val="0"/>
          <w:marBottom w:val="0"/>
          <w:divBdr>
            <w:top w:val="none" w:sz="0" w:space="0" w:color="auto"/>
            <w:left w:val="none" w:sz="0" w:space="0" w:color="auto"/>
            <w:bottom w:val="none" w:sz="0" w:space="0" w:color="auto"/>
            <w:right w:val="none" w:sz="0" w:space="0" w:color="auto"/>
          </w:divBdr>
        </w:div>
        <w:div w:id="267">
          <w:marLeft w:val="0"/>
          <w:marRight w:val="0"/>
          <w:marTop w:val="0"/>
          <w:marBottom w:val="0"/>
          <w:divBdr>
            <w:top w:val="none" w:sz="0" w:space="0" w:color="auto"/>
            <w:left w:val="none" w:sz="0" w:space="0" w:color="auto"/>
            <w:bottom w:val="none" w:sz="0" w:space="0" w:color="auto"/>
            <w:right w:val="none" w:sz="0" w:space="0" w:color="auto"/>
          </w:divBdr>
          <w:divsChild>
            <w:div w:id="262">
              <w:marLeft w:val="0"/>
              <w:marRight w:val="0"/>
              <w:marTop w:val="0"/>
              <w:marBottom w:val="0"/>
              <w:divBdr>
                <w:top w:val="none" w:sz="0" w:space="0" w:color="auto"/>
                <w:left w:val="none" w:sz="0" w:space="0" w:color="auto"/>
                <w:bottom w:val="none" w:sz="0" w:space="0" w:color="auto"/>
                <w:right w:val="none" w:sz="0" w:space="0" w:color="auto"/>
              </w:divBdr>
            </w:div>
            <w:div w:id="264">
              <w:marLeft w:val="0"/>
              <w:marRight w:val="0"/>
              <w:marTop w:val="0"/>
              <w:marBottom w:val="0"/>
              <w:divBdr>
                <w:top w:val="none" w:sz="0" w:space="0" w:color="auto"/>
                <w:left w:val="none" w:sz="0" w:space="0" w:color="auto"/>
                <w:bottom w:val="none" w:sz="0" w:space="0" w:color="auto"/>
                <w:right w:val="none" w:sz="0" w:space="0" w:color="auto"/>
              </w:divBdr>
            </w:div>
            <w:div w:id="266">
              <w:marLeft w:val="0"/>
              <w:marRight w:val="0"/>
              <w:marTop w:val="0"/>
              <w:marBottom w:val="0"/>
              <w:divBdr>
                <w:top w:val="none" w:sz="0" w:space="0" w:color="auto"/>
                <w:left w:val="none" w:sz="0" w:space="0" w:color="auto"/>
                <w:bottom w:val="none" w:sz="0" w:space="0" w:color="auto"/>
                <w:right w:val="none" w:sz="0" w:space="0" w:color="auto"/>
              </w:divBdr>
            </w:div>
            <w:div w:id="269">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
            <w:div w:id="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34-es.pdf" TargetMode="External"/><Relationship Id="rId18" Type="http://schemas.openxmlformats.org/officeDocument/2006/relationships/hyperlink" Target="https://www.cbd.int/doc/decisions/cop-14/cop-14-dec-03-es.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np-mop-03/np-mop-03-dec-16-es.pdf" TargetMode="External"/><Relationship Id="rId17" Type="http://schemas.openxmlformats.org/officeDocument/2006/relationships/hyperlink" Target="https://www.cbd.int/doc/decisions/cop-13/cop-13-dec-03-es.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5/cop-15-dec-01-es.pdf" TargetMode="External"/><Relationship Id="rId20" Type="http://schemas.openxmlformats.org/officeDocument/2006/relationships/hyperlink" Target="https://undocs.org/es/A/75/5/Add.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6-es.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2/cop-12-dec-28-es.pdf"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gbo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2E852-DA2C-4BF3-968C-F2D04E2E2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52</Pages>
  <Words>25863</Words>
  <Characters>147420</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PROPOSED BUDGET FOR THE PROGRAMMES OF WORK OF THE CONVENTION ON BIOLOGICAL DIVERSITY, THE CARTAGENA PROTOCOL ON BIOSAFETY AND THE NAGOYA PROTOCOL ON ACCESS AND BENEFIT-SHARING FOR THE BIENNIUM 2023-2024</vt:lpstr>
    </vt:vector>
  </TitlesOfParts>
  <Company>SCBD</Company>
  <LinksUpToDate>false</LinksUpToDate>
  <CharactersWithSpaces>172938</CharactersWithSpaces>
  <SharedDoc>false</SharedDoc>
  <HLinks>
    <vt:vector size="36" baseType="variant">
      <vt:variant>
        <vt:i4>983126</vt:i4>
      </vt:variant>
      <vt:variant>
        <vt:i4>18</vt:i4>
      </vt:variant>
      <vt:variant>
        <vt:i4>0</vt:i4>
      </vt:variant>
      <vt:variant>
        <vt:i4>5</vt:i4>
      </vt:variant>
      <vt:variant>
        <vt:lpwstr>https://www.cbd.int/doc/decisions/cop-15/cop-15-dec-01-es.pdf</vt:lpwstr>
      </vt:variant>
      <vt:variant>
        <vt:lpwstr/>
      </vt:variant>
      <vt:variant>
        <vt:i4>65619</vt:i4>
      </vt:variant>
      <vt:variant>
        <vt:i4>15</vt:i4>
      </vt:variant>
      <vt:variant>
        <vt:i4>0</vt:i4>
      </vt:variant>
      <vt:variant>
        <vt:i4>5</vt:i4>
      </vt:variant>
      <vt:variant>
        <vt:lpwstr>https://www.cbd.int/doc/decisions/cop-12/cop-12-dec-28-es.pdf</vt:lpwstr>
      </vt:variant>
      <vt:variant>
        <vt:lpwstr/>
      </vt:variant>
      <vt:variant>
        <vt:i4>720980</vt:i4>
      </vt:variant>
      <vt:variant>
        <vt:i4>9</vt:i4>
      </vt:variant>
      <vt:variant>
        <vt:i4>0</vt:i4>
      </vt:variant>
      <vt:variant>
        <vt:i4>5</vt:i4>
      </vt:variant>
      <vt:variant>
        <vt:lpwstr>https://www.cbd.int/doc/decisions/cop-14/cop-14-dec-34-es.pdf</vt:lpwstr>
      </vt:variant>
      <vt:variant>
        <vt:lpwstr/>
      </vt:variant>
      <vt:variant>
        <vt:i4>7471149</vt:i4>
      </vt:variant>
      <vt:variant>
        <vt:i4>3</vt:i4>
      </vt:variant>
      <vt:variant>
        <vt:i4>0</vt:i4>
      </vt:variant>
      <vt:variant>
        <vt:i4>5</vt:i4>
      </vt:variant>
      <vt:variant>
        <vt:lpwstr>https://www.cbd.int/doc/decisions/np-mop-03/np-mop-03-dec-16-es.pdf</vt:lpwstr>
      </vt:variant>
      <vt:variant>
        <vt:lpwstr/>
      </vt:variant>
      <vt:variant>
        <vt:i4>7471149</vt:i4>
      </vt:variant>
      <vt:variant>
        <vt:i4>0</vt:i4>
      </vt:variant>
      <vt:variant>
        <vt:i4>0</vt:i4>
      </vt:variant>
      <vt:variant>
        <vt:i4>5</vt:i4>
      </vt:variant>
      <vt:variant>
        <vt:lpwstr>https://www.cbd.int/doc/decisions/cp-mop-09/cp-mop-09-dec-16-es.pdf</vt:lpwstr>
      </vt:variant>
      <vt:variant>
        <vt:lpwstr/>
      </vt:variant>
      <vt:variant>
        <vt:i4>1179730</vt:i4>
      </vt:variant>
      <vt:variant>
        <vt:i4>0</vt:i4>
      </vt:variant>
      <vt:variant>
        <vt:i4>0</vt:i4>
      </vt:variant>
      <vt:variant>
        <vt:i4>5</vt:i4>
      </vt:variant>
      <vt:variant>
        <vt:lpwstr>https://www.cbd.int/gbo5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THE PROGRAMMES OF WORK OF THE CONVENTION ON BIOLOGICAL DIVERSITY, THE CARTAGENA PROTOCOL ON BIOSAFETY AND THE NAGOYA PROTOCOL ON ACCESS AND BENEFIT-SHARING FOR THE BIENNIUM 2023-2024</dc:title>
  <dc:subject>CBD/COP/15/7</dc:subject>
  <dc:creator>SCBD</dc:creator>
  <cp:keywords>Subsidiary Body on Implementation, Implementation of the Convention</cp:keywords>
  <cp:lastModifiedBy>Xue He Yan</cp:lastModifiedBy>
  <cp:revision>36</cp:revision>
  <cp:lastPrinted>2022-09-21T21:38:00Z</cp:lastPrinted>
  <dcterms:created xsi:type="dcterms:W3CDTF">2022-09-26T15:24:00Z</dcterms:created>
  <dcterms:modified xsi:type="dcterms:W3CDTF">2022-09-27T15:06:00Z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SharedWithUsers">
    <vt:lpwstr>16;#Worku Yifru;#25;#Elizabeth Mrema;#40;#David Cooper;#17;#Wadzanayi Mandivenyi;#18;#Jihyun Lee;#14;#Taukondjo Shikongo;#22;#Neil Pratt;#12;#Kristina Taboulchanas;#15;#Nicolaas Van Der Werf;#13;#Wataru Suzuki;#24;#Paulo Tagliari;#35;#Marie Annie Martine </vt:lpwstr>
  </property>
</Properties>
</file>