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490BF5" w:rsidTr="004C28A2">
        <w:trPr>
          <w:trHeight w:val="709"/>
        </w:trPr>
        <w:tc>
          <w:tcPr>
            <w:tcW w:w="977"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sidRPr="00490BF5">
              <w:rPr>
                <w:noProof/>
                <w:snapToGrid w:val="0"/>
                <w:kern w:val="22"/>
                <w:lang w:val="en-US" w:eastAsia="zh-CN"/>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sidRPr="00490BF5">
              <w:rPr>
                <w:noProof/>
                <w:snapToGrid w:val="0"/>
                <w:kern w:val="22"/>
                <w:lang w:val="en-US" w:eastAsia="zh-CN"/>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490BF5">
              <w:rPr>
                <w:rFonts w:ascii="Arial" w:hAnsi="Arial" w:cs="Arial"/>
                <w:b/>
                <w:snapToGrid w:val="0"/>
                <w:kern w:val="22"/>
                <w:sz w:val="32"/>
                <w:szCs w:val="32"/>
              </w:rPr>
              <w:t>CBD</w:t>
            </w:r>
          </w:p>
        </w:tc>
      </w:tr>
      <w:tr w:rsidR="00C9161D" w:rsidRPr="000D1E7C" w:rsidTr="00CF1848">
        <w:tc>
          <w:tcPr>
            <w:tcW w:w="6117" w:type="dxa"/>
            <w:gridSpan w:val="2"/>
            <w:tcBorders>
              <w:top w:val="single" w:sz="12" w:space="0" w:color="auto"/>
              <w:bottom w:val="single" w:sz="36" w:space="0" w:color="auto"/>
            </w:tcBorders>
            <w:vAlign w:val="center"/>
          </w:tcPr>
          <w:p w:rsidR="00C9161D" w:rsidRPr="00490BF5" w:rsidRDefault="004C28A2" w:rsidP="00490BF5">
            <w:pPr>
              <w:suppressLineNumbers/>
              <w:suppressAutoHyphens/>
              <w:kinsoku w:val="0"/>
              <w:overflowPunct w:val="0"/>
              <w:autoSpaceDE w:val="0"/>
              <w:autoSpaceDN w:val="0"/>
              <w:adjustRightInd w:val="0"/>
              <w:snapToGrid w:val="0"/>
              <w:rPr>
                <w:snapToGrid w:val="0"/>
                <w:kern w:val="22"/>
              </w:rPr>
            </w:pPr>
            <w:r w:rsidRPr="004C28A2">
              <w:rPr>
                <w:noProof/>
                <w:snapToGrid w:val="0"/>
                <w:kern w:val="22"/>
                <w:lang w:val="en-US" w:eastAsia="zh-CN"/>
              </w:rPr>
              <w:drawing>
                <wp:inline distT="0" distB="0" distL="0" distR="0">
                  <wp:extent cx="2699385" cy="1076960"/>
                  <wp:effectExtent l="19050" t="0" r="5715" b="0"/>
                  <wp:docPr id="2" name="Picture 1" descr="cbd-logo-web-blac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logo-web-black-es"/>
                          <pic:cNvPicPr>
                            <a:picLocks noChangeAspect="1" noChangeArrowheads="1"/>
                          </pic:cNvPicPr>
                        </pic:nvPicPr>
                        <pic:blipFill>
                          <a:blip r:embed="rId11"/>
                          <a:srcRect/>
                          <a:stretch>
                            <a:fillRect/>
                          </a:stretch>
                        </pic:blipFill>
                        <pic:spPr bwMode="auto">
                          <a:xfrm>
                            <a:off x="0" y="0"/>
                            <a:ext cx="2699385" cy="107696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8426CC" w:rsidRDefault="00C9161D" w:rsidP="00490BF5">
            <w:pPr>
              <w:suppressLineNumbers/>
              <w:suppressAutoHyphens/>
              <w:kinsoku w:val="0"/>
              <w:overflowPunct w:val="0"/>
              <w:autoSpaceDE w:val="0"/>
              <w:autoSpaceDN w:val="0"/>
              <w:adjustRightInd w:val="0"/>
              <w:snapToGrid w:val="0"/>
              <w:ind w:left="1215"/>
              <w:rPr>
                <w:snapToGrid w:val="0"/>
                <w:kern w:val="22"/>
                <w:szCs w:val="22"/>
                <w:lang w:val="es-ES"/>
              </w:rPr>
            </w:pPr>
            <w:r w:rsidRPr="008426CC">
              <w:rPr>
                <w:snapToGrid w:val="0"/>
                <w:kern w:val="22"/>
                <w:szCs w:val="22"/>
                <w:lang w:val="es-ES"/>
              </w:rPr>
              <w:t>Distr.</w:t>
            </w:r>
          </w:p>
          <w:p w:rsidR="00C9161D" w:rsidRPr="008426CC" w:rsidRDefault="000D1E7C" w:rsidP="00490BF5">
            <w:pPr>
              <w:suppressLineNumbers/>
              <w:suppressAutoHyphens/>
              <w:kinsoku w:val="0"/>
              <w:overflowPunct w:val="0"/>
              <w:autoSpaceDE w:val="0"/>
              <w:autoSpaceDN w:val="0"/>
              <w:adjustRightInd w:val="0"/>
              <w:snapToGrid w:val="0"/>
              <w:ind w:left="1215"/>
              <w:rPr>
                <w:snapToGrid w:val="0"/>
                <w:kern w:val="22"/>
                <w:szCs w:val="22"/>
                <w:lang w:val="es-ES"/>
              </w:rPr>
            </w:pPr>
            <w:sdt>
              <w:sdtPr>
                <w:rPr>
                  <w:caps/>
                  <w:snapToGrid w:val="0"/>
                  <w:kern w:val="22"/>
                  <w:szCs w:val="22"/>
                  <w:lang w:val="es-E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1629" w:rsidRPr="008426CC">
                  <w:rPr>
                    <w:caps/>
                    <w:snapToGrid w:val="0"/>
                    <w:kern w:val="22"/>
                    <w:szCs w:val="22"/>
                    <w:lang w:val="es-ES"/>
                  </w:rPr>
                  <w:t>GENERAL</w:t>
                </w:r>
              </w:sdtContent>
            </w:sdt>
          </w:p>
          <w:p w:rsidR="00C9161D" w:rsidRPr="008426CC" w:rsidRDefault="00C9161D" w:rsidP="00490BF5">
            <w:pPr>
              <w:suppressLineNumbers/>
              <w:suppressAutoHyphens/>
              <w:kinsoku w:val="0"/>
              <w:overflowPunct w:val="0"/>
              <w:autoSpaceDE w:val="0"/>
              <w:autoSpaceDN w:val="0"/>
              <w:adjustRightInd w:val="0"/>
              <w:snapToGrid w:val="0"/>
              <w:ind w:left="1215"/>
              <w:rPr>
                <w:snapToGrid w:val="0"/>
                <w:kern w:val="22"/>
                <w:szCs w:val="22"/>
                <w:lang w:val="es-ES"/>
              </w:rPr>
            </w:pPr>
          </w:p>
          <w:p w:rsidR="00C9161D" w:rsidRPr="008426CC" w:rsidRDefault="000D1E7C" w:rsidP="00490BF5">
            <w:pPr>
              <w:suppressLineNumbers/>
              <w:suppressAutoHyphens/>
              <w:kinsoku w:val="0"/>
              <w:overflowPunct w:val="0"/>
              <w:autoSpaceDE w:val="0"/>
              <w:autoSpaceDN w:val="0"/>
              <w:adjustRightInd w:val="0"/>
              <w:snapToGrid w:val="0"/>
              <w:ind w:left="1215"/>
              <w:rPr>
                <w:snapToGrid w:val="0"/>
                <w:kern w:val="22"/>
                <w:szCs w:val="22"/>
                <w:lang w:val="es-ES"/>
              </w:rPr>
            </w:pPr>
            <w:sdt>
              <w:sdtPr>
                <w:rPr>
                  <w:snapToGrid w:val="0"/>
                  <w:kern w:val="22"/>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41629" w:rsidRPr="008426CC">
                  <w:rPr>
                    <w:snapToGrid w:val="0"/>
                    <w:kern w:val="22"/>
                    <w:lang w:val="es-ES"/>
                  </w:rPr>
                  <w:t>CBD/SBI/</w:t>
                </w:r>
                <w:r>
                  <w:rPr>
                    <w:snapToGrid w:val="0"/>
                    <w:kern w:val="22"/>
                    <w:lang w:val="es-ES"/>
                  </w:rPr>
                  <w:t>2/</w:t>
                </w:r>
                <w:r w:rsidR="00E41629" w:rsidRPr="008426CC">
                  <w:rPr>
                    <w:snapToGrid w:val="0"/>
                    <w:kern w:val="22"/>
                    <w:lang w:val="es-ES"/>
                  </w:rPr>
                  <w:t>7/Add.1</w:t>
                </w:r>
              </w:sdtContent>
            </w:sdt>
          </w:p>
          <w:p w:rsidR="00C9161D" w:rsidRPr="004C28A2" w:rsidRDefault="000D1E7C" w:rsidP="00490BF5">
            <w:pPr>
              <w:suppressLineNumbers/>
              <w:suppressAutoHyphens/>
              <w:kinsoku w:val="0"/>
              <w:overflowPunct w:val="0"/>
              <w:autoSpaceDE w:val="0"/>
              <w:autoSpaceDN w:val="0"/>
              <w:adjustRightInd w:val="0"/>
              <w:snapToGrid w:val="0"/>
              <w:ind w:left="1215"/>
              <w:rPr>
                <w:snapToGrid w:val="0"/>
                <w:kern w:val="22"/>
                <w:szCs w:val="22"/>
                <w:lang w:val="es-ES"/>
              </w:rPr>
            </w:pPr>
            <w:sdt>
              <w:sdtPr>
                <w:rPr>
                  <w:snapToGrid w:val="0"/>
                  <w:kern w:val="22"/>
                  <w:szCs w:val="22"/>
                  <w:lang w:val="es-ES"/>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E41629" w:rsidRPr="004C28A2">
                  <w:rPr>
                    <w:snapToGrid w:val="0"/>
                    <w:kern w:val="22"/>
                    <w:szCs w:val="22"/>
                    <w:lang w:val="es-ES"/>
                  </w:rPr>
                  <w:t xml:space="preserve">12 </w:t>
                </w:r>
                <w:r w:rsidR="004C28A2" w:rsidRPr="004C28A2">
                  <w:rPr>
                    <w:snapToGrid w:val="0"/>
                    <w:kern w:val="22"/>
                    <w:szCs w:val="22"/>
                    <w:lang w:val="es-ES"/>
                  </w:rPr>
                  <w:t>de mayo de</w:t>
                </w:r>
                <w:r w:rsidR="00E41629" w:rsidRPr="004C28A2">
                  <w:rPr>
                    <w:snapToGrid w:val="0"/>
                    <w:kern w:val="22"/>
                    <w:szCs w:val="22"/>
                    <w:lang w:val="es-ES"/>
                  </w:rPr>
                  <w:t xml:space="preserve"> 2018</w:t>
                </w:r>
              </w:sdtContent>
            </w:sdt>
          </w:p>
          <w:p w:rsidR="00C9161D" w:rsidRPr="004C28A2" w:rsidRDefault="00C9161D" w:rsidP="00490BF5">
            <w:pPr>
              <w:suppressLineNumbers/>
              <w:suppressAutoHyphens/>
              <w:kinsoku w:val="0"/>
              <w:overflowPunct w:val="0"/>
              <w:autoSpaceDE w:val="0"/>
              <w:autoSpaceDN w:val="0"/>
              <w:adjustRightInd w:val="0"/>
              <w:snapToGrid w:val="0"/>
              <w:ind w:left="1215"/>
              <w:rPr>
                <w:snapToGrid w:val="0"/>
                <w:kern w:val="22"/>
                <w:szCs w:val="22"/>
                <w:lang w:val="es-ES"/>
              </w:rPr>
            </w:pPr>
          </w:p>
          <w:p w:rsidR="004C28A2" w:rsidRPr="004C28A2" w:rsidRDefault="004C28A2" w:rsidP="00490BF5">
            <w:pPr>
              <w:suppressLineNumbers/>
              <w:suppressAutoHyphens/>
              <w:kinsoku w:val="0"/>
              <w:overflowPunct w:val="0"/>
              <w:autoSpaceDE w:val="0"/>
              <w:autoSpaceDN w:val="0"/>
              <w:adjustRightInd w:val="0"/>
              <w:snapToGrid w:val="0"/>
              <w:ind w:left="1215"/>
              <w:rPr>
                <w:snapToGrid w:val="0"/>
                <w:kern w:val="22"/>
                <w:szCs w:val="22"/>
                <w:lang w:val="es-ES"/>
              </w:rPr>
            </w:pPr>
            <w:r w:rsidRPr="004C28A2">
              <w:rPr>
                <w:snapToGrid w:val="0"/>
                <w:kern w:val="22"/>
                <w:szCs w:val="22"/>
                <w:lang w:val="es-ES"/>
              </w:rPr>
              <w:t>ESPAÑOL</w:t>
            </w:r>
          </w:p>
          <w:p w:rsidR="00C9161D" w:rsidRPr="004C28A2" w:rsidRDefault="006B2290" w:rsidP="00490BF5">
            <w:pPr>
              <w:suppressLineNumbers/>
              <w:suppressAutoHyphens/>
              <w:kinsoku w:val="0"/>
              <w:overflowPunct w:val="0"/>
              <w:autoSpaceDE w:val="0"/>
              <w:autoSpaceDN w:val="0"/>
              <w:adjustRightInd w:val="0"/>
              <w:snapToGrid w:val="0"/>
              <w:ind w:left="1215"/>
              <w:rPr>
                <w:snapToGrid w:val="0"/>
                <w:kern w:val="22"/>
                <w:szCs w:val="22"/>
                <w:lang w:val="es-ES"/>
              </w:rPr>
            </w:pPr>
            <w:r w:rsidRPr="004C28A2">
              <w:rPr>
                <w:snapToGrid w:val="0"/>
                <w:kern w:val="22"/>
                <w:szCs w:val="22"/>
                <w:lang w:val="es-ES"/>
              </w:rPr>
              <w:t xml:space="preserve">ORIGINAL: </w:t>
            </w:r>
            <w:r w:rsidR="004C28A2" w:rsidRPr="004C28A2">
              <w:rPr>
                <w:snapToGrid w:val="0"/>
                <w:kern w:val="22"/>
                <w:szCs w:val="22"/>
                <w:lang w:val="es-ES"/>
              </w:rPr>
              <w:t>I</w:t>
            </w:r>
            <w:r w:rsidR="00C9161D" w:rsidRPr="004C28A2">
              <w:rPr>
                <w:snapToGrid w:val="0"/>
                <w:kern w:val="22"/>
                <w:szCs w:val="22"/>
                <w:lang w:val="es-ES"/>
              </w:rPr>
              <w:t>NGL</w:t>
            </w:r>
            <w:r w:rsidR="004C28A2" w:rsidRPr="004C28A2">
              <w:rPr>
                <w:snapToGrid w:val="0"/>
                <w:kern w:val="22"/>
                <w:szCs w:val="22"/>
                <w:lang w:val="es-ES"/>
              </w:rPr>
              <w:t>ÉS</w:t>
            </w:r>
          </w:p>
          <w:p w:rsidR="00C9161D" w:rsidRPr="004C28A2" w:rsidRDefault="00C9161D" w:rsidP="00490BF5">
            <w:pPr>
              <w:suppressLineNumbers/>
              <w:suppressAutoHyphens/>
              <w:kinsoku w:val="0"/>
              <w:overflowPunct w:val="0"/>
              <w:autoSpaceDE w:val="0"/>
              <w:autoSpaceDN w:val="0"/>
              <w:adjustRightInd w:val="0"/>
              <w:snapToGrid w:val="0"/>
              <w:rPr>
                <w:snapToGrid w:val="0"/>
                <w:kern w:val="22"/>
                <w:lang w:val="es-ES"/>
              </w:rPr>
            </w:pPr>
          </w:p>
        </w:tc>
      </w:tr>
    </w:tbl>
    <w:p w:rsidR="004C28A2" w:rsidRPr="00F600E5" w:rsidRDefault="004C28A2" w:rsidP="004C28A2">
      <w:pPr>
        <w:pStyle w:val="Cornernotation"/>
        <w:rPr>
          <w:kern w:val="22"/>
          <w:szCs w:val="22"/>
          <w:lang w:val="es-ES_tradnl"/>
        </w:rPr>
      </w:pPr>
      <w:r w:rsidRPr="00F600E5">
        <w:rPr>
          <w:kern w:val="22"/>
          <w:szCs w:val="22"/>
          <w:lang w:val="es-ES_tradnl"/>
        </w:rPr>
        <w:t>ÓRGANO SUBSIDIARIO SOBRE LA APLICACIÓN</w:t>
      </w:r>
    </w:p>
    <w:p w:rsidR="004C28A2" w:rsidRPr="00F600E5" w:rsidRDefault="004C28A2" w:rsidP="004C28A2">
      <w:pPr>
        <w:tabs>
          <w:tab w:val="left" w:pos="5954"/>
        </w:tabs>
        <w:autoSpaceDE w:val="0"/>
        <w:autoSpaceDN w:val="0"/>
        <w:adjustRightInd w:val="0"/>
        <w:ind w:left="170" w:right="3406"/>
        <w:jc w:val="left"/>
        <w:rPr>
          <w:kern w:val="22"/>
          <w:szCs w:val="22"/>
          <w:lang w:val="es-ES_tradnl"/>
        </w:rPr>
      </w:pPr>
      <w:r w:rsidRPr="00F600E5">
        <w:rPr>
          <w:kern w:val="22"/>
          <w:szCs w:val="22"/>
          <w:lang w:val="es-ES_tradnl"/>
        </w:rPr>
        <w:t>Segunda reunión</w:t>
      </w:r>
    </w:p>
    <w:p w:rsidR="00855A78" w:rsidRPr="004C28A2" w:rsidRDefault="004C28A2" w:rsidP="004C28A2">
      <w:pPr>
        <w:suppressLineNumbers/>
        <w:suppressAutoHyphens/>
        <w:kinsoku w:val="0"/>
        <w:overflowPunct w:val="0"/>
        <w:autoSpaceDE w:val="0"/>
        <w:autoSpaceDN w:val="0"/>
        <w:adjustRightInd w:val="0"/>
        <w:snapToGrid w:val="0"/>
        <w:spacing w:line="260" w:lineRule="atLeast"/>
        <w:ind w:left="170"/>
        <w:rPr>
          <w:snapToGrid w:val="0"/>
          <w:kern w:val="22"/>
          <w:szCs w:val="22"/>
          <w:lang w:val="es-ES" w:eastAsia="nb-NO"/>
        </w:rPr>
      </w:pPr>
      <w:r w:rsidRPr="00F600E5">
        <w:rPr>
          <w:kern w:val="22"/>
          <w:szCs w:val="22"/>
          <w:lang w:val="es-ES_tradnl"/>
        </w:rPr>
        <w:t xml:space="preserve">Montreal, Canadá, 9-13 de julio de </w:t>
      </w:r>
      <w:r w:rsidR="00855A78" w:rsidRPr="004C28A2">
        <w:rPr>
          <w:snapToGrid w:val="0"/>
          <w:kern w:val="22"/>
          <w:szCs w:val="22"/>
          <w:lang w:val="es-ES" w:eastAsia="nb-NO"/>
        </w:rPr>
        <w:t>2018</w:t>
      </w:r>
    </w:p>
    <w:p w:rsidR="00855A78" w:rsidRPr="004C28A2" w:rsidRDefault="004C28A2" w:rsidP="00490BF5">
      <w:pPr>
        <w:suppressLineNumbers/>
        <w:suppressAutoHyphens/>
        <w:kinsoku w:val="0"/>
        <w:overflowPunct w:val="0"/>
        <w:autoSpaceDE w:val="0"/>
        <w:autoSpaceDN w:val="0"/>
        <w:adjustRightInd w:val="0"/>
        <w:snapToGrid w:val="0"/>
        <w:spacing w:line="260" w:lineRule="atLeast"/>
        <w:ind w:left="170"/>
        <w:rPr>
          <w:snapToGrid w:val="0"/>
          <w:kern w:val="22"/>
          <w:szCs w:val="22"/>
          <w:lang w:val="es-ES" w:eastAsia="nb-NO"/>
        </w:rPr>
      </w:pPr>
      <w:r w:rsidRPr="00F600E5">
        <w:rPr>
          <w:kern w:val="22"/>
          <w:szCs w:val="22"/>
          <w:lang w:val="es-ES_tradnl"/>
        </w:rPr>
        <w:t>Tema 8 del programa provisional</w:t>
      </w:r>
      <w:r w:rsidR="00855A78" w:rsidRPr="004C28A2">
        <w:rPr>
          <w:snapToGrid w:val="0"/>
          <w:kern w:val="22"/>
          <w:szCs w:val="22"/>
          <w:lang w:val="es-ES" w:eastAsia="nb-NO"/>
        </w:rPr>
        <w:footnoteReference w:customMarkFollows="1" w:id="1"/>
        <w:t>*</w:t>
      </w:r>
    </w:p>
    <w:p w:rsidR="00C9161D" w:rsidRPr="004C28A2" w:rsidRDefault="00C9161D" w:rsidP="00490BF5">
      <w:pPr>
        <w:suppressLineNumbers/>
        <w:suppressAutoHyphens/>
        <w:kinsoku w:val="0"/>
        <w:overflowPunct w:val="0"/>
        <w:autoSpaceDE w:val="0"/>
        <w:autoSpaceDN w:val="0"/>
        <w:adjustRightInd w:val="0"/>
        <w:snapToGrid w:val="0"/>
        <w:rPr>
          <w:snapToGrid w:val="0"/>
          <w:kern w:val="22"/>
          <w:szCs w:val="22"/>
          <w:lang w:val="es-ES"/>
        </w:rPr>
      </w:pPr>
    </w:p>
    <w:p w:rsidR="00DB4C97" w:rsidRPr="004C28A2" w:rsidRDefault="004C28A2" w:rsidP="00490BF5">
      <w:pPr>
        <w:suppressLineNumbers/>
        <w:suppressAutoHyphens/>
        <w:kinsoku w:val="0"/>
        <w:overflowPunct w:val="0"/>
        <w:autoSpaceDE w:val="0"/>
        <w:autoSpaceDN w:val="0"/>
        <w:adjustRightInd w:val="0"/>
        <w:snapToGrid w:val="0"/>
        <w:jc w:val="center"/>
        <w:rPr>
          <w:caps/>
          <w:snapToGrid w:val="0"/>
          <w:kern w:val="22"/>
          <w:szCs w:val="22"/>
          <w:lang w:val="es-ES"/>
        </w:rPr>
      </w:pPr>
      <w:r w:rsidRPr="004C28A2">
        <w:rPr>
          <w:b/>
          <w:caps/>
          <w:snapToGrid w:val="0"/>
          <w:kern w:val="22"/>
          <w:szCs w:val="22"/>
          <w:lang w:val="es-ES"/>
        </w:rPr>
        <w:t>MOVILIZACIÓN DE RECURSOS</w:t>
      </w:r>
    </w:p>
    <w:p w:rsidR="00C9161D" w:rsidRPr="00F07290" w:rsidRDefault="000D1E7C" w:rsidP="00490BF5">
      <w:pPr>
        <w:suppressLineNumbers/>
        <w:suppressAutoHyphens/>
        <w:kinsoku w:val="0"/>
        <w:overflowPunct w:val="0"/>
        <w:autoSpaceDE w:val="0"/>
        <w:autoSpaceDN w:val="0"/>
        <w:adjustRightInd w:val="0"/>
        <w:snapToGrid w:val="0"/>
        <w:spacing w:before="120" w:after="120"/>
        <w:jc w:val="center"/>
        <w:rPr>
          <w:b/>
          <w:caps/>
          <w:snapToGrid w:val="0"/>
          <w:kern w:val="22"/>
          <w:szCs w:val="22"/>
          <w:lang w:val="es-ES"/>
        </w:rPr>
      </w:pPr>
      <w:sdt>
        <w:sdtPr>
          <w:rPr>
            <w:b/>
            <w:caps/>
            <w:snapToGrid w:val="0"/>
            <w:kern w:val="22"/>
            <w:szCs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07290" w:rsidRPr="00F07290">
            <w:rPr>
              <w:b/>
              <w:caps/>
              <w:snapToGrid w:val="0"/>
              <w:kern w:val="22"/>
              <w:szCs w:val="22"/>
              <w:lang w:val="es-ES"/>
            </w:rPr>
            <w:t xml:space="preserve">BALANCE Y ANÁLISIS ACTUALIZADO DE LA INFORMACIÓN PROPORCIONADA </w:t>
          </w:r>
          <w:r w:rsidR="00F07290">
            <w:rPr>
              <w:b/>
              <w:caps/>
              <w:snapToGrid w:val="0"/>
              <w:kern w:val="22"/>
              <w:szCs w:val="22"/>
              <w:lang w:val="es-ES"/>
            </w:rPr>
            <w:t>a través del marco de presentación de informes financieros</w:t>
          </w:r>
        </w:sdtContent>
      </w:sdt>
    </w:p>
    <w:p w:rsidR="00855A78" w:rsidRPr="00F07290" w:rsidRDefault="00855A78" w:rsidP="00490BF5">
      <w:pPr>
        <w:pStyle w:val="Heading2"/>
        <w:keepNext w:val="0"/>
        <w:suppressLineNumbers/>
        <w:suppressAutoHyphens/>
        <w:kinsoku w:val="0"/>
        <w:overflowPunct w:val="0"/>
        <w:autoSpaceDE w:val="0"/>
        <w:autoSpaceDN w:val="0"/>
        <w:adjustRightInd w:val="0"/>
        <w:snapToGrid w:val="0"/>
        <w:rPr>
          <w:bCs w:val="0"/>
          <w:i/>
          <w:iCs w:val="0"/>
          <w:snapToGrid w:val="0"/>
          <w:kern w:val="22"/>
          <w:szCs w:val="22"/>
          <w:lang w:val="es-ES"/>
        </w:rPr>
      </w:pPr>
      <w:r w:rsidRPr="00F07290">
        <w:rPr>
          <w:b w:val="0"/>
          <w:bCs w:val="0"/>
          <w:i/>
          <w:iCs w:val="0"/>
          <w:snapToGrid w:val="0"/>
          <w:kern w:val="22"/>
          <w:szCs w:val="22"/>
          <w:lang w:val="es-ES"/>
        </w:rPr>
        <w:t>Not</w:t>
      </w:r>
      <w:r w:rsidR="00F07290" w:rsidRPr="00F07290">
        <w:rPr>
          <w:b w:val="0"/>
          <w:bCs w:val="0"/>
          <w:i/>
          <w:iCs w:val="0"/>
          <w:snapToGrid w:val="0"/>
          <w:kern w:val="22"/>
          <w:szCs w:val="22"/>
          <w:lang w:val="es-ES"/>
        </w:rPr>
        <w:t>a de la Secretaria Ejecutiva</w:t>
      </w:r>
    </w:p>
    <w:p w:rsidR="00855A78" w:rsidRPr="00F07290" w:rsidRDefault="00855A78" w:rsidP="00490BF5">
      <w:pPr>
        <w:suppressLineNumbers/>
        <w:tabs>
          <w:tab w:val="left" w:pos="360"/>
        </w:tabs>
        <w:suppressAutoHyphens/>
        <w:kinsoku w:val="0"/>
        <w:overflowPunct w:val="0"/>
        <w:autoSpaceDE w:val="0"/>
        <w:autoSpaceDN w:val="0"/>
        <w:adjustRightInd w:val="0"/>
        <w:snapToGrid w:val="0"/>
        <w:spacing w:before="120" w:after="120"/>
        <w:jc w:val="center"/>
        <w:outlineLvl w:val="0"/>
        <w:rPr>
          <w:b/>
          <w:caps/>
          <w:snapToGrid w:val="0"/>
          <w:kern w:val="22"/>
          <w:szCs w:val="22"/>
          <w:lang w:val="es-ES"/>
        </w:rPr>
      </w:pPr>
      <w:r w:rsidRPr="00F07290">
        <w:rPr>
          <w:b/>
          <w:caps/>
          <w:snapToGrid w:val="0"/>
          <w:kern w:val="22"/>
          <w:szCs w:val="22"/>
          <w:lang w:val="es-ES"/>
        </w:rPr>
        <w:t>I.</w:t>
      </w:r>
      <w:r w:rsidRPr="00F07290">
        <w:rPr>
          <w:b/>
          <w:caps/>
          <w:snapToGrid w:val="0"/>
          <w:kern w:val="22"/>
          <w:szCs w:val="22"/>
          <w:lang w:val="es-ES"/>
        </w:rPr>
        <w:tab/>
        <w:t>Introduc</w:t>
      </w:r>
      <w:r w:rsidR="00F07290" w:rsidRPr="00F07290">
        <w:rPr>
          <w:b/>
          <w:caps/>
          <w:snapToGrid w:val="0"/>
          <w:kern w:val="22"/>
          <w:szCs w:val="22"/>
          <w:lang w:val="es-ES"/>
        </w:rPr>
        <w:t>CIÓN</w:t>
      </w:r>
    </w:p>
    <w:p w:rsidR="00855A78" w:rsidRPr="00490BF5" w:rsidRDefault="00F07290"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F07290">
        <w:rPr>
          <w:snapToGrid w:val="0"/>
          <w:kern w:val="22"/>
          <w:szCs w:val="22"/>
          <w:lang w:val="es-ES"/>
        </w:rPr>
        <w:t>En la decisión</w:t>
      </w:r>
      <w:r w:rsidR="00855A78" w:rsidRPr="00F07290">
        <w:rPr>
          <w:snapToGrid w:val="0"/>
          <w:kern w:val="22"/>
          <w:szCs w:val="22"/>
          <w:lang w:val="es-ES"/>
        </w:rPr>
        <w:t xml:space="preserve"> </w:t>
      </w:r>
      <w:hyperlink r:id="rId12" w:history="1">
        <w:r w:rsidR="00855A78" w:rsidRPr="00F07290">
          <w:rPr>
            <w:rStyle w:val="Hyperlink"/>
            <w:snapToGrid w:val="0"/>
            <w:kern w:val="22"/>
            <w:sz w:val="22"/>
            <w:szCs w:val="22"/>
            <w:lang w:val="es-ES"/>
          </w:rPr>
          <w:t>XIII/20</w:t>
        </w:r>
      </w:hyperlink>
      <w:r w:rsidRPr="00F07290">
        <w:rPr>
          <w:snapToGrid w:val="0"/>
          <w:kern w:val="22"/>
          <w:szCs w:val="22"/>
          <w:lang w:val="es-ES"/>
        </w:rPr>
        <w:t xml:space="preserve"> sobre movilización de recursos</w:t>
      </w:r>
      <w:r w:rsidR="00855A78" w:rsidRPr="00F07290">
        <w:rPr>
          <w:snapToGrid w:val="0"/>
          <w:kern w:val="22"/>
          <w:szCs w:val="22"/>
          <w:lang w:val="es-ES"/>
        </w:rPr>
        <w:t xml:space="preserve">, </w:t>
      </w:r>
      <w:r w:rsidRPr="00F07290">
        <w:rPr>
          <w:snapToGrid w:val="0"/>
          <w:kern w:val="22"/>
          <w:szCs w:val="22"/>
          <w:lang w:val="es-ES"/>
        </w:rPr>
        <w:t xml:space="preserve">la Conferencia de las Partes en su 13ª reunión </w:t>
      </w:r>
      <w:r w:rsidR="00855A78" w:rsidRPr="00F07290">
        <w:rPr>
          <w:snapToGrid w:val="0"/>
          <w:kern w:val="22"/>
          <w:szCs w:val="22"/>
          <w:lang w:val="es-ES"/>
        </w:rPr>
        <w:t>to</w:t>
      </w:r>
      <w:r w:rsidRPr="00F07290">
        <w:rPr>
          <w:snapToGrid w:val="0"/>
          <w:kern w:val="22"/>
          <w:szCs w:val="22"/>
          <w:lang w:val="es-ES"/>
        </w:rPr>
        <w:t xml:space="preserve">mó nota del </w:t>
      </w:r>
      <w:r w:rsidRPr="00F07290">
        <w:rPr>
          <w:snapToGrid w:val="0"/>
          <w:szCs w:val="22"/>
          <w:lang w:val="es-ES"/>
        </w:rPr>
        <w:t xml:space="preserve">análisis de la información </w:t>
      </w:r>
      <w:r w:rsidR="00AA44FD">
        <w:rPr>
          <w:snapToGrid w:val="0"/>
          <w:szCs w:val="22"/>
          <w:lang w:val="es-ES"/>
        </w:rPr>
        <w:t>proporcionada</w:t>
      </w:r>
      <w:r w:rsidRPr="00F07290">
        <w:rPr>
          <w:snapToGrid w:val="0"/>
          <w:szCs w:val="22"/>
          <w:lang w:val="es-ES"/>
        </w:rPr>
        <w:t xml:space="preserve"> por las Partes a través del marco de presentación de informes financieros</w:t>
      </w:r>
      <w:r>
        <w:rPr>
          <w:snapToGrid w:val="0"/>
          <w:kern w:val="22"/>
          <w:szCs w:val="22"/>
          <w:lang w:val="es-ES"/>
        </w:rPr>
        <w:t xml:space="preserve"> y tomó nota con preocupación de</w:t>
      </w:r>
      <w:r w:rsidRPr="00F07290">
        <w:rPr>
          <w:snapToGrid w:val="0"/>
          <w:szCs w:val="22"/>
          <w:lang w:val="es-ES"/>
        </w:rPr>
        <w:t xml:space="preserve"> la insuficiencia de la información recopilada de los marcos de presentación de informes financieros presentados por las Partes, lo que restring</w:t>
      </w:r>
      <w:r w:rsidR="005E5331">
        <w:rPr>
          <w:snapToGrid w:val="0"/>
          <w:szCs w:val="22"/>
          <w:lang w:val="es-ES"/>
        </w:rPr>
        <w:t>ía</w:t>
      </w:r>
      <w:r w:rsidRPr="00F07290">
        <w:rPr>
          <w:snapToGrid w:val="0"/>
          <w:szCs w:val="22"/>
          <w:lang w:val="es-ES"/>
        </w:rPr>
        <w:t xml:space="preserve"> la base para una evaluación exhaustiva de los avances logrados en la consecución de las metas</w:t>
      </w:r>
      <w:r w:rsidR="005E5331">
        <w:rPr>
          <w:snapToGrid w:val="0"/>
          <w:szCs w:val="22"/>
          <w:lang w:val="es-ES"/>
        </w:rPr>
        <w:t xml:space="preserve"> para la movilización de </w:t>
      </w:r>
      <w:r w:rsidR="005E5331" w:rsidRPr="00AA44FD">
        <w:rPr>
          <w:snapToGrid w:val="0"/>
          <w:szCs w:val="22"/>
          <w:lang w:val="es-ES"/>
        </w:rPr>
        <w:t>recursos</w:t>
      </w:r>
      <w:r w:rsidR="004A1AC3" w:rsidRPr="00AA44FD">
        <w:rPr>
          <w:snapToGrid w:val="0"/>
          <w:kern w:val="22"/>
          <w:szCs w:val="22"/>
          <w:lang w:val="es-ES"/>
        </w:rPr>
        <w:t xml:space="preserve"> (p</w:t>
      </w:r>
      <w:r w:rsidR="005E5331" w:rsidRPr="00AA44FD">
        <w:rPr>
          <w:snapToGrid w:val="0"/>
          <w:kern w:val="22"/>
          <w:szCs w:val="22"/>
          <w:lang w:val="es-ES"/>
        </w:rPr>
        <w:t>árr</w:t>
      </w:r>
      <w:r w:rsidR="00AA44FD" w:rsidRPr="00AA44FD">
        <w:rPr>
          <w:snapToGrid w:val="0"/>
          <w:kern w:val="22"/>
          <w:szCs w:val="22"/>
          <w:lang w:val="es-ES"/>
        </w:rPr>
        <w:t>s</w:t>
      </w:r>
      <w:r w:rsidR="004A1AC3" w:rsidRPr="00AA44FD">
        <w:rPr>
          <w:snapToGrid w:val="0"/>
          <w:kern w:val="22"/>
          <w:szCs w:val="22"/>
          <w:lang w:val="es-ES"/>
        </w:rPr>
        <w:t>.</w:t>
      </w:r>
      <w:r w:rsidR="00855A78" w:rsidRPr="00AA44FD">
        <w:rPr>
          <w:snapToGrid w:val="0"/>
          <w:kern w:val="22"/>
          <w:szCs w:val="22"/>
          <w:lang w:val="es-ES"/>
        </w:rPr>
        <w:t xml:space="preserve"> 2 </w:t>
      </w:r>
      <w:r w:rsidR="005E5331" w:rsidRPr="00AA44FD">
        <w:rPr>
          <w:snapToGrid w:val="0"/>
          <w:kern w:val="22"/>
          <w:szCs w:val="22"/>
          <w:lang w:val="es-ES"/>
        </w:rPr>
        <w:t>y</w:t>
      </w:r>
      <w:r w:rsidR="00855A78" w:rsidRPr="00AA44FD">
        <w:rPr>
          <w:snapToGrid w:val="0"/>
          <w:kern w:val="22"/>
          <w:szCs w:val="22"/>
          <w:lang w:val="es-ES"/>
        </w:rPr>
        <w:t xml:space="preserve"> 3). </w:t>
      </w:r>
      <w:r w:rsidR="005E5331" w:rsidRPr="00AA44FD">
        <w:rPr>
          <w:snapToGrid w:val="0"/>
          <w:kern w:val="22"/>
          <w:szCs w:val="22"/>
          <w:lang w:val="es-ES"/>
        </w:rPr>
        <w:t xml:space="preserve">En la misma decisión, la Conferencia de las Partes instaba a las </w:t>
      </w:r>
      <w:r w:rsidR="005E5331" w:rsidRPr="00AA44FD">
        <w:rPr>
          <w:snapToGrid w:val="0"/>
          <w:szCs w:val="22"/>
          <w:lang w:val="es-ES"/>
        </w:rPr>
        <w:t>Partes que aún no lo hubiesen hecho a que suministrasen los datos de referencia necesarios e informasen sobre los progresos con respecto a las metas de movilización de recursos a más tardar el 1 de julio de 2017</w:t>
      </w:r>
      <w:r w:rsidR="00855A78" w:rsidRPr="00AA44FD">
        <w:rPr>
          <w:snapToGrid w:val="0"/>
          <w:kern w:val="22"/>
          <w:szCs w:val="22"/>
          <w:lang w:val="es-ES"/>
        </w:rPr>
        <w:t xml:space="preserve">, </w:t>
      </w:r>
      <w:r w:rsidR="005E5331" w:rsidRPr="00AA44FD">
        <w:rPr>
          <w:snapToGrid w:val="0"/>
          <w:szCs w:val="22"/>
          <w:lang w:val="es-ES"/>
        </w:rPr>
        <w:t>utilizando el marco de presentación de informes financieros, e invitaba a las Partes a que actualizasen, según procediese, sus</w:t>
      </w:r>
      <w:r w:rsidR="005E5331" w:rsidRPr="005E5331">
        <w:rPr>
          <w:snapToGrid w:val="0"/>
          <w:szCs w:val="22"/>
          <w:lang w:val="es-ES"/>
        </w:rPr>
        <w:t xml:space="preserve"> marcos de presentación de informes financieros a medida que dispongan de los datos confirmados o definitivos de 2015, con miras a mejorar la solidez de los datos</w:t>
      </w:r>
      <w:r w:rsidR="005E5331">
        <w:rPr>
          <w:snapToGrid w:val="0"/>
          <w:kern w:val="22"/>
          <w:szCs w:val="22"/>
          <w:lang w:val="es-ES"/>
        </w:rPr>
        <w:t xml:space="preserve"> </w:t>
      </w:r>
      <w:r w:rsidR="00855A78" w:rsidRPr="005E5331">
        <w:rPr>
          <w:snapToGrid w:val="0"/>
          <w:kern w:val="22"/>
          <w:szCs w:val="22"/>
          <w:lang w:val="es-ES"/>
        </w:rPr>
        <w:t>(p</w:t>
      </w:r>
      <w:r w:rsidR="005E5331">
        <w:rPr>
          <w:snapToGrid w:val="0"/>
          <w:kern w:val="22"/>
          <w:szCs w:val="22"/>
          <w:lang w:val="es-ES"/>
        </w:rPr>
        <w:t>árr</w:t>
      </w:r>
      <w:r w:rsidR="004A1AC3" w:rsidRPr="005E5331">
        <w:rPr>
          <w:snapToGrid w:val="0"/>
          <w:kern w:val="22"/>
          <w:szCs w:val="22"/>
          <w:lang w:val="es-ES"/>
        </w:rPr>
        <w:t>.</w:t>
      </w:r>
      <w:r w:rsidR="00855A78" w:rsidRPr="005E5331">
        <w:rPr>
          <w:snapToGrid w:val="0"/>
          <w:kern w:val="22"/>
          <w:szCs w:val="22"/>
          <w:lang w:val="es-ES"/>
        </w:rPr>
        <w:t xml:space="preserve"> </w:t>
      </w:r>
      <w:r w:rsidR="00855A78" w:rsidRPr="00490BF5">
        <w:rPr>
          <w:snapToGrid w:val="0"/>
          <w:kern w:val="22"/>
          <w:szCs w:val="22"/>
        </w:rPr>
        <w:t>6).</w:t>
      </w:r>
    </w:p>
    <w:p w:rsidR="00855A78" w:rsidRPr="006C253F" w:rsidRDefault="005E5331" w:rsidP="00490BF5">
      <w:pPr>
        <w:pStyle w:val="bodytextnoindent"/>
        <w:widowControl/>
        <w:numPr>
          <w:ilvl w:val="0"/>
          <w:numId w:val="52"/>
        </w:numPr>
        <w:suppressLineNumbers/>
        <w:suppressAutoHyphens/>
        <w:kinsoku w:val="0"/>
        <w:snapToGrid w:val="0"/>
        <w:ind w:left="0" w:firstLine="0"/>
        <w:rPr>
          <w:rFonts w:cs="Times New Roman"/>
          <w:snapToGrid w:val="0"/>
          <w:kern w:val="22"/>
          <w:szCs w:val="22"/>
          <w:lang w:val="es-ES"/>
        </w:rPr>
      </w:pPr>
      <w:r w:rsidRPr="006C253F">
        <w:rPr>
          <w:rFonts w:cs="Times New Roman"/>
          <w:snapToGrid w:val="0"/>
          <w:kern w:val="22"/>
          <w:szCs w:val="22"/>
          <w:lang w:val="es-ES"/>
        </w:rPr>
        <w:t xml:space="preserve">En la misma decisión, la Conferencia de las Partes también pidió </w:t>
      </w:r>
      <w:r w:rsidR="006C253F" w:rsidRPr="006C253F">
        <w:rPr>
          <w:rFonts w:cs="Times New Roman"/>
          <w:snapToGrid w:val="0"/>
          <w:kern w:val="22"/>
          <w:szCs w:val="22"/>
          <w:lang w:val="es-ES"/>
        </w:rPr>
        <w:t xml:space="preserve">al </w:t>
      </w:r>
      <w:r w:rsidR="006C253F" w:rsidRPr="006C253F">
        <w:rPr>
          <w:snapToGrid w:val="0"/>
          <w:szCs w:val="22"/>
          <w:lang w:val="es-ES"/>
        </w:rPr>
        <w:t>Secretario Ejecutivo que prepar</w:t>
      </w:r>
      <w:r w:rsidR="006C253F">
        <w:rPr>
          <w:snapToGrid w:val="0"/>
          <w:szCs w:val="22"/>
          <w:lang w:val="es-ES"/>
        </w:rPr>
        <w:t>ase</w:t>
      </w:r>
      <w:r w:rsidR="006C253F" w:rsidRPr="006C253F">
        <w:rPr>
          <w:snapToGrid w:val="0"/>
          <w:szCs w:val="22"/>
          <w:lang w:val="es-ES"/>
        </w:rPr>
        <w:t xml:space="preserve"> un balance y análisis actualizado de los informes financieros recibidos, para poder facilitar un panorama más exhaustivo de los avances logrados en la consecución de las metas mundiales, incluyendo un análisis de las diferencias entre los di</w:t>
      </w:r>
      <w:r w:rsidR="006C253F">
        <w:rPr>
          <w:snapToGrid w:val="0"/>
          <w:szCs w:val="22"/>
          <w:lang w:val="es-ES"/>
        </w:rPr>
        <w:t>stintos</w:t>
      </w:r>
      <w:r w:rsidR="006C253F" w:rsidRPr="006C253F">
        <w:rPr>
          <w:snapToGrid w:val="0"/>
          <w:szCs w:val="22"/>
          <w:lang w:val="es-ES"/>
        </w:rPr>
        <w:t xml:space="preserve"> enfoques metodológicos, para someterlo a la consideración del Órgano Subsidiario sobre la Aplicación en su segunda reunión,</w:t>
      </w:r>
      <w:r w:rsidR="006C253F" w:rsidRPr="006C253F">
        <w:rPr>
          <w:i/>
          <w:snapToGrid w:val="0"/>
          <w:szCs w:val="22"/>
          <w:lang w:val="es-ES"/>
        </w:rPr>
        <w:t xml:space="preserve"> </w:t>
      </w:r>
      <w:r w:rsidR="006C253F" w:rsidRPr="006C253F">
        <w:rPr>
          <w:snapToGrid w:val="0"/>
          <w:szCs w:val="22"/>
          <w:lang w:val="es-ES"/>
        </w:rPr>
        <w:t>con el objeto de presentar recomendaciones a la Conferencia de las Partes en su 14ª reunión</w:t>
      </w:r>
      <w:r w:rsidR="006C253F">
        <w:rPr>
          <w:snapToGrid w:val="0"/>
          <w:szCs w:val="22"/>
          <w:lang w:val="es-ES"/>
        </w:rPr>
        <w:t xml:space="preserve"> </w:t>
      </w:r>
      <w:r w:rsidR="00855A78" w:rsidRPr="006C253F">
        <w:rPr>
          <w:rFonts w:cs="Times New Roman"/>
          <w:snapToGrid w:val="0"/>
          <w:kern w:val="22"/>
          <w:szCs w:val="22"/>
          <w:lang w:val="es-ES"/>
        </w:rPr>
        <w:t>(p</w:t>
      </w:r>
      <w:r w:rsidR="006C253F">
        <w:rPr>
          <w:rFonts w:cs="Times New Roman"/>
          <w:snapToGrid w:val="0"/>
          <w:kern w:val="22"/>
          <w:szCs w:val="22"/>
          <w:lang w:val="es-ES"/>
        </w:rPr>
        <w:t>árr</w:t>
      </w:r>
      <w:r w:rsidR="004A1AC3" w:rsidRPr="006C253F">
        <w:rPr>
          <w:rFonts w:cs="Times New Roman"/>
          <w:snapToGrid w:val="0"/>
          <w:kern w:val="22"/>
          <w:szCs w:val="22"/>
          <w:lang w:val="es-ES"/>
        </w:rPr>
        <w:t>.</w:t>
      </w:r>
      <w:r w:rsidR="00855A78" w:rsidRPr="006C253F">
        <w:rPr>
          <w:rFonts w:cs="Times New Roman"/>
          <w:snapToGrid w:val="0"/>
          <w:kern w:val="22"/>
          <w:szCs w:val="22"/>
          <w:lang w:val="es-ES"/>
        </w:rPr>
        <w:t xml:space="preserve"> 9).</w:t>
      </w:r>
    </w:p>
    <w:p w:rsidR="00855A78" w:rsidRPr="00813797" w:rsidRDefault="00141A7C"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lang w:val="es-ES"/>
        </w:rPr>
      </w:pPr>
      <w:r w:rsidRPr="00141A7C">
        <w:rPr>
          <w:snapToGrid w:val="0"/>
          <w:kern w:val="22"/>
          <w:szCs w:val="22"/>
          <w:lang w:val="es-ES"/>
        </w:rPr>
        <w:t>El último análisis de la información proporcionada por conducto del marco de presentación de informes financier</w:t>
      </w:r>
      <w:r>
        <w:rPr>
          <w:snapToGrid w:val="0"/>
          <w:kern w:val="22"/>
          <w:szCs w:val="22"/>
          <w:lang w:val="es-ES"/>
        </w:rPr>
        <w:t xml:space="preserve">os </w:t>
      </w:r>
      <w:r w:rsidR="00EA6DBA">
        <w:rPr>
          <w:snapToGrid w:val="0"/>
          <w:kern w:val="22"/>
          <w:szCs w:val="22"/>
          <w:lang w:val="es-ES"/>
        </w:rPr>
        <w:t>se facilitó a la Conferencia de las Partes en su 13ª reunión</w:t>
      </w:r>
      <w:r w:rsidR="00855A78" w:rsidRPr="00490BF5">
        <w:rPr>
          <w:rStyle w:val="FootnoteReference"/>
          <w:snapToGrid w:val="0"/>
          <w:kern w:val="22"/>
          <w:szCs w:val="22"/>
        </w:rPr>
        <w:footnoteReference w:id="2"/>
      </w:r>
      <w:r w:rsidR="00EA6DBA">
        <w:rPr>
          <w:snapToGrid w:val="0"/>
          <w:kern w:val="22"/>
          <w:szCs w:val="22"/>
          <w:lang w:val="es-ES"/>
        </w:rPr>
        <w:t>.</w:t>
      </w:r>
      <w:r w:rsidR="00855A78" w:rsidRPr="00141A7C">
        <w:rPr>
          <w:snapToGrid w:val="0"/>
          <w:kern w:val="22"/>
          <w:szCs w:val="22"/>
          <w:lang w:val="es-ES"/>
        </w:rPr>
        <w:t xml:space="preserve"> </w:t>
      </w:r>
      <w:r w:rsidR="00EA6DBA" w:rsidRPr="00EA6DBA">
        <w:rPr>
          <w:snapToGrid w:val="0"/>
          <w:kern w:val="22"/>
          <w:szCs w:val="22"/>
          <w:lang w:val="es-ES"/>
        </w:rPr>
        <w:t>La</w:t>
      </w:r>
      <w:r w:rsidR="00855A78" w:rsidRPr="00EA6DBA">
        <w:rPr>
          <w:snapToGrid w:val="0"/>
          <w:kern w:val="22"/>
          <w:szCs w:val="22"/>
          <w:lang w:val="es-ES"/>
        </w:rPr>
        <w:t xml:space="preserve"> </w:t>
      </w:r>
      <w:r w:rsidR="00EA6DBA" w:rsidRPr="00EA6DBA">
        <w:rPr>
          <w:snapToGrid w:val="0"/>
          <w:kern w:val="22"/>
          <w:szCs w:val="22"/>
          <w:lang w:val="es-ES"/>
        </w:rPr>
        <w:t>fecha límite para este último análisis</w:t>
      </w:r>
      <w:r w:rsidR="00AA44FD">
        <w:rPr>
          <w:snapToGrid w:val="0"/>
          <w:kern w:val="22"/>
          <w:szCs w:val="22"/>
          <w:lang w:val="es-ES"/>
        </w:rPr>
        <w:t xml:space="preserve"> fue</w:t>
      </w:r>
      <w:r w:rsidR="00EA6DBA" w:rsidRPr="00EA6DBA">
        <w:rPr>
          <w:snapToGrid w:val="0"/>
          <w:kern w:val="22"/>
          <w:szCs w:val="22"/>
          <w:lang w:val="es-ES"/>
        </w:rPr>
        <w:t xml:space="preserve"> </w:t>
      </w:r>
      <w:r w:rsidR="00AA44FD">
        <w:rPr>
          <w:snapToGrid w:val="0"/>
          <w:kern w:val="22"/>
          <w:szCs w:val="22"/>
          <w:lang w:val="es-ES"/>
        </w:rPr>
        <w:t xml:space="preserve">el 15 </w:t>
      </w:r>
      <w:r w:rsidR="00EA6DBA">
        <w:rPr>
          <w:snapToGrid w:val="0"/>
          <w:kern w:val="22"/>
          <w:szCs w:val="22"/>
          <w:lang w:val="es-ES"/>
        </w:rPr>
        <w:t>de noviembre de</w:t>
      </w:r>
      <w:r w:rsidR="00855A78" w:rsidRPr="00EA6DBA">
        <w:rPr>
          <w:snapToGrid w:val="0"/>
          <w:kern w:val="22"/>
          <w:szCs w:val="22"/>
          <w:lang w:val="es-ES"/>
        </w:rPr>
        <w:t xml:space="preserve"> 2016. </w:t>
      </w:r>
      <w:r w:rsidR="00EA6DBA">
        <w:rPr>
          <w:snapToGrid w:val="0"/>
          <w:kern w:val="22"/>
          <w:szCs w:val="22"/>
          <w:lang w:val="es-ES"/>
        </w:rPr>
        <w:t xml:space="preserve">Entre esa fecha y el </w:t>
      </w:r>
      <w:r w:rsidR="00855A78" w:rsidRPr="00EA6DBA">
        <w:rPr>
          <w:snapToGrid w:val="0"/>
          <w:kern w:val="22"/>
          <w:szCs w:val="22"/>
          <w:lang w:val="es-ES"/>
        </w:rPr>
        <w:t xml:space="preserve">1 </w:t>
      </w:r>
      <w:r w:rsidR="00EA6DBA" w:rsidRPr="00EA6DBA">
        <w:rPr>
          <w:snapToGrid w:val="0"/>
          <w:kern w:val="22"/>
          <w:szCs w:val="22"/>
          <w:lang w:val="es-ES"/>
        </w:rPr>
        <w:t xml:space="preserve">de marzo de </w:t>
      </w:r>
      <w:r w:rsidR="00855A78" w:rsidRPr="00EA6DBA">
        <w:rPr>
          <w:snapToGrid w:val="0"/>
          <w:kern w:val="22"/>
          <w:szCs w:val="22"/>
          <w:lang w:val="es-ES"/>
        </w:rPr>
        <w:t xml:space="preserve">2018, </w:t>
      </w:r>
      <w:r w:rsidR="00EA6DBA" w:rsidRPr="00EA6DBA">
        <w:rPr>
          <w:snapToGrid w:val="0"/>
          <w:kern w:val="22"/>
          <w:szCs w:val="22"/>
          <w:lang w:val="es-ES"/>
        </w:rPr>
        <w:t xml:space="preserve">se recibieron tres </w:t>
      </w:r>
      <w:r w:rsidR="00EA6DBA">
        <w:rPr>
          <w:snapToGrid w:val="0"/>
          <w:kern w:val="22"/>
          <w:szCs w:val="22"/>
          <w:lang w:val="es-ES"/>
        </w:rPr>
        <w:t>comunicaciones</w:t>
      </w:r>
      <w:r w:rsidR="00EA6DBA" w:rsidRPr="00EA6DBA">
        <w:rPr>
          <w:snapToGrid w:val="0"/>
          <w:kern w:val="22"/>
          <w:szCs w:val="22"/>
          <w:lang w:val="es-ES"/>
        </w:rPr>
        <w:t xml:space="preserve"> nuevas con informaci</w:t>
      </w:r>
      <w:r w:rsidR="00EA6DBA">
        <w:rPr>
          <w:snapToGrid w:val="0"/>
          <w:kern w:val="22"/>
          <w:szCs w:val="22"/>
          <w:lang w:val="es-ES"/>
        </w:rPr>
        <w:t xml:space="preserve">ón sobre datos de referencia y </w:t>
      </w:r>
      <w:r w:rsidR="006A56DB">
        <w:rPr>
          <w:snapToGrid w:val="0"/>
          <w:kern w:val="22"/>
          <w:szCs w:val="22"/>
          <w:lang w:val="es-ES"/>
        </w:rPr>
        <w:t>avances</w:t>
      </w:r>
      <w:r w:rsidR="00EA6DBA">
        <w:rPr>
          <w:snapToGrid w:val="0"/>
          <w:kern w:val="22"/>
          <w:szCs w:val="22"/>
          <w:lang w:val="es-ES"/>
        </w:rPr>
        <w:t xml:space="preserve"> </w:t>
      </w:r>
      <w:r w:rsidR="006A56DB">
        <w:rPr>
          <w:snapToGrid w:val="0"/>
          <w:kern w:val="22"/>
          <w:szCs w:val="22"/>
          <w:lang w:val="es-ES"/>
        </w:rPr>
        <w:t>durante</w:t>
      </w:r>
      <w:r w:rsidR="00855A78" w:rsidRPr="00EA6DBA">
        <w:rPr>
          <w:snapToGrid w:val="0"/>
          <w:kern w:val="22"/>
          <w:szCs w:val="22"/>
          <w:lang w:val="es-ES"/>
        </w:rPr>
        <w:t xml:space="preserve"> 2015 (</w:t>
      </w:r>
      <w:r w:rsidR="006A56DB">
        <w:rPr>
          <w:snapToGrid w:val="0"/>
          <w:kern w:val="22"/>
          <w:szCs w:val="22"/>
          <w:lang w:val="es-ES"/>
        </w:rPr>
        <w:t xml:space="preserve">de </w:t>
      </w:r>
      <w:r w:rsidR="00855A78" w:rsidRPr="00EA6DBA">
        <w:rPr>
          <w:snapToGrid w:val="0"/>
          <w:kern w:val="22"/>
          <w:szCs w:val="22"/>
          <w:lang w:val="es-ES"/>
        </w:rPr>
        <w:t>Kuwait, Malta</w:t>
      </w:r>
      <w:r w:rsidR="006A56DB">
        <w:rPr>
          <w:snapToGrid w:val="0"/>
          <w:kern w:val="22"/>
          <w:szCs w:val="22"/>
          <w:lang w:val="es-ES"/>
        </w:rPr>
        <w:t xml:space="preserve"> y</w:t>
      </w:r>
      <w:r w:rsidR="00855A78" w:rsidRPr="00EA6DBA">
        <w:rPr>
          <w:snapToGrid w:val="0"/>
          <w:kern w:val="22"/>
          <w:szCs w:val="22"/>
          <w:lang w:val="es-ES"/>
        </w:rPr>
        <w:t xml:space="preserve"> Mauritania). </w:t>
      </w:r>
      <w:r w:rsidR="006A56DB" w:rsidRPr="006A56DB">
        <w:rPr>
          <w:snapToGrid w:val="0"/>
          <w:kern w:val="22"/>
          <w:szCs w:val="22"/>
          <w:lang w:val="es-ES"/>
        </w:rPr>
        <w:t xml:space="preserve">Se recibió información actualizada sobre datos de referencia y </w:t>
      </w:r>
      <w:r w:rsidR="006A56DB">
        <w:rPr>
          <w:snapToGrid w:val="0"/>
          <w:kern w:val="22"/>
          <w:szCs w:val="22"/>
          <w:lang w:val="es-ES"/>
        </w:rPr>
        <w:t>avances</w:t>
      </w:r>
      <w:r w:rsidR="006A56DB" w:rsidRPr="006A56DB">
        <w:rPr>
          <w:snapToGrid w:val="0"/>
          <w:kern w:val="22"/>
          <w:szCs w:val="22"/>
          <w:lang w:val="es-ES"/>
        </w:rPr>
        <w:t xml:space="preserve"> durante </w:t>
      </w:r>
      <w:r w:rsidR="00855A78" w:rsidRPr="006A56DB">
        <w:rPr>
          <w:snapToGrid w:val="0"/>
          <w:kern w:val="22"/>
          <w:szCs w:val="22"/>
          <w:lang w:val="es-ES"/>
        </w:rPr>
        <w:t xml:space="preserve">2015 </w:t>
      </w:r>
      <w:r w:rsidR="006A56DB" w:rsidRPr="006A56DB">
        <w:rPr>
          <w:snapToGrid w:val="0"/>
          <w:kern w:val="22"/>
          <w:szCs w:val="22"/>
          <w:lang w:val="es-ES"/>
        </w:rPr>
        <w:t>de</w:t>
      </w:r>
      <w:r w:rsidR="00855A78" w:rsidRPr="006A56DB">
        <w:rPr>
          <w:snapToGrid w:val="0"/>
          <w:kern w:val="22"/>
          <w:szCs w:val="22"/>
          <w:lang w:val="es-ES"/>
        </w:rPr>
        <w:t xml:space="preserve"> A</w:t>
      </w:r>
      <w:r w:rsidR="006A56DB">
        <w:rPr>
          <w:snapToGrid w:val="0"/>
          <w:kern w:val="22"/>
          <w:szCs w:val="22"/>
          <w:lang w:val="es-ES"/>
        </w:rPr>
        <w:t>lemania, A</w:t>
      </w:r>
      <w:r w:rsidR="00855A78" w:rsidRPr="006A56DB">
        <w:rPr>
          <w:snapToGrid w:val="0"/>
          <w:kern w:val="22"/>
          <w:szCs w:val="22"/>
          <w:lang w:val="es-ES"/>
        </w:rPr>
        <w:t xml:space="preserve">ustria, </w:t>
      </w:r>
      <w:r w:rsidR="00B21CBD" w:rsidRPr="006A56DB">
        <w:rPr>
          <w:snapToGrid w:val="0"/>
          <w:kern w:val="22"/>
          <w:szCs w:val="22"/>
          <w:lang w:val="es-ES"/>
        </w:rPr>
        <w:t>C</w:t>
      </w:r>
      <w:r w:rsidR="006A56DB">
        <w:rPr>
          <w:snapToGrid w:val="0"/>
          <w:kern w:val="22"/>
          <w:szCs w:val="22"/>
          <w:lang w:val="es-ES"/>
        </w:rPr>
        <w:t>hequia</w:t>
      </w:r>
      <w:r w:rsidR="00855A78" w:rsidRPr="006A56DB">
        <w:rPr>
          <w:snapToGrid w:val="0"/>
          <w:kern w:val="22"/>
          <w:szCs w:val="22"/>
          <w:lang w:val="es-ES"/>
        </w:rPr>
        <w:t>, D</w:t>
      </w:r>
      <w:r w:rsidR="006A56DB">
        <w:rPr>
          <w:snapToGrid w:val="0"/>
          <w:kern w:val="22"/>
          <w:szCs w:val="22"/>
          <w:lang w:val="es-ES"/>
        </w:rPr>
        <w:t>inamarca</w:t>
      </w:r>
      <w:r w:rsidR="00855A78" w:rsidRPr="006A56DB">
        <w:rPr>
          <w:snapToGrid w:val="0"/>
          <w:kern w:val="22"/>
          <w:szCs w:val="22"/>
          <w:lang w:val="es-ES"/>
        </w:rPr>
        <w:t xml:space="preserve">, </w:t>
      </w:r>
      <w:r w:rsidR="006A56DB">
        <w:rPr>
          <w:snapToGrid w:val="0"/>
          <w:kern w:val="22"/>
          <w:szCs w:val="22"/>
          <w:lang w:val="es-ES"/>
        </w:rPr>
        <w:t xml:space="preserve">Eslovenia, España, </w:t>
      </w:r>
      <w:r w:rsidR="00855A78" w:rsidRPr="006A56DB">
        <w:rPr>
          <w:snapToGrid w:val="0"/>
          <w:kern w:val="22"/>
          <w:szCs w:val="22"/>
          <w:lang w:val="es-ES"/>
        </w:rPr>
        <w:t xml:space="preserve">Estonia, </w:t>
      </w:r>
      <w:r w:rsidR="006A56DB" w:rsidRPr="006A56DB">
        <w:rPr>
          <w:snapToGrid w:val="0"/>
          <w:kern w:val="22"/>
          <w:szCs w:val="22"/>
          <w:lang w:val="es-ES"/>
        </w:rPr>
        <w:t>Japón</w:t>
      </w:r>
      <w:r w:rsidR="00855A78" w:rsidRPr="006A56DB">
        <w:rPr>
          <w:snapToGrid w:val="0"/>
          <w:kern w:val="22"/>
          <w:szCs w:val="22"/>
          <w:lang w:val="es-ES"/>
        </w:rPr>
        <w:t>, Luxemburg</w:t>
      </w:r>
      <w:r w:rsidR="006A56DB" w:rsidRPr="006A56DB">
        <w:rPr>
          <w:snapToGrid w:val="0"/>
          <w:kern w:val="22"/>
          <w:szCs w:val="22"/>
          <w:lang w:val="es-ES"/>
        </w:rPr>
        <w:t>o</w:t>
      </w:r>
      <w:r w:rsidR="00855A78" w:rsidRPr="006A56DB">
        <w:rPr>
          <w:snapToGrid w:val="0"/>
          <w:kern w:val="22"/>
          <w:szCs w:val="22"/>
          <w:lang w:val="es-ES"/>
        </w:rPr>
        <w:t>, Pol</w:t>
      </w:r>
      <w:r w:rsidR="006A56DB" w:rsidRPr="006A56DB">
        <w:rPr>
          <w:snapToGrid w:val="0"/>
          <w:kern w:val="22"/>
          <w:szCs w:val="22"/>
          <w:lang w:val="es-ES"/>
        </w:rPr>
        <w:t>onia</w:t>
      </w:r>
      <w:r w:rsidR="006A56DB">
        <w:rPr>
          <w:snapToGrid w:val="0"/>
          <w:kern w:val="22"/>
          <w:szCs w:val="22"/>
          <w:lang w:val="es-ES"/>
        </w:rPr>
        <w:t xml:space="preserve"> y</w:t>
      </w:r>
      <w:r w:rsidR="00855A78" w:rsidRPr="006A56DB">
        <w:rPr>
          <w:snapToGrid w:val="0"/>
          <w:kern w:val="22"/>
          <w:szCs w:val="22"/>
          <w:lang w:val="es-ES"/>
        </w:rPr>
        <w:t xml:space="preserve"> S</w:t>
      </w:r>
      <w:r w:rsidR="006A56DB" w:rsidRPr="006A56DB">
        <w:rPr>
          <w:snapToGrid w:val="0"/>
          <w:kern w:val="22"/>
          <w:szCs w:val="22"/>
          <w:lang w:val="es-ES"/>
        </w:rPr>
        <w:t>uecia</w:t>
      </w:r>
      <w:r w:rsidR="00855A78" w:rsidRPr="006A56DB">
        <w:rPr>
          <w:snapToGrid w:val="0"/>
          <w:kern w:val="22"/>
          <w:szCs w:val="22"/>
          <w:lang w:val="es-ES"/>
        </w:rPr>
        <w:t>, as</w:t>
      </w:r>
      <w:r w:rsidR="006A56DB">
        <w:rPr>
          <w:snapToGrid w:val="0"/>
          <w:kern w:val="22"/>
          <w:szCs w:val="22"/>
          <w:lang w:val="es-ES"/>
        </w:rPr>
        <w:t>í como de la Unión Europea</w:t>
      </w:r>
      <w:r w:rsidR="00855A78" w:rsidRPr="006A56DB">
        <w:rPr>
          <w:snapToGrid w:val="0"/>
          <w:kern w:val="22"/>
          <w:szCs w:val="22"/>
          <w:lang w:val="es-ES"/>
        </w:rPr>
        <w:t xml:space="preserve">. </w:t>
      </w:r>
      <w:r w:rsidR="006A56DB" w:rsidRPr="006A56DB">
        <w:rPr>
          <w:snapToGrid w:val="0"/>
          <w:kern w:val="22"/>
          <w:szCs w:val="22"/>
          <w:lang w:val="es-ES"/>
        </w:rPr>
        <w:t xml:space="preserve">Asimismo, </w:t>
      </w:r>
      <w:r w:rsidR="00855A78" w:rsidRPr="006A56DB">
        <w:rPr>
          <w:snapToGrid w:val="0"/>
          <w:kern w:val="22"/>
          <w:szCs w:val="22"/>
          <w:lang w:val="es-ES"/>
        </w:rPr>
        <w:t xml:space="preserve">Austria </w:t>
      </w:r>
      <w:r w:rsidR="006A56DB" w:rsidRPr="006A56DB">
        <w:rPr>
          <w:snapToGrid w:val="0"/>
          <w:kern w:val="22"/>
          <w:szCs w:val="22"/>
          <w:lang w:val="es-ES"/>
        </w:rPr>
        <w:t xml:space="preserve">y Suecia informaron </w:t>
      </w:r>
      <w:r w:rsidR="006A56DB" w:rsidRPr="006A56DB">
        <w:rPr>
          <w:snapToGrid w:val="0"/>
          <w:kern w:val="22"/>
          <w:szCs w:val="22"/>
          <w:lang w:val="es-ES"/>
        </w:rPr>
        <w:lastRenderedPageBreak/>
        <w:t xml:space="preserve">sobre </w:t>
      </w:r>
      <w:r w:rsidR="00AA44FD">
        <w:rPr>
          <w:snapToGrid w:val="0"/>
          <w:kern w:val="22"/>
          <w:szCs w:val="22"/>
          <w:lang w:val="es-ES"/>
        </w:rPr>
        <w:t xml:space="preserve">los </w:t>
      </w:r>
      <w:r w:rsidR="006A56DB" w:rsidRPr="006A56DB">
        <w:rPr>
          <w:snapToGrid w:val="0"/>
          <w:kern w:val="22"/>
          <w:szCs w:val="22"/>
          <w:lang w:val="es-ES"/>
        </w:rPr>
        <w:t xml:space="preserve">nuevos avances hasta </w:t>
      </w:r>
      <w:r w:rsidR="00855A78" w:rsidRPr="006A56DB">
        <w:rPr>
          <w:snapToGrid w:val="0"/>
          <w:kern w:val="22"/>
          <w:szCs w:val="22"/>
          <w:lang w:val="es-ES"/>
        </w:rPr>
        <w:t xml:space="preserve">2020 </w:t>
      </w:r>
      <w:r w:rsidR="006A56DB" w:rsidRPr="006A56DB">
        <w:rPr>
          <w:snapToGrid w:val="0"/>
          <w:kern w:val="22"/>
          <w:szCs w:val="22"/>
          <w:lang w:val="es-ES"/>
        </w:rPr>
        <w:t>en la segunda ronda de presentaci</w:t>
      </w:r>
      <w:r w:rsidR="006A56DB">
        <w:rPr>
          <w:snapToGrid w:val="0"/>
          <w:kern w:val="22"/>
          <w:szCs w:val="22"/>
          <w:lang w:val="es-ES"/>
        </w:rPr>
        <w:t xml:space="preserve">ón de informes iniciada de conformidad con el párrafo 8 de la decisión </w:t>
      </w:r>
      <w:r w:rsidR="00855A78" w:rsidRPr="006A56DB">
        <w:rPr>
          <w:snapToGrid w:val="0"/>
          <w:kern w:val="22"/>
          <w:szCs w:val="22"/>
          <w:lang w:val="es-ES"/>
        </w:rPr>
        <w:t xml:space="preserve">XIII/20. </w:t>
      </w:r>
      <w:r w:rsidR="00813797" w:rsidRPr="00813797">
        <w:rPr>
          <w:snapToGrid w:val="0"/>
          <w:kern w:val="22"/>
          <w:szCs w:val="22"/>
          <w:lang w:val="es-ES"/>
        </w:rPr>
        <w:t xml:space="preserve">Esto eleva a 76 el número consolidado de </w:t>
      </w:r>
      <w:r w:rsidR="00855A78" w:rsidRPr="00813797">
        <w:rPr>
          <w:snapToGrid w:val="0"/>
          <w:kern w:val="22"/>
          <w:szCs w:val="22"/>
          <w:lang w:val="es-ES"/>
        </w:rPr>
        <w:t xml:space="preserve">Partes </w:t>
      </w:r>
      <w:r w:rsidR="00813797" w:rsidRPr="00813797">
        <w:rPr>
          <w:snapToGrid w:val="0"/>
          <w:kern w:val="22"/>
          <w:szCs w:val="22"/>
          <w:lang w:val="es-ES"/>
        </w:rPr>
        <w:t>que han presentado informaci</w:t>
      </w:r>
      <w:r w:rsidR="00813797">
        <w:rPr>
          <w:snapToGrid w:val="0"/>
          <w:kern w:val="22"/>
          <w:szCs w:val="22"/>
          <w:lang w:val="es-ES"/>
        </w:rPr>
        <w:t>ón por medio del marco de presentación de informes financieros</w:t>
      </w:r>
      <w:r w:rsidR="00855A78" w:rsidRPr="00813797">
        <w:rPr>
          <w:snapToGrid w:val="0"/>
          <w:kern w:val="22"/>
          <w:szCs w:val="22"/>
          <w:lang w:val="es-ES"/>
        </w:rPr>
        <w:t xml:space="preserve">. </w:t>
      </w:r>
      <w:r w:rsidR="00813797" w:rsidRPr="00813797">
        <w:rPr>
          <w:snapToGrid w:val="0"/>
          <w:kern w:val="22"/>
          <w:szCs w:val="22"/>
          <w:lang w:val="es-ES"/>
        </w:rPr>
        <w:t>La lista consolidada de Partes que presentaron información por medio del marco de presentaci</w:t>
      </w:r>
      <w:r w:rsidR="00813797">
        <w:rPr>
          <w:snapToGrid w:val="0"/>
          <w:kern w:val="22"/>
          <w:szCs w:val="22"/>
          <w:lang w:val="es-ES"/>
        </w:rPr>
        <w:t xml:space="preserve">ón de informes financieros a fecha 1 de marzo de </w:t>
      </w:r>
      <w:r w:rsidR="00855A78" w:rsidRPr="00813797">
        <w:rPr>
          <w:snapToGrid w:val="0"/>
          <w:kern w:val="22"/>
          <w:szCs w:val="22"/>
          <w:lang w:val="es-ES"/>
        </w:rPr>
        <w:t xml:space="preserve">2018 </w:t>
      </w:r>
      <w:r w:rsidR="00813797">
        <w:rPr>
          <w:snapToGrid w:val="0"/>
          <w:kern w:val="22"/>
          <w:szCs w:val="22"/>
          <w:lang w:val="es-ES"/>
        </w:rPr>
        <w:t xml:space="preserve">figura en el anexo </w:t>
      </w:r>
      <w:r w:rsidR="00855A78" w:rsidRPr="00813797">
        <w:rPr>
          <w:snapToGrid w:val="0"/>
          <w:kern w:val="22"/>
          <w:szCs w:val="22"/>
          <w:lang w:val="es-ES"/>
        </w:rPr>
        <w:t xml:space="preserve">II </w:t>
      </w:r>
      <w:r w:rsidR="00813797">
        <w:rPr>
          <w:snapToGrid w:val="0"/>
          <w:kern w:val="22"/>
          <w:szCs w:val="22"/>
          <w:lang w:val="es-ES"/>
        </w:rPr>
        <w:t>del presente documento</w:t>
      </w:r>
      <w:r w:rsidR="00855A78" w:rsidRPr="00813797">
        <w:rPr>
          <w:snapToGrid w:val="0"/>
          <w:kern w:val="22"/>
          <w:szCs w:val="22"/>
          <w:lang w:val="es-ES"/>
        </w:rPr>
        <w:t xml:space="preserve">. </w:t>
      </w:r>
      <w:r w:rsidR="00813797" w:rsidRPr="00813797">
        <w:rPr>
          <w:snapToGrid w:val="0"/>
          <w:kern w:val="22"/>
          <w:szCs w:val="22"/>
          <w:lang w:val="es-ES"/>
        </w:rPr>
        <w:t xml:space="preserve">Hay que tener en cuenta el número limitado de informes nuevos y </w:t>
      </w:r>
      <w:r w:rsidR="00813797" w:rsidRPr="00AA44FD">
        <w:rPr>
          <w:snapToGrid w:val="0"/>
          <w:kern w:val="22"/>
          <w:szCs w:val="22"/>
          <w:lang w:val="es-ES"/>
        </w:rPr>
        <w:t>actualizados para apreciar alguna de la información cuantitativa y semicuantitativa proporcionada en el resto</w:t>
      </w:r>
      <w:r w:rsidR="00AA44FD" w:rsidRPr="00AA44FD">
        <w:rPr>
          <w:snapToGrid w:val="0"/>
          <w:kern w:val="22"/>
          <w:szCs w:val="22"/>
          <w:lang w:val="es-ES"/>
        </w:rPr>
        <w:t xml:space="preserve"> </w:t>
      </w:r>
      <w:r w:rsidR="00B37AF8" w:rsidRPr="00AA44FD">
        <w:rPr>
          <w:snapToGrid w:val="0"/>
          <w:kern w:val="22"/>
          <w:szCs w:val="22"/>
          <w:lang w:val="es-ES"/>
        </w:rPr>
        <w:t>de la presente</w:t>
      </w:r>
      <w:r w:rsidR="00813797" w:rsidRPr="00AA44FD">
        <w:rPr>
          <w:snapToGrid w:val="0"/>
          <w:kern w:val="22"/>
          <w:szCs w:val="22"/>
          <w:lang w:val="es-ES"/>
        </w:rPr>
        <w:t xml:space="preserve"> secci</w:t>
      </w:r>
      <w:r w:rsidR="00B37AF8" w:rsidRPr="00AA44FD">
        <w:rPr>
          <w:snapToGrid w:val="0"/>
          <w:kern w:val="22"/>
          <w:szCs w:val="22"/>
          <w:lang w:val="es-ES"/>
        </w:rPr>
        <w:t>ón</w:t>
      </w:r>
      <w:r w:rsidR="00855A78" w:rsidRPr="00813797">
        <w:rPr>
          <w:snapToGrid w:val="0"/>
          <w:kern w:val="22"/>
          <w:szCs w:val="22"/>
          <w:lang w:val="es-ES"/>
        </w:rPr>
        <w:t>.</w:t>
      </w:r>
    </w:p>
    <w:p w:rsidR="00855A78" w:rsidRPr="00602AE7" w:rsidRDefault="00B37AF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B37AF8">
        <w:rPr>
          <w:snapToGrid w:val="0"/>
          <w:kern w:val="22"/>
          <w:szCs w:val="22"/>
          <w:lang w:val="es-ES"/>
        </w:rPr>
        <w:t>En las siguientes secciones se ofrece un balance y un análisis consolidados, siguiendo la estructura</w:t>
      </w:r>
      <w:r w:rsidR="00E0097D">
        <w:rPr>
          <w:snapToGrid w:val="0"/>
          <w:kern w:val="22"/>
          <w:szCs w:val="22"/>
          <w:lang w:val="es-ES"/>
        </w:rPr>
        <w:t xml:space="preserve"> del marco de presentación de informes financieros</w:t>
      </w:r>
      <w:r w:rsidR="00386C03" w:rsidRPr="00B37AF8">
        <w:rPr>
          <w:snapToGrid w:val="0"/>
          <w:kern w:val="22"/>
          <w:szCs w:val="22"/>
          <w:lang w:val="es-ES"/>
        </w:rPr>
        <w:t>.</w:t>
      </w:r>
      <w:r w:rsidR="00855A78" w:rsidRPr="00B37AF8">
        <w:rPr>
          <w:snapToGrid w:val="0"/>
          <w:kern w:val="22"/>
          <w:szCs w:val="22"/>
          <w:lang w:val="es-ES"/>
        </w:rPr>
        <w:t xml:space="preserve"> </w:t>
      </w:r>
      <w:r w:rsidR="00E0097D" w:rsidRPr="00E0097D">
        <w:rPr>
          <w:snapToGrid w:val="0"/>
          <w:kern w:val="22"/>
          <w:szCs w:val="22"/>
          <w:lang w:val="es-ES"/>
        </w:rPr>
        <w:t xml:space="preserve">Con el fin de ofrecer una visión más completa, se complementa con </w:t>
      </w:r>
      <w:r w:rsidR="00E0097D" w:rsidRPr="003201E8">
        <w:rPr>
          <w:snapToGrid w:val="0"/>
          <w:kern w:val="22"/>
          <w:szCs w:val="22"/>
          <w:lang w:val="es-ES"/>
        </w:rPr>
        <w:t>información extraída de lo</w:t>
      </w:r>
      <w:r w:rsidR="00E0097D">
        <w:rPr>
          <w:snapToGrid w:val="0"/>
          <w:kern w:val="22"/>
          <w:szCs w:val="22"/>
          <w:lang w:val="es-ES"/>
        </w:rPr>
        <w:t>s marcos de presentación de informes financieros, según proceda, con información de otras fuentes, como la iniciativa Finanzas para la Biodiversidad</w:t>
      </w:r>
      <w:r w:rsidR="00855A78" w:rsidRPr="00E0097D">
        <w:rPr>
          <w:snapToGrid w:val="0"/>
          <w:kern w:val="22"/>
          <w:szCs w:val="22"/>
          <w:lang w:val="es-ES"/>
        </w:rPr>
        <w:t xml:space="preserve"> (BIOFIN) </w:t>
      </w:r>
      <w:r w:rsidR="00E0097D">
        <w:rPr>
          <w:snapToGrid w:val="0"/>
          <w:kern w:val="22"/>
          <w:szCs w:val="22"/>
          <w:lang w:val="es-ES"/>
        </w:rPr>
        <w:t xml:space="preserve">del Programa de las Naciones Unidas para el Desarrollo </w:t>
      </w:r>
      <w:r w:rsidR="00855A78" w:rsidRPr="00E0097D">
        <w:rPr>
          <w:snapToGrid w:val="0"/>
          <w:kern w:val="22"/>
          <w:szCs w:val="22"/>
          <w:lang w:val="es-ES"/>
        </w:rPr>
        <w:t>(</w:t>
      </w:r>
      <w:r w:rsidR="00E0097D">
        <w:rPr>
          <w:snapToGrid w:val="0"/>
          <w:kern w:val="22"/>
          <w:szCs w:val="22"/>
          <w:lang w:val="es-ES"/>
        </w:rPr>
        <w:t>PN</w:t>
      </w:r>
      <w:r w:rsidR="00855A78" w:rsidRPr="00E0097D">
        <w:rPr>
          <w:snapToGrid w:val="0"/>
          <w:kern w:val="22"/>
          <w:szCs w:val="22"/>
          <w:lang w:val="es-ES"/>
        </w:rPr>
        <w:t>U</w:t>
      </w:r>
      <w:r w:rsidR="00E0097D">
        <w:rPr>
          <w:snapToGrid w:val="0"/>
          <w:kern w:val="22"/>
          <w:szCs w:val="22"/>
          <w:lang w:val="es-ES"/>
        </w:rPr>
        <w:t>D</w:t>
      </w:r>
      <w:r w:rsidR="00855A78" w:rsidRPr="00E0097D">
        <w:rPr>
          <w:snapToGrid w:val="0"/>
          <w:kern w:val="22"/>
          <w:szCs w:val="22"/>
          <w:lang w:val="es-ES"/>
        </w:rPr>
        <w:t xml:space="preserve">) </w:t>
      </w:r>
      <w:r w:rsidRPr="00E0097D">
        <w:rPr>
          <w:snapToGrid w:val="0"/>
          <w:kern w:val="22"/>
          <w:szCs w:val="22"/>
          <w:lang w:val="es-ES"/>
        </w:rPr>
        <w:t xml:space="preserve">y el </w:t>
      </w:r>
      <w:r w:rsidRPr="00E0097D">
        <w:rPr>
          <w:kern w:val="22"/>
          <w:lang w:val="es-ES"/>
        </w:rPr>
        <w:t xml:space="preserve">análisis de las 153 EPANB recibidas en uno de los idiomas oficiales de las Naciones Unidas desde la adopción del Plan Estratégico para la Diversidad Biológica hasta el </w:t>
      </w:r>
      <w:r w:rsidR="00855A78" w:rsidRPr="00E0097D">
        <w:rPr>
          <w:snapToGrid w:val="0"/>
          <w:kern w:val="22"/>
          <w:szCs w:val="22"/>
          <w:lang w:val="es-ES"/>
        </w:rPr>
        <w:t>14</w:t>
      </w:r>
      <w:r w:rsidR="00277A1F" w:rsidRPr="00E0097D">
        <w:rPr>
          <w:snapToGrid w:val="0"/>
          <w:kern w:val="22"/>
          <w:szCs w:val="22"/>
          <w:lang w:val="es-ES"/>
        </w:rPr>
        <w:t> </w:t>
      </w:r>
      <w:r w:rsidRPr="00E0097D">
        <w:rPr>
          <w:snapToGrid w:val="0"/>
          <w:kern w:val="22"/>
          <w:szCs w:val="22"/>
          <w:lang w:val="es-ES"/>
        </w:rPr>
        <w:t>de marzo de</w:t>
      </w:r>
      <w:r w:rsidR="00277A1F" w:rsidRPr="00E0097D">
        <w:rPr>
          <w:snapToGrid w:val="0"/>
          <w:kern w:val="22"/>
          <w:szCs w:val="22"/>
          <w:lang w:val="es-ES"/>
        </w:rPr>
        <w:t> </w:t>
      </w:r>
      <w:r w:rsidR="00855A78" w:rsidRPr="00E0097D">
        <w:rPr>
          <w:snapToGrid w:val="0"/>
          <w:kern w:val="22"/>
          <w:szCs w:val="22"/>
          <w:lang w:val="es-ES"/>
        </w:rPr>
        <w:t xml:space="preserve">2018, </w:t>
      </w:r>
      <w:r w:rsidR="00E0097D">
        <w:rPr>
          <w:snapToGrid w:val="0"/>
          <w:kern w:val="22"/>
          <w:szCs w:val="22"/>
          <w:lang w:val="es-ES"/>
        </w:rPr>
        <w:t xml:space="preserve">según lo incluido en la actualización </w:t>
      </w:r>
      <w:r w:rsidR="00E14896">
        <w:rPr>
          <w:snapToGrid w:val="0"/>
          <w:kern w:val="22"/>
          <w:szCs w:val="22"/>
          <w:lang w:val="es-ES"/>
        </w:rPr>
        <w:t>de los progresos realizados en la revisión</w:t>
      </w:r>
      <w:r w:rsidR="00277A1F" w:rsidRPr="00E0097D">
        <w:rPr>
          <w:szCs w:val="22"/>
          <w:lang w:val="es-ES"/>
        </w:rPr>
        <w:t>/</w:t>
      </w:r>
      <w:r w:rsidR="00E14896">
        <w:rPr>
          <w:szCs w:val="22"/>
          <w:lang w:val="es-ES"/>
        </w:rPr>
        <w:t>actualización y aplicación de las estrategias y planes de acción nacionales en materia de diversidad biológica</w:t>
      </w:r>
      <w:r w:rsidR="00277A1F" w:rsidRPr="00E0097D">
        <w:rPr>
          <w:szCs w:val="22"/>
          <w:lang w:val="es-ES"/>
        </w:rPr>
        <w:t>, inclu</w:t>
      </w:r>
      <w:r w:rsidR="00E14896">
        <w:rPr>
          <w:szCs w:val="22"/>
          <w:lang w:val="es-ES"/>
        </w:rPr>
        <w:t>idas las metas nacionales</w:t>
      </w:r>
      <w:r w:rsidR="00277A1F" w:rsidRPr="00E0097D">
        <w:rPr>
          <w:snapToGrid w:val="0"/>
          <w:color w:val="000000"/>
          <w:kern w:val="22"/>
          <w:szCs w:val="22"/>
          <w:lang w:val="es-ES"/>
        </w:rPr>
        <w:t xml:space="preserve"> (</w:t>
      </w:r>
      <w:hyperlink r:id="rId13" w:history="1">
        <w:r w:rsidR="00855A78" w:rsidRPr="00E0097D">
          <w:rPr>
            <w:rStyle w:val="Hyperlink"/>
            <w:sz w:val="22"/>
            <w:lang w:val="es-ES"/>
          </w:rPr>
          <w:t>CBD/SBI/2/2/Add.1</w:t>
        </w:r>
      </w:hyperlink>
      <w:r w:rsidR="00277A1F" w:rsidRPr="00E0097D">
        <w:rPr>
          <w:snapToGrid w:val="0"/>
          <w:kern w:val="22"/>
          <w:szCs w:val="22"/>
          <w:lang w:val="es-ES"/>
        </w:rPr>
        <w:t>)</w:t>
      </w:r>
      <w:r w:rsidR="00855A78" w:rsidRPr="00E0097D">
        <w:rPr>
          <w:snapToGrid w:val="0"/>
          <w:kern w:val="22"/>
          <w:szCs w:val="22"/>
          <w:lang w:val="es-ES"/>
        </w:rPr>
        <w:t xml:space="preserve">. </w:t>
      </w:r>
      <w:r w:rsidR="007C731D" w:rsidRPr="003201E8">
        <w:rPr>
          <w:snapToGrid w:val="0"/>
          <w:kern w:val="22"/>
          <w:szCs w:val="22"/>
          <w:lang w:val="es-ES"/>
        </w:rPr>
        <w:t>A modo de referencia, las metas individuales para la movilización de recursos figuran en el anexo I</w:t>
      </w:r>
      <w:r w:rsidR="00855A78" w:rsidRPr="003201E8">
        <w:rPr>
          <w:snapToGrid w:val="0"/>
          <w:kern w:val="22"/>
          <w:szCs w:val="22"/>
          <w:lang w:val="es-ES"/>
        </w:rPr>
        <w:t xml:space="preserve">. </w:t>
      </w:r>
      <w:r w:rsidR="00602AE7" w:rsidRPr="003201E8">
        <w:rPr>
          <w:snapToGrid w:val="0"/>
          <w:kern w:val="22"/>
          <w:szCs w:val="22"/>
          <w:lang w:val="es-ES"/>
        </w:rPr>
        <w:t>También se pueden extraer datos</w:t>
      </w:r>
      <w:r w:rsidR="00855A78" w:rsidRPr="003201E8">
        <w:rPr>
          <w:snapToGrid w:val="0"/>
          <w:kern w:val="22"/>
          <w:szCs w:val="22"/>
          <w:lang w:val="es-ES"/>
        </w:rPr>
        <w:t xml:space="preserve">, </w:t>
      </w:r>
      <w:r w:rsidR="00602AE7" w:rsidRPr="003201E8">
        <w:rPr>
          <w:snapToGrid w:val="0"/>
          <w:kern w:val="22"/>
          <w:szCs w:val="22"/>
          <w:lang w:val="es-ES"/>
        </w:rPr>
        <w:t>e</w:t>
      </w:r>
      <w:r w:rsidR="00855A78" w:rsidRPr="003201E8">
        <w:rPr>
          <w:snapToGrid w:val="0"/>
          <w:kern w:val="22"/>
          <w:szCs w:val="22"/>
          <w:lang w:val="es-ES"/>
        </w:rPr>
        <w:t xml:space="preserve">n particular </w:t>
      </w:r>
      <w:r w:rsidR="00602AE7" w:rsidRPr="003201E8">
        <w:rPr>
          <w:snapToGrid w:val="0"/>
          <w:kern w:val="22"/>
          <w:szCs w:val="22"/>
          <w:lang w:val="es-ES"/>
        </w:rPr>
        <w:t>la información adicional sobre cuestiones metodológicas y de otra índole</w:t>
      </w:r>
      <w:r w:rsidR="00855A78" w:rsidRPr="003201E8">
        <w:rPr>
          <w:snapToGrid w:val="0"/>
          <w:kern w:val="22"/>
          <w:szCs w:val="22"/>
          <w:lang w:val="es-ES"/>
        </w:rPr>
        <w:t xml:space="preserve">, </w:t>
      </w:r>
      <w:r w:rsidR="00602AE7" w:rsidRPr="003201E8">
        <w:rPr>
          <w:snapToGrid w:val="0"/>
          <w:kern w:val="22"/>
          <w:szCs w:val="22"/>
          <w:lang w:val="es-ES"/>
        </w:rPr>
        <w:t>facilitada por las Partes en los campos para comentarios, a través del</w:t>
      </w:r>
      <w:r w:rsidR="00602AE7">
        <w:rPr>
          <w:snapToGrid w:val="0"/>
          <w:kern w:val="22"/>
          <w:szCs w:val="22"/>
          <w:lang w:val="es-ES"/>
        </w:rPr>
        <w:t xml:space="preserve"> </w:t>
      </w:r>
      <w:hyperlink r:id="rId14" w:history="1">
        <w:r w:rsidR="00602AE7">
          <w:rPr>
            <w:rStyle w:val="Hyperlink"/>
            <w:snapToGrid w:val="0"/>
            <w:kern w:val="22"/>
            <w:sz w:val="22"/>
            <w:szCs w:val="22"/>
            <w:lang w:val="es-ES"/>
          </w:rPr>
          <w:t>Analizador de informes financiero</w:t>
        </w:r>
        <w:r w:rsidR="00855A78" w:rsidRPr="00602AE7">
          <w:rPr>
            <w:rStyle w:val="Hyperlink"/>
            <w:snapToGrid w:val="0"/>
            <w:kern w:val="22"/>
            <w:sz w:val="22"/>
            <w:szCs w:val="22"/>
            <w:lang w:val="es-ES"/>
          </w:rPr>
          <w:t>s</w:t>
        </w:r>
      </w:hyperlink>
      <w:r w:rsidR="00602AE7">
        <w:rPr>
          <w:snapToGrid w:val="0"/>
          <w:kern w:val="22"/>
          <w:szCs w:val="22"/>
          <w:lang w:val="es-ES"/>
        </w:rPr>
        <w:t xml:space="preserve"> en línea.</w:t>
      </w:r>
    </w:p>
    <w:p w:rsidR="00855A78" w:rsidRPr="00D163E0" w:rsidRDefault="00855A78" w:rsidP="00490BF5">
      <w:pPr>
        <w:pStyle w:val="Heading1"/>
        <w:suppressLineNumbers/>
        <w:tabs>
          <w:tab w:val="clear" w:pos="720"/>
        </w:tabs>
        <w:suppressAutoHyphens/>
        <w:kinsoku w:val="0"/>
        <w:overflowPunct w:val="0"/>
        <w:autoSpaceDE w:val="0"/>
        <w:autoSpaceDN w:val="0"/>
        <w:adjustRightInd w:val="0"/>
        <w:snapToGrid w:val="0"/>
        <w:spacing w:before="120"/>
        <w:ind w:left="360"/>
        <w:rPr>
          <w:snapToGrid w:val="0"/>
          <w:kern w:val="22"/>
          <w:szCs w:val="22"/>
          <w:lang w:val="es-ES"/>
        </w:rPr>
      </w:pPr>
      <w:r w:rsidRPr="00D163E0">
        <w:rPr>
          <w:snapToGrid w:val="0"/>
          <w:kern w:val="22"/>
          <w:szCs w:val="22"/>
          <w:lang w:val="es-ES"/>
        </w:rPr>
        <w:t>II.</w:t>
      </w:r>
      <w:r w:rsidR="004A1AC3" w:rsidRPr="00D163E0">
        <w:rPr>
          <w:snapToGrid w:val="0"/>
          <w:kern w:val="22"/>
          <w:szCs w:val="22"/>
          <w:lang w:val="es-ES"/>
        </w:rPr>
        <w:tab/>
      </w:r>
      <w:r w:rsidR="00D163E0" w:rsidRPr="00D163E0">
        <w:rPr>
          <w:snapToGrid w:val="0"/>
          <w:kern w:val="22"/>
          <w:szCs w:val="22"/>
          <w:lang w:val="es-ES"/>
        </w:rPr>
        <w:t>FLUJOS DE RECURSOS FINANCIEROS INTERNACIONALES</w:t>
      </w:r>
    </w:p>
    <w:p w:rsidR="00855A78" w:rsidRPr="00D163E0" w:rsidRDefault="00D163E0"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D163E0">
        <w:rPr>
          <w:snapToGrid w:val="0"/>
          <w:kern w:val="22"/>
          <w:szCs w:val="22"/>
          <w:lang w:val="es-ES"/>
        </w:rPr>
        <w:t>Un</w:t>
      </w:r>
      <w:r w:rsidR="00855A78" w:rsidRPr="00D163E0">
        <w:rPr>
          <w:snapToGrid w:val="0"/>
          <w:kern w:val="22"/>
          <w:szCs w:val="22"/>
          <w:lang w:val="es-ES"/>
        </w:rPr>
        <w:t xml:space="preserve"> total </w:t>
      </w:r>
      <w:r w:rsidRPr="00D163E0">
        <w:rPr>
          <w:snapToGrid w:val="0"/>
          <w:kern w:val="22"/>
          <w:szCs w:val="22"/>
          <w:lang w:val="es-ES"/>
        </w:rPr>
        <w:t>de</w:t>
      </w:r>
      <w:r w:rsidR="00855A78" w:rsidRPr="00D163E0">
        <w:rPr>
          <w:snapToGrid w:val="0"/>
          <w:kern w:val="22"/>
          <w:szCs w:val="22"/>
          <w:lang w:val="es-ES"/>
        </w:rPr>
        <w:t xml:space="preserve"> 30 Partes (23 </w:t>
      </w:r>
      <w:r w:rsidRPr="00D163E0">
        <w:rPr>
          <w:snapToGrid w:val="0"/>
          <w:kern w:val="22"/>
          <w:szCs w:val="22"/>
          <w:lang w:val="es-ES"/>
        </w:rPr>
        <w:t xml:space="preserve">de los </w:t>
      </w:r>
      <w:r w:rsidR="00855A78" w:rsidRPr="00D163E0">
        <w:rPr>
          <w:snapToGrid w:val="0"/>
          <w:kern w:val="22"/>
          <w:szCs w:val="22"/>
          <w:lang w:val="es-ES"/>
        </w:rPr>
        <w:t xml:space="preserve">30 </w:t>
      </w:r>
      <w:r w:rsidR="00EE7CF4">
        <w:rPr>
          <w:snapToGrid w:val="0"/>
          <w:kern w:val="22"/>
          <w:szCs w:val="22"/>
          <w:lang w:val="es-ES"/>
        </w:rPr>
        <w:t xml:space="preserve">países </w:t>
      </w:r>
      <w:r w:rsidRPr="00D163E0">
        <w:rPr>
          <w:snapToGrid w:val="0"/>
          <w:kern w:val="22"/>
          <w:szCs w:val="22"/>
          <w:lang w:val="es-ES"/>
        </w:rPr>
        <w:t>miembros del CAD</w:t>
      </w:r>
      <w:r w:rsidR="00855A78" w:rsidRPr="00D163E0">
        <w:rPr>
          <w:snapToGrid w:val="0"/>
          <w:kern w:val="22"/>
          <w:szCs w:val="22"/>
          <w:lang w:val="es-ES"/>
        </w:rPr>
        <w:t xml:space="preserve"> </w:t>
      </w:r>
      <w:r w:rsidRPr="00D163E0">
        <w:rPr>
          <w:snapToGrid w:val="0"/>
          <w:kern w:val="22"/>
          <w:szCs w:val="22"/>
          <w:lang w:val="es-ES"/>
        </w:rPr>
        <w:t>y</w:t>
      </w:r>
      <w:r w:rsidR="00855A78" w:rsidRPr="00D163E0">
        <w:rPr>
          <w:snapToGrid w:val="0"/>
          <w:kern w:val="22"/>
          <w:szCs w:val="22"/>
          <w:lang w:val="es-ES"/>
        </w:rPr>
        <w:t xml:space="preserve"> 7 </w:t>
      </w:r>
      <w:r w:rsidR="00EE7CF4">
        <w:rPr>
          <w:snapToGrid w:val="0"/>
          <w:kern w:val="22"/>
          <w:szCs w:val="22"/>
          <w:lang w:val="es-ES"/>
        </w:rPr>
        <w:t xml:space="preserve">países </w:t>
      </w:r>
      <w:r w:rsidRPr="00D163E0">
        <w:rPr>
          <w:snapToGrid w:val="0"/>
          <w:kern w:val="22"/>
          <w:szCs w:val="22"/>
          <w:lang w:val="es-ES"/>
        </w:rPr>
        <w:t>no miembros del CAD</w:t>
      </w:r>
      <w:r w:rsidR="00855A78" w:rsidRPr="00D163E0">
        <w:rPr>
          <w:snapToGrid w:val="0"/>
          <w:kern w:val="22"/>
          <w:szCs w:val="22"/>
          <w:lang w:val="es-ES"/>
        </w:rPr>
        <w:t xml:space="preserve">) </w:t>
      </w:r>
      <w:r w:rsidRPr="00D163E0">
        <w:rPr>
          <w:snapToGrid w:val="0"/>
          <w:kern w:val="22"/>
          <w:szCs w:val="22"/>
          <w:lang w:val="es-ES"/>
        </w:rPr>
        <w:t xml:space="preserve">facilitaron información sobre </w:t>
      </w:r>
      <w:r w:rsidRPr="003201E8">
        <w:rPr>
          <w:snapToGrid w:val="0"/>
          <w:kern w:val="22"/>
          <w:szCs w:val="22"/>
          <w:lang w:val="es-ES"/>
        </w:rPr>
        <w:t>la cantidad de recursos que proporcionaron en apoyo de la diversidad biológica en los países en desarrollo</w:t>
      </w:r>
      <w:r w:rsidR="00855A78" w:rsidRPr="003201E8">
        <w:rPr>
          <w:snapToGrid w:val="0"/>
          <w:kern w:val="22"/>
          <w:szCs w:val="22"/>
          <w:lang w:val="es-ES"/>
        </w:rPr>
        <w:t xml:space="preserve">, </w:t>
      </w:r>
      <w:r w:rsidRPr="003201E8">
        <w:rPr>
          <w:snapToGrid w:val="0"/>
          <w:kern w:val="22"/>
          <w:szCs w:val="22"/>
          <w:lang w:val="es-ES"/>
        </w:rPr>
        <w:t>e</w:t>
      </w:r>
      <w:r w:rsidR="00855A78" w:rsidRPr="003201E8">
        <w:rPr>
          <w:snapToGrid w:val="0"/>
          <w:kern w:val="22"/>
          <w:szCs w:val="22"/>
          <w:lang w:val="es-ES"/>
        </w:rPr>
        <w:t>n particular</w:t>
      </w:r>
      <w:r w:rsidR="00855A78" w:rsidRPr="00D163E0">
        <w:rPr>
          <w:snapToGrid w:val="0"/>
          <w:kern w:val="22"/>
          <w:szCs w:val="22"/>
          <w:lang w:val="es-ES"/>
        </w:rPr>
        <w:t xml:space="preserve"> </w:t>
      </w:r>
      <w:r>
        <w:rPr>
          <w:snapToGrid w:val="0"/>
          <w:kern w:val="22"/>
          <w:szCs w:val="22"/>
          <w:lang w:val="es-ES"/>
        </w:rPr>
        <w:t>los países menos adelantados y los pequeños Estados insulares en desarrollo</w:t>
      </w:r>
      <w:r w:rsidR="00855A78" w:rsidRPr="00D163E0">
        <w:rPr>
          <w:snapToGrid w:val="0"/>
          <w:kern w:val="22"/>
          <w:szCs w:val="22"/>
          <w:lang w:val="es-ES"/>
        </w:rPr>
        <w:t>, as</w:t>
      </w:r>
      <w:r>
        <w:rPr>
          <w:snapToGrid w:val="0"/>
          <w:kern w:val="22"/>
          <w:szCs w:val="22"/>
          <w:lang w:val="es-ES"/>
        </w:rPr>
        <w:t>í como los países con economías en transición</w:t>
      </w:r>
      <w:r w:rsidR="00855A78" w:rsidRPr="00D163E0">
        <w:rPr>
          <w:snapToGrid w:val="0"/>
          <w:kern w:val="22"/>
          <w:szCs w:val="22"/>
          <w:lang w:val="es-ES"/>
        </w:rPr>
        <w:t>:</w:t>
      </w:r>
    </w:p>
    <w:p w:rsidR="00855A78" w:rsidRPr="00945C21" w:rsidRDefault="00855A78" w:rsidP="00490BF5">
      <w:pPr>
        <w:numPr>
          <w:ilvl w:val="1"/>
          <w:numId w:val="54"/>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D163E0">
        <w:rPr>
          <w:snapToGrid w:val="0"/>
          <w:kern w:val="22"/>
          <w:szCs w:val="22"/>
          <w:lang w:val="es-ES"/>
        </w:rPr>
        <w:t xml:space="preserve">26 Partes (22 </w:t>
      </w:r>
      <w:r w:rsidR="00EE7CF4">
        <w:rPr>
          <w:snapToGrid w:val="0"/>
          <w:kern w:val="22"/>
          <w:szCs w:val="22"/>
          <w:lang w:val="es-ES"/>
        </w:rPr>
        <w:t xml:space="preserve">países </w:t>
      </w:r>
      <w:r w:rsidR="00D163E0" w:rsidRPr="00D163E0">
        <w:rPr>
          <w:snapToGrid w:val="0"/>
          <w:kern w:val="22"/>
          <w:szCs w:val="22"/>
          <w:lang w:val="es-ES"/>
        </w:rPr>
        <w:t xml:space="preserve">miembros del CAD y </w:t>
      </w:r>
      <w:r w:rsidRPr="00D163E0">
        <w:rPr>
          <w:snapToGrid w:val="0"/>
          <w:kern w:val="22"/>
          <w:szCs w:val="22"/>
          <w:lang w:val="es-ES"/>
        </w:rPr>
        <w:t xml:space="preserve">4 </w:t>
      </w:r>
      <w:r w:rsidR="00EE7CF4">
        <w:rPr>
          <w:snapToGrid w:val="0"/>
          <w:kern w:val="22"/>
          <w:szCs w:val="22"/>
          <w:lang w:val="es-ES"/>
        </w:rPr>
        <w:t xml:space="preserve">países </w:t>
      </w:r>
      <w:r w:rsidR="00D163E0" w:rsidRPr="00D163E0">
        <w:rPr>
          <w:snapToGrid w:val="0"/>
          <w:kern w:val="22"/>
          <w:szCs w:val="22"/>
          <w:lang w:val="es-ES"/>
        </w:rPr>
        <w:t xml:space="preserve">no miembros del </w:t>
      </w:r>
      <w:r w:rsidR="00D163E0" w:rsidRPr="003201E8">
        <w:rPr>
          <w:snapToGrid w:val="0"/>
          <w:kern w:val="22"/>
          <w:szCs w:val="22"/>
          <w:lang w:val="es-ES"/>
        </w:rPr>
        <w:t>CAD</w:t>
      </w:r>
      <w:r w:rsidRPr="003201E8">
        <w:rPr>
          <w:snapToGrid w:val="0"/>
          <w:kern w:val="22"/>
          <w:szCs w:val="22"/>
          <w:lang w:val="es-ES"/>
        </w:rPr>
        <w:t xml:space="preserve">) </w:t>
      </w:r>
      <w:r w:rsidR="00D163E0" w:rsidRPr="003201E8">
        <w:rPr>
          <w:snapToGrid w:val="0"/>
          <w:kern w:val="22"/>
          <w:szCs w:val="22"/>
          <w:lang w:val="es-ES"/>
        </w:rPr>
        <w:t>presentaron datos de referencia</w:t>
      </w:r>
      <w:r w:rsidRPr="003201E8">
        <w:rPr>
          <w:snapToGrid w:val="0"/>
          <w:kern w:val="22"/>
          <w:szCs w:val="22"/>
          <w:lang w:val="es-ES"/>
        </w:rPr>
        <w:t xml:space="preserve">. </w:t>
      </w:r>
      <w:r w:rsidR="00D163E0" w:rsidRPr="003201E8">
        <w:rPr>
          <w:snapToGrid w:val="0"/>
          <w:kern w:val="22"/>
          <w:szCs w:val="22"/>
          <w:lang w:val="es-ES"/>
        </w:rPr>
        <w:t xml:space="preserve">Entre los </w:t>
      </w:r>
      <w:r w:rsidRPr="003201E8">
        <w:rPr>
          <w:snapToGrid w:val="0"/>
          <w:kern w:val="22"/>
          <w:szCs w:val="22"/>
          <w:lang w:val="es-ES"/>
        </w:rPr>
        <w:t xml:space="preserve">22 </w:t>
      </w:r>
      <w:r w:rsidR="00D163E0" w:rsidRPr="003201E8">
        <w:rPr>
          <w:snapToGrid w:val="0"/>
          <w:kern w:val="22"/>
          <w:szCs w:val="22"/>
          <w:lang w:val="es-ES"/>
        </w:rPr>
        <w:t xml:space="preserve">miembros del CAD se encuentran los </w:t>
      </w:r>
      <w:r w:rsidRPr="003201E8">
        <w:rPr>
          <w:snapToGrid w:val="0"/>
          <w:kern w:val="22"/>
          <w:szCs w:val="22"/>
          <w:lang w:val="es-ES"/>
        </w:rPr>
        <w:t xml:space="preserve">9 </w:t>
      </w:r>
      <w:r w:rsidR="00D163E0" w:rsidRPr="003201E8">
        <w:rPr>
          <w:snapToGrid w:val="0"/>
          <w:kern w:val="22"/>
          <w:szCs w:val="22"/>
          <w:lang w:val="es-ES"/>
        </w:rPr>
        <w:t>mayores dona</w:t>
      </w:r>
      <w:r w:rsidR="00D163E0" w:rsidRPr="00D163E0">
        <w:rPr>
          <w:snapToGrid w:val="0"/>
          <w:kern w:val="22"/>
          <w:szCs w:val="22"/>
          <w:lang w:val="es-ES"/>
        </w:rPr>
        <w:t>ntes de ayuda bilateral relacionada con la diversidad biológica</w:t>
      </w:r>
      <w:r w:rsidRPr="00490BF5">
        <w:rPr>
          <w:rStyle w:val="FootnoteReference"/>
          <w:snapToGrid w:val="0"/>
          <w:kern w:val="22"/>
          <w:szCs w:val="22"/>
        </w:rPr>
        <w:footnoteReference w:id="3"/>
      </w:r>
      <w:r w:rsidRPr="00D163E0">
        <w:rPr>
          <w:snapToGrid w:val="0"/>
          <w:kern w:val="22"/>
          <w:szCs w:val="22"/>
          <w:lang w:val="es-ES"/>
        </w:rPr>
        <w:t xml:space="preserve"> dur</w:t>
      </w:r>
      <w:r w:rsidR="00945C21">
        <w:rPr>
          <w:snapToGrid w:val="0"/>
          <w:kern w:val="22"/>
          <w:szCs w:val="22"/>
          <w:lang w:val="es-ES"/>
        </w:rPr>
        <w:t>ante los años de referencia</w:t>
      </w:r>
      <w:r w:rsidRPr="00D163E0">
        <w:rPr>
          <w:snapToGrid w:val="0"/>
          <w:kern w:val="22"/>
          <w:szCs w:val="22"/>
          <w:lang w:val="es-ES"/>
        </w:rPr>
        <w:t xml:space="preserve"> (except</w:t>
      </w:r>
      <w:r w:rsidR="00945C21">
        <w:rPr>
          <w:snapToGrid w:val="0"/>
          <w:kern w:val="22"/>
          <w:szCs w:val="22"/>
          <w:lang w:val="es-ES"/>
        </w:rPr>
        <w:t>o el segundo mayor donante durante este período, que no es una Parte en el Convenio</w:t>
      </w:r>
      <w:r w:rsidRPr="00D163E0">
        <w:rPr>
          <w:snapToGrid w:val="0"/>
          <w:kern w:val="22"/>
          <w:szCs w:val="22"/>
          <w:lang w:val="es-ES"/>
        </w:rPr>
        <w:t xml:space="preserve">). </w:t>
      </w:r>
      <w:r w:rsidR="00945C21" w:rsidRPr="00945C21">
        <w:rPr>
          <w:snapToGrid w:val="0"/>
          <w:kern w:val="22"/>
          <w:szCs w:val="22"/>
          <w:lang w:val="es-ES"/>
        </w:rPr>
        <w:t xml:space="preserve">Debido a la falta de datos o a su estado modificado, cuatro </w:t>
      </w:r>
      <w:r w:rsidR="00945C21" w:rsidRPr="003201E8">
        <w:rPr>
          <w:snapToGrid w:val="0"/>
          <w:kern w:val="22"/>
          <w:szCs w:val="22"/>
          <w:lang w:val="es-ES"/>
        </w:rPr>
        <w:t xml:space="preserve">países no </w:t>
      </w:r>
      <w:r w:rsidR="003201E8" w:rsidRPr="003201E8">
        <w:rPr>
          <w:snapToGrid w:val="0"/>
          <w:kern w:val="22"/>
          <w:szCs w:val="22"/>
          <w:lang w:val="es-ES"/>
        </w:rPr>
        <w:t>presentaro</w:t>
      </w:r>
      <w:r w:rsidR="00945C21" w:rsidRPr="003201E8">
        <w:rPr>
          <w:snapToGrid w:val="0"/>
          <w:kern w:val="22"/>
          <w:szCs w:val="22"/>
          <w:lang w:val="es-ES"/>
        </w:rPr>
        <w:t>n datos de referencia, pero sí lo hicieron sobre los avances</w:t>
      </w:r>
      <w:r w:rsidRPr="003201E8">
        <w:rPr>
          <w:snapToGrid w:val="0"/>
          <w:kern w:val="22"/>
          <w:szCs w:val="22"/>
          <w:lang w:val="es-ES"/>
        </w:rPr>
        <w:t xml:space="preserve"> (Bulgaria, Chile, </w:t>
      </w:r>
      <w:r w:rsidR="00945C21" w:rsidRPr="003201E8">
        <w:rPr>
          <w:snapToGrid w:val="0"/>
          <w:kern w:val="22"/>
          <w:szCs w:val="22"/>
          <w:lang w:val="es-ES"/>
        </w:rPr>
        <w:t xml:space="preserve">Eslovenia y </w:t>
      </w:r>
      <w:r w:rsidRPr="003201E8">
        <w:rPr>
          <w:snapToGrid w:val="0"/>
          <w:kern w:val="22"/>
          <w:szCs w:val="22"/>
          <w:lang w:val="es-ES"/>
        </w:rPr>
        <w:t>Malta</w:t>
      </w:r>
      <w:r w:rsidRPr="00945C21">
        <w:rPr>
          <w:snapToGrid w:val="0"/>
          <w:kern w:val="22"/>
          <w:szCs w:val="22"/>
          <w:lang w:val="es-ES"/>
        </w:rPr>
        <w:t>)</w:t>
      </w:r>
      <w:r w:rsidR="004A1AC3" w:rsidRPr="00945C21">
        <w:rPr>
          <w:snapToGrid w:val="0"/>
          <w:kern w:val="22"/>
          <w:szCs w:val="22"/>
          <w:lang w:val="es-ES"/>
        </w:rPr>
        <w:t>;</w:t>
      </w:r>
    </w:p>
    <w:p w:rsidR="00855A78" w:rsidRPr="00945C21" w:rsidRDefault="00855A78" w:rsidP="00490BF5">
      <w:pPr>
        <w:numPr>
          <w:ilvl w:val="1"/>
          <w:numId w:val="54"/>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945C21">
        <w:rPr>
          <w:snapToGrid w:val="0"/>
          <w:kern w:val="22"/>
          <w:szCs w:val="22"/>
          <w:lang w:val="es-ES"/>
        </w:rPr>
        <w:t xml:space="preserve">23 Partes (16 </w:t>
      </w:r>
      <w:r w:rsidR="00EE7CF4">
        <w:rPr>
          <w:snapToGrid w:val="0"/>
          <w:kern w:val="22"/>
          <w:szCs w:val="22"/>
          <w:lang w:val="es-ES"/>
        </w:rPr>
        <w:t xml:space="preserve">países </w:t>
      </w:r>
      <w:r w:rsidR="00945C21" w:rsidRPr="00945C21">
        <w:rPr>
          <w:snapToGrid w:val="0"/>
          <w:kern w:val="22"/>
          <w:szCs w:val="22"/>
          <w:lang w:val="es-ES"/>
        </w:rPr>
        <w:t xml:space="preserve">miembros del CAD y los 7 </w:t>
      </w:r>
      <w:r w:rsidR="00EE7CF4">
        <w:rPr>
          <w:snapToGrid w:val="0"/>
          <w:kern w:val="22"/>
          <w:szCs w:val="22"/>
          <w:lang w:val="es-ES"/>
        </w:rPr>
        <w:t xml:space="preserve">países </w:t>
      </w:r>
      <w:r w:rsidR="00945C21" w:rsidRPr="00945C21">
        <w:rPr>
          <w:snapToGrid w:val="0"/>
          <w:kern w:val="22"/>
          <w:szCs w:val="22"/>
          <w:lang w:val="es-ES"/>
        </w:rPr>
        <w:t>no miembros del CAD</w:t>
      </w:r>
      <w:r w:rsidRPr="00945C21">
        <w:rPr>
          <w:snapToGrid w:val="0"/>
          <w:kern w:val="22"/>
          <w:szCs w:val="22"/>
          <w:lang w:val="es-ES"/>
        </w:rPr>
        <w:t xml:space="preserve">) </w:t>
      </w:r>
      <w:r w:rsidR="00945C21" w:rsidRPr="003201E8">
        <w:rPr>
          <w:snapToGrid w:val="0"/>
          <w:kern w:val="22"/>
          <w:szCs w:val="22"/>
          <w:lang w:val="es-ES"/>
        </w:rPr>
        <w:t>presentaron datos</w:t>
      </w:r>
      <w:r w:rsidR="00945C21">
        <w:rPr>
          <w:snapToGrid w:val="0"/>
          <w:kern w:val="22"/>
          <w:szCs w:val="22"/>
          <w:lang w:val="es-ES"/>
        </w:rPr>
        <w:t xml:space="preserve"> de </w:t>
      </w:r>
      <w:r w:rsidRPr="00945C21">
        <w:rPr>
          <w:snapToGrid w:val="0"/>
          <w:kern w:val="22"/>
          <w:szCs w:val="22"/>
          <w:lang w:val="es-ES"/>
        </w:rPr>
        <w:t xml:space="preserve">2015. </w:t>
      </w:r>
      <w:r w:rsidR="00945C21" w:rsidRPr="00945C21">
        <w:rPr>
          <w:snapToGrid w:val="0"/>
          <w:kern w:val="22"/>
          <w:szCs w:val="22"/>
          <w:lang w:val="es-ES"/>
        </w:rPr>
        <w:t xml:space="preserve">Estas </w:t>
      </w:r>
      <w:r w:rsidRPr="00945C21">
        <w:rPr>
          <w:snapToGrid w:val="0"/>
          <w:kern w:val="22"/>
          <w:szCs w:val="22"/>
          <w:lang w:val="es-ES"/>
        </w:rPr>
        <w:t xml:space="preserve">23 Partes </w:t>
      </w:r>
      <w:r w:rsidR="00945C21" w:rsidRPr="00945C21">
        <w:rPr>
          <w:snapToGrid w:val="0"/>
          <w:kern w:val="22"/>
          <w:szCs w:val="22"/>
          <w:lang w:val="es-ES"/>
        </w:rPr>
        <w:t xml:space="preserve">representan colectivamente el </w:t>
      </w:r>
      <w:r w:rsidRPr="00945C21">
        <w:rPr>
          <w:snapToGrid w:val="0"/>
          <w:kern w:val="22"/>
          <w:szCs w:val="22"/>
          <w:lang w:val="es-ES"/>
        </w:rPr>
        <w:t>85 </w:t>
      </w:r>
      <w:r w:rsidR="00945C21" w:rsidRPr="00945C21">
        <w:rPr>
          <w:snapToGrid w:val="0"/>
          <w:kern w:val="22"/>
          <w:szCs w:val="22"/>
          <w:lang w:val="es-ES"/>
        </w:rPr>
        <w:t>% de los</w:t>
      </w:r>
      <w:r w:rsidR="00EE7CF4">
        <w:rPr>
          <w:snapToGrid w:val="0"/>
          <w:kern w:val="22"/>
          <w:szCs w:val="22"/>
          <w:lang w:val="es-ES"/>
        </w:rPr>
        <w:t xml:space="preserve"> datos de referencia comunicado</w:t>
      </w:r>
      <w:r w:rsidR="00945C21" w:rsidRPr="00945C21">
        <w:rPr>
          <w:snapToGrid w:val="0"/>
          <w:kern w:val="22"/>
          <w:szCs w:val="22"/>
          <w:lang w:val="es-ES"/>
        </w:rPr>
        <w:t>s</w:t>
      </w:r>
      <w:r w:rsidRPr="00490BF5">
        <w:rPr>
          <w:rStyle w:val="FootnoteReference"/>
          <w:snapToGrid w:val="0"/>
          <w:kern w:val="22"/>
          <w:szCs w:val="22"/>
        </w:rPr>
        <w:footnoteReference w:id="4"/>
      </w:r>
      <w:r w:rsidR="00EE7CF4" w:rsidRPr="00945C21">
        <w:rPr>
          <w:snapToGrid w:val="0"/>
          <w:kern w:val="22"/>
          <w:szCs w:val="22"/>
          <w:lang w:val="es-ES"/>
        </w:rPr>
        <w:t>.</w:t>
      </w:r>
    </w:p>
    <w:p w:rsidR="00855A78" w:rsidRPr="00EE7CF4" w:rsidRDefault="00EE7CF4"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EE7CF4">
        <w:rPr>
          <w:snapToGrid w:val="0"/>
          <w:kern w:val="22"/>
          <w:szCs w:val="22"/>
          <w:lang w:val="es-ES"/>
        </w:rPr>
        <w:t>Dos países no miembros del CAD</w:t>
      </w:r>
      <w:r w:rsidR="00855A78" w:rsidRPr="00EE7CF4">
        <w:rPr>
          <w:snapToGrid w:val="0"/>
          <w:kern w:val="22"/>
          <w:szCs w:val="22"/>
          <w:lang w:val="es-ES"/>
        </w:rPr>
        <w:t xml:space="preserve"> (India </w:t>
      </w:r>
      <w:r w:rsidRPr="00EE7CF4">
        <w:rPr>
          <w:snapToGrid w:val="0"/>
          <w:kern w:val="22"/>
          <w:szCs w:val="22"/>
          <w:lang w:val="es-ES"/>
        </w:rPr>
        <w:t>y</w:t>
      </w:r>
      <w:r w:rsidR="00855A78" w:rsidRPr="00EE7CF4">
        <w:rPr>
          <w:snapToGrid w:val="0"/>
          <w:kern w:val="22"/>
          <w:szCs w:val="22"/>
          <w:lang w:val="es-ES"/>
        </w:rPr>
        <w:t xml:space="preserve"> M</w:t>
      </w:r>
      <w:r w:rsidRPr="00EE7CF4">
        <w:rPr>
          <w:snapToGrid w:val="0"/>
          <w:kern w:val="22"/>
          <w:szCs w:val="22"/>
          <w:lang w:val="es-ES"/>
        </w:rPr>
        <w:t>é</w:t>
      </w:r>
      <w:r w:rsidR="00855A78" w:rsidRPr="00EE7CF4">
        <w:rPr>
          <w:snapToGrid w:val="0"/>
          <w:kern w:val="22"/>
          <w:szCs w:val="22"/>
          <w:lang w:val="es-ES"/>
        </w:rPr>
        <w:t xml:space="preserve">xico) </w:t>
      </w:r>
      <w:r w:rsidRPr="00EE7CF4">
        <w:rPr>
          <w:snapToGrid w:val="0"/>
          <w:kern w:val="22"/>
          <w:szCs w:val="22"/>
          <w:lang w:val="es-ES"/>
        </w:rPr>
        <w:t>no pr</w:t>
      </w:r>
      <w:r>
        <w:rPr>
          <w:snapToGrid w:val="0"/>
          <w:kern w:val="22"/>
          <w:szCs w:val="22"/>
          <w:lang w:val="es-ES"/>
        </w:rPr>
        <w:t>oporcionaron</w:t>
      </w:r>
      <w:r w:rsidRPr="00EE7CF4">
        <w:rPr>
          <w:snapToGrid w:val="0"/>
          <w:kern w:val="22"/>
          <w:szCs w:val="22"/>
          <w:lang w:val="es-ES"/>
        </w:rPr>
        <w:t xml:space="preserve"> información cuantitativa, pero hicieron referencia a sus programas de coope</w:t>
      </w:r>
      <w:r w:rsidRPr="003201E8">
        <w:rPr>
          <w:snapToGrid w:val="0"/>
          <w:kern w:val="22"/>
          <w:szCs w:val="22"/>
          <w:lang w:val="es-ES"/>
        </w:rPr>
        <w:t>ración para el desarrollo, señalando las limitaciones metodológicas en la identificación de los flujos relacionados</w:t>
      </w:r>
      <w:r>
        <w:rPr>
          <w:snapToGrid w:val="0"/>
          <w:kern w:val="22"/>
          <w:szCs w:val="22"/>
          <w:lang w:val="es-ES"/>
        </w:rPr>
        <w:t xml:space="preserve"> con la diversidad biológica.</w:t>
      </w:r>
    </w:p>
    <w:p w:rsidR="00855A78" w:rsidRPr="00C7490A" w:rsidRDefault="00EE7CF4" w:rsidP="00EE7CF4">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3201E8">
        <w:rPr>
          <w:snapToGrid w:val="0"/>
          <w:kern w:val="22"/>
          <w:szCs w:val="22"/>
          <w:lang w:val="es-ES"/>
        </w:rPr>
        <w:t>Con el fin de determinar los progresos realizados por los distintos países</w:t>
      </w:r>
      <w:r w:rsidR="00855A78" w:rsidRPr="003201E8">
        <w:rPr>
          <w:snapToGrid w:val="0"/>
          <w:kern w:val="22"/>
          <w:szCs w:val="22"/>
          <w:lang w:val="es-ES"/>
        </w:rPr>
        <w:t xml:space="preserve">, </w:t>
      </w:r>
      <w:r w:rsidRPr="003201E8">
        <w:rPr>
          <w:snapToGrid w:val="0"/>
          <w:kern w:val="22"/>
          <w:szCs w:val="22"/>
          <w:lang w:val="es-ES"/>
        </w:rPr>
        <w:t xml:space="preserve">en el anexo </w:t>
      </w:r>
      <w:r w:rsidR="00212214" w:rsidRPr="003201E8">
        <w:rPr>
          <w:snapToGrid w:val="0"/>
          <w:kern w:val="22"/>
          <w:szCs w:val="22"/>
          <w:lang w:val="es-ES"/>
        </w:rPr>
        <w:t>I</w:t>
      </w:r>
      <w:r w:rsidR="00A355DF" w:rsidRPr="003201E8">
        <w:rPr>
          <w:snapToGrid w:val="0"/>
          <w:kern w:val="22"/>
          <w:szCs w:val="22"/>
          <w:lang w:val="es-ES"/>
        </w:rPr>
        <w:t>V</w:t>
      </w:r>
      <w:r w:rsidR="00855A78" w:rsidRPr="003201E8">
        <w:rPr>
          <w:snapToGrid w:val="0"/>
          <w:kern w:val="22"/>
          <w:szCs w:val="22"/>
          <w:lang w:val="es-ES"/>
        </w:rPr>
        <w:t xml:space="preserve"> </w:t>
      </w:r>
      <w:r w:rsidRPr="003201E8">
        <w:rPr>
          <w:snapToGrid w:val="0"/>
          <w:kern w:val="22"/>
          <w:szCs w:val="22"/>
          <w:lang w:val="es-ES"/>
        </w:rPr>
        <w:t>figuran los aumentos por países</w:t>
      </w:r>
      <w:r w:rsidR="003201E8" w:rsidRPr="003201E8">
        <w:rPr>
          <w:snapToGrid w:val="0"/>
          <w:kern w:val="22"/>
          <w:szCs w:val="22"/>
          <w:lang w:val="es-ES"/>
        </w:rPr>
        <w:t xml:space="preserve"> </w:t>
      </w:r>
      <w:r w:rsidRPr="003201E8">
        <w:rPr>
          <w:snapToGrid w:val="0"/>
          <w:kern w:val="22"/>
          <w:szCs w:val="22"/>
          <w:lang w:val="es-ES"/>
        </w:rPr>
        <w:t xml:space="preserve">alcanzados en </w:t>
      </w:r>
      <w:r w:rsidR="00C7490A" w:rsidRPr="003201E8">
        <w:rPr>
          <w:snapToGrid w:val="0"/>
          <w:kern w:val="22"/>
          <w:szCs w:val="22"/>
          <w:lang w:val="es-ES"/>
        </w:rPr>
        <w:t>la</w:t>
      </w:r>
      <w:r w:rsidR="00C7490A">
        <w:rPr>
          <w:snapToGrid w:val="0"/>
          <w:kern w:val="22"/>
          <w:szCs w:val="22"/>
          <w:lang w:val="es-ES"/>
        </w:rPr>
        <w:t xml:space="preserve"> moneda comunicada</w:t>
      </w:r>
      <w:r w:rsidR="00855A78" w:rsidRPr="00EE7CF4">
        <w:rPr>
          <w:snapToGrid w:val="0"/>
          <w:kern w:val="22"/>
          <w:szCs w:val="22"/>
          <w:lang w:val="es-ES"/>
        </w:rPr>
        <w:t xml:space="preserve">, </w:t>
      </w:r>
      <w:r w:rsidR="00C7490A">
        <w:rPr>
          <w:snapToGrid w:val="0"/>
          <w:kern w:val="22"/>
          <w:szCs w:val="22"/>
          <w:lang w:val="es-ES"/>
        </w:rPr>
        <w:t>e</w:t>
      </w:r>
      <w:r w:rsidR="00855A78" w:rsidRPr="00EE7CF4">
        <w:rPr>
          <w:snapToGrid w:val="0"/>
          <w:kern w:val="22"/>
          <w:szCs w:val="22"/>
          <w:lang w:val="es-ES"/>
        </w:rPr>
        <w:t>n 2015 o</w:t>
      </w:r>
      <w:r w:rsidR="00C7490A">
        <w:rPr>
          <w:snapToGrid w:val="0"/>
          <w:kern w:val="22"/>
          <w:szCs w:val="22"/>
          <w:lang w:val="es-ES"/>
        </w:rPr>
        <w:t xml:space="preserve"> en el último año objeto de informe</w:t>
      </w:r>
      <w:r w:rsidR="00855A78" w:rsidRPr="00EE7CF4">
        <w:rPr>
          <w:snapToGrid w:val="0"/>
          <w:kern w:val="22"/>
          <w:szCs w:val="22"/>
          <w:lang w:val="es-ES"/>
        </w:rPr>
        <w:t xml:space="preserve">, </w:t>
      </w:r>
      <w:r w:rsidR="00C7490A">
        <w:rPr>
          <w:snapToGrid w:val="0"/>
          <w:kern w:val="22"/>
          <w:szCs w:val="22"/>
          <w:lang w:val="es-ES"/>
        </w:rPr>
        <w:t>en forma de cocientes</w:t>
      </w:r>
      <w:r w:rsidR="00855A78" w:rsidRPr="00490BF5">
        <w:rPr>
          <w:rStyle w:val="FootnoteReference"/>
          <w:snapToGrid w:val="0"/>
          <w:kern w:val="22"/>
          <w:szCs w:val="22"/>
        </w:rPr>
        <w:footnoteReference w:id="5"/>
      </w:r>
      <w:r w:rsidR="00C7490A" w:rsidRPr="00EE7CF4">
        <w:rPr>
          <w:snapToGrid w:val="0"/>
          <w:kern w:val="22"/>
          <w:szCs w:val="22"/>
          <w:lang w:val="es-ES"/>
        </w:rPr>
        <w:t>.</w:t>
      </w:r>
      <w:r w:rsidR="00855A78" w:rsidRPr="00EE7CF4">
        <w:rPr>
          <w:snapToGrid w:val="0"/>
          <w:kern w:val="22"/>
          <w:szCs w:val="22"/>
          <w:lang w:val="es-ES"/>
        </w:rPr>
        <w:t xml:space="preserve"> </w:t>
      </w:r>
      <w:r w:rsidR="00C7490A" w:rsidRPr="00C7490A">
        <w:rPr>
          <w:snapToGrid w:val="0"/>
          <w:kern w:val="22"/>
          <w:szCs w:val="22"/>
          <w:lang w:val="es-ES"/>
        </w:rPr>
        <w:t xml:space="preserve">Entre las Partes </w:t>
      </w:r>
      <w:r w:rsidR="00C7490A" w:rsidRPr="003201E8">
        <w:rPr>
          <w:snapToGrid w:val="0"/>
          <w:kern w:val="22"/>
          <w:szCs w:val="22"/>
          <w:lang w:val="es-ES"/>
        </w:rPr>
        <w:t>que presentaron datos</w:t>
      </w:r>
      <w:r w:rsidR="00C7490A" w:rsidRPr="00C7490A">
        <w:rPr>
          <w:snapToGrid w:val="0"/>
          <w:kern w:val="22"/>
          <w:szCs w:val="22"/>
          <w:lang w:val="es-ES"/>
        </w:rPr>
        <w:t xml:space="preserve"> de </w:t>
      </w:r>
      <w:r w:rsidR="00855A78" w:rsidRPr="00C7490A">
        <w:rPr>
          <w:snapToGrid w:val="0"/>
          <w:kern w:val="22"/>
          <w:szCs w:val="22"/>
          <w:lang w:val="es-ES"/>
        </w:rPr>
        <w:t xml:space="preserve">2015, </w:t>
      </w:r>
      <w:r w:rsidR="00C7490A" w:rsidRPr="00C7490A">
        <w:rPr>
          <w:snapToGrid w:val="0"/>
          <w:kern w:val="22"/>
          <w:szCs w:val="22"/>
          <w:lang w:val="es-ES"/>
        </w:rPr>
        <w:t xml:space="preserve">las siguientes Partes duplicaron al menos sus flujos de recursos internacionales </w:t>
      </w:r>
      <w:r w:rsidR="00C7490A">
        <w:rPr>
          <w:snapToGrid w:val="0"/>
          <w:kern w:val="22"/>
          <w:szCs w:val="22"/>
          <w:lang w:val="es-ES"/>
        </w:rPr>
        <w:t xml:space="preserve">aportados para </w:t>
      </w:r>
      <w:r w:rsidR="00855A78" w:rsidRPr="00C7490A">
        <w:rPr>
          <w:snapToGrid w:val="0"/>
          <w:kern w:val="22"/>
          <w:szCs w:val="22"/>
          <w:lang w:val="es-ES"/>
        </w:rPr>
        <w:t xml:space="preserve">2015: </w:t>
      </w:r>
      <w:r w:rsidR="00C7490A">
        <w:rPr>
          <w:snapToGrid w:val="0"/>
          <w:kern w:val="22"/>
          <w:szCs w:val="22"/>
          <w:lang w:val="es-ES"/>
        </w:rPr>
        <w:t xml:space="preserve">Alemania, </w:t>
      </w:r>
      <w:r w:rsidR="00855A78" w:rsidRPr="00C7490A">
        <w:rPr>
          <w:snapToGrid w:val="0"/>
          <w:kern w:val="22"/>
          <w:szCs w:val="22"/>
          <w:lang w:val="es-ES"/>
        </w:rPr>
        <w:t>China, Croa</w:t>
      </w:r>
      <w:r w:rsidR="00C7490A">
        <w:rPr>
          <w:snapToGrid w:val="0"/>
          <w:kern w:val="22"/>
          <w:szCs w:val="22"/>
          <w:lang w:val="es-ES"/>
        </w:rPr>
        <w:t>c</w:t>
      </w:r>
      <w:r w:rsidR="00855A78" w:rsidRPr="00C7490A">
        <w:rPr>
          <w:snapToGrid w:val="0"/>
          <w:kern w:val="22"/>
          <w:szCs w:val="22"/>
          <w:lang w:val="es-ES"/>
        </w:rPr>
        <w:t xml:space="preserve">ia, Estonia, </w:t>
      </w:r>
      <w:r w:rsidR="00C7490A">
        <w:rPr>
          <w:snapToGrid w:val="0"/>
          <w:kern w:val="22"/>
          <w:szCs w:val="22"/>
          <w:lang w:val="es-ES"/>
        </w:rPr>
        <w:t>Francia, instituciones de la Unión Europea</w:t>
      </w:r>
      <w:r w:rsidR="00855A78" w:rsidRPr="00C7490A">
        <w:rPr>
          <w:snapToGrid w:val="0"/>
          <w:kern w:val="22"/>
          <w:szCs w:val="22"/>
          <w:lang w:val="es-ES"/>
        </w:rPr>
        <w:t>, L</w:t>
      </w:r>
      <w:r w:rsidR="00C7490A">
        <w:rPr>
          <w:snapToGrid w:val="0"/>
          <w:kern w:val="22"/>
          <w:szCs w:val="22"/>
          <w:lang w:val="es-ES"/>
        </w:rPr>
        <w:t>etonia,</w:t>
      </w:r>
      <w:r w:rsidR="00855A78" w:rsidRPr="00C7490A">
        <w:rPr>
          <w:snapToGrid w:val="0"/>
          <w:kern w:val="22"/>
          <w:szCs w:val="22"/>
          <w:lang w:val="es-ES"/>
        </w:rPr>
        <w:t xml:space="preserve"> Luxemburg</w:t>
      </w:r>
      <w:r w:rsidR="00C7490A">
        <w:rPr>
          <w:snapToGrid w:val="0"/>
          <w:kern w:val="22"/>
          <w:szCs w:val="22"/>
          <w:lang w:val="es-ES"/>
        </w:rPr>
        <w:t>o y Noruega</w:t>
      </w:r>
      <w:r w:rsidR="00855A78" w:rsidRPr="00C7490A">
        <w:rPr>
          <w:snapToGrid w:val="0"/>
          <w:kern w:val="22"/>
          <w:szCs w:val="22"/>
          <w:lang w:val="es-ES"/>
        </w:rPr>
        <w:t xml:space="preserve">. </w:t>
      </w:r>
      <w:r w:rsidR="00C7490A" w:rsidRPr="00C7490A">
        <w:rPr>
          <w:snapToGrid w:val="0"/>
          <w:kern w:val="22"/>
          <w:szCs w:val="22"/>
          <w:lang w:val="es-ES"/>
        </w:rPr>
        <w:t xml:space="preserve">Los </w:t>
      </w:r>
      <w:r w:rsidR="00C7490A" w:rsidRPr="00C7490A">
        <w:rPr>
          <w:snapToGrid w:val="0"/>
          <w:kern w:val="22"/>
          <w:szCs w:val="22"/>
          <w:lang w:val="es-ES"/>
        </w:rPr>
        <w:lastRenderedPageBreak/>
        <w:t xml:space="preserve">Estados miembros de la Unión </w:t>
      </w:r>
      <w:r w:rsidR="00A671C8" w:rsidRPr="00C7490A">
        <w:rPr>
          <w:snapToGrid w:val="0"/>
          <w:kern w:val="22"/>
          <w:szCs w:val="22"/>
          <w:lang w:val="es-ES"/>
        </w:rPr>
        <w:t>Europea</w:t>
      </w:r>
      <w:r w:rsidR="00C7490A" w:rsidRPr="00C7490A">
        <w:rPr>
          <w:snapToGrid w:val="0"/>
          <w:kern w:val="22"/>
          <w:szCs w:val="22"/>
          <w:lang w:val="es-ES"/>
        </w:rPr>
        <w:t xml:space="preserve"> que comunicaron datos de </w:t>
      </w:r>
      <w:r w:rsidR="00A671C8" w:rsidRPr="00C7490A">
        <w:rPr>
          <w:snapToGrid w:val="0"/>
          <w:kern w:val="22"/>
          <w:szCs w:val="22"/>
          <w:lang w:val="es-ES"/>
        </w:rPr>
        <w:t xml:space="preserve">2015 </w:t>
      </w:r>
      <w:r w:rsidR="00C7490A" w:rsidRPr="00C7490A">
        <w:rPr>
          <w:snapToGrid w:val="0"/>
          <w:kern w:val="22"/>
          <w:szCs w:val="22"/>
          <w:lang w:val="es-ES"/>
        </w:rPr>
        <w:t>colectivamente, casi duplicaron sus flujos de recursos internacionales</w:t>
      </w:r>
      <w:r w:rsidR="00A671C8" w:rsidRPr="00C7490A">
        <w:rPr>
          <w:snapToGrid w:val="0"/>
          <w:kern w:val="22"/>
          <w:szCs w:val="22"/>
          <w:lang w:val="es-ES"/>
        </w:rPr>
        <w:t>.</w:t>
      </w:r>
    </w:p>
    <w:p w:rsidR="00855A78" w:rsidRPr="00497777" w:rsidRDefault="00313AAF"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B042C0">
        <w:rPr>
          <w:snapToGrid w:val="0"/>
          <w:kern w:val="22"/>
          <w:szCs w:val="22"/>
          <w:lang w:val="es-ES"/>
        </w:rPr>
        <w:t xml:space="preserve">Para determinar </w:t>
      </w:r>
      <w:r w:rsidRPr="003201E8">
        <w:rPr>
          <w:snapToGrid w:val="0"/>
          <w:kern w:val="22"/>
          <w:szCs w:val="22"/>
          <w:lang w:val="es-ES"/>
        </w:rPr>
        <w:t xml:space="preserve">los </w:t>
      </w:r>
      <w:r w:rsidR="00B042C0" w:rsidRPr="003201E8">
        <w:rPr>
          <w:snapToGrid w:val="0"/>
          <w:kern w:val="22"/>
          <w:szCs w:val="22"/>
          <w:lang w:val="es-ES"/>
        </w:rPr>
        <w:t>progresos</w:t>
      </w:r>
      <w:r w:rsidRPr="003201E8">
        <w:rPr>
          <w:snapToGrid w:val="0"/>
          <w:kern w:val="22"/>
          <w:szCs w:val="22"/>
          <w:lang w:val="es-ES"/>
        </w:rPr>
        <w:t xml:space="preserve"> realizados colectivamente, el método adoptado en informes previos era convertir los datos presentados en las monedas</w:t>
      </w:r>
      <w:r w:rsidRPr="00B042C0">
        <w:rPr>
          <w:snapToGrid w:val="0"/>
          <w:kern w:val="22"/>
          <w:szCs w:val="22"/>
          <w:lang w:val="es-ES"/>
        </w:rPr>
        <w:t xml:space="preserve"> nacionales a dólares estadounidenses, pa</w:t>
      </w:r>
      <w:r w:rsidR="00B042C0">
        <w:rPr>
          <w:snapToGrid w:val="0"/>
          <w:kern w:val="22"/>
          <w:szCs w:val="22"/>
          <w:lang w:val="es-ES"/>
        </w:rPr>
        <w:t>r</w:t>
      </w:r>
      <w:r w:rsidRPr="00B042C0">
        <w:rPr>
          <w:snapToGrid w:val="0"/>
          <w:kern w:val="22"/>
          <w:szCs w:val="22"/>
          <w:lang w:val="es-ES"/>
        </w:rPr>
        <w:t>a sumar las bases de referencia individuales</w:t>
      </w:r>
      <w:r w:rsidR="00855A78" w:rsidRPr="00B042C0">
        <w:rPr>
          <w:snapToGrid w:val="0"/>
          <w:kern w:val="22"/>
          <w:szCs w:val="22"/>
          <w:lang w:val="es-ES"/>
        </w:rPr>
        <w:t xml:space="preserve"> </w:t>
      </w:r>
      <w:r w:rsidR="00497777">
        <w:rPr>
          <w:snapToGrid w:val="0"/>
          <w:kern w:val="22"/>
          <w:szCs w:val="22"/>
          <w:lang w:val="es-ES"/>
        </w:rPr>
        <w:t>proporcionadas</w:t>
      </w:r>
      <w:r w:rsidR="00B042C0">
        <w:rPr>
          <w:snapToGrid w:val="0"/>
          <w:kern w:val="22"/>
          <w:szCs w:val="22"/>
          <w:lang w:val="es-ES"/>
        </w:rPr>
        <w:t xml:space="preserve"> por las Partes</w:t>
      </w:r>
      <w:r w:rsidR="00855A78" w:rsidRPr="00B042C0">
        <w:rPr>
          <w:snapToGrid w:val="0"/>
          <w:kern w:val="22"/>
          <w:szCs w:val="22"/>
          <w:lang w:val="es-ES"/>
        </w:rPr>
        <w:t xml:space="preserve"> (</w:t>
      </w:r>
      <w:r w:rsidR="00B042C0">
        <w:rPr>
          <w:snapToGrid w:val="0"/>
          <w:kern w:val="22"/>
          <w:szCs w:val="22"/>
          <w:lang w:val="es-ES"/>
        </w:rPr>
        <w:t xml:space="preserve">es decir, los datos medios de </w:t>
      </w:r>
      <w:r w:rsidR="00855A78" w:rsidRPr="00B042C0">
        <w:rPr>
          <w:snapToGrid w:val="0"/>
          <w:kern w:val="22"/>
          <w:szCs w:val="22"/>
          <w:lang w:val="es-ES"/>
        </w:rPr>
        <w:t xml:space="preserve">2006-2010 </w:t>
      </w:r>
      <w:r w:rsidR="00B042C0">
        <w:rPr>
          <w:snapToGrid w:val="0"/>
          <w:kern w:val="22"/>
          <w:szCs w:val="22"/>
          <w:lang w:val="es-ES"/>
        </w:rPr>
        <w:t>por Parte</w:t>
      </w:r>
      <w:r w:rsidR="00855A78" w:rsidRPr="00B042C0">
        <w:rPr>
          <w:snapToGrid w:val="0"/>
          <w:kern w:val="22"/>
          <w:szCs w:val="22"/>
          <w:lang w:val="es-ES"/>
        </w:rPr>
        <w:t>)</w:t>
      </w:r>
      <w:r w:rsidR="00B042C0">
        <w:rPr>
          <w:snapToGrid w:val="0"/>
          <w:kern w:val="22"/>
          <w:szCs w:val="22"/>
          <w:lang w:val="es-ES"/>
        </w:rPr>
        <w:t>, así como los datos anuales sobre los progresos</w:t>
      </w:r>
      <w:r w:rsidR="00855A78" w:rsidRPr="00B042C0">
        <w:rPr>
          <w:snapToGrid w:val="0"/>
          <w:kern w:val="22"/>
          <w:szCs w:val="22"/>
          <w:lang w:val="es-ES"/>
        </w:rPr>
        <w:t xml:space="preserve">, </w:t>
      </w:r>
      <w:r w:rsidR="00497777">
        <w:rPr>
          <w:snapToGrid w:val="0"/>
          <w:kern w:val="22"/>
          <w:szCs w:val="22"/>
          <w:lang w:val="es-ES"/>
        </w:rPr>
        <w:t>y dividir los datos anuales agregados por la referencia total</w:t>
      </w:r>
      <w:r w:rsidR="00855A78" w:rsidRPr="00490BF5">
        <w:rPr>
          <w:rStyle w:val="FootnoteReference"/>
          <w:snapToGrid w:val="0"/>
          <w:kern w:val="22"/>
          <w:szCs w:val="22"/>
        </w:rPr>
        <w:footnoteReference w:id="6"/>
      </w:r>
      <w:r w:rsidR="00497777" w:rsidRPr="00B042C0">
        <w:rPr>
          <w:snapToGrid w:val="0"/>
          <w:kern w:val="22"/>
          <w:szCs w:val="22"/>
          <w:lang w:val="es-ES"/>
        </w:rPr>
        <w:t>.</w:t>
      </w:r>
      <w:r w:rsidR="00855A78" w:rsidRPr="00B042C0">
        <w:rPr>
          <w:snapToGrid w:val="0"/>
          <w:kern w:val="22"/>
          <w:szCs w:val="22"/>
          <w:lang w:val="es-ES"/>
        </w:rPr>
        <w:t xml:space="preserve"> </w:t>
      </w:r>
      <w:r w:rsidR="00497777">
        <w:rPr>
          <w:snapToGrid w:val="0"/>
          <w:kern w:val="22"/>
          <w:szCs w:val="22"/>
          <w:lang w:val="es-ES"/>
        </w:rPr>
        <w:t xml:space="preserve">Los cocientes resultantes para </w:t>
      </w:r>
      <w:r w:rsidR="00855A78" w:rsidRPr="00497777">
        <w:rPr>
          <w:snapToGrid w:val="0"/>
          <w:kern w:val="22"/>
          <w:szCs w:val="22"/>
          <w:lang w:val="es-ES"/>
        </w:rPr>
        <w:t>2013, 2014</w:t>
      </w:r>
      <w:r w:rsidR="00497777" w:rsidRPr="00497777">
        <w:rPr>
          <w:snapToGrid w:val="0"/>
          <w:kern w:val="22"/>
          <w:szCs w:val="22"/>
          <w:lang w:val="es-ES"/>
        </w:rPr>
        <w:t xml:space="preserve"> y</w:t>
      </w:r>
      <w:r w:rsidR="00855A78" w:rsidRPr="00497777">
        <w:rPr>
          <w:snapToGrid w:val="0"/>
          <w:kern w:val="22"/>
          <w:szCs w:val="22"/>
          <w:lang w:val="es-ES"/>
        </w:rPr>
        <w:t xml:space="preserve"> 2015 </w:t>
      </w:r>
      <w:r w:rsidR="00497777" w:rsidRPr="00497777">
        <w:rPr>
          <w:snapToGrid w:val="0"/>
          <w:kern w:val="22"/>
          <w:szCs w:val="22"/>
          <w:lang w:val="es-ES"/>
        </w:rPr>
        <w:t xml:space="preserve">se </w:t>
      </w:r>
      <w:r w:rsidR="00497777">
        <w:rPr>
          <w:snapToGrid w:val="0"/>
          <w:kern w:val="22"/>
          <w:szCs w:val="22"/>
          <w:lang w:val="es-ES"/>
        </w:rPr>
        <w:t>presentan</w:t>
      </w:r>
      <w:r w:rsidR="00497777" w:rsidRPr="00497777">
        <w:rPr>
          <w:snapToGrid w:val="0"/>
          <w:kern w:val="22"/>
          <w:szCs w:val="22"/>
          <w:lang w:val="es-ES"/>
        </w:rPr>
        <w:t xml:space="preserve"> en el cuadro 1 que figura a continuaci</w:t>
      </w:r>
      <w:r w:rsidR="00497777">
        <w:rPr>
          <w:snapToGrid w:val="0"/>
          <w:kern w:val="22"/>
          <w:szCs w:val="22"/>
          <w:lang w:val="es-ES"/>
        </w:rPr>
        <w:t>ón</w:t>
      </w:r>
      <w:r w:rsidR="00855A78" w:rsidRPr="00497777">
        <w:rPr>
          <w:snapToGrid w:val="0"/>
          <w:kern w:val="22"/>
          <w:szCs w:val="22"/>
          <w:lang w:val="es-ES"/>
        </w:rPr>
        <w:t xml:space="preserve">. </w:t>
      </w:r>
      <w:r w:rsidR="00497777">
        <w:rPr>
          <w:snapToGrid w:val="0"/>
          <w:kern w:val="22"/>
          <w:szCs w:val="22"/>
          <w:lang w:val="es-ES"/>
        </w:rPr>
        <w:t xml:space="preserve">Se presentan diversas variantes para </w:t>
      </w:r>
      <w:r w:rsidR="00497777" w:rsidRPr="003201E8">
        <w:rPr>
          <w:snapToGrid w:val="0"/>
          <w:kern w:val="22"/>
          <w:szCs w:val="22"/>
          <w:lang w:val="es-ES"/>
        </w:rPr>
        <w:t>permitir determinar</w:t>
      </w:r>
      <w:r w:rsidR="00714343" w:rsidRPr="003201E8">
        <w:rPr>
          <w:snapToGrid w:val="0"/>
          <w:kern w:val="22"/>
          <w:szCs w:val="22"/>
          <w:lang w:val="es-ES"/>
        </w:rPr>
        <w:t xml:space="preserve"> las </w:t>
      </w:r>
      <w:r w:rsidR="00497777" w:rsidRPr="003201E8">
        <w:rPr>
          <w:snapToGrid w:val="0"/>
          <w:kern w:val="22"/>
          <w:szCs w:val="22"/>
          <w:lang w:val="es-ES"/>
        </w:rPr>
        <w:t>diferencias</w:t>
      </w:r>
      <w:r w:rsidR="00497777">
        <w:rPr>
          <w:snapToGrid w:val="0"/>
          <w:kern w:val="22"/>
          <w:szCs w:val="22"/>
          <w:lang w:val="es-ES"/>
        </w:rPr>
        <w:t xml:space="preserve"> entre los </w:t>
      </w:r>
      <w:r w:rsidR="00714343">
        <w:rPr>
          <w:snapToGrid w:val="0"/>
          <w:kern w:val="22"/>
          <w:szCs w:val="22"/>
          <w:lang w:val="es-ES"/>
        </w:rPr>
        <w:t xml:space="preserve">distintos </w:t>
      </w:r>
      <w:r w:rsidR="00497777">
        <w:rPr>
          <w:snapToGrid w:val="0"/>
          <w:kern w:val="22"/>
          <w:szCs w:val="22"/>
          <w:lang w:val="es-ES"/>
        </w:rPr>
        <w:t xml:space="preserve">enfoques metodológicos, </w:t>
      </w:r>
      <w:r w:rsidR="00714343">
        <w:rPr>
          <w:snapToGrid w:val="0"/>
          <w:kern w:val="22"/>
          <w:szCs w:val="22"/>
          <w:lang w:val="es-ES"/>
        </w:rPr>
        <w:t>según lo solicitado en</w:t>
      </w:r>
      <w:r w:rsidR="00497777">
        <w:rPr>
          <w:snapToGrid w:val="0"/>
          <w:kern w:val="22"/>
          <w:szCs w:val="22"/>
          <w:lang w:val="es-ES"/>
        </w:rPr>
        <w:t xml:space="preserve"> la decisión </w:t>
      </w:r>
      <w:r w:rsidR="00855A78" w:rsidRPr="00497777">
        <w:rPr>
          <w:snapToGrid w:val="0"/>
          <w:kern w:val="22"/>
          <w:szCs w:val="22"/>
          <w:lang w:val="es-ES"/>
        </w:rPr>
        <w:t>XIII/20:</w:t>
      </w:r>
    </w:p>
    <w:p w:rsidR="00855A78" w:rsidRPr="00714343" w:rsidRDefault="00714343" w:rsidP="00490BF5">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Pr>
          <w:snapToGrid w:val="0"/>
          <w:kern w:val="22"/>
          <w:szCs w:val="22"/>
          <w:lang w:val="es-ES"/>
        </w:rPr>
        <w:t>c</w:t>
      </w:r>
      <w:r w:rsidRPr="00714343">
        <w:rPr>
          <w:snapToGrid w:val="0"/>
          <w:kern w:val="22"/>
          <w:szCs w:val="22"/>
          <w:lang w:val="es-ES"/>
        </w:rPr>
        <w:t>on arreglo al enfoque</w:t>
      </w:r>
      <w:r w:rsidR="00855A78" w:rsidRPr="00714343">
        <w:rPr>
          <w:snapToGrid w:val="0"/>
          <w:kern w:val="22"/>
          <w:szCs w:val="22"/>
          <w:lang w:val="es-ES"/>
        </w:rPr>
        <w:t xml:space="preserve"> I, </w:t>
      </w:r>
      <w:r w:rsidRPr="00714343">
        <w:rPr>
          <w:snapToGrid w:val="0"/>
          <w:kern w:val="22"/>
          <w:szCs w:val="22"/>
          <w:lang w:val="es-ES"/>
        </w:rPr>
        <w:t xml:space="preserve">solo las bases de referencia </w:t>
      </w:r>
      <w:r>
        <w:rPr>
          <w:snapToGrid w:val="0"/>
          <w:kern w:val="22"/>
          <w:szCs w:val="22"/>
          <w:lang w:val="es-ES"/>
        </w:rPr>
        <w:t>por</w:t>
      </w:r>
      <w:r w:rsidRPr="00714343">
        <w:rPr>
          <w:snapToGrid w:val="0"/>
          <w:kern w:val="22"/>
          <w:szCs w:val="22"/>
          <w:lang w:val="es-ES"/>
        </w:rPr>
        <w:t xml:space="preserve"> país de aquellos países que comuniquen avances en un año en particular se utilizan para calcular la base de referencia </w:t>
      </w:r>
      <w:r>
        <w:rPr>
          <w:snapToGrid w:val="0"/>
          <w:kern w:val="22"/>
          <w:szCs w:val="22"/>
          <w:lang w:val="es-ES"/>
        </w:rPr>
        <w:t>total</w:t>
      </w:r>
      <w:r w:rsidR="00855A78" w:rsidRPr="00714343">
        <w:rPr>
          <w:snapToGrid w:val="0"/>
          <w:kern w:val="22"/>
          <w:szCs w:val="22"/>
          <w:lang w:val="es-ES"/>
        </w:rPr>
        <w:t>;</w:t>
      </w:r>
    </w:p>
    <w:p w:rsidR="00855A78" w:rsidRPr="00714343" w:rsidRDefault="00714343" w:rsidP="00490BF5">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714343">
        <w:rPr>
          <w:snapToGrid w:val="0"/>
          <w:kern w:val="22"/>
          <w:szCs w:val="22"/>
          <w:lang w:val="es-ES"/>
        </w:rPr>
        <w:t>con arreglo al enfoque</w:t>
      </w:r>
      <w:r w:rsidR="00855A78" w:rsidRPr="00714343">
        <w:rPr>
          <w:snapToGrid w:val="0"/>
          <w:kern w:val="22"/>
          <w:szCs w:val="22"/>
          <w:lang w:val="es-ES"/>
        </w:rPr>
        <w:t xml:space="preserve"> II, </w:t>
      </w:r>
      <w:r w:rsidRPr="00714343">
        <w:rPr>
          <w:snapToGrid w:val="0"/>
          <w:kern w:val="22"/>
          <w:szCs w:val="22"/>
          <w:lang w:val="es-ES"/>
        </w:rPr>
        <w:t>todas las bases de referencia por país se utilizan para calcular la base de referencia total</w:t>
      </w:r>
      <w:r w:rsidR="00855A78" w:rsidRPr="00714343">
        <w:rPr>
          <w:snapToGrid w:val="0"/>
          <w:kern w:val="22"/>
          <w:szCs w:val="22"/>
          <w:lang w:val="es-ES"/>
        </w:rPr>
        <w:t xml:space="preserve">, </w:t>
      </w:r>
      <w:r>
        <w:rPr>
          <w:snapToGrid w:val="0"/>
          <w:kern w:val="22"/>
          <w:szCs w:val="22"/>
          <w:lang w:val="es-ES"/>
        </w:rPr>
        <w:t>lo que implica que la contribución de los países que todavía no ha</w:t>
      </w:r>
      <w:r w:rsidR="00902CCF">
        <w:rPr>
          <w:snapToGrid w:val="0"/>
          <w:kern w:val="22"/>
          <w:szCs w:val="22"/>
          <w:lang w:val="es-ES"/>
        </w:rPr>
        <w:t xml:space="preserve">yan presentado sus informes </w:t>
      </w:r>
      <w:r>
        <w:rPr>
          <w:snapToGrid w:val="0"/>
          <w:kern w:val="22"/>
          <w:szCs w:val="22"/>
          <w:lang w:val="es-ES"/>
        </w:rPr>
        <w:t>sobre un año en particular se cuenta como cero</w:t>
      </w:r>
      <w:r w:rsidR="00137EBE" w:rsidRPr="00714343">
        <w:rPr>
          <w:snapToGrid w:val="0"/>
          <w:kern w:val="22"/>
          <w:szCs w:val="22"/>
          <w:lang w:val="es-ES"/>
        </w:rPr>
        <w:t>.</w:t>
      </w:r>
    </w:p>
    <w:p w:rsidR="00855A78" w:rsidRPr="00EB0989" w:rsidRDefault="00902CCF"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71362B">
        <w:rPr>
          <w:snapToGrid w:val="0"/>
          <w:kern w:val="22"/>
          <w:szCs w:val="22"/>
          <w:lang w:val="es-ES"/>
        </w:rPr>
        <w:t xml:space="preserve">Ambos enfoques utilizan </w:t>
      </w:r>
      <w:r w:rsidR="0071362B" w:rsidRPr="0071362B">
        <w:rPr>
          <w:snapToGrid w:val="0"/>
          <w:kern w:val="22"/>
          <w:szCs w:val="22"/>
          <w:lang w:val="es-ES"/>
        </w:rPr>
        <w:t xml:space="preserve">tipos de cambio medios </w:t>
      </w:r>
      <w:r w:rsidR="0071362B" w:rsidRPr="003201E8">
        <w:rPr>
          <w:snapToGrid w:val="0"/>
          <w:kern w:val="22"/>
          <w:szCs w:val="22"/>
          <w:lang w:val="es-ES"/>
        </w:rPr>
        <w:t>anuales para los respectivos años</w:t>
      </w:r>
      <w:r w:rsidR="00855A78" w:rsidRPr="00490BF5">
        <w:rPr>
          <w:rStyle w:val="FootnoteReference"/>
          <w:snapToGrid w:val="0"/>
          <w:kern w:val="22"/>
          <w:szCs w:val="22"/>
        </w:rPr>
        <w:footnoteReference w:id="7"/>
      </w:r>
      <w:r w:rsidR="0071362B" w:rsidRPr="0071362B">
        <w:rPr>
          <w:snapToGrid w:val="0"/>
          <w:kern w:val="22"/>
          <w:szCs w:val="22"/>
          <w:lang w:val="es-ES"/>
        </w:rPr>
        <w:t>.</w:t>
      </w:r>
      <w:r w:rsidR="00855A78" w:rsidRPr="0071362B">
        <w:rPr>
          <w:snapToGrid w:val="0"/>
          <w:kern w:val="22"/>
          <w:szCs w:val="22"/>
          <w:lang w:val="es-ES"/>
        </w:rPr>
        <w:t xml:space="preserve"> </w:t>
      </w:r>
      <w:r w:rsidR="0071362B" w:rsidRPr="003201E8">
        <w:rPr>
          <w:snapToGrid w:val="0"/>
          <w:kern w:val="22"/>
          <w:szCs w:val="22"/>
          <w:lang w:val="es-ES"/>
        </w:rPr>
        <w:t>Sin embargo</w:t>
      </w:r>
      <w:r w:rsidR="00855A78" w:rsidRPr="003201E8">
        <w:rPr>
          <w:snapToGrid w:val="0"/>
          <w:kern w:val="22"/>
          <w:szCs w:val="22"/>
          <w:lang w:val="es-ES"/>
        </w:rPr>
        <w:t xml:space="preserve">, </w:t>
      </w:r>
      <w:r w:rsidR="0071362B" w:rsidRPr="003201E8">
        <w:rPr>
          <w:snapToGrid w:val="0"/>
          <w:kern w:val="22"/>
          <w:szCs w:val="22"/>
          <w:lang w:val="es-ES"/>
        </w:rPr>
        <w:t>la importante apreciación del dólar estadounidense frente a muchas otras</w:t>
      </w:r>
      <w:r w:rsidR="003201E8" w:rsidRPr="003201E8">
        <w:rPr>
          <w:snapToGrid w:val="0"/>
          <w:kern w:val="22"/>
          <w:szCs w:val="22"/>
          <w:lang w:val="es-ES"/>
        </w:rPr>
        <w:t xml:space="preserve"> </w:t>
      </w:r>
      <w:r w:rsidR="0071362B" w:rsidRPr="003201E8">
        <w:rPr>
          <w:snapToGrid w:val="0"/>
          <w:kern w:val="22"/>
          <w:szCs w:val="22"/>
          <w:lang w:val="es-ES"/>
        </w:rPr>
        <w:t xml:space="preserve">monedas en </w:t>
      </w:r>
      <w:r w:rsidR="00855A78" w:rsidRPr="003201E8">
        <w:rPr>
          <w:snapToGrid w:val="0"/>
          <w:kern w:val="22"/>
          <w:szCs w:val="22"/>
          <w:lang w:val="es-ES"/>
        </w:rPr>
        <w:t>2015</w:t>
      </w:r>
      <w:r w:rsidR="00855A78" w:rsidRPr="0071362B">
        <w:rPr>
          <w:snapToGrid w:val="0"/>
          <w:kern w:val="22"/>
          <w:szCs w:val="22"/>
          <w:lang w:val="es-ES"/>
        </w:rPr>
        <w:t xml:space="preserve"> </w:t>
      </w:r>
      <w:r w:rsidR="0071362B">
        <w:rPr>
          <w:snapToGrid w:val="0"/>
          <w:kern w:val="22"/>
          <w:szCs w:val="22"/>
          <w:lang w:val="es-ES"/>
        </w:rPr>
        <w:t xml:space="preserve">dio lugar a una diferencia notable en los cocientes </w:t>
      </w:r>
      <w:r w:rsidR="00855A78" w:rsidRPr="0071362B">
        <w:rPr>
          <w:snapToGrid w:val="0"/>
          <w:kern w:val="22"/>
          <w:szCs w:val="22"/>
          <w:lang w:val="es-ES"/>
        </w:rPr>
        <w:t>expres</w:t>
      </w:r>
      <w:r w:rsidR="0071362B">
        <w:rPr>
          <w:snapToGrid w:val="0"/>
          <w:kern w:val="22"/>
          <w:szCs w:val="22"/>
          <w:lang w:val="es-ES"/>
        </w:rPr>
        <w:t>ados en las monedas nacionales y los expresados en dólares estadounidenses</w:t>
      </w:r>
      <w:r w:rsidR="00855A78" w:rsidRPr="0071362B">
        <w:rPr>
          <w:snapToGrid w:val="0"/>
          <w:kern w:val="22"/>
          <w:szCs w:val="22"/>
          <w:lang w:val="es-ES"/>
        </w:rPr>
        <w:t xml:space="preserve"> (</w:t>
      </w:r>
      <w:r w:rsidR="0071362B">
        <w:rPr>
          <w:snapToGrid w:val="0"/>
          <w:kern w:val="22"/>
          <w:szCs w:val="22"/>
          <w:lang w:val="es-ES"/>
        </w:rPr>
        <w:t>véase el anexo</w:t>
      </w:r>
      <w:r w:rsidR="00212214" w:rsidRPr="0071362B">
        <w:rPr>
          <w:snapToGrid w:val="0"/>
          <w:kern w:val="22"/>
          <w:szCs w:val="22"/>
          <w:lang w:val="es-ES"/>
        </w:rPr>
        <w:t xml:space="preserve"> I</w:t>
      </w:r>
      <w:r w:rsidR="00A355DF" w:rsidRPr="0071362B">
        <w:rPr>
          <w:snapToGrid w:val="0"/>
          <w:kern w:val="22"/>
          <w:szCs w:val="22"/>
          <w:lang w:val="es-ES"/>
        </w:rPr>
        <w:t>V</w:t>
      </w:r>
      <w:r w:rsidR="00855A78" w:rsidRPr="0071362B">
        <w:rPr>
          <w:snapToGrid w:val="0"/>
          <w:kern w:val="22"/>
          <w:szCs w:val="22"/>
          <w:lang w:val="es-ES"/>
        </w:rPr>
        <w:t xml:space="preserve">). </w:t>
      </w:r>
      <w:r w:rsidR="0071362B" w:rsidRPr="00EB0989">
        <w:rPr>
          <w:snapToGrid w:val="0"/>
          <w:kern w:val="22"/>
          <w:szCs w:val="22"/>
          <w:lang w:val="es-ES"/>
        </w:rPr>
        <w:t>Con el f</w:t>
      </w:r>
      <w:r w:rsidR="0071362B" w:rsidRPr="003201E8">
        <w:rPr>
          <w:snapToGrid w:val="0"/>
          <w:kern w:val="22"/>
          <w:szCs w:val="22"/>
          <w:lang w:val="es-ES"/>
        </w:rPr>
        <w:t>in de excluir e</w:t>
      </w:r>
      <w:r w:rsidR="0071362B" w:rsidRPr="00EB0989">
        <w:rPr>
          <w:snapToGrid w:val="0"/>
          <w:kern w:val="22"/>
          <w:szCs w:val="22"/>
          <w:lang w:val="es-ES"/>
        </w:rPr>
        <w:t>ste efecto de</w:t>
      </w:r>
      <w:r w:rsidR="00EB0989" w:rsidRPr="00EB0989">
        <w:rPr>
          <w:snapToGrid w:val="0"/>
          <w:kern w:val="22"/>
          <w:szCs w:val="22"/>
          <w:lang w:val="es-ES"/>
        </w:rPr>
        <w:t xml:space="preserve"> los tipos de cambio</w:t>
      </w:r>
      <w:r w:rsidR="00855A78" w:rsidRPr="00EB0989">
        <w:rPr>
          <w:snapToGrid w:val="0"/>
          <w:kern w:val="22"/>
          <w:szCs w:val="22"/>
          <w:lang w:val="es-ES"/>
        </w:rPr>
        <w:t xml:space="preserve">, </w:t>
      </w:r>
      <w:r w:rsidR="00EB0989" w:rsidRPr="00EB0989">
        <w:rPr>
          <w:snapToGrid w:val="0"/>
          <w:kern w:val="22"/>
          <w:szCs w:val="22"/>
          <w:lang w:val="es-ES"/>
        </w:rPr>
        <w:t xml:space="preserve">el siguiente cuadro </w:t>
      </w:r>
      <w:r w:rsidR="002604ED" w:rsidRPr="00EB0989">
        <w:rPr>
          <w:snapToGrid w:val="0"/>
          <w:kern w:val="22"/>
          <w:szCs w:val="22"/>
          <w:lang w:val="es-ES"/>
        </w:rPr>
        <w:t xml:space="preserve">1 </w:t>
      </w:r>
      <w:r w:rsidR="00EB0989" w:rsidRPr="00EB0989">
        <w:rPr>
          <w:snapToGrid w:val="0"/>
          <w:kern w:val="22"/>
          <w:szCs w:val="22"/>
          <w:lang w:val="es-ES"/>
        </w:rPr>
        <w:t>muestra dos enfoques</w:t>
      </w:r>
      <w:r w:rsidR="00855A78" w:rsidRPr="00EB0989">
        <w:rPr>
          <w:snapToGrid w:val="0"/>
          <w:kern w:val="22"/>
          <w:szCs w:val="22"/>
          <w:lang w:val="es-ES"/>
        </w:rPr>
        <w:t xml:space="preserve"> </w:t>
      </w:r>
      <w:r w:rsidR="002604ED" w:rsidRPr="00EB0989">
        <w:rPr>
          <w:snapToGrid w:val="0"/>
          <w:kern w:val="22"/>
          <w:szCs w:val="22"/>
          <w:lang w:val="es-ES"/>
        </w:rPr>
        <w:t>—</w:t>
      </w:r>
      <w:r w:rsidR="00855A78" w:rsidRPr="00EB0989">
        <w:rPr>
          <w:snapToGrid w:val="0"/>
          <w:kern w:val="22"/>
          <w:szCs w:val="22"/>
          <w:lang w:val="es-ES"/>
        </w:rPr>
        <w:t xml:space="preserve">Ia </w:t>
      </w:r>
      <w:r w:rsidR="00EB0989" w:rsidRPr="00EB0989">
        <w:rPr>
          <w:snapToGrid w:val="0"/>
          <w:kern w:val="22"/>
          <w:szCs w:val="22"/>
          <w:lang w:val="es-ES"/>
        </w:rPr>
        <w:t>y</w:t>
      </w:r>
      <w:r w:rsidR="00855A78" w:rsidRPr="00EB0989">
        <w:rPr>
          <w:snapToGrid w:val="0"/>
          <w:kern w:val="22"/>
          <w:szCs w:val="22"/>
          <w:lang w:val="es-ES"/>
        </w:rPr>
        <w:t xml:space="preserve"> IIa</w:t>
      </w:r>
      <w:r w:rsidR="002604ED" w:rsidRPr="00EB0989">
        <w:rPr>
          <w:snapToGrid w:val="0"/>
          <w:kern w:val="22"/>
          <w:szCs w:val="22"/>
          <w:lang w:val="es-ES"/>
        </w:rPr>
        <w:t>—</w:t>
      </w:r>
      <w:r w:rsidR="00EB0989" w:rsidRPr="00EB0989">
        <w:rPr>
          <w:snapToGrid w:val="0"/>
          <w:kern w:val="22"/>
          <w:szCs w:val="22"/>
          <w:lang w:val="es-ES"/>
        </w:rPr>
        <w:t xml:space="preserve">, en los que los datos de </w:t>
      </w:r>
      <w:r w:rsidR="00855A78" w:rsidRPr="00EB0989">
        <w:rPr>
          <w:snapToGrid w:val="0"/>
          <w:kern w:val="22"/>
          <w:szCs w:val="22"/>
          <w:lang w:val="es-ES"/>
        </w:rPr>
        <w:t xml:space="preserve">2015 </w:t>
      </w:r>
      <w:r w:rsidR="00EB0989" w:rsidRPr="00EB0989">
        <w:rPr>
          <w:snapToGrid w:val="0"/>
          <w:kern w:val="22"/>
          <w:szCs w:val="22"/>
          <w:lang w:val="es-ES"/>
        </w:rPr>
        <w:t xml:space="preserve">proporcionados por las Partes se han recalculado mediante el uso del tipo de cambio medio ponderado para los años de referencia en lugar del tipo de cambio medio anual de </w:t>
      </w:r>
      <w:r w:rsidR="00855A78" w:rsidRPr="00EB0989">
        <w:rPr>
          <w:snapToGrid w:val="0"/>
          <w:kern w:val="22"/>
          <w:szCs w:val="22"/>
          <w:lang w:val="es-ES"/>
        </w:rPr>
        <w:t>2015.</w:t>
      </w:r>
    </w:p>
    <w:p w:rsidR="0098644E" w:rsidRPr="00EB0989" w:rsidRDefault="00EB0989" w:rsidP="00490BF5">
      <w:pPr>
        <w:keepNext/>
        <w:suppressLineNumbers/>
        <w:suppressAutoHyphens/>
        <w:kinsoku w:val="0"/>
        <w:overflowPunct w:val="0"/>
        <w:autoSpaceDE w:val="0"/>
        <w:autoSpaceDN w:val="0"/>
        <w:adjustRightInd w:val="0"/>
        <w:snapToGrid w:val="0"/>
        <w:spacing w:after="120"/>
        <w:rPr>
          <w:snapToGrid w:val="0"/>
          <w:kern w:val="22"/>
          <w:szCs w:val="22"/>
          <w:lang w:val="es-ES"/>
        </w:rPr>
      </w:pPr>
      <w:r>
        <w:rPr>
          <w:b/>
          <w:snapToGrid w:val="0"/>
          <w:kern w:val="22"/>
          <w:szCs w:val="22"/>
          <w:lang w:val="es-ES"/>
        </w:rPr>
        <w:t>Cuadro</w:t>
      </w:r>
      <w:r w:rsidR="0098644E" w:rsidRPr="00EB0989">
        <w:rPr>
          <w:b/>
          <w:snapToGrid w:val="0"/>
          <w:kern w:val="22"/>
          <w:szCs w:val="22"/>
          <w:lang w:val="es-ES"/>
        </w:rPr>
        <w:t xml:space="preserve"> 1. </w:t>
      </w:r>
      <w:r w:rsidRPr="00EB0989">
        <w:rPr>
          <w:b/>
          <w:snapToGrid w:val="0"/>
          <w:kern w:val="22"/>
          <w:szCs w:val="22"/>
          <w:lang w:val="es-ES"/>
        </w:rPr>
        <w:t>Flujos internacionales:</w:t>
      </w:r>
      <w:r w:rsidR="003201E8">
        <w:rPr>
          <w:b/>
          <w:snapToGrid w:val="0"/>
          <w:kern w:val="22"/>
          <w:szCs w:val="22"/>
          <w:lang w:val="es-ES"/>
        </w:rPr>
        <w:t xml:space="preserve"> progresos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260"/>
        <w:gridCol w:w="1170"/>
        <w:gridCol w:w="1170"/>
      </w:tblGrid>
      <w:tr w:rsidR="00855A78" w:rsidRPr="00490BF5" w:rsidTr="00490BF5">
        <w:trPr>
          <w:cantSplit/>
          <w:jc w:val="center"/>
        </w:trPr>
        <w:tc>
          <w:tcPr>
            <w:tcW w:w="5958" w:type="dxa"/>
            <w:shd w:val="clear" w:color="auto" w:fill="auto"/>
            <w:tcMar>
              <w:top w:w="43" w:type="dxa"/>
              <w:left w:w="115" w:type="dxa"/>
              <w:bottom w:w="43" w:type="dxa"/>
              <w:right w:w="115" w:type="dxa"/>
            </w:tcMar>
          </w:tcPr>
          <w:p w:rsidR="00855A78" w:rsidRPr="00EB0989" w:rsidRDefault="00855A78" w:rsidP="00490BF5">
            <w:pPr>
              <w:suppressLineNumbers/>
              <w:suppressAutoHyphens/>
              <w:kinsoku w:val="0"/>
              <w:overflowPunct w:val="0"/>
              <w:autoSpaceDE w:val="0"/>
              <w:autoSpaceDN w:val="0"/>
              <w:adjustRightInd w:val="0"/>
              <w:snapToGrid w:val="0"/>
              <w:rPr>
                <w:bCs/>
                <w:snapToGrid w:val="0"/>
                <w:kern w:val="22"/>
                <w:szCs w:val="22"/>
                <w:lang w:val="es-ES"/>
              </w:rPr>
            </w:pPr>
          </w:p>
        </w:tc>
        <w:tc>
          <w:tcPr>
            <w:tcW w:w="1260" w:type="dxa"/>
            <w:shd w:val="clear" w:color="auto" w:fill="auto"/>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2013</w:t>
            </w:r>
          </w:p>
        </w:tc>
        <w:tc>
          <w:tcPr>
            <w:tcW w:w="1170" w:type="dxa"/>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2014</w:t>
            </w:r>
          </w:p>
        </w:tc>
        <w:tc>
          <w:tcPr>
            <w:tcW w:w="1170" w:type="dxa"/>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2015</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EB0989" w:rsidRDefault="00EB0989" w:rsidP="00EB0989">
            <w:pPr>
              <w:suppressLineNumbers/>
              <w:suppressAutoHyphens/>
              <w:kinsoku w:val="0"/>
              <w:overflowPunct w:val="0"/>
              <w:autoSpaceDE w:val="0"/>
              <w:autoSpaceDN w:val="0"/>
              <w:adjustRightInd w:val="0"/>
              <w:snapToGrid w:val="0"/>
              <w:jc w:val="left"/>
              <w:rPr>
                <w:snapToGrid w:val="0"/>
                <w:kern w:val="22"/>
                <w:szCs w:val="22"/>
                <w:lang w:val="es-ES"/>
              </w:rPr>
            </w:pPr>
            <w:r w:rsidRPr="00EB0989">
              <w:rPr>
                <w:snapToGrid w:val="0"/>
                <w:kern w:val="22"/>
                <w:szCs w:val="22"/>
                <w:lang w:val="es-ES"/>
              </w:rPr>
              <w:t>Partes que presentan informes, número</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29</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27</w:t>
            </w:r>
          </w:p>
        </w:tc>
        <w:tc>
          <w:tcPr>
            <w:tcW w:w="1170" w:type="dxa"/>
            <w:tcMar>
              <w:top w:w="43" w:type="dxa"/>
              <w:left w:w="115" w:type="dxa"/>
              <w:bottom w:w="43" w:type="dxa"/>
              <w:right w:w="115" w:type="dxa"/>
            </w:tcMar>
          </w:tcPr>
          <w:p w:rsidR="00855A78" w:rsidRPr="00490BF5" w:rsidDel="001E10BF"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23</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EB0989" w:rsidRDefault="00EB0989" w:rsidP="00EB0989">
            <w:pPr>
              <w:suppressLineNumbers/>
              <w:suppressAutoHyphens/>
              <w:kinsoku w:val="0"/>
              <w:overflowPunct w:val="0"/>
              <w:autoSpaceDE w:val="0"/>
              <w:autoSpaceDN w:val="0"/>
              <w:adjustRightInd w:val="0"/>
              <w:snapToGrid w:val="0"/>
              <w:jc w:val="left"/>
              <w:rPr>
                <w:snapToGrid w:val="0"/>
                <w:kern w:val="22"/>
                <w:szCs w:val="22"/>
                <w:lang w:val="es-ES"/>
              </w:rPr>
            </w:pPr>
            <w:r w:rsidRPr="00EB0989">
              <w:rPr>
                <w:snapToGrid w:val="0"/>
                <w:kern w:val="22"/>
                <w:szCs w:val="22"/>
                <w:lang w:val="es-ES"/>
              </w:rPr>
              <w:t>Partes que presentan informes</w:t>
            </w:r>
            <w:r w:rsidR="00855A78" w:rsidRPr="00EB0989">
              <w:rPr>
                <w:snapToGrid w:val="0"/>
                <w:kern w:val="22"/>
                <w:szCs w:val="22"/>
                <w:lang w:val="es-ES"/>
              </w:rPr>
              <w:t xml:space="preserve">, </w:t>
            </w:r>
            <w:r w:rsidRPr="00EB0989">
              <w:rPr>
                <w:snapToGrid w:val="0"/>
                <w:kern w:val="22"/>
                <w:szCs w:val="22"/>
                <w:lang w:val="es-ES"/>
              </w:rPr>
              <w:t>porcentaje de datos de referencia</w:t>
            </w:r>
          </w:p>
        </w:tc>
        <w:tc>
          <w:tcPr>
            <w:tcW w:w="1260" w:type="dxa"/>
            <w:shd w:val="clear" w:color="auto" w:fill="auto"/>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100</w:t>
            </w:r>
          </w:p>
        </w:tc>
        <w:tc>
          <w:tcPr>
            <w:tcW w:w="1170" w:type="dxa"/>
            <w:tcMar>
              <w:top w:w="43" w:type="dxa"/>
              <w:left w:w="115" w:type="dxa"/>
              <w:bottom w:w="43" w:type="dxa"/>
              <w:right w:w="115"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97</w:t>
            </w:r>
          </w:p>
        </w:tc>
        <w:tc>
          <w:tcPr>
            <w:tcW w:w="1170" w:type="dxa"/>
            <w:tcMar>
              <w:top w:w="43" w:type="dxa"/>
              <w:left w:w="115" w:type="dxa"/>
              <w:bottom w:w="43" w:type="dxa"/>
              <w:right w:w="115"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85</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EB0989" w:rsidRDefault="00EB0989" w:rsidP="00EB0989">
            <w:pPr>
              <w:suppressLineNumbers/>
              <w:suppressAutoHyphens/>
              <w:kinsoku w:val="0"/>
              <w:overflowPunct w:val="0"/>
              <w:autoSpaceDE w:val="0"/>
              <w:autoSpaceDN w:val="0"/>
              <w:adjustRightInd w:val="0"/>
              <w:snapToGrid w:val="0"/>
              <w:jc w:val="left"/>
              <w:rPr>
                <w:snapToGrid w:val="0"/>
                <w:kern w:val="22"/>
                <w:szCs w:val="22"/>
                <w:lang w:val="es-ES"/>
              </w:rPr>
            </w:pPr>
            <w:r w:rsidRPr="00EB0989">
              <w:rPr>
                <w:snapToGrid w:val="0"/>
                <w:kern w:val="22"/>
                <w:szCs w:val="22"/>
                <w:lang w:val="es-ES"/>
              </w:rPr>
              <w:t>Enfoque</w:t>
            </w:r>
            <w:r w:rsidR="00855A78" w:rsidRPr="00EB0989">
              <w:rPr>
                <w:snapToGrid w:val="0"/>
                <w:kern w:val="22"/>
                <w:szCs w:val="22"/>
                <w:lang w:val="es-ES"/>
              </w:rPr>
              <w:t xml:space="preserve"> I (</w:t>
            </w:r>
            <w:r w:rsidRPr="00EB0989">
              <w:rPr>
                <w:snapToGrid w:val="0"/>
                <w:kern w:val="22"/>
                <w:szCs w:val="22"/>
                <w:lang w:val="es-ES"/>
              </w:rPr>
              <w:t>datos de referencia solo de países que presentan informes, tipo de cambio actual</w:t>
            </w:r>
            <w:r w:rsidR="00855A78" w:rsidRPr="00EB0989">
              <w:rPr>
                <w:snapToGrid w:val="0"/>
                <w:kern w:val="22"/>
                <w:szCs w:val="22"/>
                <w:lang w:val="es-ES"/>
              </w:rPr>
              <w:t xml:space="preserve">), </w:t>
            </w:r>
            <w:r>
              <w:rPr>
                <w:snapToGrid w:val="0"/>
                <w:kern w:val="22"/>
                <w:szCs w:val="22"/>
                <w:lang w:val="es-ES"/>
              </w:rPr>
              <w:t>cociente</w:t>
            </w:r>
          </w:p>
        </w:tc>
        <w:tc>
          <w:tcPr>
            <w:tcW w:w="1260" w:type="dxa"/>
            <w:shd w:val="clear" w:color="auto" w:fill="auto"/>
            <w:tcMar>
              <w:top w:w="43" w:type="dxa"/>
              <w:left w:w="115" w:type="dxa"/>
              <w:bottom w:w="43" w:type="dxa"/>
              <w:right w:w="115" w:type="dxa"/>
            </w:tcMar>
            <w:vAlign w:val="center"/>
          </w:tcPr>
          <w:p w:rsidR="00855A78" w:rsidRPr="00490BF5" w:rsidRDefault="00855A78" w:rsidP="00EB0989">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EB0989">
              <w:rPr>
                <w:snapToGrid w:val="0"/>
                <w:kern w:val="22"/>
                <w:szCs w:val="22"/>
              </w:rPr>
              <w:t>,</w:t>
            </w:r>
            <w:r w:rsidRPr="00490BF5">
              <w:rPr>
                <w:snapToGrid w:val="0"/>
                <w:kern w:val="22"/>
                <w:szCs w:val="22"/>
              </w:rPr>
              <w:t>23</w:t>
            </w:r>
          </w:p>
        </w:tc>
        <w:tc>
          <w:tcPr>
            <w:tcW w:w="1170" w:type="dxa"/>
            <w:tcMar>
              <w:top w:w="43" w:type="dxa"/>
              <w:left w:w="115" w:type="dxa"/>
              <w:bottom w:w="43" w:type="dxa"/>
              <w:right w:w="115" w:type="dxa"/>
            </w:tcMar>
            <w:vAlign w:val="center"/>
          </w:tcPr>
          <w:p w:rsidR="00855A78" w:rsidRPr="00490BF5" w:rsidRDefault="00855A78" w:rsidP="00EB0989">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EB0989">
              <w:rPr>
                <w:snapToGrid w:val="0"/>
                <w:kern w:val="22"/>
                <w:szCs w:val="22"/>
              </w:rPr>
              <w:t>,</w:t>
            </w:r>
            <w:r w:rsidRPr="00490BF5">
              <w:rPr>
                <w:snapToGrid w:val="0"/>
                <w:kern w:val="22"/>
                <w:szCs w:val="22"/>
              </w:rPr>
              <w:t>50</w:t>
            </w:r>
          </w:p>
        </w:tc>
        <w:tc>
          <w:tcPr>
            <w:tcW w:w="1170" w:type="dxa"/>
            <w:tcMar>
              <w:top w:w="43" w:type="dxa"/>
              <w:left w:w="115" w:type="dxa"/>
              <w:bottom w:w="43" w:type="dxa"/>
              <w:right w:w="115" w:type="dxa"/>
            </w:tcMar>
            <w:vAlign w:val="center"/>
          </w:tcPr>
          <w:p w:rsidR="00855A78" w:rsidRPr="00490BF5" w:rsidRDefault="00855A78" w:rsidP="00EB0989">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EB0989">
              <w:rPr>
                <w:snapToGrid w:val="0"/>
                <w:kern w:val="22"/>
                <w:szCs w:val="22"/>
              </w:rPr>
              <w:t>,</w:t>
            </w:r>
            <w:r w:rsidRPr="00490BF5">
              <w:rPr>
                <w:snapToGrid w:val="0"/>
                <w:kern w:val="22"/>
                <w:szCs w:val="22"/>
              </w:rPr>
              <w:t>70</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EB0989" w:rsidRDefault="00EB0989" w:rsidP="00EB0989">
            <w:pPr>
              <w:suppressLineNumbers/>
              <w:suppressAutoHyphens/>
              <w:kinsoku w:val="0"/>
              <w:overflowPunct w:val="0"/>
              <w:autoSpaceDE w:val="0"/>
              <w:autoSpaceDN w:val="0"/>
              <w:adjustRightInd w:val="0"/>
              <w:snapToGrid w:val="0"/>
              <w:jc w:val="left"/>
              <w:rPr>
                <w:snapToGrid w:val="0"/>
                <w:kern w:val="22"/>
                <w:szCs w:val="22"/>
                <w:lang w:val="es-ES"/>
              </w:rPr>
            </w:pPr>
            <w:r w:rsidRPr="00EB0989">
              <w:rPr>
                <w:snapToGrid w:val="0"/>
                <w:kern w:val="22"/>
                <w:szCs w:val="22"/>
                <w:lang w:val="es-ES"/>
              </w:rPr>
              <w:t>Enfoque</w:t>
            </w:r>
            <w:r w:rsidR="00855A78" w:rsidRPr="00EB0989">
              <w:rPr>
                <w:snapToGrid w:val="0"/>
                <w:kern w:val="22"/>
                <w:szCs w:val="22"/>
                <w:lang w:val="es-ES"/>
              </w:rPr>
              <w:t xml:space="preserve"> II (</w:t>
            </w:r>
            <w:r w:rsidRPr="00EB0989">
              <w:rPr>
                <w:snapToGrid w:val="0"/>
                <w:kern w:val="22"/>
                <w:szCs w:val="22"/>
                <w:lang w:val="es-ES"/>
              </w:rPr>
              <w:t xml:space="preserve">datos de referencia </w:t>
            </w:r>
            <w:r w:rsidR="00855A78" w:rsidRPr="00EB0989">
              <w:rPr>
                <w:snapToGrid w:val="0"/>
                <w:kern w:val="22"/>
                <w:szCs w:val="22"/>
                <w:lang w:val="es-ES"/>
              </w:rPr>
              <w:t>total</w:t>
            </w:r>
            <w:r w:rsidR="00A026D3">
              <w:rPr>
                <w:snapToGrid w:val="0"/>
                <w:kern w:val="22"/>
                <w:szCs w:val="22"/>
                <w:lang w:val="es-ES"/>
              </w:rPr>
              <w:t>es</w:t>
            </w:r>
            <w:r w:rsidR="00855A78" w:rsidRPr="00EB0989">
              <w:rPr>
                <w:snapToGrid w:val="0"/>
                <w:kern w:val="22"/>
                <w:szCs w:val="22"/>
                <w:lang w:val="es-ES"/>
              </w:rPr>
              <w:t xml:space="preserve">, </w:t>
            </w:r>
            <w:r w:rsidRPr="00EB0989">
              <w:rPr>
                <w:snapToGrid w:val="0"/>
                <w:kern w:val="22"/>
                <w:szCs w:val="22"/>
                <w:lang w:val="es-ES"/>
              </w:rPr>
              <w:t>tipo de cambio actual)</w:t>
            </w:r>
            <w:r w:rsidR="00855A78" w:rsidRPr="00EB0989">
              <w:rPr>
                <w:snapToGrid w:val="0"/>
                <w:kern w:val="22"/>
                <w:szCs w:val="22"/>
                <w:lang w:val="es-ES"/>
              </w:rPr>
              <w:t xml:space="preserve">, </w:t>
            </w:r>
            <w:r>
              <w:rPr>
                <w:snapToGrid w:val="0"/>
                <w:kern w:val="22"/>
                <w:szCs w:val="22"/>
                <w:lang w:val="es-ES"/>
              </w:rPr>
              <w:t>cociente</w:t>
            </w:r>
          </w:p>
        </w:tc>
        <w:tc>
          <w:tcPr>
            <w:tcW w:w="1260" w:type="dxa"/>
            <w:shd w:val="clear" w:color="auto" w:fill="auto"/>
            <w:tcMar>
              <w:top w:w="43" w:type="dxa"/>
              <w:left w:w="115" w:type="dxa"/>
              <w:bottom w:w="43" w:type="dxa"/>
              <w:right w:w="115" w:type="dxa"/>
            </w:tcMar>
            <w:vAlign w:val="center"/>
          </w:tcPr>
          <w:p w:rsidR="00855A78" w:rsidRPr="00490BF5" w:rsidRDefault="00855A78" w:rsidP="00EB0989">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EB0989">
              <w:rPr>
                <w:snapToGrid w:val="0"/>
                <w:kern w:val="22"/>
                <w:szCs w:val="22"/>
              </w:rPr>
              <w:t>,</w:t>
            </w:r>
            <w:r w:rsidRPr="00490BF5">
              <w:rPr>
                <w:snapToGrid w:val="0"/>
                <w:kern w:val="22"/>
                <w:szCs w:val="22"/>
              </w:rPr>
              <w:t>23</w:t>
            </w:r>
          </w:p>
        </w:tc>
        <w:tc>
          <w:tcPr>
            <w:tcW w:w="1170" w:type="dxa"/>
            <w:tcMar>
              <w:top w:w="43" w:type="dxa"/>
              <w:left w:w="115" w:type="dxa"/>
              <w:bottom w:w="43" w:type="dxa"/>
              <w:right w:w="115" w:type="dxa"/>
            </w:tcMar>
            <w:vAlign w:val="center"/>
          </w:tcPr>
          <w:p w:rsidR="00855A78" w:rsidRPr="00490BF5" w:rsidRDefault="00855A78" w:rsidP="00EB0989">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EB0989">
              <w:rPr>
                <w:snapToGrid w:val="0"/>
                <w:kern w:val="22"/>
                <w:szCs w:val="22"/>
              </w:rPr>
              <w:t>,</w:t>
            </w:r>
            <w:r w:rsidRPr="00490BF5">
              <w:rPr>
                <w:snapToGrid w:val="0"/>
                <w:kern w:val="22"/>
                <w:szCs w:val="22"/>
              </w:rPr>
              <w:t>46</w:t>
            </w:r>
          </w:p>
        </w:tc>
        <w:tc>
          <w:tcPr>
            <w:tcW w:w="1170" w:type="dxa"/>
            <w:tcMar>
              <w:top w:w="43" w:type="dxa"/>
              <w:left w:w="115" w:type="dxa"/>
              <w:bottom w:w="43" w:type="dxa"/>
              <w:right w:w="115" w:type="dxa"/>
            </w:tcMar>
          </w:tcPr>
          <w:p w:rsidR="00855A78" w:rsidRPr="00490BF5" w:rsidRDefault="00855A78" w:rsidP="00EB0989">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EB0989">
              <w:rPr>
                <w:snapToGrid w:val="0"/>
                <w:kern w:val="22"/>
                <w:szCs w:val="22"/>
              </w:rPr>
              <w:t>,</w:t>
            </w:r>
            <w:r w:rsidRPr="00490BF5">
              <w:rPr>
                <w:snapToGrid w:val="0"/>
                <w:kern w:val="22"/>
                <w:szCs w:val="22"/>
              </w:rPr>
              <w:t>44</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04320" w:rsidRDefault="00404320" w:rsidP="00404320">
            <w:pPr>
              <w:suppressLineNumbers/>
              <w:suppressAutoHyphens/>
              <w:kinsoku w:val="0"/>
              <w:overflowPunct w:val="0"/>
              <w:autoSpaceDE w:val="0"/>
              <w:autoSpaceDN w:val="0"/>
              <w:adjustRightInd w:val="0"/>
              <w:snapToGrid w:val="0"/>
              <w:jc w:val="left"/>
              <w:rPr>
                <w:snapToGrid w:val="0"/>
                <w:kern w:val="22"/>
                <w:szCs w:val="22"/>
                <w:lang w:val="es-ES"/>
              </w:rPr>
            </w:pPr>
            <w:r w:rsidRPr="00404320">
              <w:rPr>
                <w:snapToGrid w:val="0"/>
                <w:kern w:val="22"/>
                <w:szCs w:val="22"/>
                <w:lang w:val="es-ES"/>
              </w:rPr>
              <w:t>Enfoque</w:t>
            </w:r>
            <w:r w:rsidR="00855A78" w:rsidRPr="00404320">
              <w:rPr>
                <w:snapToGrid w:val="0"/>
                <w:kern w:val="22"/>
                <w:szCs w:val="22"/>
                <w:lang w:val="es-ES"/>
              </w:rPr>
              <w:t xml:space="preserve"> Ia (</w:t>
            </w:r>
            <w:r w:rsidRPr="00404320">
              <w:rPr>
                <w:snapToGrid w:val="0"/>
                <w:kern w:val="22"/>
                <w:szCs w:val="22"/>
                <w:lang w:val="es-ES"/>
              </w:rPr>
              <w:t>datos de referencia solo de los países que presentan informes</w:t>
            </w:r>
            <w:r w:rsidR="00855A78" w:rsidRPr="00404320">
              <w:rPr>
                <w:snapToGrid w:val="0"/>
                <w:kern w:val="22"/>
                <w:szCs w:val="22"/>
                <w:lang w:val="es-ES"/>
              </w:rPr>
              <w:t xml:space="preserve">, </w:t>
            </w:r>
            <w:r w:rsidRPr="00404320">
              <w:rPr>
                <w:snapToGrid w:val="0"/>
                <w:kern w:val="22"/>
                <w:szCs w:val="22"/>
                <w:lang w:val="es-ES"/>
              </w:rPr>
              <w:t xml:space="preserve">tipo de cambio medio ponderado </w:t>
            </w:r>
            <w:r w:rsidR="00855A78" w:rsidRPr="00404320">
              <w:rPr>
                <w:snapToGrid w:val="0"/>
                <w:kern w:val="22"/>
                <w:szCs w:val="22"/>
                <w:lang w:val="es-ES"/>
              </w:rPr>
              <w:t>2006-2010),</w:t>
            </w:r>
            <w:r>
              <w:rPr>
                <w:snapToGrid w:val="0"/>
                <w:kern w:val="22"/>
                <w:szCs w:val="22"/>
                <w:lang w:val="es-ES"/>
              </w:rPr>
              <w:t>cociente</w:t>
            </w:r>
          </w:p>
        </w:tc>
        <w:tc>
          <w:tcPr>
            <w:tcW w:w="1260" w:type="dxa"/>
            <w:shd w:val="clear" w:color="auto" w:fill="auto"/>
            <w:tcMar>
              <w:top w:w="43" w:type="dxa"/>
              <w:left w:w="115" w:type="dxa"/>
              <w:bottom w:w="43" w:type="dxa"/>
              <w:right w:w="115" w:type="dxa"/>
            </w:tcMar>
            <w:vAlign w:val="center"/>
          </w:tcPr>
          <w:p w:rsidR="00855A78" w:rsidRPr="00490BF5" w:rsidRDefault="00855A78" w:rsidP="00404320">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404320">
              <w:rPr>
                <w:snapToGrid w:val="0"/>
                <w:kern w:val="22"/>
                <w:szCs w:val="22"/>
              </w:rPr>
              <w:t>,</w:t>
            </w:r>
            <w:r w:rsidRPr="00490BF5">
              <w:rPr>
                <w:snapToGrid w:val="0"/>
                <w:kern w:val="22"/>
                <w:szCs w:val="22"/>
              </w:rPr>
              <w:t>23</w:t>
            </w:r>
          </w:p>
        </w:tc>
        <w:tc>
          <w:tcPr>
            <w:tcW w:w="1170" w:type="dxa"/>
            <w:tcMar>
              <w:top w:w="43" w:type="dxa"/>
              <w:left w:w="115" w:type="dxa"/>
              <w:bottom w:w="43" w:type="dxa"/>
              <w:right w:w="115" w:type="dxa"/>
            </w:tcMar>
            <w:vAlign w:val="center"/>
          </w:tcPr>
          <w:p w:rsidR="00855A78" w:rsidRPr="00490BF5" w:rsidRDefault="00855A78" w:rsidP="00404320">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404320">
              <w:rPr>
                <w:snapToGrid w:val="0"/>
                <w:kern w:val="22"/>
                <w:szCs w:val="22"/>
              </w:rPr>
              <w:t>,</w:t>
            </w:r>
            <w:r w:rsidRPr="00490BF5">
              <w:rPr>
                <w:snapToGrid w:val="0"/>
                <w:kern w:val="22"/>
                <w:szCs w:val="22"/>
              </w:rPr>
              <w:t>52</w:t>
            </w:r>
          </w:p>
        </w:tc>
        <w:tc>
          <w:tcPr>
            <w:tcW w:w="1170" w:type="dxa"/>
            <w:tcMar>
              <w:top w:w="43" w:type="dxa"/>
              <w:left w:w="115" w:type="dxa"/>
              <w:bottom w:w="43" w:type="dxa"/>
              <w:right w:w="115" w:type="dxa"/>
            </w:tcMar>
            <w:vAlign w:val="center"/>
          </w:tcPr>
          <w:p w:rsidR="00855A78" w:rsidRPr="00490BF5" w:rsidRDefault="00855A78" w:rsidP="00404320">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404320">
              <w:rPr>
                <w:snapToGrid w:val="0"/>
                <w:kern w:val="22"/>
                <w:szCs w:val="22"/>
              </w:rPr>
              <w:t>,</w:t>
            </w:r>
            <w:r w:rsidRPr="00490BF5">
              <w:rPr>
                <w:snapToGrid w:val="0"/>
                <w:kern w:val="22"/>
                <w:szCs w:val="22"/>
              </w:rPr>
              <w:t>92</w:t>
            </w:r>
          </w:p>
        </w:tc>
      </w:tr>
      <w:tr w:rsidR="00855A78" w:rsidRPr="00490BF5" w:rsidTr="00490BF5">
        <w:trPr>
          <w:cantSplit/>
          <w:jc w:val="center"/>
        </w:trPr>
        <w:tc>
          <w:tcPr>
            <w:tcW w:w="5958" w:type="dxa"/>
            <w:shd w:val="clear" w:color="auto" w:fill="auto"/>
            <w:tcMar>
              <w:top w:w="43" w:type="dxa"/>
              <w:left w:w="115" w:type="dxa"/>
              <w:bottom w:w="43" w:type="dxa"/>
              <w:right w:w="115" w:type="dxa"/>
            </w:tcMar>
            <w:vAlign w:val="center"/>
          </w:tcPr>
          <w:p w:rsidR="00855A78" w:rsidRPr="00404320" w:rsidRDefault="00404320" w:rsidP="00404320">
            <w:pPr>
              <w:suppressLineNumbers/>
              <w:suppressAutoHyphens/>
              <w:kinsoku w:val="0"/>
              <w:overflowPunct w:val="0"/>
              <w:autoSpaceDE w:val="0"/>
              <w:autoSpaceDN w:val="0"/>
              <w:adjustRightInd w:val="0"/>
              <w:snapToGrid w:val="0"/>
              <w:jc w:val="left"/>
              <w:rPr>
                <w:snapToGrid w:val="0"/>
                <w:kern w:val="22"/>
                <w:szCs w:val="22"/>
                <w:lang w:val="es-ES"/>
              </w:rPr>
            </w:pPr>
            <w:r w:rsidRPr="00404320">
              <w:rPr>
                <w:snapToGrid w:val="0"/>
                <w:kern w:val="22"/>
                <w:szCs w:val="22"/>
                <w:lang w:val="es-ES"/>
              </w:rPr>
              <w:t>Enfoque</w:t>
            </w:r>
            <w:r w:rsidR="00855A78" w:rsidRPr="00404320">
              <w:rPr>
                <w:snapToGrid w:val="0"/>
                <w:kern w:val="22"/>
                <w:szCs w:val="22"/>
                <w:lang w:val="es-ES"/>
              </w:rPr>
              <w:t xml:space="preserve"> IIa (</w:t>
            </w:r>
            <w:r w:rsidRPr="00404320">
              <w:rPr>
                <w:snapToGrid w:val="0"/>
                <w:kern w:val="22"/>
                <w:szCs w:val="22"/>
                <w:lang w:val="es-ES"/>
              </w:rPr>
              <w:t>datos de referencia totales</w:t>
            </w:r>
            <w:r w:rsidR="00855A78" w:rsidRPr="00404320">
              <w:rPr>
                <w:snapToGrid w:val="0"/>
                <w:kern w:val="22"/>
                <w:szCs w:val="22"/>
                <w:lang w:val="es-ES"/>
              </w:rPr>
              <w:t xml:space="preserve">, </w:t>
            </w:r>
            <w:r w:rsidRPr="00404320">
              <w:rPr>
                <w:snapToGrid w:val="0"/>
                <w:kern w:val="22"/>
                <w:szCs w:val="22"/>
                <w:lang w:val="es-ES"/>
              </w:rPr>
              <w:t xml:space="preserve">tipo de cambio medio ponderado </w:t>
            </w:r>
            <w:r w:rsidR="00855A78" w:rsidRPr="00404320">
              <w:rPr>
                <w:snapToGrid w:val="0"/>
                <w:kern w:val="22"/>
                <w:szCs w:val="22"/>
                <w:lang w:val="es-ES"/>
              </w:rPr>
              <w:t>2006-2010),</w:t>
            </w:r>
            <w:r>
              <w:rPr>
                <w:snapToGrid w:val="0"/>
                <w:kern w:val="22"/>
                <w:szCs w:val="22"/>
                <w:lang w:val="es-ES"/>
              </w:rPr>
              <w:t xml:space="preserve"> cociente</w:t>
            </w:r>
          </w:p>
        </w:tc>
        <w:tc>
          <w:tcPr>
            <w:tcW w:w="1260" w:type="dxa"/>
            <w:shd w:val="clear" w:color="auto" w:fill="auto"/>
            <w:tcMar>
              <w:top w:w="43" w:type="dxa"/>
              <w:left w:w="115" w:type="dxa"/>
              <w:bottom w:w="43" w:type="dxa"/>
              <w:right w:w="115" w:type="dxa"/>
            </w:tcMar>
            <w:vAlign w:val="center"/>
          </w:tcPr>
          <w:p w:rsidR="00855A78" w:rsidRPr="00490BF5" w:rsidRDefault="00855A78" w:rsidP="00404320">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404320">
              <w:rPr>
                <w:snapToGrid w:val="0"/>
                <w:kern w:val="22"/>
                <w:szCs w:val="22"/>
              </w:rPr>
              <w:t>,</w:t>
            </w:r>
            <w:r w:rsidRPr="00490BF5">
              <w:rPr>
                <w:snapToGrid w:val="0"/>
                <w:kern w:val="22"/>
                <w:szCs w:val="22"/>
              </w:rPr>
              <w:t>23</w:t>
            </w:r>
          </w:p>
        </w:tc>
        <w:tc>
          <w:tcPr>
            <w:tcW w:w="1170" w:type="dxa"/>
            <w:tcMar>
              <w:top w:w="43" w:type="dxa"/>
              <w:left w:w="115" w:type="dxa"/>
              <w:bottom w:w="43" w:type="dxa"/>
              <w:right w:w="115" w:type="dxa"/>
            </w:tcMar>
            <w:vAlign w:val="center"/>
          </w:tcPr>
          <w:p w:rsidR="00855A78" w:rsidRPr="00490BF5" w:rsidRDefault="00855A78" w:rsidP="00404320">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404320">
              <w:rPr>
                <w:snapToGrid w:val="0"/>
                <w:kern w:val="22"/>
                <w:szCs w:val="22"/>
              </w:rPr>
              <w:t>,</w:t>
            </w:r>
            <w:r w:rsidRPr="00490BF5">
              <w:rPr>
                <w:snapToGrid w:val="0"/>
                <w:kern w:val="22"/>
                <w:szCs w:val="22"/>
              </w:rPr>
              <w:t>48</w:t>
            </w:r>
          </w:p>
        </w:tc>
        <w:tc>
          <w:tcPr>
            <w:tcW w:w="1170" w:type="dxa"/>
            <w:tcMar>
              <w:top w:w="43" w:type="dxa"/>
              <w:left w:w="115" w:type="dxa"/>
              <w:bottom w:w="43" w:type="dxa"/>
              <w:right w:w="115" w:type="dxa"/>
            </w:tcMar>
            <w:vAlign w:val="center"/>
          </w:tcPr>
          <w:p w:rsidR="00855A78" w:rsidRPr="00490BF5" w:rsidRDefault="00855A78" w:rsidP="00404320">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r w:rsidR="00404320">
              <w:rPr>
                <w:snapToGrid w:val="0"/>
                <w:kern w:val="22"/>
                <w:szCs w:val="22"/>
              </w:rPr>
              <w:t>,</w:t>
            </w:r>
            <w:r w:rsidRPr="00490BF5">
              <w:rPr>
                <w:snapToGrid w:val="0"/>
                <w:kern w:val="22"/>
                <w:szCs w:val="22"/>
              </w:rPr>
              <w:t>62</w:t>
            </w:r>
          </w:p>
        </w:tc>
      </w:tr>
    </w:tbl>
    <w:p w:rsidR="00855A78" w:rsidRPr="00A026D3" w:rsidRDefault="00A026D3"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lang w:val="es-ES"/>
        </w:rPr>
      </w:pPr>
      <w:r>
        <w:rPr>
          <w:snapToGrid w:val="0"/>
          <w:kern w:val="22"/>
          <w:szCs w:val="22"/>
          <w:lang w:val="es-ES"/>
        </w:rPr>
        <w:t>Varios países que no son miembros del CAD informaron sobre los flujos internacionales proporcionados mediante la identificación de proyectos específicos relevantes para la diversidad biológica, y complementando las cifras resultantes con las contribuciones de los miembros a los acuerdos internacionales pertinentes, así como las contribuciones voluntarias al Fondo para el Medio Ambiente Mundial</w:t>
      </w:r>
      <w:r w:rsidR="00855A78" w:rsidRPr="00A026D3">
        <w:rPr>
          <w:snapToGrid w:val="0"/>
          <w:kern w:val="22"/>
          <w:szCs w:val="22"/>
          <w:lang w:val="es-ES"/>
        </w:rPr>
        <w:t>.</w:t>
      </w:r>
    </w:p>
    <w:p w:rsidR="00855A78" w:rsidRPr="00CB2FE7" w:rsidRDefault="00A026D3"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CB2FE7">
        <w:rPr>
          <w:snapToGrid w:val="0"/>
          <w:kern w:val="22"/>
          <w:szCs w:val="22"/>
          <w:lang w:val="es-ES"/>
        </w:rPr>
        <w:t xml:space="preserve">Solo unos cuantos países </w:t>
      </w:r>
      <w:r w:rsidR="00855A78" w:rsidRPr="00CB2FE7">
        <w:rPr>
          <w:snapToGrid w:val="0"/>
          <w:kern w:val="22"/>
          <w:szCs w:val="22"/>
          <w:lang w:val="es-ES"/>
        </w:rPr>
        <w:t>(Austria, D</w:t>
      </w:r>
      <w:r w:rsidRPr="00CB2FE7">
        <w:rPr>
          <w:snapToGrid w:val="0"/>
          <w:kern w:val="22"/>
          <w:szCs w:val="22"/>
          <w:lang w:val="es-ES"/>
        </w:rPr>
        <w:t>inamarca</w:t>
      </w:r>
      <w:r w:rsidR="00855A78" w:rsidRPr="00CB2FE7">
        <w:rPr>
          <w:snapToGrid w:val="0"/>
          <w:kern w:val="22"/>
          <w:szCs w:val="22"/>
          <w:lang w:val="es-ES"/>
        </w:rPr>
        <w:t>, Franc</w:t>
      </w:r>
      <w:r w:rsidRPr="00CB2FE7">
        <w:rPr>
          <w:snapToGrid w:val="0"/>
          <w:kern w:val="22"/>
          <w:szCs w:val="22"/>
          <w:lang w:val="es-ES"/>
        </w:rPr>
        <w:t>ia</w:t>
      </w:r>
      <w:r w:rsidR="00855A78" w:rsidRPr="00CB2FE7">
        <w:rPr>
          <w:snapToGrid w:val="0"/>
          <w:kern w:val="22"/>
          <w:szCs w:val="22"/>
          <w:lang w:val="es-ES"/>
        </w:rPr>
        <w:t>, Hu</w:t>
      </w:r>
      <w:r w:rsidR="00842E81" w:rsidRPr="00CB2FE7">
        <w:rPr>
          <w:snapToGrid w:val="0"/>
          <w:kern w:val="22"/>
          <w:szCs w:val="22"/>
          <w:lang w:val="es-ES"/>
        </w:rPr>
        <w:t>ngr</w:t>
      </w:r>
      <w:r w:rsidRPr="00CB2FE7">
        <w:rPr>
          <w:snapToGrid w:val="0"/>
          <w:kern w:val="22"/>
          <w:szCs w:val="22"/>
          <w:lang w:val="es-ES"/>
        </w:rPr>
        <w:t>ía y</w:t>
      </w:r>
      <w:r w:rsidR="00842E81" w:rsidRPr="00CB2FE7">
        <w:rPr>
          <w:snapToGrid w:val="0"/>
          <w:kern w:val="22"/>
          <w:szCs w:val="22"/>
          <w:lang w:val="es-ES"/>
        </w:rPr>
        <w:t xml:space="preserve"> S</w:t>
      </w:r>
      <w:r w:rsidRPr="00CB2FE7">
        <w:rPr>
          <w:snapToGrid w:val="0"/>
          <w:kern w:val="22"/>
          <w:szCs w:val="22"/>
          <w:lang w:val="es-ES"/>
        </w:rPr>
        <w:t>uiza</w:t>
      </w:r>
      <w:r w:rsidR="00842E81" w:rsidRPr="00CB2FE7">
        <w:rPr>
          <w:snapToGrid w:val="0"/>
          <w:kern w:val="22"/>
          <w:szCs w:val="22"/>
          <w:lang w:val="es-ES"/>
        </w:rPr>
        <w:t xml:space="preserve">) </w:t>
      </w:r>
      <w:r w:rsidRPr="00CB2FE7">
        <w:rPr>
          <w:snapToGrid w:val="0"/>
          <w:kern w:val="22"/>
          <w:szCs w:val="22"/>
          <w:lang w:val="es-ES"/>
        </w:rPr>
        <w:t xml:space="preserve">comunicaron cifras </w:t>
      </w:r>
      <w:r w:rsidR="00CB2FE7" w:rsidRPr="00CB2FE7">
        <w:rPr>
          <w:snapToGrid w:val="0"/>
          <w:kern w:val="22"/>
          <w:szCs w:val="22"/>
          <w:lang w:val="es-ES"/>
        </w:rPr>
        <w:t>sobre</w:t>
      </w:r>
      <w:r w:rsidRPr="00CB2FE7">
        <w:rPr>
          <w:snapToGrid w:val="0"/>
          <w:kern w:val="22"/>
          <w:szCs w:val="22"/>
          <w:lang w:val="es-ES"/>
        </w:rPr>
        <w:t xml:space="preserve"> otros flujos internacionales, señalando además </w:t>
      </w:r>
      <w:r w:rsidR="00CB2FE7">
        <w:rPr>
          <w:snapToGrid w:val="0"/>
          <w:kern w:val="22"/>
          <w:szCs w:val="22"/>
          <w:lang w:val="es-ES"/>
        </w:rPr>
        <w:t>que los datos son parciales</w:t>
      </w:r>
      <w:r w:rsidR="00855A78" w:rsidRPr="00CB2FE7">
        <w:rPr>
          <w:snapToGrid w:val="0"/>
          <w:kern w:val="22"/>
          <w:szCs w:val="22"/>
          <w:lang w:val="es-ES"/>
        </w:rPr>
        <w:t xml:space="preserve"> </w:t>
      </w:r>
      <w:r w:rsidR="00CB2FE7">
        <w:rPr>
          <w:snapToGrid w:val="0"/>
          <w:kern w:val="22"/>
          <w:szCs w:val="22"/>
          <w:lang w:val="es-ES"/>
        </w:rPr>
        <w:t>y que se recibieron al servir de enlace con instituciones académicas selectas (Dinamarca) u organizaciones no gubernamentales (ONG) (Suiza)</w:t>
      </w:r>
      <w:r w:rsidR="00855A78" w:rsidRPr="00CB2FE7">
        <w:rPr>
          <w:snapToGrid w:val="0"/>
          <w:kern w:val="22"/>
          <w:szCs w:val="22"/>
          <w:lang w:val="es-ES"/>
        </w:rPr>
        <w:t xml:space="preserve">. </w:t>
      </w:r>
      <w:r w:rsidR="00CB2FE7">
        <w:rPr>
          <w:snapToGrid w:val="0"/>
          <w:kern w:val="22"/>
          <w:szCs w:val="22"/>
          <w:lang w:val="es-ES"/>
        </w:rPr>
        <w:t xml:space="preserve">Con respecto a los flujos del sector privado, Francia señaló que no existía un método </w:t>
      </w:r>
      <w:r w:rsidR="00CB2FE7">
        <w:rPr>
          <w:snapToGrid w:val="0"/>
          <w:kern w:val="22"/>
          <w:szCs w:val="22"/>
          <w:lang w:val="es-ES"/>
        </w:rPr>
        <w:lastRenderedPageBreak/>
        <w:t>estadístico fiable para evaluar dichos flujos, mientras que Suiza indicó que se habían realizado esfuerzos de cooperación para evaluar dichos flujos, pero con muy pocos resultados</w:t>
      </w:r>
      <w:r w:rsidR="00855A78" w:rsidRPr="00CB2FE7">
        <w:rPr>
          <w:snapToGrid w:val="0"/>
          <w:kern w:val="22"/>
          <w:szCs w:val="22"/>
          <w:lang w:val="es-ES"/>
        </w:rPr>
        <w:t>.</w:t>
      </w:r>
    </w:p>
    <w:p w:rsidR="00855A78" w:rsidRPr="003D18B6" w:rsidRDefault="00CB2FE7"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B226C8">
        <w:rPr>
          <w:snapToGrid w:val="0"/>
          <w:kern w:val="22"/>
          <w:szCs w:val="22"/>
          <w:lang w:val="es-ES"/>
        </w:rPr>
        <w:t>E</w:t>
      </w:r>
      <w:r w:rsidR="00B226C8" w:rsidRPr="00B226C8">
        <w:rPr>
          <w:snapToGrid w:val="0"/>
          <w:kern w:val="22"/>
          <w:szCs w:val="22"/>
          <w:lang w:val="es-ES"/>
        </w:rPr>
        <w:t>n e</w:t>
      </w:r>
      <w:r w:rsidRPr="00B226C8">
        <w:rPr>
          <w:snapToGrid w:val="0"/>
          <w:kern w:val="22"/>
          <w:szCs w:val="22"/>
          <w:lang w:val="es-ES"/>
        </w:rPr>
        <w:t xml:space="preserve">l cuadro </w:t>
      </w:r>
      <w:r w:rsidR="00E461D9" w:rsidRPr="00B226C8">
        <w:rPr>
          <w:snapToGrid w:val="0"/>
          <w:kern w:val="22"/>
          <w:szCs w:val="22"/>
          <w:lang w:val="es-ES"/>
        </w:rPr>
        <w:t>2</w:t>
      </w:r>
      <w:r w:rsidR="00855A78" w:rsidRPr="00B226C8">
        <w:rPr>
          <w:snapToGrid w:val="0"/>
          <w:kern w:val="22"/>
          <w:szCs w:val="22"/>
          <w:lang w:val="es-ES"/>
        </w:rPr>
        <w:t xml:space="preserve"> </w:t>
      </w:r>
      <w:r w:rsidR="00B226C8" w:rsidRPr="00B226C8">
        <w:rPr>
          <w:snapToGrid w:val="0"/>
          <w:kern w:val="22"/>
          <w:szCs w:val="22"/>
          <w:lang w:val="es-ES"/>
        </w:rPr>
        <w:t>que figura a continuación</w:t>
      </w:r>
      <w:r w:rsidR="00855A78" w:rsidRPr="00B226C8">
        <w:rPr>
          <w:snapToGrid w:val="0"/>
          <w:kern w:val="22"/>
          <w:szCs w:val="22"/>
          <w:lang w:val="es-ES"/>
        </w:rPr>
        <w:t xml:space="preserve"> </w:t>
      </w:r>
      <w:r w:rsidR="00B226C8" w:rsidRPr="00B226C8">
        <w:rPr>
          <w:snapToGrid w:val="0"/>
          <w:kern w:val="22"/>
          <w:szCs w:val="22"/>
          <w:lang w:val="es-ES"/>
        </w:rPr>
        <w:t xml:space="preserve">presenta </w:t>
      </w:r>
      <w:r w:rsidR="00B226C8">
        <w:rPr>
          <w:snapToGrid w:val="0"/>
          <w:kern w:val="22"/>
          <w:szCs w:val="22"/>
          <w:lang w:val="es-ES"/>
        </w:rPr>
        <w:t>un resumen agregado de la información metodológica proporcionada</w:t>
      </w:r>
      <w:r w:rsidR="00855A78" w:rsidRPr="00B226C8">
        <w:rPr>
          <w:snapToGrid w:val="0"/>
          <w:kern w:val="22"/>
          <w:szCs w:val="22"/>
          <w:lang w:val="es-ES"/>
        </w:rPr>
        <w:t xml:space="preserve">. </w:t>
      </w:r>
      <w:r w:rsidR="00B226C8" w:rsidRPr="00B226C8">
        <w:rPr>
          <w:snapToGrid w:val="0"/>
          <w:kern w:val="22"/>
          <w:szCs w:val="22"/>
          <w:lang w:val="es-ES"/>
        </w:rPr>
        <w:t xml:space="preserve">Los </w:t>
      </w:r>
      <w:r w:rsidR="003D18B6">
        <w:rPr>
          <w:snapToGrid w:val="0"/>
          <w:kern w:val="22"/>
          <w:szCs w:val="22"/>
          <w:lang w:val="es-ES"/>
        </w:rPr>
        <w:t xml:space="preserve">miembros del Comité de Asistencia para el Desarrollo (CAD) </w:t>
      </w:r>
      <w:r w:rsidR="003D18B6" w:rsidRPr="00B226C8">
        <w:rPr>
          <w:snapToGrid w:val="0"/>
          <w:kern w:val="22"/>
          <w:szCs w:val="22"/>
          <w:lang w:val="es-ES"/>
        </w:rPr>
        <w:t>de la Organización para la Cooperación y el Desarrollo Económicos (OCDE)</w:t>
      </w:r>
      <w:r w:rsidR="003D18B6">
        <w:rPr>
          <w:snapToGrid w:val="0"/>
          <w:kern w:val="22"/>
          <w:szCs w:val="22"/>
          <w:lang w:val="es-ES"/>
        </w:rPr>
        <w:t xml:space="preserve"> normalmente hicieron referencia al Sistema de notificación del acreedor (CRS, por sus siglas en inglés) de la OCDE como la base de sus evaluaciones de los recursos proporcionados</w:t>
      </w:r>
      <w:r w:rsidR="00855A78" w:rsidRPr="00B226C8">
        <w:rPr>
          <w:snapToGrid w:val="0"/>
          <w:kern w:val="22"/>
          <w:szCs w:val="22"/>
          <w:lang w:val="es-ES"/>
        </w:rPr>
        <w:t xml:space="preserve">. </w:t>
      </w:r>
      <w:r w:rsidR="003D18B6" w:rsidRPr="003D18B6">
        <w:rPr>
          <w:snapToGrid w:val="0"/>
          <w:kern w:val="22"/>
          <w:szCs w:val="22"/>
          <w:lang w:val="es-ES"/>
        </w:rPr>
        <w:t>Varias Partes</w:t>
      </w:r>
      <w:r w:rsidR="00855A78" w:rsidRPr="003D18B6">
        <w:rPr>
          <w:snapToGrid w:val="0"/>
          <w:kern w:val="22"/>
          <w:szCs w:val="22"/>
          <w:lang w:val="es-ES"/>
        </w:rPr>
        <w:t xml:space="preserve"> (</w:t>
      </w:r>
      <w:r w:rsidR="003D18B6">
        <w:rPr>
          <w:snapToGrid w:val="0"/>
          <w:kern w:val="22"/>
          <w:szCs w:val="22"/>
          <w:lang w:val="es-ES"/>
        </w:rPr>
        <w:t>véase España, Reino Unido) centraron sus análisis en códigos de sector CRS específicos, mientras que muchas otras Partes usaron la metodología de los marcadores de Río como base de sus evaluaciones</w:t>
      </w:r>
      <w:r w:rsidR="00855A78" w:rsidRPr="003D18B6">
        <w:rPr>
          <w:snapToGrid w:val="0"/>
          <w:kern w:val="22"/>
          <w:szCs w:val="22"/>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43"/>
        <w:gridCol w:w="2835"/>
        <w:gridCol w:w="3798"/>
      </w:tblGrid>
      <w:tr w:rsidR="00855A78" w:rsidRPr="000D1E7C" w:rsidTr="00490BF5">
        <w:trPr>
          <w:cantSplit/>
          <w:jc w:val="center"/>
        </w:trPr>
        <w:tc>
          <w:tcPr>
            <w:tcW w:w="9576" w:type="dxa"/>
            <w:gridSpan w:val="3"/>
            <w:shd w:val="clear" w:color="auto" w:fill="auto"/>
          </w:tcPr>
          <w:p w:rsidR="00855A78" w:rsidRPr="003D18B6" w:rsidRDefault="003D18B6" w:rsidP="003D18B6">
            <w:pPr>
              <w:keepNext/>
              <w:keepLines/>
              <w:suppressLineNumbers/>
              <w:suppressAutoHyphens/>
              <w:kinsoku w:val="0"/>
              <w:overflowPunct w:val="0"/>
              <w:autoSpaceDE w:val="0"/>
              <w:autoSpaceDN w:val="0"/>
              <w:adjustRightInd w:val="0"/>
              <w:snapToGrid w:val="0"/>
              <w:ind w:left="360"/>
              <w:jc w:val="left"/>
              <w:rPr>
                <w:b/>
                <w:bCs/>
                <w:snapToGrid w:val="0"/>
                <w:kern w:val="22"/>
                <w:szCs w:val="22"/>
                <w:lang w:val="es-ES"/>
              </w:rPr>
            </w:pPr>
            <w:r>
              <w:rPr>
                <w:b/>
                <w:bCs/>
                <w:snapToGrid w:val="0"/>
                <w:kern w:val="22"/>
                <w:szCs w:val="22"/>
                <w:lang w:val="es-ES"/>
              </w:rPr>
              <w:t>Cuadro</w:t>
            </w:r>
            <w:r w:rsidR="00855A78" w:rsidRPr="003D18B6">
              <w:rPr>
                <w:b/>
                <w:bCs/>
                <w:snapToGrid w:val="0"/>
                <w:kern w:val="22"/>
                <w:szCs w:val="22"/>
                <w:lang w:val="es-ES"/>
              </w:rPr>
              <w:t xml:space="preserve"> </w:t>
            </w:r>
            <w:r w:rsidR="00B34BC8" w:rsidRPr="003D18B6">
              <w:rPr>
                <w:b/>
                <w:bCs/>
                <w:snapToGrid w:val="0"/>
                <w:kern w:val="22"/>
                <w:szCs w:val="22"/>
                <w:lang w:val="es-ES"/>
              </w:rPr>
              <w:t>2</w:t>
            </w:r>
            <w:r w:rsidR="00855A78" w:rsidRPr="003D18B6">
              <w:rPr>
                <w:b/>
                <w:bCs/>
                <w:snapToGrid w:val="0"/>
                <w:kern w:val="22"/>
                <w:szCs w:val="22"/>
                <w:lang w:val="es-ES"/>
              </w:rPr>
              <w:t xml:space="preserve">. </w:t>
            </w:r>
            <w:r>
              <w:rPr>
                <w:b/>
                <w:bCs/>
                <w:snapToGrid w:val="0"/>
                <w:kern w:val="22"/>
                <w:szCs w:val="22"/>
                <w:lang w:val="es-ES"/>
              </w:rPr>
              <w:t>Información metodológica sobre flujos financieros internacionales</w:t>
            </w:r>
          </w:p>
        </w:tc>
      </w:tr>
      <w:tr w:rsidR="00855A78" w:rsidRPr="00490BF5" w:rsidTr="00490BF5">
        <w:trPr>
          <w:cantSplit/>
          <w:jc w:val="center"/>
        </w:trPr>
        <w:tc>
          <w:tcPr>
            <w:tcW w:w="2943" w:type="dxa"/>
            <w:shd w:val="clear" w:color="auto" w:fill="auto"/>
          </w:tcPr>
          <w:p w:rsidR="00855A78" w:rsidRPr="003D18B6"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lang w:val="es-ES"/>
              </w:rPr>
            </w:pPr>
          </w:p>
        </w:tc>
        <w:tc>
          <w:tcPr>
            <w:tcW w:w="6633" w:type="dxa"/>
            <w:gridSpan w:val="2"/>
            <w:shd w:val="clear" w:color="auto" w:fill="auto"/>
          </w:tcPr>
          <w:p w:rsidR="00855A78" w:rsidRPr="00490BF5" w:rsidRDefault="00855A78" w:rsidP="003D18B6">
            <w:pPr>
              <w:keepNext/>
              <w:keepLines/>
              <w:suppressLineNumbers/>
              <w:suppressAutoHyphens/>
              <w:kinsoku w:val="0"/>
              <w:overflowPunct w:val="0"/>
              <w:autoSpaceDE w:val="0"/>
              <w:autoSpaceDN w:val="0"/>
              <w:adjustRightInd w:val="0"/>
              <w:snapToGrid w:val="0"/>
              <w:ind w:left="360"/>
              <w:jc w:val="center"/>
              <w:rPr>
                <w:iCs/>
                <w:snapToGrid w:val="0"/>
                <w:kern w:val="22"/>
                <w:szCs w:val="22"/>
              </w:rPr>
            </w:pPr>
            <w:r w:rsidRPr="00490BF5">
              <w:rPr>
                <w:iCs/>
                <w:snapToGrid w:val="0"/>
                <w:kern w:val="22"/>
                <w:szCs w:val="22"/>
              </w:rPr>
              <w:t>N</w:t>
            </w:r>
            <w:r w:rsidR="003D18B6">
              <w:rPr>
                <w:iCs/>
                <w:snapToGrid w:val="0"/>
                <w:kern w:val="22"/>
                <w:szCs w:val="22"/>
              </w:rPr>
              <w:t>úmero de países</w:t>
            </w:r>
            <w:r w:rsidRPr="00490BF5">
              <w:rPr>
                <w:iCs/>
                <w:snapToGrid w:val="0"/>
                <w:kern w:val="22"/>
                <w:szCs w:val="22"/>
              </w:rPr>
              <w:t>: 26</w:t>
            </w:r>
          </w:p>
        </w:tc>
      </w:tr>
      <w:tr w:rsidR="00855A78" w:rsidRPr="00490BF5" w:rsidTr="00490BF5">
        <w:trPr>
          <w:cantSplit/>
          <w:jc w:val="center"/>
        </w:trPr>
        <w:tc>
          <w:tcPr>
            <w:tcW w:w="2943" w:type="dxa"/>
            <w:shd w:val="clear" w:color="auto" w:fill="auto"/>
            <w:vAlign w:val="center"/>
          </w:tcPr>
          <w:p w:rsidR="00855A78" w:rsidRPr="00490BF5" w:rsidRDefault="003D18B6" w:rsidP="003D18B6">
            <w:pPr>
              <w:keepNext/>
              <w:keepLines/>
              <w:suppressLineNumbers/>
              <w:suppressAutoHyphens/>
              <w:kinsoku w:val="0"/>
              <w:overflowPunct w:val="0"/>
              <w:autoSpaceDE w:val="0"/>
              <w:autoSpaceDN w:val="0"/>
              <w:adjustRightInd w:val="0"/>
              <w:snapToGrid w:val="0"/>
              <w:rPr>
                <w:snapToGrid w:val="0"/>
                <w:kern w:val="22"/>
                <w:szCs w:val="22"/>
              </w:rPr>
            </w:pPr>
            <w:r>
              <w:rPr>
                <w:snapToGrid w:val="0"/>
                <w:kern w:val="22"/>
                <w:szCs w:val="22"/>
              </w:rPr>
              <w:t>AOD incluye</w:t>
            </w:r>
            <w:r w:rsidR="00855A78" w:rsidRPr="00490BF5">
              <w:rPr>
                <w:snapToGrid w:val="0"/>
                <w:kern w:val="22"/>
                <w:szCs w:val="22"/>
              </w:rPr>
              <w:t>:</w:t>
            </w:r>
          </w:p>
        </w:tc>
        <w:tc>
          <w:tcPr>
            <w:tcW w:w="2835"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Bilateral: 25</w:t>
            </w:r>
          </w:p>
        </w:tc>
        <w:tc>
          <w:tcPr>
            <w:tcW w:w="3798" w:type="dxa"/>
            <w:shd w:val="clear" w:color="auto" w:fill="auto"/>
            <w:vAlign w:val="center"/>
          </w:tcPr>
          <w:p w:rsidR="00855A78" w:rsidRPr="00490BF5"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rPr>
            </w:pPr>
            <w:r w:rsidRPr="00490BF5">
              <w:rPr>
                <w:snapToGrid w:val="0"/>
                <w:kern w:val="22"/>
                <w:szCs w:val="22"/>
              </w:rPr>
              <w:t>Multilateral: 23</w:t>
            </w:r>
          </w:p>
        </w:tc>
      </w:tr>
      <w:tr w:rsidR="00855A78" w:rsidRPr="00490BF5" w:rsidTr="00490BF5">
        <w:trPr>
          <w:cantSplit/>
          <w:jc w:val="center"/>
        </w:trPr>
        <w:tc>
          <w:tcPr>
            <w:tcW w:w="2943" w:type="dxa"/>
            <w:shd w:val="clear" w:color="auto" w:fill="auto"/>
            <w:vAlign w:val="center"/>
          </w:tcPr>
          <w:p w:rsidR="00855A78" w:rsidRPr="00490BF5" w:rsidRDefault="003D18B6" w:rsidP="003D18B6">
            <w:pPr>
              <w:keepNext/>
              <w:keepLines/>
              <w:suppressLineNumbers/>
              <w:suppressAutoHyphens/>
              <w:kinsoku w:val="0"/>
              <w:overflowPunct w:val="0"/>
              <w:autoSpaceDE w:val="0"/>
              <w:autoSpaceDN w:val="0"/>
              <w:adjustRightInd w:val="0"/>
              <w:snapToGrid w:val="0"/>
              <w:rPr>
                <w:snapToGrid w:val="0"/>
                <w:kern w:val="22"/>
                <w:szCs w:val="22"/>
              </w:rPr>
            </w:pPr>
            <w:r>
              <w:rPr>
                <w:snapToGrid w:val="0"/>
                <w:kern w:val="22"/>
                <w:szCs w:val="22"/>
              </w:rPr>
              <w:t>AOD</w:t>
            </w:r>
            <w:r w:rsidR="00855A78" w:rsidRPr="00490BF5">
              <w:rPr>
                <w:snapToGrid w:val="0"/>
                <w:kern w:val="22"/>
                <w:szCs w:val="22"/>
              </w:rPr>
              <w:t>/O</w:t>
            </w:r>
            <w:r>
              <w:rPr>
                <w:snapToGrid w:val="0"/>
                <w:kern w:val="22"/>
                <w:szCs w:val="22"/>
              </w:rPr>
              <w:t>F</w:t>
            </w:r>
            <w:r w:rsidR="00855A78" w:rsidRPr="00490BF5">
              <w:rPr>
                <w:snapToGrid w:val="0"/>
                <w:kern w:val="22"/>
                <w:szCs w:val="22"/>
              </w:rPr>
              <w:t>O:</w:t>
            </w:r>
          </w:p>
        </w:tc>
        <w:tc>
          <w:tcPr>
            <w:tcW w:w="2835" w:type="dxa"/>
            <w:shd w:val="clear" w:color="auto" w:fill="auto"/>
            <w:vAlign w:val="center"/>
          </w:tcPr>
          <w:p w:rsidR="00855A78" w:rsidRPr="00490BF5" w:rsidRDefault="00855A78" w:rsidP="003D18B6">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Com</w:t>
            </w:r>
            <w:r w:rsidR="003D18B6">
              <w:rPr>
                <w:snapToGrid w:val="0"/>
                <w:kern w:val="22"/>
                <w:szCs w:val="22"/>
              </w:rPr>
              <w:t>promisos</w:t>
            </w:r>
            <w:r w:rsidRPr="00490BF5">
              <w:rPr>
                <w:snapToGrid w:val="0"/>
                <w:kern w:val="22"/>
                <w:szCs w:val="22"/>
              </w:rPr>
              <w:t>: 8</w:t>
            </w:r>
          </w:p>
        </w:tc>
        <w:tc>
          <w:tcPr>
            <w:tcW w:w="3798" w:type="dxa"/>
            <w:shd w:val="clear" w:color="auto" w:fill="auto"/>
            <w:vAlign w:val="center"/>
          </w:tcPr>
          <w:p w:rsidR="00855A78" w:rsidRPr="00490BF5" w:rsidRDefault="00855A78" w:rsidP="003D18B6">
            <w:pPr>
              <w:keepNext/>
              <w:keepLines/>
              <w:suppressLineNumbers/>
              <w:suppressAutoHyphens/>
              <w:kinsoku w:val="0"/>
              <w:overflowPunct w:val="0"/>
              <w:autoSpaceDE w:val="0"/>
              <w:autoSpaceDN w:val="0"/>
              <w:adjustRightInd w:val="0"/>
              <w:snapToGrid w:val="0"/>
              <w:ind w:left="360"/>
              <w:rPr>
                <w:snapToGrid w:val="0"/>
                <w:kern w:val="22"/>
                <w:szCs w:val="22"/>
              </w:rPr>
            </w:pPr>
            <w:r w:rsidRPr="00490BF5">
              <w:rPr>
                <w:snapToGrid w:val="0"/>
                <w:kern w:val="22"/>
                <w:szCs w:val="22"/>
              </w:rPr>
              <w:t>D</w:t>
            </w:r>
            <w:r w:rsidR="003D18B6">
              <w:rPr>
                <w:snapToGrid w:val="0"/>
                <w:kern w:val="22"/>
                <w:szCs w:val="22"/>
              </w:rPr>
              <w:t>esembolsos</w:t>
            </w:r>
            <w:r w:rsidRPr="00490BF5">
              <w:rPr>
                <w:snapToGrid w:val="0"/>
                <w:kern w:val="22"/>
                <w:szCs w:val="22"/>
              </w:rPr>
              <w:t>: 21</w:t>
            </w:r>
          </w:p>
        </w:tc>
      </w:tr>
      <w:tr w:rsidR="00855A78" w:rsidRPr="00490BF5" w:rsidTr="00490BF5">
        <w:trPr>
          <w:cantSplit/>
          <w:jc w:val="center"/>
        </w:trPr>
        <w:tc>
          <w:tcPr>
            <w:tcW w:w="2943" w:type="dxa"/>
            <w:shd w:val="clear" w:color="auto" w:fill="auto"/>
            <w:vAlign w:val="center"/>
          </w:tcPr>
          <w:p w:rsidR="00855A78" w:rsidRPr="00490BF5" w:rsidRDefault="003D18B6" w:rsidP="003D18B6">
            <w:pPr>
              <w:keepNext/>
              <w:keepLines/>
              <w:suppressLineNumbers/>
              <w:suppressAutoHyphens/>
              <w:kinsoku w:val="0"/>
              <w:overflowPunct w:val="0"/>
              <w:autoSpaceDE w:val="0"/>
              <w:autoSpaceDN w:val="0"/>
              <w:adjustRightInd w:val="0"/>
              <w:snapToGrid w:val="0"/>
              <w:rPr>
                <w:snapToGrid w:val="0"/>
                <w:kern w:val="22"/>
                <w:szCs w:val="22"/>
              </w:rPr>
            </w:pPr>
            <w:r>
              <w:rPr>
                <w:snapToGrid w:val="0"/>
                <w:kern w:val="22"/>
                <w:szCs w:val="22"/>
              </w:rPr>
              <w:t>AOD</w:t>
            </w:r>
            <w:r w:rsidR="00855A78" w:rsidRPr="00490BF5">
              <w:rPr>
                <w:snapToGrid w:val="0"/>
                <w:kern w:val="22"/>
                <w:szCs w:val="22"/>
              </w:rPr>
              <w:t>/O</w:t>
            </w:r>
            <w:r>
              <w:rPr>
                <w:snapToGrid w:val="0"/>
                <w:kern w:val="22"/>
                <w:szCs w:val="22"/>
              </w:rPr>
              <w:t>FO</w:t>
            </w:r>
            <w:r w:rsidR="00855A78" w:rsidRPr="00490BF5">
              <w:rPr>
                <w:snapToGrid w:val="0"/>
                <w:kern w:val="22"/>
                <w:szCs w:val="22"/>
              </w:rPr>
              <w:t xml:space="preserve"> inclu</w:t>
            </w:r>
            <w:r>
              <w:rPr>
                <w:snapToGrid w:val="0"/>
                <w:kern w:val="22"/>
                <w:szCs w:val="22"/>
              </w:rPr>
              <w:t>ye</w:t>
            </w:r>
            <w:r w:rsidR="00855A78" w:rsidRPr="00490BF5">
              <w:rPr>
                <w:snapToGrid w:val="0"/>
                <w:kern w:val="22"/>
                <w:szCs w:val="22"/>
              </w:rPr>
              <w:t>:</w:t>
            </w:r>
          </w:p>
        </w:tc>
        <w:tc>
          <w:tcPr>
            <w:tcW w:w="2835" w:type="dxa"/>
            <w:shd w:val="clear" w:color="auto" w:fill="auto"/>
            <w:vAlign w:val="center"/>
          </w:tcPr>
          <w:p w:rsidR="00855A78" w:rsidRPr="00490BF5" w:rsidRDefault="003D18B6" w:rsidP="003D18B6">
            <w:pPr>
              <w:keepNext/>
              <w:keepLines/>
              <w:suppressLineNumbers/>
              <w:suppressAutoHyphens/>
              <w:kinsoku w:val="0"/>
              <w:overflowPunct w:val="0"/>
              <w:autoSpaceDE w:val="0"/>
              <w:autoSpaceDN w:val="0"/>
              <w:adjustRightInd w:val="0"/>
              <w:snapToGrid w:val="0"/>
              <w:rPr>
                <w:snapToGrid w:val="0"/>
                <w:kern w:val="22"/>
                <w:szCs w:val="22"/>
              </w:rPr>
            </w:pPr>
            <w:r>
              <w:rPr>
                <w:snapToGrid w:val="0"/>
                <w:kern w:val="22"/>
                <w:szCs w:val="22"/>
              </w:rPr>
              <w:t>Relacionados directamente</w:t>
            </w:r>
            <w:r w:rsidR="00855A78" w:rsidRPr="00490BF5">
              <w:rPr>
                <w:snapToGrid w:val="0"/>
                <w:kern w:val="22"/>
                <w:szCs w:val="22"/>
              </w:rPr>
              <w:t>: 28</w:t>
            </w:r>
          </w:p>
        </w:tc>
        <w:tc>
          <w:tcPr>
            <w:tcW w:w="3798" w:type="dxa"/>
            <w:shd w:val="clear" w:color="auto" w:fill="auto"/>
            <w:vAlign w:val="center"/>
          </w:tcPr>
          <w:p w:rsidR="00855A78" w:rsidRPr="00490BF5" w:rsidRDefault="003D18B6" w:rsidP="003D18B6">
            <w:pPr>
              <w:keepNext/>
              <w:keepLines/>
              <w:suppressLineNumbers/>
              <w:suppressAutoHyphens/>
              <w:kinsoku w:val="0"/>
              <w:overflowPunct w:val="0"/>
              <w:autoSpaceDE w:val="0"/>
              <w:autoSpaceDN w:val="0"/>
              <w:adjustRightInd w:val="0"/>
              <w:snapToGrid w:val="0"/>
              <w:ind w:left="360"/>
              <w:rPr>
                <w:snapToGrid w:val="0"/>
                <w:kern w:val="22"/>
                <w:szCs w:val="22"/>
              </w:rPr>
            </w:pPr>
            <w:r>
              <w:rPr>
                <w:snapToGrid w:val="0"/>
                <w:kern w:val="22"/>
                <w:szCs w:val="22"/>
              </w:rPr>
              <w:t>Relacionados indirectamente</w:t>
            </w:r>
            <w:r w:rsidR="00855A78" w:rsidRPr="00490BF5">
              <w:rPr>
                <w:snapToGrid w:val="0"/>
                <w:kern w:val="22"/>
                <w:szCs w:val="22"/>
              </w:rPr>
              <w:t>: 19</w:t>
            </w:r>
          </w:p>
        </w:tc>
      </w:tr>
      <w:tr w:rsidR="00855A78" w:rsidRPr="00490BF5" w:rsidTr="00490BF5">
        <w:trPr>
          <w:cantSplit/>
          <w:jc w:val="center"/>
        </w:trPr>
        <w:tc>
          <w:tcPr>
            <w:tcW w:w="2943" w:type="dxa"/>
            <w:shd w:val="clear" w:color="auto" w:fill="auto"/>
            <w:vAlign w:val="center"/>
          </w:tcPr>
          <w:p w:rsidR="00855A78" w:rsidRPr="00490BF5" w:rsidRDefault="00855A78" w:rsidP="003D18B6">
            <w:pPr>
              <w:keepNext/>
              <w:keepLines/>
              <w:suppressLineNumbers/>
              <w:suppressAutoHyphens/>
              <w:kinsoku w:val="0"/>
              <w:overflowPunct w:val="0"/>
              <w:autoSpaceDE w:val="0"/>
              <w:autoSpaceDN w:val="0"/>
              <w:adjustRightInd w:val="0"/>
              <w:snapToGrid w:val="0"/>
              <w:rPr>
                <w:snapToGrid w:val="0"/>
                <w:kern w:val="22"/>
                <w:szCs w:val="22"/>
              </w:rPr>
            </w:pPr>
            <w:r w:rsidRPr="00490BF5">
              <w:rPr>
                <w:snapToGrid w:val="0"/>
                <w:kern w:val="22"/>
                <w:szCs w:val="22"/>
              </w:rPr>
              <w:t>Ot</w:t>
            </w:r>
            <w:r w:rsidR="003D18B6">
              <w:rPr>
                <w:snapToGrid w:val="0"/>
                <w:kern w:val="22"/>
                <w:szCs w:val="22"/>
              </w:rPr>
              <w:t>ros flujos incluye</w:t>
            </w:r>
            <w:r w:rsidRPr="00490BF5">
              <w:rPr>
                <w:snapToGrid w:val="0"/>
                <w:kern w:val="22"/>
                <w:szCs w:val="22"/>
              </w:rPr>
              <w:t>:</w:t>
            </w:r>
          </w:p>
        </w:tc>
        <w:tc>
          <w:tcPr>
            <w:tcW w:w="2835" w:type="dxa"/>
            <w:shd w:val="clear" w:color="auto" w:fill="auto"/>
            <w:vAlign w:val="center"/>
          </w:tcPr>
          <w:p w:rsidR="00855A78" w:rsidRPr="00490BF5" w:rsidRDefault="003D18B6" w:rsidP="003D18B6">
            <w:pPr>
              <w:keepNext/>
              <w:keepLines/>
              <w:suppressLineNumbers/>
              <w:suppressAutoHyphens/>
              <w:kinsoku w:val="0"/>
              <w:overflowPunct w:val="0"/>
              <w:autoSpaceDE w:val="0"/>
              <w:autoSpaceDN w:val="0"/>
              <w:adjustRightInd w:val="0"/>
              <w:snapToGrid w:val="0"/>
              <w:rPr>
                <w:snapToGrid w:val="0"/>
                <w:kern w:val="22"/>
                <w:szCs w:val="22"/>
              </w:rPr>
            </w:pPr>
            <w:r>
              <w:rPr>
                <w:snapToGrid w:val="0"/>
                <w:kern w:val="22"/>
                <w:szCs w:val="22"/>
              </w:rPr>
              <w:t>Relacionados directamente</w:t>
            </w:r>
            <w:r w:rsidR="00855A78" w:rsidRPr="00490BF5">
              <w:rPr>
                <w:snapToGrid w:val="0"/>
                <w:kern w:val="22"/>
                <w:szCs w:val="22"/>
              </w:rPr>
              <w:t>: 3</w:t>
            </w:r>
          </w:p>
        </w:tc>
        <w:tc>
          <w:tcPr>
            <w:tcW w:w="3798" w:type="dxa"/>
            <w:shd w:val="clear" w:color="auto" w:fill="auto"/>
            <w:vAlign w:val="center"/>
          </w:tcPr>
          <w:p w:rsidR="00855A78" w:rsidRPr="00490BF5" w:rsidRDefault="003D18B6" w:rsidP="003D18B6">
            <w:pPr>
              <w:keepNext/>
              <w:keepLines/>
              <w:suppressLineNumbers/>
              <w:suppressAutoHyphens/>
              <w:kinsoku w:val="0"/>
              <w:overflowPunct w:val="0"/>
              <w:autoSpaceDE w:val="0"/>
              <w:autoSpaceDN w:val="0"/>
              <w:adjustRightInd w:val="0"/>
              <w:snapToGrid w:val="0"/>
              <w:ind w:left="360"/>
              <w:rPr>
                <w:snapToGrid w:val="0"/>
                <w:kern w:val="22"/>
                <w:szCs w:val="22"/>
              </w:rPr>
            </w:pPr>
            <w:r>
              <w:rPr>
                <w:snapToGrid w:val="0"/>
                <w:kern w:val="22"/>
                <w:szCs w:val="22"/>
              </w:rPr>
              <w:t>Relacionados indirectamente</w:t>
            </w:r>
            <w:r w:rsidR="00855A78" w:rsidRPr="00490BF5">
              <w:rPr>
                <w:snapToGrid w:val="0"/>
                <w:kern w:val="22"/>
                <w:szCs w:val="22"/>
              </w:rPr>
              <w:t>: 4</w:t>
            </w:r>
          </w:p>
        </w:tc>
      </w:tr>
      <w:tr w:rsidR="00855A78" w:rsidRPr="00490BF5" w:rsidTr="00490BF5">
        <w:trPr>
          <w:cantSplit/>
          <w:jc w:val="center"/>
        </w:trPr>
        <w:tc>
          <w:tcPr>
            <w:tcW w:w="2943" w:type="dxa"/>
            <w:shd w:val="clear" w:color="auto" w:fill="auto"/>
            <w:vAlign w:val="center"/>
          </w:tcPr>
          <w:p w:rsidR="00855A78" w:rsidRPr="003D18B6" w:rsidRDefault="003D18B6" w:rsidP="00490BF5">
            <w:pPr>
              <w:keepLines/>
              <w:suppressLineNumbers/>
              <w:suppressAutoHyphens/>
              <w:kinsoku w:val="0"/>
              <w:overflowPunct w:val="0"/>
              <w:autoSpaceDE w:val="0"/>
              <w:autoSpaceDN w:val="0"/>
              <w:adjustRightInd w:val="0"/>
              <w:snapToGrid w:val="0"/>
              <w:spacing w:after="120"/>
              <w:jc w:val="left"/>
              <w:rPr>
                <w:snapToGrid w:val="0"/>
                <w:kern w:val="22"/>
                <w:szCs w:val="22"/>
                <w:lang w:val="es-ES"/>
              </w:rPr>
            </w:pPr>
            <w:r>
              <w:rPr>
                <w:snapToGrid w:val="0"/>
                <w:kern w:val="22"/>
                <w:szCs w:val="22"/>
                <w:lang w:val="es-ES"/>
              </w:rPr>
              <w:t>Metodología empleada para identificar flujos de recursos oficiales</w:t>
            </w:r>
            <w:r w:rsidR="00855A78" w:rsidRPr="003D18B6">
              <w:rPr>
                <w:snapToGrid w:val="0"/>
                <w:kern w:val="22"/>
                <w:szCs w:val="22"/>
                <w:lang w:val="es-ES"/>
              </w:rPr>
              <w:t>:</w:t>
            </w:r>
          </w:p>
        </w:tc>
        <w:tc>
          <w:tcPr>
            <w:tcW w:w="2835" w:type="dxa"/>
            <w:shd w:val="clear" w:color="auto" w:fill="auto"/>
            <w:vAlign w:val="center"/>
          </w:tcPr>
          <w:p w:rsidR="00855A78" w:rsidRPr="003D18B6" w:rsidRDefault="003D18B6" w:rsidP="00490BF5">
            <w:pPr>
              <w:keepLines/>
              <w:suppressLineNumbers/>
              <w:suppressAutoHyphens/>
              <w:kinsoku w:val="0"/>
              <w:overflowPunct w:val="0"/>
              <w:autoSpaceDE w:val="0"/>
              <w:autoSpaceDN w:val="0"/>
              <w:adjustRightInd w:val="0"/>
              <w:snapToGrid w:val="0"/>
              <w:spacing w:after="120"/>
              <w:jc w:val="left"/>
              <w:rPr>
                <w:snapToGrid w:val="0"/>
                <w:kern w:val="22"/>
                <w:szCs w:val="22"/>
                <w:lang w:val="es-ES"/>
              </w:rPr>
            </w:pPr>
            <w:r>
              <w:rPr>
                <w:snapToGrid w:val="0"/>
                <w:kern w:val="22"/>
                <w:szCs w:val="22"/>
                <w:lang w:val="es-ES"/>
              </w:rPr>
              <w:t>Marcadores de Río del CAD de la OCDE</w:t>
            </w:r>
            <w:r w:rsidR="00855A78" w:rsidRPr="003D18B6">
              <w:rPr>
                <w:snapToGrid w:val="0"/>
                <w:kern w:val="22"/>
                <w:szCs w:val="22"/>
                <w:lang w:val="es-ES"/>
              </w:rPr>
              <w:t>: 15</w:t>
            </w:r>
          </w:p>
        </w:tc>
        <w:tc>
          <w:tcPr>
            <w:tcW w:w="3798" w:type="dxa"/>
            <w:shd w:val="clear" w:color="auto" w:fill="auto"/>
            <w:vAlign w:val="center"/>
          </w:tcPr>
          <w:p w:rsidR="00855A78" w:rsidRPr="00490BF5" w:rsidRDefault="00855A78" w:rsidP="003D18B6">
            <w:pPr>
              <w:keepLines/>
              <w:suppressLineNumbers/>
              <w:suppressAutoHyphens/>
              <w:kinsoku w:val="0"/>
              <w:overflowPunct w:val="0"/>
              <w:autoSpaceDE w:val="0"/>
              <w:autoSpaceDN w:val="0"/>
              <w:adjustRightInd w:val="0"/>
              <w:snapToGrid w:val="0"/>
              <w:spacing w:after="120"/>
              <w:ind w:left="360"/>
              <w:rPr>
                <w:snapToGrid w:val="0"/>
                <w:kern w:val="22"/>
                <w:szCs w:val="22"/>
              </w:rPr>
            </w:pPr>
            <w:r w:rsidRPr="00490BF5">
              <w:rPr>
                <w:snapToGrid w:val="0"/>
                <w:kern w:val="22"/>
                <w:szCs w:val="22"/>
              </w:rPr>
              <w:t>Ot</w:t>
            </w:r>
            <w:r w:rsidR="003D18B6">
              <w:rPr>
                <w:snapToGrid w:val="0"/>
                <w:kern w:val="22"/>
                <w:szCs w:val="22"/>
              </w:rPr>
              <w:t>ros</w:t>
            </w:r>
            <w:r w:rsidRPr="00490BF5">
              <w:rPr>
                <w:snapToGrid w:val="0"/>
                <w:kern w:val="22"/>
                <w:szCs w:val="22"/>
              </w:rPr>
              <w:t>: 6</w:t>
            </w:r>
          </w:p>
        </w:tc>
      </w:tr>
    </w:tbl>
    <w:p w:rsidR="00855A78" w:rsidRPr="00857A99" w:rsidRDefault="003D18B6" w:rsidP="00490BF5">
      <w:pPr>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lang w:val="es-ES"/>
        </w:rPr>
      </w:pPr>
      <w:r w:rsidRPr="003D18B6">
        <w:rPr>
          <w:snapToGrid w:val="0"/>
          <w:kern w:val="22"/>
          <w:szCs w:val="22"/>
          <w:lang w:val="es-ES"/>
        </w:rPr>
        <w:t xml:space="preserve">Como parte del </w:t>
      </w:r>
      <w:r w:rsidR="00855A78" w:rsidRPr="003D18B6">
        <w:rPr>
          <w:snapToGrid w:val="0"/>
          <w:kern w:val="22"/>
          <w:szCs w:val="22"/>
          <w:lang w:val="es-ES"/>
        </w:rPr>
        <w:t xml:space="preserve">CRS, </w:t>
      </w:r>
      <w:r w:rsidRPr="003D18B6">
        <w:rPr>
          <w:snapToGrid w:val="0"/>
          <w:kern w:val="22"/>
          <w:szCs w:val="22"/>
          <w:lang w:val="es-ES"/>
        </w:rPr>
        <w:t>el CAD recopila datos de los Estados miembros sobre qué parte de su ayuda bilateral al desarrollo tiene a la diversidad biol</w:t>
      </w:r>
      <w:r>
        <w:rPr>
          <w:snapToGrid w:val="0"/>
          <w:kern w:val="22"/>
          <w:szCs w:val="22"/>
          <w:lang w:val="es-ES"/>
        </w:rPr>
        <w:t xml:space="preserve">ógica como objetivo principal o </w:t>
      </w:r>
      <w:r w:rsidR="001E4F0A">
        <w:rPr>
          <w:snapToGrid w:val="0"/>
          <w:kern w:val="22"/>
          <w:szCs w:val="22"/>
          <w:lang w:val="es-ES"/>
        </w:rPr>
        <w:t>significativo</w:t>
      </w:r>
      <w:r>
        <w:rPr>
          <w:snapToGrid w:val="0"/>
          <w:kern w:val="22"/>
          <w:szCs w:val="22"/>
          <w:lang w:val="es-ES"/>
        </w:rPr>
        <w:t xml:space="preserve">, </w:t>
      </w:r>
      <w:r w:rsidR="00857A99">
        <w:rPr>
          <w:snapToGrid w:val="0"/>
          <w:kern w:val="22"/>
          <w:szCs w:val="22"/>
          <w:lang w:val="es-ES"/>
        </w:rPr>
        <w:t>conforme a</w:t>
      </w:r>
      <w:r>
        <w:rPr>
          <w:snapToGrid w:val="0"/>
          <w:kern w:val="22"/>
          <w:szCs w:val="22"/>
          <w:lang w:val="es-ES"/>
        </w:rPr>
        <w:t xml:space="preserve"> la metodología de los marcadores de Río</w:t>
      </w:r>
      <w:r w:rsidR="00855A78" w:rsidRPr="003D18B6">
        <w:rPr>
          <w:snapToGrid w:val="0"/>
          <w:kern w:val="22"/>
          <w:szCs w:val="22"/>
          <w:lang w:val="es-ES"/>
        </w:rPr>
        <w:t xml:space="preserve">. </w:t>
      </w:r>
      <w:r w:rsidR="00857A99" w:rsidRPr="00857A99">
        <w:rPr>
          <w:snapToGrid w:val="0"/>
          <w:kern w:val="22"/>
          <w:szCs w:val="22"/>
          <w:lang w:val="es-ES"/>
        </w:rPr>
        <w:t xml:space="preserve">En el cuadro </w:t>
      </w:r>
      <w:r w:rsidR="00A41C31" w:rsidRPr="00857A99">
        <w:rPr>
          <w:snapToGrid w:val="0"/>
          <w:kern w:val="22"/>
          <w:szCs w:val="22"/>
          <w:lang w:val="es-ES"/>
        </w:rPr>
        <w:t>3</w:t>
      </w:r>
      <w:r w:rsidR="00855A78" w:rsidRPr="00857A99">
        <w:rPr>
          <w:snapToGrid w:val="0"/>
          <w:kern w:val="22"/>
          <w:szCs w:val="22"/>
          <w:lang w:val="es-ES"/>
        </w:rPr>
        <w:t xml:space="preserve"> </w:t>
      </w:r>
      <w:r w:rsidR="00857A99" w:rsidRPr="00857A99">
        <w:rPr>
          <w:snapToGrid w:val="0"/>
          <w:kern w:val="22"/>
          <w:szCs w:val="22"/>
          <w:lang w:val="es-ES"/>
        </w:rPr>
        <w:t>que figura a continuación se presenta, a título informativo, informaci</w:t>
      </w:r>
      <w:r w:rsidR="00857A99">
        <w:rPr>
          <w:snapToGrid w:val="0"/>
          <w:kern w:val="22"/>
          <w:szCs w:val="22"/>
          <w:lang w:val="es-ES"/>
        </w:rPr>
        <w:t>ón pertinente sobre la ayuda comprometida relacionada con la diversidad biológica</w:t>
      </w:r>
      <w:r w:rsidR="00855A78" w:rsidRPr="00857A99">
        <w:rPr>
          <w:snapToGrid w:val="0"/>
          <w:kern w:val="22"/>
          <w:szCs w:val="22"/>
          <w:lang w:val="es-ES"/>
        </w:rPr>
        <w:t xml:space="preserve">, </w:t>
      </w:r>
      <w:r w:rsidR="00857A99">
        <w:rPr>
          <w:snapToGrid w:val="0"/>
          <w:kern w:val="22"/>
          <w:szCs w:val="22"/>
          <w:lang w:val="es-ES"/>
        </w:rPr>
        <w:t xml:space="preserve">extraída de la base de datos del </w:t>
      </w:r>
      <w:r w:rsidR="00855A78" w:rsidRPr="00857A99">
        <w:rPr>
          <w:snapToGrid w:val="0"/>
          <w:kern w:val="22"/>
          <w:szCs w:val="22"/>
          <w:lang w:val="es-ES"/>
        </w:rPr>
        <w:t>CRS</w:t>
      </w:r>
      <w:r w:rsidR="00855A78" w:rsidRPr="00490BF5">
        <w:rPr>
          <w:rStyle w:val="FootnoteReference"/>
          <w:snapToGrid w:val="0"/>
          <w:kern w:val="22"/>
          <w:szCs w:val="22"/>
        </w:rPr>
        <w:footnoteReference w:id="8"/>
      </w:r>
      <w:r w:rsidR="00855A78" w:rsidRPr="00857A99">
        <w:rPr>
          <w:snapToGrid w:val="0"/>
          <w:kern w:val="22"/>
          <w:szCs w:val="22"/>
          <w:lang w:val="es-ES"/>
        </w:rPr>
        <w:t xml:space="preserve"> </w:t>
      </w:r>
      <w:r w:rsidR="00857A99">
        <w:rPr>
          <w:snapToGrid w:val="0"/>
          <w:kern w:val="22"/>
          <w:szCs w:val="22"/>
          <w:lang w:val="es-ES"/>
        </w:rPr>
        <w:t>el</w:t>
      </w:r>
      <w:r w:rsidR="00855A78" w:rsidRPr="00857A99">
        <w:rPr>
          <w:snapToGrid w:val="0"/>
          <w:kern w:val="22"/>
          <w:szCs w:val="22"/>
          <w:lang w:val="es-ES"/>
        </w:rPr>
        <w:t xml:space="preserve"> 24 </w:t>
      </w:r>
      <w:r w:rsidR="00857A99">
        <w:rPr>
          <w:snapToGrid w:val="0"/>
          <w:kern w:val="22"/>
          <w:szCs w:val="22"/>
          <w:lang w:val="es-ES"/>
        </w:rPr>
        <w:t xml:space="preserve">de marzo de </w:t>
      </w:r>
      <w:r w:rsidR="00855A78" w:rsidRPr="00857A99">
        <w:rPr>
          <w:snapToGrid w:val="0"/>
          <w:kern w:val="22"/>
          <w:szCs w:val="22"/>
          <w:lang w:val="es-ES"/>
        </w:rPr>
        <w:t xml:space="preserve">2018. </w:t>
      </w:r>
      <w:r w:rsidR="00857A99">
        <w:rPr>
          <w:snapToGrid w:val="0"/>
          <w:kern w:val="22"/>
          <w:szCs w:val="22"/>
          <w:lang w:val="es-ES"/>
        </w:rPr>
        <w:t>Al examinar los datos,</w:t>
      </w:r>
      <w:r w:rsidR="00857A99" w:rsidRPr="003201E8">
        <w:rPr>
          <w:snapToGrid w:val="0"/>
          <w:kern w:val="22"/>
          <w:szCs w:val="22"/>
          <w:lang w:val="es-ES"/>
        </w:rPr>
        <w:t xml:space="preserve"> hay que tener en cuenta qu</w:t>
      </w:r>
      <w:r w:rsidR="00857A99">
        <w:rPr>
          <w:snapToGrid w:val="0"/>
          <w:kern w:val="22"/>
          <w:szCs w:val="22"/>
          <w:lang w:val="es-ES"/>
        </w:rPr>
        <w:t>e</w:t>
      </w:r>
      <w:r w:rsidR="00855A78" w:rsidRPr="00857A99">
        <w:rPr>
          <w:snapToGrid w:val="0"/>
          <w:kern w:val="22"/>
          <w:szCs w:val="22"/>
          <w:lang w:val="es-ES"/>
        </w:rPr>
        <w:t>:</w:t>
      </w:r>
    </w:p>
    <w:p w:rsidR="00855A78" w:rsidRPr="00857A99" w:rsidRDefault="00857A99"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Pr>
          <w:snapToGrid w:val="0"/>
          <w:kern w:val="22"/>
          <w:szCs w:val="22"/>
          <w:lang w:val="es-ES"/>
        </w:rPr>
        <w:t>e</w:t>
      </w:r>
      <w:r w:rsidRPr="00857A99">
        <w:rPr>
          <w:snapToGrid w:val="0"/>
          <w:kern w:val="22"/>
          <w:szCs w:val="22"/>
          <w:lang w:val="es-ES"/>
        </w:rPr>
        <w:t>l segundo mayor donante de ayuda relacionada con la diversidad bio</w:t>
      </w:r>
      <w:r>
        <w:rPr>
          <w:snapToGrid w:val="0"/>
          <w:kern w:val="22"/>
          <w:szCs w:val="22"/>
          <w:lang w:val="es-ES"/>
        </w:rPr>
        <w:t>lógica no es una Parte en el Convenio</w:t>
      </w:r>
      <w:r w:rsidR="00855A78" w:rsidRPr="00490BF5">
        <w:rPr>
          <w:rStyle w:val="FootnoteReference"/>
          <w:snapToGrid w:val="0"/>
          <w:kern w:val="22"/>
          <w:szCs w:val="22"/>
        </w:rPr>
        <w:footnoteReference w:id="9"/>
      </w:r>
      <w:r w:rsidRPr="00857A99">
        <w:rPr>
          <w:snapToGrid w:val="0"/>
          <w:kern w:val="22"/>
          <w:szCs w:val="22"/>
          <w:lang w:val="es-ES"/>
        </w:rPr>
        <w:t>;</w:t>
      </w:r>
    </w:p>
    <w:p w:rsidR="00855A78" w:rsidRPr="00857A99" w:rsidRDefault="00857A99"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857A99">
        <w:rPr>
          <w:snapToGrid w:val="0"/>
          <w:kern w:val="22"/>
          <w:szCs w:val="22"/>
          <w:lang w:val="es-ES"/>
        </w:rPr>
        <w:t>la base de datos del</w:t>
      </w:r>
      <w:r w:rsidR="00855A78" w:rsidRPr="00857A99">
        <w:rPr>
          <w:snapToGrid w:val="0"/>
          <w:kern w:val="22"/>
          <w:szCs w:val="22"/>
          <w:lang w:val="es-ES"/>
        </w:rPr>
        <w:t xml:space="preserve"> </w:t>
      </w:r>
      <w:r w:rsidR="00855A78" w:rsidRPr="00CE3F21">
        <w:rPr>
          <w:snapToGrid w:val="0"/>
          <w:kern w:val="22"/>
          <w:szCs w:val="22"/>
          <w:lang w:val="es-ES"/>
        </w:rPr>
        <w:t>CRS</w:t>
      </w:r>
      <w:r w:rsidR="00CE3F21" w:rsidRPr="00CE3F21">
        <w:rPr>
          <w:snapToGrid w:val="0"/>
          <w:kern w:val="22"/>
          <w:szCs w:val="22"/>
          <w:lang w:val="es-ES"/>
        </w:rPr>
        <w:t xml:space="preserve"> </w:t>
      </w:r>
      <w:r w:rsidRPr="00CE3F21">
        <w:rPr>
          <w:snapToGrid w:val="0"/>
          <w:kern w:val="22"/>
          <w:szCs w:val="22"/>
          <w:lang w:val="es-ES"/>
        </w:rPr>
        <w:t xml:space="preserve">abarca la ayuda </w:t>
      </w:r>
      <w:r w:rsidR="00855A78" w:rsidRPr="00CE3F21">
        <w:rPr>
          <w:snapToGrid w:val="0"/>
          <w:kern w:val="22"/>
          <w:szCs w:val="22"/>
          <w:lang w:val="es-ES"/>
        </w:rPr>
        <w:t xml:space="preserve">bilateral, </w:t>
      </w:r>
      <w:r w:rsidR="00E24732" w:rsidRPr="00CE3F21">
        <w:rPr>
          <w:snapToGrid w:val="0"/>
          <w:kern w:val="22"/>
          <w:szCs w:val="22"/>
          <w:lang w:val="es-ES"/>
        </w:rPr>
        <w:t>aunque</w:t>
      </w:r>
      <w:r w:rsidRPr="00CE3F21">
        <w:rPr>
          <w:snapToGrid w:val="0"/>
          <w:kern w:val="22"/>
          <w:szCs w:val="22"/>
          <w:lang w:val="es-ES"/>
        </w:rPr>
        <w:t xml:space="preserve"> la mayoría de las Partes que presentan informes </w:t>
      </w:r>
      <w:r w:rsidR="00E24732" w:rsidRPr="00CE3F21">
        <w:rPr>
          <w:snapToGrid w:val="0"/>
          <w:kern w:val="22"/>
          <w:szCs w:val="22"/>
          <w:lang w:val="es-ES"/>
        </w:rPr>
        <w:t>con respecto a</w:t>
      </w:r>
      <w:r w:rsidRPr="00CE3F21">
        <w:rPr>
          <w:snapToGrid w:val="0"/>
          <w:kern w:val="22"/>
          <w:szCs w:val="22"/>
          <w:lang w:val="es-ES"/>
        </w:rPr>
        <w:t xml:space="preserve">l marco de informes financieros también incluyen asistencia multilateral al desarrollo relacionada con la diversidad biológica </w:t>
      </w:r>
      <w:r w:rsidR="00855A78" w:rsidRPr="00CE3F21">
        <w:rPr>
          <w:snapToGrid w:val="0"/>
          <w:kern w:val="22"/>
          <w:szCs w:val="22"/>
          <w:lang w:val="es-ES"/>
        </w:rPr>
        <w:t>(</w:t>
      </w:r>
      <w:r w:rsidR="00E24732" w:rsidRPr="00CE3F21">
        <w:rPr>
          <w:snapToGrid w:val="0"/>
          <w:kern w:val="22"/>
          <w:szCs w:val="22"/>
          <w:lang w:val="es-ES"/>
        </w:rPr>
        <w:t>cinco Partes actualizaron en consecuencia su</w:t>
      </w:r>
      <w:r w:rsidR="00E24732">
        <w:rPr>
          <w:snapToGrid w:val="0"/>
          <w:kern w:val="22"/>
          <w:szCs w:val="22"/>
          <w:lang w:val="es-ES"/>
        </w:rPr>
        <w:t xml:space="preserve"> metodologí</w:t>
      </w:r>
      <w:r w:rsidR="00CE3F21">
        <w:rPr>
          <w:snapToGrid w:val="0"/>
          <w:kern w:val="22"/>
          <w:szCs w:val="22"/>
          <w:lang w:val="es-ES"/>
        </w:rPr>
        <w:t>a</w:t>
      </w:r>
      <w:r w:rsidR="00855A78" w:rsidRPr="00857A99">
        <w:rPr>
          <w:snapToGrid w:val="0"/>
          <w:kern w:val="22"/>
          <w:szCs w:val="22"/>
          <w:lang w:val="es-ES"/>
        </w:rPr>
        <w:t>);</w:t>
      </w:r>
    </w:p>
    <w:p w:rsidR="00855A78" w:rsidRPr="00E24732" w:rsidRDefault="00E24732" w:rsidP="00490BF5">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E24732">
        <w:rPr>
          <w:snapToGrid w:val="0"/>
          <w:kern w:val="22"/>
          <w:szCs w:val="22"/>
          <w:lang w:val="es-ES"/>
        </w:rPr>
        <w:t>aunque la mayoría de las Pa</w:t>
      </w:r>
      <w:r w:rsidR="00855A78" w:rsidRPr="00E24732">
        <w:rPr>
          <w:snapToGrid w:val="0"/>
          <w:kern w:val="22"/>
          <w:szCs w:val="22"/>
          <w:lang w:val="es-ES"/>
        </w:rPr>
        <w:t xml:space="preserve">rtes </w:t>
      </w:r>
      <w:r w:rsidRPr="00E24732">
        <w:rPr>
          <w:snapToGrid w:val="0"/>
          <w:kern w:val="22"/>
          <w:szCs w:val="22"/>
          <w:lang w:val="es-ES"/>
        </w:rPr>
        <w:t>presentan informes sobre los desembolsos reales, los datos proporcionados en el siguiente cuadro abarcan los compro</w:t>
      </w:r>
      <w:r w:rsidR="006431C7">
        <w:rPr>
          <w:snapToGrid w:val="0"/>
          <w:kern w:val="22"/>
          <w:szCs w:val="22"/>
          <w:lang w:val="es-ES"/>
        </w:rPr>
        <w:t>m</w:t>
      </w:r>
      <w:r w:rsidRPr="00E24732">
        <w:rPr>
          <w:snapToGrid w:val="0"/>
          <w:kern w:val="22"/>
          <w:szCs w:val="22"/>
          <w:lang w:val="es-ES"/>
        </w:rPr>
        <w:t>isos</w:t>
      </w:r>
      <w:r w:rsidR="00855A78" w:rsidRPr="00E24732">
        <w:rPr>
          <w:snapToGrid w:val="0"/>
          <w:kern w:val="22"/>
          <w:szCs w:val="22"/>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04"/>
        <w:gridCol w:w="1776"/>
        <w:gridCol w:w="1776"/>
        <w:gridCol w:w="1536"/>
      </w:tblGrid>
      <w:tr w:rsidR="00855A78" w:rsidRPr="000D1E7C" w:rsidTr="007F6CCC">
        <w:tc>
          <w:tcPr>
            <w:tcW w:w="9418" w:type="dxa"/>
            <w:gridSpan w:val="5"/>
            <w:shd w:val="clear" w:color="auto" w:fill="auto"/>
            <w:tcMar>
              <w:top w:w="14" w:type="dxa"/>
              <w:left w:w="29" w:type="dxa"/>
              <w:bottom w:w="14" w:type="dxa"/>
              <w:right w:w="29" w:type="dxa"/>
            </w:tcMar>
          </w:tcPr>
          <w:p w:rsidR="00855A78" w:rsidRPr="00E24732" w:rsidRDefault="00E24732" w:rsidP="00E24732">
            <w:pPr>
              <w:suppressLineNumbers/>
              <w:suppressAutoHyphens/>
              <w:kinsoku w:val="0"/>
              <w:overflowPunct w:val="0"/>
              <w:autoSpaceDE w:val="0"/>
              <w:autoSpaceDN w:val="0"/>
              <w:adjustRightInd w:val="0"/>
              <w:snapToGrid w:val="0"/>
              <w:ind w:left="360"/>
              <w:rPr>
                <w:b/>
                <w:snapToGrid w:val="0"/>
                <w:kern w:val="22"/>
                <w:szCs w:val="22"/>
                <w:lang w:val="es-ES"/>
              </w:rPr>
            </w:pPr>
            <w:r w:rsidRPr="00E24732">
              <w:rPr>
                <w:b/>
                <w:snapToGrid w:val="0"/>
                <w:kern w:val="22"/>
                <w:szCs w:val="22"/>
                <w:lang w:val="es-ES"/>
              </w:rPr>
              <w:t>Cuadro</w:t>
            </w:r>
            <w:r w:rsidR="00855A78" w:rsidRPr="00E24732">
              <w:rPr>
                <w:b/>
                <w:snapToGrid w:val="0"/>
                <w:kern w:val="22"/>
                <w:szCs w:val="22"/>
                <w:lang w:val="es-ES"/>
              </w:rPr>
              <w:t xml:space="preserve"> </w:t>
            </w:r>
            <w:r w:rsidR="00B34BC8" w:rsidRPr="00E24732">
              <w:rPr>
                <w:b/>
                <w:snapToGrid w:val="0"/>
                <w:kern w:val="22"/>
                <w:szCs w:val="22"/>
                <w:lang w:val="es-ES"/>
              </w:rPr>
              <w:t>3</w:t>
            </w:r>
            <w:r w:rsidR="00E0326B" w:rsidRPr="00E24732">
              <w:rPr>
                <w:b/>
                <w:snapToGrid w:val="0"/>
                <w:kern w:val="22"/>
                <w:szCs w:val="22"/>
                <w:lang w:val="es-ES"/>
              </w:rPr>
              <w:t>.</w:t>
            </w:r>
            <w:r w:rsidR="00855A78" w:rsidRPr="00E24732">
              <w:rPr>
                <w:b/>
                <w:snapToGrid w:val="0"/>
                <w:kern w:val="22"/>
                <w:szCs w:val="22"/>
                <w:lang w:val="es-ES"/>
              </w:rPr>
              <w:t xml:space="preserve"> </w:t>
            </w:r>
            <w:r>
              <w:rPr>
                <w:b/>
                <w:snapToGrid w:val="0"/>
                <w:kern w:val="22"/>
                <w:szCs w:val="22"/>
                <w:lang w:val="es-ES"/>
              </w:rPr>
              <w:t>AOD bilateral relacionada con la diversidad biológica</w:t>
            </w:r>
            <w:r w:rsidR="00855A78" w:rsidRPr="00E24732">
              <w:rPr>
                <w:b/>
                <w:snapToGrid w:val="0"/>
                <w:kern w:val="22"/>
                <w:szCs w:val="22"/>
                <w:lang w:val="es-ES"/>
              </w:rPr>
              <w:t xml:space="preserve">, </w:t>
            </w:r>
            <w:r w:rsidRPr="00E24732">
              <w:rPr>
                <w:b/>
                <w:snapToGrid w:val="0"/>
                <w:kern w:val="22"/>
                <w:szCs w:val="22"/>
                <w:lang w:val="es-ES"/>
              </w:rPr>
              <w:t>CRS de la OCDE</w:t>
            </w:r>
          </w:p>
        </w:tc>
      </w:tr>
      <w:tr w:rsidR="006431C7" w:rsidRPr="00490BF5" w:rsidTr="007F6CCC">
        <w:tc>
          <w:tcPr>
            <w:tcW w:w="2126" w:type="dxa"/>
            <w:shd w:val="clear" w:color="auto" w:fill="auto"/>
            <w:tcMar>
              <w:top w:w="14" w:type="dxa"/>
              <w:left w:w="29" w:type="dxa"/>
              <w:bottom w:w="14" w:type="dxa"/>
              <w:right w:w="29" w:type="dxa"/>
            </w:tcMar>
          </w:tcPr>
          <w:p w:rsidR="00855A78" w:rsidRPr="00E24732" w:rsidRDefault="00E24732" w:rsidP="00E24732">
            <w:pPr>
              <w:suppressLineNumbers/>
              <w:suppressAutoHyphens/>
              <w:kinsoku w:val="0"/>
              <w:overflowPunct w:val="0"/>
              <w:autoSpaceDE w:val="0"/>
              <w:autoSpaceDN w:val="0"/>
              <w:adjustRightInd w:val="0"/>
              <w:snapToGrid w:val="0"/>
              <w:ind w:left="90"/>
              <w:rPr>
                <w:snapToGrid w:val="0"/>
                <w:kern w:val="22"/>
                <w:szCs w:val="22"/>
                <w:lang w:val="es-ES"/>
              </w:rPr>
            </w:pPr>
            <w:r>
              <w:rPr>
                <w:snapToGrid w:val="0"/>
                <w:kern w:val="22"/>
                <w:szCs w:val="22"/>
                <w:lang w:val="es-ES"/>
              </w:rPr>
              <w:t>Todos los miembros del CAD</w:t>
            </w:r>
          </w:p>
        </w:tc>
        <w:tc>
          <w:tcPr>
            <w:tcW w:w="2204" w:type="dxa"/>
            <w:shd w:val="clear" w:color="auto" w:fill="auto"/>
            <w:tcMar>
              <w:top w:w="14" w:type="dxa"/>
              <w:left w:w="29" w:type="dxa"/>
              <w:bottom w:w="14" w:type="dxa"/>
              <w:right w:w="29" w:type="dxa"/>
            </w:tcMar>
          </w:tcPr>
          <w:p w:rsidR="00855A78" w:rsidRPr="00490BF5" w:rsidRDefault="00E24732" w:rsidP="00E24732">
            <w:pPr>
              <w:suppressLineNumbers/>
              <w:suppressAutoHyphens/>
              <w:kinsoku w:val="0"/>
              <w:overflowPunct w:val="0"/>
              <w:autoSpaceDE w:val="0"/>
              <w:autoSpaceDN w:val="0"/>
              <w:adjustRightInd w:val="0"/>
              <w:snapToGrid w:val="0"/>
              <w:ind w:left="360"/>
              <w:jc w:val="center"/>
              <w:rPr>
                <w:snapToGrid w:val="0"/>
                <w:kern w:val="22"/>
                <w:szCs w:val="22"/>
              </w:rPr>
            </w:pPr>
            <w:r>
              <w:rPr>
                <w:snapToGrid w:val="0"/>
                <w:kern w:val="22"/>
                <w:szCs w:val="22"/>
              </w:rPr>
              <w:t>Media</w:t>
            </w:r>
            <w:r w:rsidR="00855A78" w:rsidRPr="00490BF5">
              <w:rPr>
                <w:snapToGrid w:val="0"/>
                <w:kern w:val="22"/>
                <w:szCs w:val="22"/>
              </w:rPr>
              <w:t xml:space="preserve"> 2006-2010</w:t>
            </w:r>
          </w:p>
        </w:tc>
        <w:tc>
          <w:tcPr>
            <w:tcW w:w="1776"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2013</w:t>
            </w:r>
          </w:p>
        </w:tc>
        <w:tc>
          <w:tcPr>
            <w:tcW w:w="1776"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2014</w:t>
            </w:r>
          </w:p>
        </w:tc>
        <w:tc>
          <w:tcPr>
            <w:tcW w:w="1536" w:type="dxa"/>
            <w:shd w:val="clear" w:color="auto" w:fill="auto"/>
            <w:tcMar>
              <w:top w:w="14" w:type="dxa"/>
              <w:left w:w="29" w:type="dxa"/>
              <w:bottom w:w="14" w:type="dxa"/>
              <w:right w:w="29" w:type="dxa"/>
            </w:tcMar>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2015</w:t>
            </w:r>
          </w:p>
        </w:tc>
      </w:tr>
      <w:tr w:rsidR="006431C7" w:rsidRPr="00490BF5" w:rsidTr="007F6CCC">
        <w:tc>
          <w:tcPr>
            <w:tcW w:w="2126" w:type="dxa"/>
            <w:shd w:val="clear" w:color="auto" w:fill="auto"/>
            <w:tcMar>
              <w:top w:w="14" w:type="dxa"/>
              <w:left w:w="29" w:type="dxa"/>
              <w:bottom w:w="14" w:type="dxa"/>
              <w:right w:w="29" w:type="dxa"/>
            </w:tcMar>
          </w:tcPr>
          <w:p w:rsidR="00855A78" w:rsidRPr="00490BF5" w:rsidRDefault="00855A78" w:rsidP="00E24732">
            <w:pPr>
              <w:suppressLineNumbers/>
              <w:suppressAutoHyphens/>
              <w:kinsoku w:val="0"/>
              <w:overflowPunct w:val="0"/>
              <w:autoSpaceDE w:val="0"/>
              <w:autoSpaceDN w:val="0"/>
              <w:adjustRightInd w:val="0"/>
              <w:snapToGrid w:val="0"/>
              <w:ind w:left="90"/>
              <w:jc w:val="left"/>
              <w:rPr>
                <w:snapToGrid w:val="0"/>
                <w:kern w:val="22"/>
                <w:szCs w:val="22"/>
              </w:rPr>
            </w:pPr>
            <w:r w:rsidRPr="00490BF5">
              <w:rPr>
                <w:snapToGrid w:val="0"/>
                <w:kern w:val="22"/>
                <w:szCs w:val="22"/>
              </w:rPr>
              <w:t>Principal (</w:t>
            </w:r>
            <w:r w:rsidR="00E24732">
              <w:rPr>
                <w:snapToGrid w:val="0"/>
                <w:kern w:val="22"/>
                <w:szCs w:val="22"/>
              </w:rPr>
              <w:t>marcador</w:t>
            </w:r>
            <w:r w:rsidRPr="00490BF5">
              <w:rPr>
                <w:snapToGrid w:val="0"/>
                <w:kern w:val="22"/>
                <w:szCs w:val="22"/>
              </w:rPr>
              <w:t xml:space="preserve"> 2)</w:t>
            </w:r>
          </w:p>
        </w:tc>
        <w:tc>
          <w:tcPr>
            <w:tcW w:w="2204" w:type="dxa"/>
            <w:shd w:val="clear" w:color="auto" w:fill="auto"/>
            <w:tcMar>
              <w:top w:w="14" w:type="dxa"/>
              <w:left w:w="115" w:type="dxa"/>
              <w:bottom w:w="14" w:type="dxa"/>
              <w:right w:w="115" w:type="dxa"/>
            </w:tcMar>
          </w:tcPr>
          <w:p w:rsidR="00855A78" w:rsidRPr="00490BF5" w:rsidRDefault="00855A78" w:rsidP="006431C7">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2023</w:t>
            </w:r>
            <w:r w:rsidR="006431C7">
              <w:rPr>
                <w:snapToGrid w:val="0"/>
                <w:kern w:val="22"/>
                <w:szCs w:val="22"/>
              </w:rPr>
              <w:t>,</w:t>
            </w:r>
            <w:r w:rsidRPr="00490BF5">
              <w:rPr>
                <w:snapToGrid w:val="0"/>
                <w:kern w:val="22"/>
                <w:szCs w:val="22"/>
              </w:rPr>
              <w:t>46</w:t>
            </w:r>
          </w:p>
        </w:tc>
        <w:tc>
          <w:tcPr>
            <w:tcW w:w="1776" w:type="dxa"/>
            <w:shd w:val="clear" w:color="auto" w:fill="auto"/>
            <w:tcMar>
              <w:top w:w="14" w:type="dxa"/>
              <w:left w:w="29" w:type="dxa"/>
              <w:bottom w:w="14" w:type="dxa"/>
              <w:right w:w="29" w:type="dxa"/>
            </w:tcMar>
          </w:tcPr>
          <w:p w:rsidR="00855A78" w:rsidRPr="00490BF5" w:rsidRDefault="00855A78" w:rsidP="006431C7">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1682</w:t>
            </w:r>
            <w:r w:rsidR="006431C7">
              <w:rPr>
                <w:snapToGrid w:val="0"/>
                <w:kern w:val="22"/>
                <w:szCs w:val="22"/>
              </w:rPr>
              <w:t>,</w:t>
            </w:r>
            <w:r w:rsidRPr="00490BF5">
              <w:rPr>
                <w:snapToGrid w:val="0"/>
                <w:kern w:val="22"/>
                <w:szCs w:val="22"/>
              </w:rPr>
              <w:t>13</w:t>
            </w:r>
          </w:p>
        </w:tc>
        <w:tc>
          <w:tcPr>
            <w:tcW w:w="1776" w:type="dxa"/>
            <w:shd w:val="clear" w:color="auto" w:fill="auto"/>
            <w:tcMar>
              <w:top w:w="14" w:type="dxa"/>
              <w:left w:w="29" w:type="dxa"/>
              <w:bottom w:w="14" w:type="dxa"/>
              <w:right w:w="29" w:type="dxa"/>
            </w:tcMar>
          </w:tcPr>
          <w:p w:rsidR="00855A78" w:rsidRPr="00490BF5" w:rsidRDefault="00855A78" w:rsidP="006431C7">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3374</w:t>
            </w:r>
            <w:r w:rsidR="006431C7">
              <w:rPr>
                <w:snapToGrid w:val="0"/>
                <w:kern w:val="22"/>
                <w:szCs w:val="22"/>
              </w:rPr>
              <w:t>,</w:t>
            </w:r>
            <w:r w:rsidRPr="00490BF5">
              <w:rPr>
                <w:snapToGrid w:val="0"/>
                <w:kern w:val="22"/>
                <w:szCs w:val="22"/>
              </w:rPr>
              <w:t>76</w:t>
            </w:r>
          </w:p>
        </w:tc>
        <w:tc>
          <w:tcPr>
            <w:tcW w:w="1536" w:type="dxa"/>
            <w:shd w:val="clear" w:color="auto" w:fill="auto"/>
            <w:tcMar>
              <w:top w:w="14" w:type="dxa"/>
              <w:left w:w="29" w:type="dxa"/>
              <w:bottom w:w="14" w:type="dxa"/>
              <w:right w:w="29" w:type="dxa"/>
            </w:tcMar>
          </w:tcPr>
          <w:p w:rsidR="00855A78" w:rsidRPr="00490BF5" w:rsidRDefault="00855A78" w:rsidP="006431C7">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4160</w:t>
            </w:r>
            <w:r w:rsidR="006431C7">
              <w:rPr>
                <w:snapToGrid w:val="0"/>
                <w:kern w:val="22"/>
                <w:szCs w:val="22"/>
              </w:rPr>
              <w:t>,</w:t>
            </w:r>
            <w:r w:rsidRPr="00490BF5">
              <w:rPr>
                <w:snapToGrid w:val="0"/>
                <w:kern w:val="22"/>
                <w:szCs w:val="22"/>
              </w:rPr>
              <w:t>08</w:t>
            </w:r>
          </w:p>
        </w:tc>
      </w:tr>
      <w:tr w:rsidR="006431C7" w:rsidRPr="00490BF5" w:rsidTr="007F6CCC">
        <w:tc>
          <w:tcPr>
            <w:tcW w:w="2126" w:type="dxa"/>
            <w:shd w:val="clear" w:color="auto" w:fill="auto"/>
            <w:tcMar>
              <w:top w:w="14" w:type="dxa"/>
              <w:left w:w="29" w:type="dxa"/>
              <w:bottom w:w="14" w:type="dxa"/>
              <w:right w:w="29" w:type="dxa"/>
            </w:tcMar>
          </w:tcPr>
          <w:p w:rsidR="00855A78" w:rsidRPr="00490BF5" w:rsidRDefault="001E4F0A" w:rsidP="001E4F0A">
            <w:pPr>
              <w:suppressLineNumbers/>
              <w:suppressAutoHyphens/>
              <w:kinsoku w:val="0"/>
              <w:overflowPunct w:val="0"/>
              <w:autoSpaceDE w:val="0"/>
              <w:autoSpaceDN w:val="0"/>
              <w:adjustRightInd w:val="0"/>
              <w:snapToGrid w:val="0"/>
              <w:ind w:left="90"/>
              <w:jc w:val="left"/>
              <w:rPr>
                <w:snapToGrid w:val="0"/>
                <w:kern w:val="22"/>
                <w:szCs w:val="22"/>
              </w:rPr>
            </w:pPr>
            <w:r>
              <w:rPr>
                <w:snapToGrid w:val="0"/>
                <w:kern w:val="22"/>
                <w:szCs w:val="22"/>
              </w:rPr>
              <w:t>Significativo</w:t>
            </w:r>
            <w:r w:rsidR="00855A78" w:rsidRPr="00490BF5">
              <w:rPr>
                <w:snapToGrid w:val="0"/>
                <w:kern w:val="22"/>
                <w:szCs w:val="22"/>
              </w:rPr>
              <w:t xml:space="preserve"> (mar</w:t>
            </w:r>
            <w:r w:rsidR="006431C7">
              <w:rPr>
                <w:snapToGrid w:val="0"/>
                <w:kern w:val="22"/>
                <w:szCs w:val="22"/>
              </w:rPr>
              <w:t xml:space="preserve">cador </w:t>
            </w:r>
            <w:r w:rsidR="00855A78" w:rsidRPr="00490BF5">
              <w:rPr>
                <w:snapToGrid w:val="0"/>
                <w:kern w:val="22"/>
                <w:szCs w:val="22"/>
              </w:rPr>
              <w:t>1)</w:t>
            </w:r>
          </w:p>
        </w:tc>
        <w:tc>
          <w:tcPr>
            <w:tcW w:w="2204" w:type="dxa"/>
            <w:shd w:val="clear" w:color="auto" w:fill="auto"/>
            <w:tcMar>
              <w:top w:w="14" w:type="dxa"/>
              <w:left w:w="115" w:type="dxa"/>
              <w:bottom w:w="14" w:type="dxa"/>
              <w:right w:w="115" w:type="dxa"/>
            </w:tcMar>
          </w:tcPr>
          <w:p w:rsidR="00855A78" w:rsidRPr="00490BF5" w:rsidRDefault="00855A78" w:rsidP="006431C7">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2086</w:t>
            </w:r>
            <w:r w:rsidR="006431C7">
              <w:rPr>
                <w:snapToGrid w:val="0"/>
                <w:kern w:val="22"/>
                <w:szCs w:val="22"/>
              </w:rPr>
              <w:t>,</w:t>
            </w:r>
            <w:r w:rsidRPr="00490BF5">
              <w:rPr>
                <w:snapToGrid w:val="0"/>
                <w:kern w:val="22"/>
                <w:szCs w:val="22"/>
              </w:rPr>
              <w:t>41</w:t>
            </w:r>
          </w:p>
        </w:tc>
        <w:tc>
          <w:tcPr>
            <w:tcW w:w="1776" w:type="dxa"/>
            <w:shd w:val="clear" w:color="auto" w:fill="auto"/>
            <w:tcMar>
              <w:top w:w="14" w:type="dxa"/>
              <w:left w:w="29" w:type="dxa"/>
              <w:bottom w:w="14" w:type="dxa"/>
              <w:right w:w="29" w:type="dxa"/>
            </w:tcMar>
          </w:tcPr>
          <w:p w:rsidR="00855A78" w:rsidRPr="00490BF5" w:rsidRDefault="006431C7" w:rsidP="006431C7">
            <w:pPr>
              <w:suppressLineNumbers/>
              <w:suppressAutoHyphens/>
              <w:kinsoku w:val="0"/>
              <w:overflowPunct w:val="0"/>
              <w:autoSpaceDE w:val="0"/>
              <w:autoSpaceDN w:val="0"/>
              <w:adjustRightInd w:val="0"/>
              <w:snapToGrid w:val="0"/>
              <w:ind w:left="360"/>
              <w:jc w:val="right"/>
              <w:rPr>
                <w:snapToGrid w:val="0"/>
                <w:kern w:val="22"/>
                <w:szCs w:val="22"/>
              </w:rPr>
            </w:pPr>
            <w:r>
              <w:rPr>
                <w:snapToGrid w:val="0"/>
                <w:kern w:val="22"/>
                <w:szCs w:val="22"/>
              </w:rPr>
              <w:t>4</w:t>
            </w:r>
            <w:r w:rsidR="00855A78" w:rsidRPr="00490BF5">
              <w:rPr>
                <w:snapToGrid w:val="0"/>
                <w:kern w:val="22"/>
                <w:szCs w:val="22"/>
              </w:rPr>
              <w:t>327</w:t>
            </w:r>
            <w:r>
              <w:rPr>
                <w:snapToGrid w:val="0"/>
                <w:kern w:val="22"/>
                <w:szCs w:val="22"/>
              </w:rPr>
              <w:t>,</w:t>
            </w:r>
            <w:r w:rsidR="00855A78" w:rsidRPr="00490BF5">
              <w:rPr>
                <w:snapToGrid w:val="0"/>
                <w:kern w:val="22"/>
                <w:szCs w:val="22"/>
              </w:rPr>
              <w:t>41</w:t>
            </w:r>
          </w:p>
        </w:tc>
        <w:tc>
          <w:tcPr>
            <w:tcW w:w="1776" w:type="dxa"/>
            <w:shd w:val="clear" w:color="auto" w:fill="auto"/>
            <w:tcMar>
              <w:top w:w="14" w:type="dxa"/>
              <w:left w:w="29" w:type="dxa"/>
              <w:bottom w:w="14" w:type="dxa"/>
              <w:right w:w="29" w:type="dxa"/>
            </w:tcMar>
          </w:tcPr>
          <w:p w:rsidR="00855A78" w:rsidRPr="00490BF5" w:rsidRDefault="00855A78" w:rsidP="006431C7">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3870</w:t>
            </w:r>
            <w:r w:rsidR="006431C7">
              <w:rPr>
                <w:snapToGrid w:val="0"/>
                <w:kern w:val="22"/>
                <w:szCs w:val="22"/>
              </w:rPr>
              <w:t>,</w:t>
            </w:r>
            <w:r w:rsidRPr="00490BF5">
              <w:rPr>
                <w:snapToGrid w:val="0"/>
                <w:kern w:val="22"/>
                <w:szCs w:val="22"/>
              </w:rPr>
              <w:t>26</w:t>
            </w:r>
          </w:p>
        </w:tc>
        <w:tc>
          <w:tcPr>
            <w:tcW w:w="1536" w:type="dxa"/>
            <w:shd w:val="clear" w:color="auto" w:fill="auto"/>
            <w:tcMar>
              <w:top w:w="14" w:type="dxa"/>
              <w:left w:w="29" w:type="dxa"/>
              <w:bottom w:w="14" w:type="dxa"/>
              <w:right w:w="29" w:type="dxa"/>
            </w:tcMar>
          </w:tcPr>
          <w:p w:rsidR="00855A78" w:rsidRPr="00490BF5" w:rsidRDefault="00855A78" w:rsidP="006431C7">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4624</w:t>
            </w:r>
            <w:r w:rsidR="006431C7">
              <w:rPr>
                <w:snapToGrid w:val="0"/>
                <w:kern w:val="22"/>
                <w:szCs w:val="22"/>
              </w:rPr>
              <w:t>,</w:t>
            </w:r>
            <w:r w:rsidRPr="00490BF5">
              <w:rPr>
                <w:snapToGrid w:val="0"/>
                <w:kern w:val="22"/>
                <w:szCs w:val="22"/>
              </w:rPr>
              <w:t>80</w:t>
            </w:r>
          </w:p>
        </w:tc>
      </w:tr>
      <w:tr w:rsidR="00855A78" w:rsidRPr="000D1E7C" w:rsidTr="007F6CCC">
        <w:tc>
          <w:tcPr>
            <w:tcW w:w="9418" w:type="dxa"/>
            <w:gridSpan w:val="5"/>
            <w:shd w:val="clear" w:color="auto" w:fill="auto"/>
            <w:tcMar>
              <w:top w:w="14" w:type="dxa"/>
              <w:left w:w="29" w:type="dxa"/>
              <w:bottom w:w="14" w:type="dxa"/>
              <w:right w:w="29" w:type="dxa"/>
            </w:tcMar>
          </w:tcPr>
          <w:p w:rsidR="00855A78" w:rsidRPr="006431C7" w:rsidRDefault="00CE1A84" w:rsidP="00490BF5">
            <w:pPr>
              <w:suppressLineNumbers/>
              <w:suppressAutoHyphens/>
              <w:kinsoku w:val="0"/>
              <w:overflowPunct w:val="0"/>
              <w:autoSpaceDE w:val="0"/>
              <w:autoSpaceDN w:val="0"/>
              <w:adjustRightInd w:val="0"/>
              <w:snapToGrid w:val="0"/>
              <w:ind w:left="360"/>
              <w:rPr>
                <w:bCs/>
                <w:iCs/>
                <w:snapToGrid w:val="0"/>
                <w:kern w:val="22"/>
                <w:szCs w:val="22"/>
                <w:lang w:val="es-ES"/>
              </w:rPr>
            </w:pPr>
            <w:r w:rsidRPr="006431C7">
              <w:rPr>
                <w:bCs/>
                <w:i/>
                <w:snapToGrid w:val="0"/>
                <w:kern w:val="22"/>
                <w:szCs w:val="22"/>
                <w:lang w:val="es-ES"/>
              </w:rPr>
              <w:t>Not</w:t>
            </w:r>
            <w:r w:rsidR="006431C7" w:rsidRPr="006431C7">
              <w:rPr>
                <w:bCs/>
                <w:i/>
                <w:snapToGrid w:val="0"/>
                <w:kern w:val="22"/>
                <w:szCs w:val="22"/>
                <w:lang w:val="es-ES"/>
              </w:rPr>
              <w:t>a</w:t>
            </w:r>
            <w:r w:rsidRPr="006431C7">
              <w:rPr>
                <w:bCs/>
                <w:iCs/>
                <w:snapToGrid w:val="0"/>
                <w:kern w:val="22"/>
                <w:szCs w:val="22"/>
                <w:lang w:val="es-ES"/>
              </w:rPr>
              <w:t xml:space="preserve">: </w:t>
            </w:r>
            <w:r w:rsidR="006431C7" w:rsidRPr="006431C7">
              <w:rPr>
                <w:bCs/>
                <w:iCs/>
                <w:snapToGrid w:val="0"/>
                <w:kern w:val="22"/>
                <w:szCs w:val="22"/>
                <w:lang w:val="es-ES"/>
              </w:rPr>
              <w:t>Los compromisos son en millones de dólares estadounidenses actuales</w:t>
            </w:r>
          </w:p>
          <w:p w:rsidR="00855A78" w:rsidRPr="006431C7" w:rsidRDefault="006431C7" w:rsidP="006431C7">
            <w:pPr>
              <w:suppressLineNumbers/>
              <w:suppressAutoHyphens/>
              <w:kinsoku w:val="0"/>
              <w:overflowPunct w:val="0"/>
              <w:autoSpaceDE w:val="0"/>
              <w:autoSpaceDN w:val="0"/>
              <w:adjustRightInd w:val="0"/>
              <w:snapToGrid w:val="0"/>
              <w:ind w:left="360"/>
              <w:rPr>
                <w:snapToGrid w:val="0"/>
                <w:kern w:val="22"/>
                <w:szCs w:val="22"/>
                <w:lang w:val="es-ES"/>
              </w:rPr>
            </w:pPr>
            <w:r w:rsidRPr="006431C7">
              <w:rPr>
                <w:bCs/>
                <w:i/>
                <w:snapToGrid w:val="0"/>
                <w:kern w:val="22"/>
                <w:szCs w:val="22"/>
                <w:lang w:val="es-ES"/>
              </w:rPr>
              <w:t>Fuente</w:t>
            </w:r>
            <w:r w:rsidR="00855A78" w:rsidRPr="006431C7">
              <w:rPr>
                <w:bCs/>
                <w:i/>
                <w:snapToGrid w:val="0"/>
                <w:kern w:val="22"/>
                <w:szCs w:val="22"/>
                <w:lang w:val="es-ES"/>
              </w:rPr>
              <w:t>:</w:t>
            </w:r>
            <w:r w:rsidR="00855A78" w:rsidRPr="006431C7">
              <w:rPr>
                <w:bCs/>
                <w:iCs/>
                <w:snapToGrid w:val="0"/>
                <w:kern w:val="22"/>
                <w:szCs w:val="22"/>
                <w:lang w:val="es-ES"/>
              </w:rPr>
              <w:t xml:space="preserve"> </w:t>
            </w:r>
            <w:r w:rsidRPr="006431C7">
              <w:rPr>
                <w:bCs/>
                <w:iCs/>
                <w:snapToGrid w:val="0"/>
                <w:kern w:val="22"/>
                <w:szCs w:val="22"/>
                <w:lang w:val="es-ES"/>
              </w:rPr>
              <w:t xml:space="preserve">Base de datos del Sistema de </w:t>
            </w:r>
            <w:r>
              <w:rPr>
                <w:snapToGrid w:val="0"/>
                <w:kern w:val="22"/>
                <w:szCs w:val="22"/>
                <w:lang w:val="es-ES"/>
              </w:rPr>
              <w:t>notificación del acreedor </w:t>
            </w:r>
            <w:r w:rsidRPr="006431C7">
              <w:rPr>
                <w:bCs/>
                <w:iCs/>
                <w:snapToGrid w:val="0"/>
                <w:kern w:val="22"/>
                <w:szCs w:val="22"/>
                <w:lang w:val="es-ES"/>
              </w:rPr>
              <w:t xml:space="preserve"> </w:t>
            </w:r>
            <w:r>
              <w:rPr>
                <w:bCs/>
                <w:iCs/>
                <w:snapToGrid w:val="0"/>
                <w:kern w:val="22"/>
                <w:szCs w:val="22"/>
                <w:lang w:val="es-ES"/>
              </w:rPr>
              <w:t>de la OCDE</w:t>
            </w:r>
          </w:p>
        </w:tc>
      </w:tr>
    </w:tbl>
    <w:p w:rsidR="00855A78" w:rsidRPr="001E4F0A" w:rsidRDefault="007F6CCC" w:rsidP="00490BF5">
      <w:pPr>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lang w:val="es-ES"/>
        </w:rPr>
      </w:pPr>
      <w:r>
        <w:rPr>
          <w:snapToGrid w:val="0"/>
          <w:kern w:val="22"/>
          <w:szCs w:val="22"/>
          <w:lang w:val="es-ES"/>
        </w:rPr>
        <w:lastRenderedPageBreak/>
        <w:t>Dado el carácter cualitativo de los Marcadores de Río, las Partes han adoptado en su presentación de informes financieros en virtud del Convenio distintos enfoques sobre cómo agregar cifras en los flujos de recursos que estén relacionados directamente con la diversidad biológica y aquellos que lo estén indirectamente, utilizando los marcadores “principales” y “significativos” como base</w:t>
      </w:r>
      <w:r w:rsidR="00855A78" w:rsidRPr="007F6CCC">
        <w:rPr>
          <w:snapToGrid w:val="0"/>
          <w:kern w:val="22"/>
          <w:szCs w:val="22"/>
          <w:lang w:val="es-ES"/>
        </w:rPr>
        <w:t xml:space="preserve">. </w:t>
      </w:r>
      <w:r w:rsidR="001E4F0A" w:rsidRPr="001E4F0A">
        <w:rPr>
          <w:snapToGrid w:val="0"/>
          <w:kern w:val="22"/>
          <w:szCs w:val="22"/>
          <w:lang w:val="es-ES"/>
        </w:rPr>
        <w:t>Por ejemplo</w:t>
      </w:r>
      <w:r w:rsidR="00855A78" w:rsidRPr="001E4F0A">
        <w:rPr>
          <w:snapToGrid w:val="0"/>
          <w:kern w:val="22"/>
          <w:szCs w:val="22"/>
          <w:lang w:val="es-ES"/>
        </w:rPr>
        <w:t xml:space="preserve">, </w:t>
      </w:r>
      <w:r w:rsidR="001E4F0A" w:rsidRPr="001E4F0A">
        <w:rPr>
          <w:snapToGrid w:val="0"/>
          <w:kern w:val="22"/>
          <w:szCs w:val="22"/>
          <w:lang w:val="es-ES"/>
        </w:rPr>
        <w:t xml:space="preserve">mientras que algunas Partes </w:t>
      </w:r>
      <w:r w:rsidR="001E4F0A">
        <w:rPr>
          <w:kern w:val="22"/>
          <w:szCs w:val="22"/>
          <w:lang w:val="es-ES"/>
        </w:rPr>
        <w:t>cuentan tanto las cifras marcadas como “principales” y como “significativas” con el 100 %</w:t>
      </w:r>
      <w:r w:rsidR="00855A78" w:rsidRPr="001E4F0A">
        <w:rPr>
          <w:snapToGrid w:val="0"/>
          <w:kern w:val="22"/>
          <w:szCs w:val="22"/>
          <w:lang w:val="es-ES"/>
        </w:rPr>
        <w:t xml:space="preserve"> (</w:t>
      </w:r>
      <w:r w:rsidR="001E4F0A">
        <w:rPr>
          <w:snapToGrid w:val="0"/>
          <w:kern w:val="22"/>
          <w:szCs w:val="22"/>
          <w:lang w:val="es-ES"/>
        </w:rPr>
        <w:t>p</w:t>
      </w:r>
      <w:r w:rsidR="00855A78" w:rsidRPr="001E4F0A">
        <w:rPr>
          <w:snapToGrid w:val="0"/>
          <w:kern w:val="22"/>
          <w:szCs w:val="22"/>
          <w:lang w:val="es-ES"/>
        </w:rPr>
        <w:t>.</w:t>
      </w:r>
      <w:r w:rsidR="001E4F0A">
        <w:rPr>
          <w:snapToGrid w:val="0"/>
          <w:kern w:val="22"/>
          <w:szCs w:val="22"/>
          <w:lang w:val="es-ES"/>
        </w:rPr>
        <w:t xml:space="preserve"> ej., Nueva Ze</w:t>
      </w:r>
      <w:r w:rsidR="00855A78" w:rsidRPr="001E4F0A">
        <w:rPr>
          <w:snapToGrid w:val="0"/>
          <w:kern w:val="22"/>
          <w:szCs w:val="22"/>
          <w:lang w:val="es-ES"/>
        </w:rPr>
        <w:t>land</w:t>
      </w:r>
      <w:r w:rsidR="001E4F0A">
        <w:rPr>
          <w:snapToGrid w:val="0"/>
          <w:kern w:val="22"/>
          <w:szCs w:val="22"/>
          <w:lang w:val="es-ES"/>
        </w:rPr>
        <w:t>a</w:t>
      </w:r>
      <w:r w:rsidR="00855A78" w:rsidRPr="001E4F0A">
        <w:rPr>
          <w:snapToGrid w:val="0"/>
          <w:kern w:val="22"/>
          <w:szCs w:val="22"/>
          <w:lang w:val="es-ES"/>
        </w:rPr>
        <w:t>), ot</w:t>
      </w:r>
      <w:r w:rsidR="001E4F0A">
        <w:rPr>
          <w:snapToGrid w:val="0"/>
          <w:kern w:val="22"/>
          <w:szCs w:val="22"/>
          <w:lang w:val="es-ES"/>
        </w:rPr>
        <w:t xml:space="preserve">ras utilizan un </w:t>
      </w:r>
      <w:r w:rsidR="006C7A96" w:rsidRPr="001E4F0A">
        <w:rPr>
          <w:snapToGrid w:val="0"/>
          <w:kern w:val="22"/>
          <w:szCs w:val="22"/>
          <w:lang w:val="es-ES"/>
        </w:rPr>
        <w:t>“</w:t>
      </w:r>
      <w:r w:rsidR="001E4F0A">
        <w:rPr>
          <w:snapToGrid w:val="0"/>
          <w:kern w:val="22"/>
          <w:szCs w:val="22"/>
          <w:lang w:val="es-ES"/>
        </w:rPr>
        <w:t>factor de descuento</w:t>
      </w:r>
      <w:r w:rsidR="006C7A96" w:rsidRPr="001E4F0A">
        <w:rPr>
          <w:snapToGrid w:val="0"/>
          <w:kern w:val="22"/>
          <w:szCs w:val="22"/>
          <w:lang w:val="es-ES"/>
        </w:rPr>
        <w:t>”</w:t>
      </w:r>
      <w:r w:rsidR="00855A78" w:rsidRPr="001E4F0A">
        <w:rPr>
          <w:snapToGrid w:val="0"/>
          <w:kern w:val="22"/>
          <w:szCs w:val="22"/>
          <w:lang w:val="es-ES"/>
        </w:rPr>
        <w:t xml:space="preserve"> </w:t>
      </w:r>
      <w:r w:rsidR="001E4F0A">
        <w:rPr>
          <w:snapToGrid w:val="0"/>
          <w:kern w:val="22"/>
          <w:szCs w:val="22"/>
          <w:lang w:val="es-ES"/>
        </w:rPr>
        <w:t>y</w:t>
      </w:r>
      <w:r w:rsidR="00855A78" w:rsidRPr="001E4F0A">
        <w:rPr>
          <w:snapToGrid w:val="0"/>
          <w:kern w:val="22"/>
          <w:szCs w:val="22"/>
          <w:lang w:val="es-ES"/>
        </w:rPr>
        <w:t xml:space="preserve"> </w:t>
      </w:r>
      <w:r w:rsidR="001E4F0A">
        <w:rPr>
          <w:snapToGrid w:val="0"/>
          <w:kern w:val="22"/>
          <w:szCs w:val="22"/>
          <w:lang w:val="es-ES"/>
        </w:rPr>
        <w:t>cuentan los fondos marcados como</w:t>
      </w:r>
      <w:r w:rsidR="00855A78" w:rsidRPr="001E4F0A">
        <w:rPr>
          <w:snapToGrid w:val="0"/>
          <w:kern w:val="22"/>
          <w:szCs w:val="22"/>
          <w:lang w:val="es-ES"/>
        </w:rPr>
        <w:t xml:space="preserve"> </w:t>
      </w:r>
      <w:r w:rsidR="006C7A96" w:rsidRPr="001E4F0A">
        <w:rPr>
          <w:snapToGrid w:val="0"/>
          <w:kern w:val="22"/>
          <w:szCs w:val="22"/>
          <w:lang w:val="es-ES"/>
        </w:rPr>
        <w:t>“</w:t>
      </w:r>
      <w:r w:rsidR="001E4F0A">
        <w:rPr>
          <w:snapToGrid w:val="0"/>
          <w:kern w:val="22"/>
          <w:szCs w:val="22"/>
          <w:lang w:val="es-ES"/>
        </w:rPr>
        <w:t>significativos</w:t>
      </w:r>
      <w:r w:rsidR="006C7A96" w:rsidRPr="001E4F0A">
        <w:rPr>
          <w:snapToGrid w:val="0"/>
          <w:kern w:val="22"/>
          <w:szCs w:val="22"/>
          <w:lang w:val="es-ES"/>
        </w:rPr>
        <w:t>”</w:t>
      </w:r>
      <w:r w:rsidR="00855A78" w:rsidRPr="001E4F0A">
        <w:rPr>
          <w:snapToGrid w:val="0"/>
          <w:kern w:val="22"/>
          <w:szCs w:val="22"/>
          <w:lang w:val="es-ES"/>
        </w:rPr>
        <w:t xml:space="preserve"> </w:t>
      </w:r>
      <w:r w:rsidR="001E4F0A">
        <w:rPr>
          <w:snapToGrid w:val="0"/>
          <w:kern w:val="22"/>
          <w:szCs w:val="22"/>
          <w:lang w:val="es-ES"/>
        </w:rPr>
        <w:t>con una cuota porcentual inferior, por ejemplo, el</w:t>
      </w:r>
      <w:r w:rsidR="00855A78" w:rsidRPr="001E4F0A">
        <w:rPr>
          <w:snapToGrid w:val="0"/>
          <w:kern w:val="22"/>
          <w:szCs w:val="22"/>
          <w:lang w:val="es-ES"/>
        </w:rPr>
        <w:t xml:space="preserve"> 40</w:t>
      </w:r>
      <w:r w:rsidR="006A0651" w:rsidRPr="001E4F0A">
        <w:rPr>
          <w:snapToGrid w:val="0"/>
          <w:kern w:val="22"/>
          <w:szCs w:val="22"/>
          <w:lang w:val="es-ES"/>
        </w:rPr>
        <w:t> </w:t>
      </w:r>
      <w:r w:rsidR="001E4F0A">
        <w:rPr>
          <w:snapToGrid w:val="0"/>
          <w:kern w:val="22"/>
          <w:szCs w:val="22"/>
          <w:lang w:val="es-ES"/>
        </w:rPr>
        <w:t>%</w:t>
      </w:r>
      <w:r w:rsidR="00855A78" w:rsidRPr="001E4F0A">
        <w:rPr>
          <w:snapToGrid w:val="0"/>
          <w:kern w:val="22"/>
          <w:szCs w:val="22"/>
          <w:lang w:val="es-ES"/>
        </w:rPr>
        <w:t xml:space="preserve"> (</w:t>
      </w:r>
      <w:r w:rsidR="001E4F0A">
        <w:rPr>
          <w:snapToGrid w:val="0"/>
          <w:kern w:val="22"/>
          <w:szCs w:val="22"/>
          <w:lang w:val="es-ES"/>
        </w:rPr>
        <w:t xml:space="preserve">España, Grecia, Suecia, Suiza, Unión </w:t>
      </w:r>
      <w:r w:rsidR="00855A78" w:rsidRPr="001E4F0A">
        <w:rPr>
          <w:snapToGrid w:val="0"/>
          <w:kern w:val="22"/>
          <w:szCs w:val="22"/>
          <w:lang w:val="es-ES"/>
        </w:rPr>
        <w:t>Europe</w:t>
      </w:r>
      <w:r w:rsidR="001E4F0A">
        <w:rPr>
          <w:snapToGrid w:val="0"/>
          <w:kern w:val="22"/>
          <w:szCs w:val="22"/>
          <w:lang w:val="es-ES"/>
        </w:rPr>
        <w:t>a)</w:t>
      </w:r>
      <w:r w:rsidR="00855A78" w:rsidRPr="001E4F0A">
        <w:rPr>
          <w:snapToGrid w:val="0"/>
          <w:kern w:val="22"/>
          <w:szCs w:val="22"/>
          <w:lang w:val="es-ES"/>
        </w:rPr>
        <w:t xml:space="preserve"> o</w:t>
      </w:r>
      <w:r w:rsidR="001E4F0A">
        <w:rPr>
          <w:snapToGrid w:val="0"/>
          <w:kern w:val="22"/>
          <w:szCs w:val="22"/>
          <w:lang w:val="es-ES"/>
        </w:rPr>
        <w:t xml:space="preserve"> el </w:t>
      </w:r>
      <w:r w:rsidR="00855A78" w:rsidRPr="001E4F0A">
        <w:rPr>
          <w:snapToGrid w:val="0"/>
          <w:kern w:val="22"/>
          <w:szCs w:val="22"/>
          <w:lang w:val="es-ES"/>
        </w:rPr>
        <w:t>50</w:t>
      </w:r>
      <w:r w:rsidR="006A0651" w:rsidRPr="001E4F0A">
        <w:rPr>
          <w:snapToGrid w:val="0"/>
          <w:kern w:val="22"/>
          <w:szCs w:val="22"/>
          <w:lang w:val="es-ES"/>
        </w:rPr>
        <w:t> </w:t>
      </w:r>
      <w:r w:rsidR="001E4F0A">
        <w:rPr>
          <w:snapToGrid w:val="0"/>
          <w:kern w:val="22"/>
          <w:szCs w:val="22"/>
          <w:lang w:val="es-ES"/>
        </w:rPr>
        <w:t>%</w:t>
      </w:r>
      <w:r w:rsidR="00855A78" w:rsidRPr="001E4F0A">
        <w:rPr>
          <w:snapToGrid w:val="0"/>
          <w:kern w:val="22"/>
          <w:szCs w:val="22"/>
          <w:lang w:val="es-ES"/>
        </w:rPr>
        <w:t xml:space="preserve"> (Austria</w:t>
      </w:r>
      <w:r w:rsidR="003A75F7" w:rsidRPr="001E4F0A">
        <w:rPr>
          <w:snapToGrid w:val="0"/>
          <w:kern w:val="22"/>
          <w:szCs w:val="22"/>
          <w:lang w:val="es-ES"/>
        </w:rPr>
        <w:t>,</w:t>
      </w:r>
      <w:r w:rsidR="00855A78" w:rsidRPr="001E4F0A">
        <w:rPr>
          <w:snapToGrid w:val="0"/>
          <w:kern w:val="22"/>
          <w:szCs w:val="22"/>
          <w:lang w:val="es-ES"/>
        </w:rPr>
        <w:t xml:space="preserve"> D</w:t>
      </w:r>
      <w:r w:rsidR="001E4F0A">
        <w:rPr>
          <w:snapToGrid w:val="0"/>
          <w:kern w:val="22"/>
          <w:szCs w:val="22"/>
          <w:lang w:val="es-ES"/>
        </w:rPr>
        <w:t>inamarca</w:t>
      </w:r>
      <w:r w:rsidR="00855A78" w:rsidRPr="001E4F0A">
        <w:rPr>
          <w:snapToGrid w:val="0"/>
          <w:kern w:val="22"/>
          <w:szCs w:val="22"/>
          <w:lang w:val="es-ES"/>
        </w:rPr>
        <w:t>)</w:t>
      </w:r>
      <w:r w:rsidR="001E4F0A" w:rsidRPr="001E4F0A">
        <w:rPr>
          <w:rStyle w:val="FootnoteReference"/>
          <w:snapToGrid w:val="0"/>
          <w:kern w:val="22"/>
          <w:szCs w:val="22"/>
          <w:lang w:val="es-ES"/>
        </w:rPr>
        <w:t xml:space="preserve"> </w:t>
      </w:r>
      <w:r w:rsidR="001E4F0A" w:rsidRPr="00490BF5">
        <w:rPr>
          <w:rStyle w:val="FootnoteReference"/>
          <w:snapToGrid w:val="0"/>
          <w:kern w:val="22"/>
          <w:szCs w:val="22"/>
        </w:rPr>
        <w:footnoteReference w:id="10"/>
      </w:r>
      <w:r w:rsidR="00855A78" w:rsidRPr="001E4F0A">
        <w:rPr>
          <w:snapToGrid w:val="0"/>
          <w:kern w:val="22"/>
          <w:szCs w:val="22"/>
          <w:lang w:val="es-ES"/>
        </w:rPr>
        <w:t>.</w:t>
      </w:r>
    </w:p>
    <w:p w:rsidR="00855A78" w:rsidRPr="00BC650F" w:rsidRDefault="00855A78"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lang w:val="es-ES"/>
        </w:rPr>
      </w:pPr>
      <w:r w:rsidRPr="005A180A">
        <w:rPr>
          <w:snapToGrid w:val="0"/>
          <w:kern w:val="22"/>
          <w:szCs w:val="22"/>
          <w:lang w:val="es-ES"/>
        </w:rPr>
        <w:t>Ot</w:t>
      </w:r>
      <w:r w:rsidR="005A180A" w:rsidRPr="005A180A">
        <w:rPr>
          <w:snapToGrid w:val="0"/>
          <w:kern w:val="22"/>
          <w:szCs w:val="22"/>
          <w:lang w:val="es-ES"/>
        </w:rPr>
        <w:t xml:space="preserve">ras aplican </w:t>
      </w:r>
      <w:r w:rsidR="005A180A">
        <w:rPr>
          <w:snapToGrid w:val="0"/>
          <w:kern w:val="22"/>
          <w:szCs w:val="22"/>
          <w:lang w:val="es-ES"/>
        </w:rPr>
        <w:t xml:space="preserve">una serie de coeficientes o cuotas porcentuales, basándose en las evaluaciones específicas por proyectos y en una tabla de orientación. Francia contó el 100 % de los fondos marcados como “principales” y el 5, 30 </w:t>
      </w:r>
      <w:r w:rsidR="00CE3F21">
        <w:rPr>
          <w:snapToGrid w:val="0"/>
          <w:kern w:val="22"/>
          <w:szCs w:val="22"/>
          <w:lang w:val="es-ES"/>
        </w:rPr>
        <w:t>o</w:t>
      </w:r>
      <w:r w:rsidR="005A180A">
        <w:rPr>
          <w:snapToGrid w:val="0"/>
          <w:kern w:val="22"/>
          <w:szCs w:val="22"/>
          <w:lang w:val="es-ES"/>
        </w:rPr>
        <w:t xml:space="preserve"> 80 % de los fondos marcados como “significativos”. Finlandia aplicó cuotas para los fondos “significativos” que variaban entre el 10 y el 50 %, y para los fondos marcados como “principales” que variaban entre el 50 y el 100 %</w:t>
      </w:r>
      <w:r w:rsidRPr="00BC650F">
        <w:rPr>
          <w:snapToGrid w:val="0"/>
          <w:kern w:val="22"/>
          <w:szCs w:val="22"/>
          <w:lang w:val="es-ES"/>
        </w:rPr>
        <w:t>.</w:t>
      </w:r>
    </w:p>
    <w:p w:rsidR="00855A78" w:rsidRPr="00BC650F" w:rsidRDefault="00BC650F" w:rsidP="00490BF5">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lang w:val="es-ES"/>
        </w:rPr>
      </w:pPr>
      <w:r>
        <w:rPr>
          <w:snapToGrid w:val="0"/>
          <w:kern w:val="22"/>
          <w:szCs w:val="22"/>
          <w:lang w:val="es-ES"/>
        </w:rPr>
        <w:t>Para los proyectos que solo están parcialmente relacionados con la diversidad biológica (marcador 1), Alemania desglosa además y cuenta el 100 % solo a aquellos componentes sectoriales que están relacionados directamente con la diversidad biológica</w:t>
      </w:r>
      <w:r w:rsidR="00855A78" w:rsidRPr="00BC650F">
        <w:rPr>
          <w:snapToGrid w:val="0"/>
          <w:kern w:val="22"/>
          <w:szCs w:val="22"/>
          <w:lang w:val="es-ES"/>
        </w:rPr>
        <w:t xml:space="preserve">. </w:t>
      </w:r>
      <w:r>
        <w:rPr>
          <w:snapToGrid w:val="0"/>
          <w:kern w:val="22"/>
          <w:szCs w:val="22"/>
          <w:lang w:val="es-ES"/>
        </w:rPr>
        <w:t>Eslovaquia utiliza de igual modo criterios de identificación más estrictos para los proyectos o las actividades relevantes para la diversidad biológica</w:t>
      </w:r>
      <w:r w:rsidR="00855A78" w:rsidRPr="00BC650F">
        <w:rPr>
          <w:snapToGrid w:val="0"/>
          <w:kern w:val="22"/>
          <w:szCs w:val="22"/>
          <w:lang w:val="es-ES"/>
        </w:rPr>
        <w:t>.</w:t>
      </w:r>
    </w:p>
    <w:p w:rsidR="00855A78" w:rsidRPr="00490BF5" w:rsidRDefault="00197333"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Pr>
          <w:snapToGrid w:val="0"/>
          <w:kern w:val="22"/>
          <w:szCs w:val="22"/>
          <w:lang w:val="es-ES"/>
        </w:rPr>
        <w:t>Sobre las medidas adoptadas para alentar al sector privado, así como a ONG, fundaciones e instituciones académicas a brindar apoyo internacional para aplicar el Plan Estratégico para la Diversidad Biológica 2011-2020, 52 Partes proporcionaron una respuesta, de las cuales 24 países informaron que no se habían adoptado medidas, mientras que 27 Partes indicaron que se habían adoptado algunas medidas y los Países Bajos indicaron que se habían adoptado medidas exhaustivas. Un total de 23 Partes señalaron ejemplos concretos de iniciativas y actividades importantes, incluso en el contexto de iniciativas nacionales sobre negocios y diversidad biológica, a las cuales se puede acceder directamente en</w:t>
      </w:r>
      <w:r w:rsidR="00855A78" w:rsidRPr="00197333">
        <w:rPr>
          <w:snapToGrid w:val="0"/>
          <w:kern w:val="22"/>
          <w:szCs w:val="22"/>
          <w:lang w:val="es-ES"/>
        </w:rPr>
        <w:t xml:space="preserve"> </w:t>
      </w:r>
      <w:hyperlink r:id="rId15" w:history="1">
        <w:r w:rsidR="00855A78" w:rsidRPr="00197333">
          <w:rPr>
            <w:rStyle w:val="Hyperlink"/>
            <w:snapToGrid w:val="0"/>
            <w:kern w:val="22"/>
            <w:sz w:val="22"/>
            <w:szCs w:val="22"/>
            <w:lang w:val="es-ES"/>
          </w:rPr>
          <w:t>https://chm.cbd.int/search/financial-analyzer</w:t>
        </w:r>
      </w:hyperlink>
      <w:r w:rsidR="00855A78" w:rsidRPr="00197333">
        <w:rPr>
          <w:snapToGrid w:val="0"/>
          <w:kern w:val="22"/>
          <w:szCs w:val="22"/>
          <w:lang w:val="es-ES"/>
        </w:rPr>
        <w:t xml:space="preserve">. </w:t>
      </w:r>
      <w:r>
        <w:rPr>
          <w:snapToGrid w:val="0"/>
          <w:kern w:val="22"/>
          <w:szCs w:val="22"/>
          <w:lang w:val="es-ES"/>
        </w:rPr>
        <w:t>Unos cuantos ejemplo</w:t>
      </w:r>
      <w:r w:rsidR="00CE3F21">
        <w:rPr>
          <w:snapToGrid w:val="0"/>
          <w:kern w:val="22"/>
          <w:szCs w:val="22"/>
          <w:lang w:val="es-ES"/>
        </w:rPr>
        <w:t>s son</w:t>
      </w:r>
      <w:r w:rsidR="00855A78" w:rsidRPr="00490BF5">
        <w:rPr>
          <w:snapToGrid w:val="0"/>
          <w:kern w:val="22"/>
          <w:szCs w:val="22"/>
        </w:rPr>
        <w:t>:</w:t>
      </w:r>
    </w:p>
    <w:p w:rsidR="00855A78" w:rsidRPr="00510A50" w:rsidRDefault="00510A50"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Pr>
          <w:snapToGrid w:val="0"/>
          <w:kern w:val="22"/>
          <w:szCs w:val="22"/>
          <w:lang w:val="es-ES"/>
        </w:rPr>
        <w:t>l</w:t>
      </w:r>
      <w:r w:rsidRPr="00510A50">
        <w:rPr>
          <w:snapToGrid w:val="0"/>
          <w:kern w:val="22"/>
          <w:szCs w:val="22"/>
          <w:lang w:val="es-ES"/>
        </w:rPr>
        <w:t>os</w:t>
      </w:r>
      <w:r>
        <w:rPr>
          <w:snapToGrid w:val="0"/>
          <w:kern w:val="22"/>
          <w:szCs w:val="22"/>
          <w:lang w:val="es-ES"/>
        </w:rPr>
        <w:t xml:space="preserve"> Países Bajos señalaron que el enfoque de Zonas de conservación verificadas, desarrollado con su apoyo, tiene como fin movilizar la financiación del sector privado para la conservación y la utilización sostenible de la diversidad biológica, y también hicieron referencia a la Iniciativa de Comercio Sostenible (IDH), en colaboración con la Corporación Financiera Internacional (CFI), así como con su apoyo a la </w:t>
      </w:r>
      <w:r>
        <w:rPr>
          <w:lang w:val="es-ES"/>
        </w:rPr>
        <w:t>asociación de Contabilidad de la Riqueza y Valoración de los Servicios de los Ecosistemas (WAVES, por sus siglas en inglés</w:t>
      </w:r>
      <w:r w:rsidRPr="00510A50">
        <w:rPr>
          <w:snapToGrid w:val="0"/>
          <w:kern w:val="22"/>
          <w:szCs w:val="22"/>
          <w:lang w:val="es-ES"/>
        </w:rPr>
        <w:t>)</w:t>
      </w:r>
      <w:r w:rsidR="00855A78" w:rsidRPr="00510A50">
        <w:rPr>
          <w:snapToGrid w:val="0"/>
          <w:kern w:val="22"/>
          <w:szCs w:val="22"/>
          <w:lang w:val="es-ES"/>
        </w:rPr>
        <w:t>;</w:t>
      </w:r>
    </w:p>
    <w:p w:rsidR="00855A78" w:rsidRPr="008A6AB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8A6AB5">
        <w:rPr>
          <w:snapToGrid w:val="0"/>
          <w:kern w:val="22"/>
          <w:szCs w:val="22"/>
          <w:lang w:val="es-ES"/>
        </w:rPr>
        <w:t>Canad</w:t>
      </w:r>
      <w:r w:rsidR="00510A50" w:rsidRPr="008A6AB5">
        <w:rPr>
          <w:snapToGrid w:val="0"/>
          <w:kern w:val="22"/>
          <w:szCs w:val="22"/>
          <w:lang w:val="es-ES"/>
        </w:rPr>
        <w:t>á</w:t>
      </w:r>
      <w:r w:rsidRPr="008A6AB5">
        <w:rPr>
          <w:snapToGrid w:val="0"/>
          <w:kern w:val="22"/>
          <w:szCs w:val="22"/>
          <w:lang w:val="es-ES"/>
        </w:rPr>
        <w:t xml:space="preserve"> </w:t>
      </w:r>
      <w:r w:rsidR="00510A50" w:rsidRPr="008A6AB5">
        <w:rPr>
          <w:snapToGrid w:val="0"/>
          <w:kern w:val="22"/>
          <w:szCs w:val="22"/>
          <w:lang w:val="es-ES"/>
        </w:rPr>
        <w:t xml:space="preserve">hizo referencia a la labor pertinente del Consejo Canadiense </w:t>
      </w:r>
      <w:r w:rsidR="008A6AB5" w:rsidRPr="008A6AB5">
        <w:rPr>
          <w:snapToGrid w:val="0"/>
          <w:kern w:val="22"/>
          <w:szCs w:val="22"/>
          <w:lang w:val="es-ES"/>
        </w:rPr>
        <w:t>de Biodiversidad y Empresas (</w:t>
      </w:r>
      <w:r w:rsidRPr="008A6AB5">
        <w:rPr>
          <w:snapToGrid w:val="0"/>
          <w:kern w:val="22"/>
          <w:szCs w:val="22"/>
          <w:lang w:val="es-ES"/>
        </w:rPr>
        <w:t>CBBC</w:t>
      </w:r>
      <w:r w:rsidR="008A6AB5" w:rsidRPr="008A6AB5">
        <w:rPr>
          <w:snapToGrid w:val="0"/>
          <w:kern w:val="22"/>
          <w:szCs w:val="22"/>
          <w:lang w:val="es-ES"/>
        </w:rPr>
        <w:t>, por sus siglas en inglés</w:t>
      </w:r>
      <w:r w:rsidRPr="008A6AB5">
        <w:rPr>
          <w:snapToGrid w:val="0"/>
          <w:kern w:val="22"/>
          <w:szCs w:val="22"/>
          <w:lang w:val="es-ES"/>
        </w:rPr>
        <w:t xml:space="preserve">), </w:t>
      </w:r>
      <w:r w:rsidR="008A6AB5" w:rsidRPr="008A6AB5">
        <w:rPr>
          <w:snapToGrid w:val="0"/>
          <w:kern w:val="22"/>
          <w:szCs w:val="22"/>
          <w:lang w:val="es-ES"/>
        </w:rPr>
        <w:t xml:space="preserve">del Instituto </w:t>
      </w:r>
      <w:r w:rsidRPr="008A6AB5">
        <w:rPr>
          <w:snapToGrid w:val="0"/>
          <w:kern w:val="22"/>
          <w:szCs w:val="22"/>
          <w:lang w:val="es-ES"/>
        </w:rPr>
        <w:t xml:space="preserve">Jane Goodall </w:t>
      </w:r>
      <w:r w:rsidR="008A6AB5" w:rsidRPr="008A6AB5">
        <w:rPr>
          <w:snapToGrid w:val="0"/>
          <w:kern w:val="22"/>
          <w:szCs w:val="22"/>
          <w:lang w:val="es-ES"/>
        </w:rPr>
        <w:t xml:space="preserve">de </w:t>
      </w:r>
      <w:r w:rsidRPr="008A6AB5">
        <w:rPr>
          <w:snapToGrid w:val="0"/>
          <w:kern w:val="22"/>
          <w:szCs w:val="22"/>
          <w:lang w:val="es-ES"/>
        </w:rPr>
        <w:t>Canad</w:t>
      </w:r>
      <w:r w:rsidR="008A6AB5" w:rsidRPr="008A6AB5">
        <w:rPr>
          <w:snapToGrid w:val="0"/>
          <w:kern w:val="22"/>
          <w:szCs w:val="22"/>
          <w:lang w:val="es-ES"/>
        </w:rPr>
        <w:t>á</w:t>
      </w:r>
      <w:r w:rsidRPr="008A6AB5">
        <w:rPr>
          <w:snapToGrid w:val="0"/>
          <w:kern w:val="22"/>
          <w:szCs w:val="22"/>
          <w:lang w:val="es-ES"/>
        </w:rPr>
        <w:t xml:space="preserve">, </w:t>
      </w:r>
      <w:r w:rsidR="008A6AB5" w:rsidRPr="008A6AB5">
        <w:rPr>
          <w:snapToGrid w:val="0"/>
          <w:kern w:val="22"/>
          <w:szCs w:val="22"/>
          <w:lang w:val="es-ES"/>
        </w:rPr>
        <w:t xml:space="preserve">que había creado </w:t>
      </w:r>
      <w:r w:rsidR="008A6AB5">
        <w:rPr>
          <w:snapToGrid w:val="0"/>
          <w:kern w:val="22"/>
          <w:szCs w:val="22"/>
          <w:lang w:val="es-ES"/>
        </w:rPr>
        <w:t>becas centradas en África para niñas</w:t>
      </w:r>
      <w:r w:rsidRPr="008A6AB5">
        <w:rPr>
          <w:snapToGrid w:val="0"/>
          <w:kern w:val="22"/>
          <w:szCs w:val="22"/>
          <w:lang w:val="es-ES"/>
        </w:rPr>
        <w:t>, microcr</w:t>
      </w:r>
      <w:r w:rsidR="008A6AB5">
        <w:rPr>
          <w:snapToGrid w:val="0"/>
          <w:kern w:val="22"/>
          <w:szCs w:val="22"/>
          <w:lang w:val="es-ES"/>
        </w:rPr>
        <w:t>éditos para iniciativas empresariales sostenibles locales</w:t>
      </w:r>
      <w:r w:rsidRPr="008A6AB5">
        <w:rPr>
          <w:snapToGrid w:val="0"/>
          <w:kern w:val="22"/>
          <w:szCs w:val="22"/>
          <w:lang w:val="es-ES"/>
        </w:rPr>
        <w:t xml:space="preserve">, </w:t>
      </w:r>
      <w:r w:rsidR="008A6AB5">
        <w:rPr>
          <w:snapToGrid w:val="0"/>
          <w:kern w:val="22"/>
          <w:szCs w:val="22"/>
          <w:lang w:val="es-ES"/>
        </w:rPr>
        <w:t>programas de educación y formación sobre la conservación de la vida silvestre y varias iniciativas internacionales lideradas por universidades canadienses</w:t>
      </w:r>
      <w:r w:rsidR="006E604B" w:rsidRPr="008A6AB5">
        <w:rPr>
          <w:snapToGrid w:val="0"/>
          <w:kern w:val="22"/>
          <w:szCs w:val="22"/>
          <w:lang w:val="es-ES"/>
        </w:rPr>
        <w:t>;</w:t>
      </w:r>
    </w:p>
    <w:p w:rsidR="00855A78" w:rsidRPr="008A6AB5" w:rsidRDefault="00855A78" w:rsidP="00490BF5">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8A6AB5">
        <w:rPr>
          <w:snapToGrid w:val="0"/>
          <w:kern w:val="22"/>
          <w:szCs w:val="22"/>
          <w:lang w:val="es-ES"/>
        </w:rPr>
        <w:t xml:space="preserve">China </w:t>
      </w:r>
      <w:r w:rsidR="008A6AB5" w:rsidRPr="008A6AB5">
        <w:rPr>
          <w:snapToGrid w:val="0"/>
          <w:kern w:val="22"/>
          <w:szCs w:val="22"/>
          <w:lang w:val="es-ES"/>
        </w:rPr>
        <w:t>se refirió a una serie de normas y directrices voluntarias para las inversiones y</w:t>
      </w:r>
      <w:r w:rsidR="00CE3F21">
        <w:rPr>
          <w:snapToGrid w:val="0"/>
          <w:kern w:val="22"/>
          <w:szCs w:val="22"/>
          <w:lang w:val="es-ES"/>
        </w:rPr>
        <w:t xml:space="preserve"> </w:t>
      </w:r>
      <w:r w:rsidR="008A6AB5" w:rsidRPr="00CE3F21">
        <w:rPr>
          <w:snapToGrid w:val="0"/>
          <w:kern w:val="22"/>
          <w:szCs w:val="22"/>
          <w:lang w:val="es-ES"/>
        </w:rPr>
        <w:t>actividades inte</w:t>
      </w:r>
      <w:r w:rsidR="008A6AB5" w:rsidRPr="008A6AB5">
        <w:rPr>
          <w:snapToGrid w:val="0"/>
          <w:kern w:val="22"/>
          <w:szCs w:val="22"/>
          <w:lang w:val="es-ES"/>
        </w:rPr>
        <w:t xml:space="preserve">rnacionales </w:t>
      </w:r>
      <w:r w:rsidR="008A6AB5">
        <w:rPr>
          <w:snapToGrid w:val="0"/>
          <w:kern w:val="22"/>
          <w:szCs w:val="22"/>
          <w:lang w:val="es-ES"/>
        </w:rPr>
        <w:t>de las empresas y organizaciones chinas</w:t>
      </w:r>
      <w:r w:rsidRPr="008A6AB5">
        <w:rPr>
          <w:snapToGrid w:val="0"/>
          <w:kern w:val="22"/>
          <w:szCs w:val="22"/>
          <w:lang w:val="es-ES"/>
        </w:rPr>
        <w:t xml:space="preserve">, </w:t>
      </w:r>
      <w:r w:rsidR="008A6AB5">
        <w:rPr>
          <w:snapToGrid w:val="0"/>
          <w:kern w:val="22"/>
          <w:szCs w:val="22"/>
          <w:lang w:val="es-ES"/>
        </w:rPr>
        <w:t>con miras a apoyar el cumplimiento de sus responsabilidades medioambientales, incluida la conservación de la diversidad biológica</w:t>
      </w:r>
      <w:r w:rsidRPr="008A6AB5">
        <w:rPr>
          <w:snapToGrid w:val="0"/>
          <w:kern w:val="22"/>
          <w:szCs w:val="22"/>
          <w:lang w:val="es-ES"/>
        </w:rPr>
        <w:t>.</w:t>
      </w:r>
    </w:p>
    <w:p w:rsidR="00855A78" w:rsidRPr="00196178" w:rsidRDefault="00855A78" w:rsidP="00490BF5">
      <w:pPr>
        <w:pStyle w:val="Heading1"/>
        <w:suppressLineNumbers/>
        <w:suppressAutoHyphens/>
        <w:kinsoku w:val="0"/>
        <w:overflowPunct w:val="0"/>
        <w:autoSpaceDE w:val="0"/>
        <w:autoSpaceDN w:val="0"/>
        <w:adjustRightInd w:val="0"/>
        <w:snapToGrid w:val="0"/>
        <w:spacing w:before="120"/>
        <w:ind w:left="1440" w:hanging="720"/>
        <w:jc w:val="left"/>
        <w:rPr>
          <w:snapToGrid w:val="0"/>
          <w:kern w:val="22"/>
          <w:szCs w:val="22"/>
          <w:lang w:val="es-ES"/>
        </w:rPr>
      </w:pPr>
      <w:r w:rsidRPr="008426CC">
        <w:rPr>
          <w:snapToGrid w:val="0"/>
          <w:kern w:val="22"/>
          <w:szCs w:val="22"/>
          <w:lang w:val="es-ES"/>
        </w:rPr>
        <w:t xml:space="preserve">III. </w:t>
      </w:r>
      <w:r w:rsidR="006E604B" w:rsidRPr="008426CC">
        <w:rPr>
          <w:snapToGrid w:val="0"/>
          <w:kern w:val="22"/>
          <w:szCs w:val="22"/>
          <w:lang w:val="es-ES"/>
        </w:rPr>
        <w:tab/>
      </w:r>
      <w:r w:rsidR="00196178" w:rsidRPr="00196178">
        <w:rPr>
          <w:snapToGrid w:val="0"/>
          <w:kern w:val="22"/>
          <w:lang w:val="es-ES"/>
        </w:rPr>
        <w:t>Inclusión de la diversidad biológica en prioridades y planes y valoración y/o evaluación de los valore</w:t>
      </w:r>
      <w:r w:rsidRPr="00196178">
        <w:rPr>
          <w:snapToGrid w:val="0"/>
          <w:kern w:val="22"/>
          <w:szCs w:val="22"/>
          <w:lang w:val="es-ES"/>
        </w:rPr>
        <w:t>s</w:t>
      </w:r>
    </w:p>
    <w:p w:rsidR="00855A78" w:rsidRPr="00490BF5" w:rsidRDefault="001961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rPr>
      </w:pPr>
      <w:r w:rsidRPr="00196178">
        <w:rPr>
          <w:snapToGrid w:val="0"/>
          <w:kern w:val="22"/>
          <w:szCs w:val="22"/>
          <w:lang w:val="es-ES"/>
        </w:rPr>
        <w:t>Un</w:t>
      </w:r>
      <w:r w:rsidR="00855A78" w:rsidRPr="00196178">
        <w:rPr>
          <w:snapToGrid w:val="0"/>
          <w:kern w:val="22"/>
          <w:szCs w:val="22"/>
          <w:lang w:val="es-ES"/>
        </w:rPr>
        <w:t xml:space="preserve"> total </w:t>
      </w:r>
      <w:r w:rsidRPr="00196178">
        <w:rPr>
          <w:snapToGrid w:val="0"/>
          <w:kern w:val="22"/>
          <w:szCs w:val="22"/>
          <w:lang w:val="es-ES"/>
        </w:rPr>
        <w:t>de</w:t>
      </w:r>
      <w:r w:rsidR="00855A78" w:rsidRPr="00196178">
        <w:rPr>
          <w:snapToGrid w:val="0"/>
          <w:kern w:val="22"/>
          <w:szCs w:val="22"/>
          <w:lang w:val="es-ES"/>
        </w:rPr>
        <w:t xml:space="preserve"> </w:t>
      </w:r>
      <w:r w:rsidR="008256D9" w:rsidRPr="00196178">
        <w:rPr>
          <w:snapToGrid w:val="0"/>
          <w:kern w:val="22"/>
          <w:szCs w:val="22"/>
          <w:lang w:val="es-ES"/>
        </w:rPr>
        <w:t xml:space="preserve">72 </w:t>
      </w:r>
      <w:r w:rsidR="00855A78" w:rsidRPr="00196178">
        <w:rPr>
          <w:snapToGrid w:val="0"/>
          <w:kern w:val="22"/>
          <w:szCs w:val="22"/>
          <w:lang w:val="es-ES"/>
        </w:rPr>
        <w:t xml:space="preserve">Partes </w:t>
      </w:r>
      <w:r>
        <w:rPr>
          <w:snapToGrid w:val="0"/>
          <w:kern w:val="22"/>
          <w:szCs w:val="22"/>
          <w:lang w:val="es-ES"/>
        </w:rPr>
        <w:t xml:space="preserve">respondieron si habían incluido o no la diversidad biológica en las prioridades o los planes de desarrollo nacionales, y todas ellas informaron al menos de algunos progresos: 49 Partes, o el 68 %, indicaron que se había conseguido cierta inclusión, mientras que 23 países, o el 32 %, indicaron que se había logrado una inclusión global. </w:t>
      </w:r>
      <w:r w:rsidRPr="00196178">
        <w:rPr>
          <w:snapToGrid w:val="0"/>
          <w:kern w:val="22"/>
          <w:szCs w:val="22"/>
          <w:lang w:val="es-ES"/>
        </w:rPr>
        <w:t>Esto parece indicar que los avances son satisfactorios en lo que respecta a la meta 1 b) de la decisión XII/3</w:t>
      </w:r>
      <w:r w:rsidR="00855A78" w:rsidRPr="00196178">
        <w:rPr>
          <w:snapToGrid w:val="0"/>
          <w:kern w:val="22"/>
          <w:szCs w:val="22"/>
          <w:lang w:val="es-ES"/>
        </w:rPr>
        <w:t xml:space="preserve">. </w:t>
      </w:r>
      <w:r w:rsidRPr="00196178">
        <w:rPr>
          <w:snapToGrid w:val="0"/>
          <w:kern w:val="22"/>
          <w:szCs w:val="22"/>
          <w:lang w:val="es-ES"/>
        </w:rPr>
        <w:t xml:space="preserve">Los países </w:t>
      </w:r>
      <w:r>
        <w:rPr>
          <w:snapToGrid w:val="0"/>
          <w:kern w:val="22"/>
          <w:szCs w:val="22"/>
          <w:lang w:val="es-ES"/>
        </w:rPr>
        <w:t xml:space="preserve">hacen referencia de manera destacada a los vínculos con los planes sectoriales o los planes o las políticas de alto nivel como los </w:t>
      </w:r>
      <w:r>
        <w:rPr>
          <w:snapToGrid w:val="0"/>
          <w:kern w:val="22"/>
          <w:szCs w:val="22"/>
          <w:lang w:val="es-ES"/>
        </w:rPr>
        <w:lastRenderedPageBreak/>
        <w:t>planes de crecimiento o desarrollo (sostenible) nacionales, los marcos de eficiencia de recursos, o incluso la Constitución nacional, como vías principales para la integración efectiva de la diversidad biológica</w:t>
      </w:r>
      <w:r w:rsidR="00855A78" w:rsidRPr="00196178">
        <w:rPr>
          <w:snapToGrid w:val="0"/>
          <w:kern w:val="22"/>
          <w:szCs w:val="22"/>
          <w:lang w:val="es-ES"/>
        </w:rPr>
        <w:t xml:space="preserve">. </w:t>
      </w:r>
      <w:r>
        <w:rPr>
          <w:snapToGrid w:val="0"/>
          <w:kern w:val="22"/>
          <w:szCs w:val="22"/>
          <w:lang w:val="es-ES"/>
        </w:rPr>
        <w:t xml:space="preserve">Entre los países que </w:t>
      </w:r>
      <w:r w:rsidR="00E16E93">
        <w:rPr>
          <w:snapToGrid w:val="0"/>
          <w:kern w:val="22"/>
          <w:szCs w:val="22"/>
          <w:lang w:val="es-ES"/>
        </w:rPr>
        <w:t>indicaron una inclusión global</w:t>
      </w:r>
      <w:r w:rsidR="00855A78" w:rsidRPr="00490BF5">
        <w:rPr>
          <w:snapToGrid w:val="0"/>
          <w:kern w:val="22"/>
          <w:szCs w:val="22"/>
        </w:rPr>
        <w:t>:</w:t>
      </w:r>
    </w:p>
    <w:p w:rsidR="00855A78" w:rsidRPr="000A04D6" w:rsidRDefault="000A04D6"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0A04D6">
        <w:rPr>
          <w:snapToGrid w:val="0"/>
          <w:kern w:val="22"/>
          <w:szCs w:val="22"/>
          <w:lang w:val="es-ES"/>
        </w:rPr>
        <w:t>Alemania destacó tanto el plan de desarrollo nacional como una amplia gama de plan</w:t>
      </w:r>
      <w:r>
        <w:rPr>
          <w:snapToGrid w:val="0"/>
          <w:kern w:val="22"/>
          <w:szCs w:val="22"/>
          <w:lang w:val="es-ES"/>
        </w:rPr>
        <w:t>es sectoriales a varios niveles</w:t>
      </w:r>
      <w:r w:rsidR="006E604B" w:rsidRPr="000A04D6">
        <w:rPr>
          <w:snapToGrid w:val="0"/>
          <w:kern w:val="22"/>
          <w:szCs w:val="22"/>
          <w:lang w:val="es-ES"/>
        </w:rPr>
        <w:t>;</w:t>
      </w:r>
    </w:p>
    <w:p w:rsidR="00855A78" w:rsidRPr="000A04D6"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0A04D6">
        <w:rPr>
          <w:snapToGrid w:val="0"/>
          <w:kern w:val="22"/>
          <w:szCs w:val="22"/>
          <w:lang w:val="es-ES"/>
        </w:rPr>
        <w:t>Pol</w:t>
      </w:r>
      <w:r w:rsidR="000A04D6" w:rsidRPr="000A04D6">
        <w:rPr>
          <w:snapToGrid w:val="0"/>
          <w:kern w:val="22"/>
          <w:szCs w:val="22"/>
          <w:lang w:val="es-ES"/>
        </w:rPr>
        <w:t xml:space="preserve">onia explicó que la diversidad </w:t>
      </w:r>
      <w:r w:rsidR="000A04D6" w:rsidRPr="00CE3F21">
        <w:rPr>
          <w:snapToGrid w:val="0"/>
          <w:kern w:val="22"/>
          <w:szCs w:val="22"/>
          <w:lang w:val="es-ES"/>
        </w:rPr>
        <w:t>biológica constituye una</w:t>
      </w:r>
      <w:r w:rsidR="000A04D6" w:rsidRPr="000A04D6">
        <w:rPr>
          <w:snapToGrid w:val="0"/>
          <w:kern w:val="22"/>
          <w:szCs w:val="22"/>
          <w:lang w:val="es-ES"/>
        </w:rPr>
        <w:t xml:space="preserve"> parte integrante de la </w:t>
      </w:r>
      <w:r w:rsidR="0081312F" w:rsidRPr="000A04D6">
        <w:rPr>
          <w:snapToGrid w:val="0"/>
          <w:kern w:val="22"/>
          <w:szCs w:val="22"/>
          <w:lang w:val="es-ES"/>
        </w:rPr>
        <w:t>“</w:t>
      </w:r>
      <w:r w:rsidR="000A04D6">
        <w:rPr>
          <w:snapToGrid w:val="0"/>
          <w:kern w:val="22"/>
          <w:szCs w:val="22"/>
          <w:lang w:val="es-ES"/>
        </w:rPr>
        <w:t>Estrategia Medioambiental y de Seguridad Ene</w:t>
      </w:r>
      <w:r w:rsidR="00CE3F21">
        <w:rPr>
          <w:snapToGrid w:val="0"/>
          <w:kern w:val="22"/>
          <w:szCs w:val="22"/>
          <w:lang w:val="es-ES"/>
        </w:rPr>
        <w:t>r</w:t>
      </w:r>
      <w:r w:rsidR="000A04D6">
        <w:rPr>
          <w:snapToGrid w:val="0"/>
          <w:kern w:val="22"/>
          <w:szCs w:val="22"/>
          <w:lang w:val="es-ES"/>
        </w:rPr>
        <w:t>gética</w:t>
      </w:r>
      <w:r w:rsidRPr="000A04D6">
        <w:rPr>
          <w:snapToGrid w:val="0"/>
          <w:kern w:val="22"/>
          <w:szCs w:val="22"/>
          <w:lang w:val="es-ES"/>
        </w:rPr>
        <w:t>”, ap</w:t>
      </w:r>
      <w:r w:rsidR="000A04D6">
        <w:rPr>
          <w:snapToGrid w:val="0"/>
          <w:kern w:val="22"/>
          <w:szCs w:val="22"/>
          <w:lang w:val="es-ES"/>
        </w:rPr>
        <w:t>robada en</w:t>
      </w:r>
      <w:r w:rsidRPr="000A04D6">
        <w:rPr>
          <w:snapToGrid w:val="0"/>
          <w:kern w:val="22"/>
          <w:szCs w:val="22"/>
          <w:lang w:val="es-ES"/>
        </w:rPr>
        <w:t xml:space="preserve"> 2014, </w:t>
      </w:r>
      <w:r w:rsidR="000A04D6">
        <w:rPr>
          <w:snapToGrid w:val="0"/>
          <w:kern w:val="22"/>
          <w:szCs w:val="22"/>
          <w:lang w:val="es-ES"/>
        </w:rPr>
        <w:t xml:space="preserve">que es una de las nueve estrategias de </w:t>
      </w:r>
      <w:r w:rsidRPr="000A04D6">
        <w:rPr>
          <w:snapToGrid w:val="0"/>
          <w:kern w:val="22"/>
          <w:szCs w:val="22"/>
          <w:lang w:val="es-ES"/>
        </w:rPr>
        <w:t>Pol</w:t>
      </w:r>
      <w:r w:rsidR="000A04D6">
        <w:rPr>
          <w:snapToGrid w:val="0"/>
          <w:kern w:val="22"/>
          <w:szCs w:val="22"/>
          <w:lang w:val="es-ES"/>
        </w:rPr>
        <w:t>onia</w:t>
      </w:r>
      <w:r w:rsidR="006E604B" w:rsidRPr="000A04D6">
        <w:rPr>
          <w:snapToGrid w:val="0"/>
          <w:kern w:val="22"/>
          <w:szCs w:val="22"/>
          <w:lang w:val="es-ES"/>
        </w:rPr>
        <w:t>;</w:t>
      </w:r>
    </w:p>
    <w:p w:rsidR="00855A78" w:rsidRPr="00166A19" w:rsidRDefault="00855A78" w:rsidP="00490BF5">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0A04D6">
        <w:rPr>
          <w:snapToGrid w:val="0"/>
          <w:kern w:val="22"/>
          <w:szCs w:val="22"/>
          <w:lang w:val="es-ES"/>
        </w:rPr>
        <w:t>Uganda</w:t>
      </w:r>
      <w:r w:rsidR="00CE3F21">
        <w:rPr>
          <w:snapToGrid w:val="0"/>
          <w:kern w:val="22"/>
          <w:szCs w:val="22"/>
          <w:lang w:val="es-ES"/>
        </w:rPr>
        <w:t xml:space="preserve"> señaló </w:t>
      </w:r>
      <w:r w:rsidR="000A04D6" w:rsidRPr="000A04D6">
        <w:rPr>
          <w:snapToGrid w:val="0"/>
          <w:kern w:val="22"/>
          <w:szCs w:val="22"/>
          <w:lang w:val="es-ES"/>
        </w:rPr>
        <w:t>que su</w:t>
      </w:r>
      <w:r w:rsidRPr="000A04D6">
        <w:rPr>
          <w:snapToGrid w:val="0"/>
          <w:kern w:val="22"/>
          <w:szCs w:val="22"/>
          <w:lang w:val="es-ES"/>
        </w:rPr>
        <w:t xml:space="preserve"> </w:t>
      </w:r>
      <w:r w:rsidR="000A04D6" w:rsidRPr="000A04D6">
        <w:rPr>
          <w:snapToGrid w:val="0"/>
          <w:kern w:val="22"/>
          <w:szCs w:val="22"/>
          <w:lang w:val="es-ES"/>
        </w:rPr>
        <w:t>Estrategia y Plan de Acción Nacional en materia de Biodiversi</w:t>
      </w:r>
      <w:r w:rsidR="009C6BD1">
        <w:rPr>
          <w:snapToGrid w:val="0"/>
          <w:kern w:val="22"/>
          <w:szCs w:val="22"/>
          <w:lang w:val="es-ES"/>
        </w:rPr>
        <w:t>d</w:t>
      </w:r>
      <w:r w:rsidR="000A04D6" w:rsidRPr="000A04D6">
        <w:rPr>
          <w:snapToGrid w:val="0"/>
          <w:kern w:val="22"/>
          <w:szCs w:val="22"/>
          <w:lang w:val="es-ES"/>
        </w:rPr>
        <w:t xml:space="preserve">ad </w:t>
      </w:r>
      <w:r w:rsidRPr="000A04D6">
        <w:rPr>
          <w:snapToGrid w:val="0"/>
          <w:kern w:val="22"/>
          <w:szCs w:val="22"/>
          <w:lang w:val="es-ES"/>
        </w:rPr>
        <w:t xml:space="preserve">2015-2025 </w:t>
      </w:r>
      <w:r w:rsidR="000A04D6">
        <w:rPr>
          <w:snapToGrid w:val="0"/>
          <w:kern w:val="22"/>
          <w:szCs w:val="22"/>
          <w:lang w:val="es-ES"/>
        </w:rPr>
        <w:t xml:space="preserve">se había incorporado a su Plan </w:t>
      </w:r>
      <w:r w:rsidR="00166A19">
        <w:rPr>
          <w:snapToGrid w:val="0"/>
          <w:kern w:val="22"/>
          <w:szCs w:val="22"/>
          <w:lang w:val="es-ES"/>
        </w:rPr>
        <w:t xml:space="preserve">nacional </w:t>
      </w:r>
      <w:r w:rsidR="000A04D6">
        <w:rPr>
          <w:snapToGrid w:val="0"/>
          <w:kern w:val="22"/>
          <w:szCs w:val="22"/>
          <w:lang w:val="es-ES"/>
        </w:rPr>
        <w:t>de desarrollo</w:t>
      </w:r>
      <w:r w:rsidRPr="000A04D6">
        <w:rPr>
          <w:snapToGrid w:val="0"/>
          <w:kern w:val="22"/>
          <w:szCs w:val="22"/>
          <w:lang w:val="es-ES"/>
        </w:rPr>
        <w:t xml:space="preserve">. </w:t>
      </w:r>
      <w:r w:rsidR="00166A19" w:rsidRPr="00166A19">
        <w:rPr>
          <w:snapToGrid w:val="0"/>
          <w:kern w:val="22"/>
          <w:szCs w:val="22"/>
          <w:lang w:val="es-ES"/>
        </w:rPr>
        <w:t xml:space="preserve">El plan tiene siete objetivos en materia de medioambiente y recursos naturales, y su objetivo n.º </w:t>
      </w:r>
      <w:r w:rsidRPr="00166A19">
        <w:rPr>
          <w:snapToGrid w:val="0"/>
          <w:kern w:val="22"/>
          <w:szCs w:val="22"/>
          <w:lang w:val="es-ES"/>
        </w:rPr>
        <w:t xml:space="preserve">2 </w:t>
      </w:r>
      <w:r w:rsidR="00166A19">
        <w:rPr>
          <w:snapToGrid w:val="0"/>
          <w:kern w:val="22"/>
          <w:szCs w:val="22"/>
          <w:lang w:val="es-ES"/>
        </w:rPr>
        <w:t xml:space="preserve">contiene una disposición específica sobre el cumplimiento de las metas nacionales en materia de diversidad biológica </w:t>
      </w:r>
      <w:r w:rsidRPr="00166A19">
        <w:rPr>
          <w:snapToGrid w:val="0"/>
          <w:kern w:val="22"/>
          <w:szCs w:val="22"/>
          <w:lang w:val="es-ES"/>
        </w:rPr>
        <w:t>(</w:t>
      </w:r>
      <w:r w:rsidR="00166A19">
        <w:rPr>
          <w:snapToGrid w:val="0"/>
          <w:kern w:val="22"/>
          <w:szCs w:val="22"/>
          <w:lang w:val="es-ES"/>
        </w:rPr>
        <w:t>que están en las EPANB revisadas</w:t>
      </w:r>
      <w:r w:rsidRPr="00166A19">
        <w:rPr>
          <w:snapToGrid w:val="0"/>
          <w:kern w:val="22"/>
          <w:szCs w:val="22"/>
          <w:lang w:val="es-ES"/>
        </w:rPr>
        <w:t>).</w:t>
      </w:r>
    </w:p>
    <w:p w:rsidR="00855A78" w:rsidRPr="00166A19" w:rsidRDefault="00166A19"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166A19">
        <w:rPr>
          <w:snapToGrid w:val="0"/>
          <w:kern w:val="22"/>
          <w:szCs w:val="22"/>
          <w:lang w:val="es-ES"/>
        </w:rPr>
        <w:t>En las EPANB revisadas</w:t>
      </w:r>
      <w:r w:rsidR="00855A78" w:rsidRPr="00166A19">
        <w:rPr>
          <w:snapToGrid w:val="0"/>
          <w:kern w:val="22"/>
          <w:szCs w:val="22"/>
          <w:lang w:val="es-ES"/>
        </w:rPr>
        <w:t xml:space="preserve">, </w:t>
      </w:r>
      <w:r w:rsidRPr="00166A19">
        <w:rPr>
          <w:snapToGrid w:val="0"/>
          <w:kern w:val="22"/>
          <w:szCs w:val="22"/>
          <w:lang w:val="es-ES"/>
        </w:rPr>
        <w:t>un</w:t>
      </w:r>
      <w:r w:rsidR="00855A78" w:rsidRPr="00166A19">
        <w:rPr>
          <w:snapToGrid w:val="0"/>
          <w:kern w:val="22"/>
          <w:szCs w:val="22"/>
          <w:lang w:val="es-ES"/>
        </w:rPr>
        <w:t xml:space="preserve"> total </w:t>
      </w:r>
      <w:r w:rsidRPr="00166A19">
        <w:rPr>
          <w:snapToGrid w:val="0"/>
          <w:kern w:val="22"/>
          <w:szCs w:val="22"/>
          <w:lang w:val="es-ES"/>
        </w:rPr>
        <w:t xml:space="preserve">de </w:t>
      </w:r>
      <w:r w:rsidR="00855A78" w:rsidRPr="00166A19">
        <w:rPr>
          <w:snapToGrid w:val="0"/>
          <w:kern w:val="22"/>
          <w:szCs w:val="22"/>
          <w:lang w:val="es-ES"/>
        </w:rPr>
        <w:t xml:space="preserve">31 Partes </w:t>
      </w:r>
      <w:r w:rsidRPr="00166A19">
        <w:rPr>
          <w:snapToGrid w:val="0"/>
          <w:kern w:val="22"/>
          <w:szCs w:val="22"/>
          <w:lang w:val="es-ES"/>
        </w:rPr>
        <w:t>indican que la diversidad biológica se ha integrado en su plan nacional de desarrollo o instrumento equivalente</w:t>
      </w:r>
      <w:r w:rsidR="00855A78" w:rsidRPr="00166A19">
        <w:rPr>
          <w:snapToGrid w:val="0"/>
          <w:kern w:val="22"/>
          <w:szCs w:val="22"/>
          <w:lang w:val="es-ES"/>
        </w:rPr>
        <w:t xml:space="preserve">, </w:t>
      </w:r>
      <w:r>
        <w:rPr>
          <w:snapToGrid w:val="0"/>
          <w:kern w:val="22"/>
          <w:szCs w:val="22"/>
          <w:lang w:val="es-ES"/>
        </w:rPr>
        <w:t xml:space="preserve">mientras que </w:t>
      </w:r>
      <w:r w:rsidR="00855A78" w:rsidRPr="00166A19">
        <w:rPr>
          <w:snapToGrid w:val="0"/>
          <w:kern w:val="22"/>
          <w:szCs w:val="22"/>
          <w:lang w:val="es-ES"/>
        </w:rPr>
        <w:t xml:space="preserve">20 Partes </w:t>
      </w:r>
      <w:r>
        <w:rPr>
          <w:snapToGrid w:val="0"/>
          <w:kern w:val="22"/>
          <w:szCs w:val="22"/>
          <w:lang w:val="es-ES"/>
        </w:rPr>
        <w:t xml:space="preserve">mencionan la integración </w:t>
      </w:r>
      <w:r w:rsidR="0078535F">
        <w:rPr>
          <w:snapToGrid w:val="0"/>
          <w:kern w:val="22"/>
          <w:szCs w:val="22"/>
          <w:lang w:val="es-ES"/>
        </w:rPr>
        <w:t>con sus planes de desarrollo sostenible o instrumentos equivalentes</w:t>
      </w:r>
      <w:r w:rsidR="00855A78" w:rsidRPr="00166A19">
        <w:rPr>
          <w:snapToGrid w:val="0"/>
          <w:kern w:val="22"/>
          <w:szCs w:val="22"/>
          <w:lang w:val="es-ES"/>
        </w:rPr>
        <w:t xml:space="preserve">, </w:t>
      </w:r>
      <w:r w:rsidR="0078535F">
        <w:rPr>
          <w:snapToGrid w:val="0"/>
          <w:kern w:val="22"/>
          <w:szCs w:val="22"/>
          <w:lang w:val="es-ES"/>
        </w:rPr>
        <w:t>y</w:t>
      </w:r>
      <w:r w:rsidR="00855A78" w:rsidRPr="00166A19">
        <w:rPr>
          <w:snapToGrid w:val="0"/>
          <w:kern w:val="22"/>
          <w:szCs w:val="22"/>
          <w:lang w:val="es-ES"/>
        </w:rPr>
        <w:t xml:space="preserve"> 43 Partes </w:t>
      </w:r>
      <w:r w:rsidR="0078535F">
        <w:rPr>
          <w:snapToGrid w:val="0"/>
          <w:kern w:val="22"/>
          <w:szCs w:val="22"/>
          <w:lang w:val="es-ES"/>
        </w:rPr>
        <w:t>hacen referencia a los nexos con la erradicación de la pobreza o a integrar este objetivo en sus principios, metas o acciones</w:t>
      </w:r>
      <w:r w:rsidR="00855A78" w:rsidRPr="00490BF5">
        <w:rPr>
          <w:rStyle w:val="FootnoteReference"/>
          <w:snapToGrid w:val="0"/>
          <w:kern w:val="22"/>
          <w:szCs w:val="22"/>
        </w:rPr>
        <w:footnoteReference w:id="11"/>
      </w:r>
      <w:r w:rsidR="0078535F" w:rsidRPr="00166A19">
        <w:rPr>
          <w:snapToGrid w:val="0"/>
          <w:kern w:val="22"/>
          <w:szCs w:val="22"/>
          <w:lang w:val="es-ES"/>
        </w:rPr>
        <w:t>.</w:t>
      </w:r>
    </w:p>
    <w:p w:rsidR="00855A78" w:rsidRPr="008426CC" w:rsidRDefault="0078535F"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78535F">
        <w:rPr>
          <w:snapToGrid w:val="0"/>
          <w:kern w:val="22"/>
          <w:szCs w:val="22"/>
          <w:lang w:val="es-ES"/>
        </w:rPr>
        <w:t>Un</w:t>
      </w:r>
      <w:r w:rsidR="00855A78" w:rsidRPr="0078535F">
        <w:rPr>
          <w:snapToGrid w:val="0"/>
          <w:kern w:val="22"/>
          <w:szCs w:val="22"/>
          <w:lang w:val="es-ES"/>
        </w:rPr>
        <w:t xml:space="preserve"> total </w:t>
      </w:r>
      <w:r w:rsidRPr="0078535F">
        <w:rPr>
          <w:snapToGrid w:val="0"/>
          <w:kern w:val="22"/>
          <w:szCs w:val="22"/>
          <w:lang w:val="es-ES"/>
        </w:rPr>
        <w:t>de</w:t>
      </w:r>
      <w:r w:rsidR="00855A78" w:rsidRPr="0078535F">
        <w:rPr>
          <w:snapToGrid w:val="0"/>
          <w:kern w:val="22"/>
          <w:szCs w:val="22"/>
          <w:lang w:val="es-ES"/>
        </w:rPr>
        <w:t xml:space="preserve"> </w:t>
      </w:r>
      <w:r w:rsidR="008256D9" w:rsidRPr="0078535F">
        <w:rPr>
          <w:snapToGrid w:val="0"/>
          <w:kern w:val="22"/>
          <w:szCs w:val="22"/>
          <w:lang w:val="es-ES"/>
        </w:rPr>
        <w:t xml:space="preserve">70 </w:t>
      </w:r>
      <w:r w:rsidR="00855A78" w:rsidRPr="0078535F">
        <w:rPr>
          <w:snapToGrid w:val="0"/>
          <w:kern w:val="22"/>
          <w:szCs w:val="22"/>
          <w:lang w:val="es-ES"/>
        </w:rPr>
        <w:t xml:space="preserve">Partes </w:t>
      </w:r>
      <w:r>
        <w:rPr>
          <w:snapToGrid w:val="0"/>
          <w:kern w:val="22"/>
          <w:szCs w:val="22"/>
          <w:lang w:val="es-ES"/>
        </w:rPr>
        <w:t xml:space="preserve">respondieron si habían valorado y/o evaluado o no los valores intrínsecos, ecológicos, genéticos, socioeconómicos, científicos, educativos, culturales, recreativos y estéticos de la diversidad biológica y sus componentes. Aunque solo cuatro Partes </w:t>
      </w:r>
      <w:r w:rsidRPr="0078535F">
        <w:rPr>
          <w:snapToGrid w:val="0"/>
          <w:kern w:val="22"/>
          <w:szCs w:val="22"/>
          <w:lang w:val="es-ES"/>
        </w:rPr>
        <w:t>(Finlandia, Jap</w:t>
      </w:r>
      <w:r>
        <w:rPr>
          <w:snapToGrid w:val="0"/>
          <w:kern w:val="22"/>
          <w:szCs w:val="22"/>
          <w:lang w:val="es-ES"/>
        </w:rPr>
        <w:t>ó</w:t>
      </w:r>
      <w:r w:rsidRPr="0078535F">
        <w:rPr>
          <w:snapToGrid w:val="0"/>
          <w:kern w:val="22"/>
          <w:szCs w:val="22"/>
          <w:lang w:val="es-ES"/>
        </w:rPr>
        <w:t xml:space="preserve">n, </w:t>
      </w:r>
      <w:r>
        <w:rPr>
          <w:snapToGrid w:val="0"/>
          <w:kern w:val="22"/>
          <w:szCs w:val="22"/>
          <w:lang w:val="es-ES"/>
        </w:rPr>
        <w:t>Noruega y Países Bajos)</w:t>
      </w:r>
      <w:r w:rsidRPr="0078535F">
        <w:rPr>
          <w:snapToGrid w:val="0"/>
          <w:kern w:val="22"/>
          <w:szCs w:val="22"/>
          <w:lang w:val="es-ES"/>
        </w:rPr>
        <w:t xml:space="preserve"> o</w:t>
      </w:r>
      <w:r>
        <w:rPr>
          <w:snapToGrid w:val="0"/>
          <w:kern w:val="22"/>
          <w:szCs w:val="22"/>
          <w:lang w:val="es-ES"/>
        </w:rPr>
        <w:t xml:space="preserve"> el </w:t>
      </w:r>
      <w:r w:rsidRPr="0078535F">
        <w:rPr>
          <w:snapToGrid w:val="0"/>
          <w:kern w:val="22"/>
          <w:szCs w:val="22"/>
          <w:lang w:val="es-ES"/>
        </w:rPr>
        <w:t>6 </w:t>
      </w:r>
      <w:r>
        <w:rPr>
          <w:snapToGrid w:val="0"/>
          <w:kern w:val="22"/>
          <w:szCs w:val="22"/>
          <w:lang w:val="es-ES"/>
        </w:rPr>
        <w:t>%</w:t>
      </w:r>
      <w:r w:rsidRPr="0078535F">
        <w:rPr>
          <w:snapToGrid w:val="0"/>
          <w:kern w:val="22"/>
          <w:szCs w:val="22"/>
          <w:lang w:val="es-ES"/>
        </w:rPr>
        <w:t xml:space="preserve">, </w:t>
      </w:r>
      <w:r>
        <w:rPr>
          <w:snapToGrid w:val="0"/>
          <w:kern w:val="22"/>
          <w:szCs w:val="22"/>
          <w:lang w:val="es-ES"/>
        </w:rPr>
        <w:t>indicaron que se habían llevado a cabo evaluaciones exhaustivas</w:t>
      </w:r>
      <w:r w:rsidR="009E3060">
        <w:rPr>
          <w:snapToGrid w:val="0"/>
          <w:kern w:val="22"/>
          <w:szCs w:val="22"/>
          <w:lang w:val="es-ES"/>
        </w:rPr>
        <w:t>, el 81 % de los países que presentan informes, o el 29 % de todas las Partes, informaron que habían realizado al menos algunas evaluaciones</w:t>
      </w:r>
      <w:r>
        <w:rPr>
          <w:snapToGrid w:val="0"/>
          <w:kern w:val="22"/>
          <w:szCs w:val="22"/>
          <w:lang w:val="es-ES"/>
        </w:rPr>
        <w:t xml:space="preserve">. </w:t>
      </w:r>
      <w:r w:rsidR="009E3060" w:rsidRPr="009E3060">
        <w:rPr>
          <w:snapToGrid w:val="0"/>
          <w:kern w:val="22"/>
          <w:szCs w:val="22"/>
          <w:lang w:val="es-ES"/>
        </w:rPr>
        <w:t>En comparación con el porcentaje objetivo del</w:t>
      </w:r>
      <w:r w:rsidR="00855A78" w:rsidRPr="009E3060">
        <w:rPr>
          <w:snapToGrid w:val="0"/>
          <w:kern w:val="22"/>
          <w:szCs w:val="22"/>
          <w:lang w:val="es-ES"/>
        </w:rPr>
        <w:t xml:space="preserve"> 30</w:t>
      </w:r>
      <w:r w:rsidR="006A0651" w:rsidRPr="009E3060">
        <w:rPr>
          <w:snapToGrid w:val="0"/>
          <w:kern w:val="22"/>
          <w:szCs w:val="22"/>
          <w:lang w:val="es-ES"/>
        </w:rPr>
        <w:t> </w:t>
      </w:r>
      <w:r w:rsidR="009E3060" w:rsidRPr="009E3060">
        <w:rPr>
          <w:snapToGrid w:val="0"/>
          <w:kern w:val="22"/>
          <w:szCs w:val="22"/>
          <w:lang w:val="es-ES"/>
        </w:rPr>
        <w:t>%</w:t>
      </w:r>
      <w:r w:rsidR="00855A78" w:rsidRPr="009E3060">
        <w:rPr>
          <w:snapToGrid w:val="0"/>
          <w:kern w:val="22"/>
          <w:szCs w:val="22"/>
          <w:lang w:val="es-ES"/>
        </w:rPr>
        <w:t xml:space="preserve">, </w:t>
      </w:r>
      <w:r w:rsidR="009E3060" w:rsidRPr="009E3060">
        <w:rPr>
          <w:snapToGrid w:val="0"/>
          <w:kern w:val="22"/>
          <w:szCs w:val="22"/>
          <w:lang w:val="es-ES"/>
        </w:rPr>
        <w:t xml:space="preserve">esto parece indicar un </w:t>
      </w:r>
      <w:r w:rsidR="009E3060">
        <w:rPr>
          <w:snapToGrid w:val="0"/>
          <w:kern w:val="22"/>
          <w:szCs w:val="22"/>
          <w:lang w:val="es-ES"/>
        </w:rPr>
        <w:t>progreso bastante satisfactorio con respecto al elemento pertinente de la meta 1 d) de la decisión</w:t>
      </w:r>
      <w:r w:rsidR="00855A78" w:rsidRPr="009E3060">
        <w:rPr>
          <w:snapToGrid w:val="0"/>
          <w:kern w:val="22"/>
          <w:szCs w:val="22"/>
          <w:lang w:val="es-ES"/>
        </w:rPr>
        <w:t xml:space="preserve"> XII/3. </w:t>
      </w:r>
      <w:r w:rsidR="009E3060" w:rsidRPr="009E3060">
        <w:rPr>
          <w:snapToGrid w:val="0"/>
          <w:kern w:val="22"/>
          <w:szCs w:val="22"/>
          <w:lang w:val="es-ES"/>
        </w:rPr>
        <w:t xml:space="preserve">Los cuatro países que indicaban evaluaciones exhaustivas hicieron referencia </w:t>
      </w:r>
      <w:r w:rsidR="009E3060">
        <w:rPr>
          <w:snapToGrid w:val="0"/>
          <w:kern w:val="22"/>
          <w:szCs w:val="22"/>
          <w:lang w:val="es-ES"/>
        </w:rPr>
        <w:t xml:space="preserve">a ejercicios de evaluación general, realizados o en curso, como </w:t>
      </w:r>
      <w:r w:rsidR="008426CC">
        <w:rPr>
          <w:snapToGrid w:val="0"/>
          <w:kern w:val="22"/>
          <w:szCs w:val="22"/>
          <w:lang w:val="es-ES"/>
        </w:rPr>
        <w:t>estudios TEEB nac</w:t>
      </w:r>
      <w:r w:rsidR="009E3060">
        <w:rPr>
          <w:snapToGrid w:val="0"/>
          <w:kern w:val="22"/>
          <w:szCs w:val="22"/>
          <w:lang w:val="es-ES"/>
        </w:rPr>
        <w:t xml:space="preserve">ionales, evaluaciones de los ecosistemas </w:t>
      </w:r>
      <w:r w:rsidR="00855A78" w:rsidRPr="009E3060">
        <w:rPr>
          <w:snapToGrid w:val="0"/>
          <w:kern w:val="22"/>
          <w:szCs w:val="22"/>
          <w:lang w:val="es-ES"/>
        </w:rPr>
        <w:t>o</w:t>
      </w:r>
      <w:r w:rsidR="008426CC">
        <w:rPr>
          <w:snapToGrid w:val="0"/>
          <w:kern w:val="22"/>
          <w:szCs w:val="22"/>
          <w:lang w:val="es-ES"/>
        </w:rPr>
        <w:t xml:space="preserve"> iniciativas similares</w:t>
      </w:r>
      <w:r w:rsidR="00855A78" w:rsidRPr="009E3060">
        <w:rPr>
          <w:snapToGrid w:val="0"/>
          <w:kern w:val="22"/>
          <w:szCs w:val="22"/>
          <w:lang w:val="es-ES"/>
        </w:rPr>
        <w:t xml:space="preserve">. </w:t>
      </w:r>
      <w:r w:rsidR="008426CC" w:rsidRPr="008426CC">
        <w:rPr>
          <w:snapToGrid w:val="0"/>
          <w:kern w:val="22"/>
          <w:szCs w:val="22"/>
          <w:lang w:val="es-ES"/>
        </w:rPr>
        <w:t>Otros países hacen referencia tanto a evaluaciones más generales como a estudios de evalu</w:t>
      </w:r>
      <w:r w:rsidR="008426CC">
        <w:rPr>
          <w:snapToGrid w:val="0"/>
          <w:kern w:val="22"/>
          <w:szCs w:val="22"/>
          <w:lang w:val="es-ES"/>
        </w:rPr>
        <w:t>a</w:t>
      </w:r>
      <w:r w:rsidR="008426CC" w:rsidRPr="008426CC">
        <w:rPr>
          <w:snapToGrid w:val="0"/>
          <w:kern w:val="22"/>
          <w:szCs w:val="22"/>
          <w:lang w:val="es-ES"/>
        </w:rPr>
        <w:t>ci</w:t>
      </w:r>
      <w:r w:rsidR="008426CC">
        <w:rPr>
          <w:snapToGrid w:val="0"/>
          <w:kern w:val="22"/>
          <w:szCs w:val="22"/>
          <w:lang w:val="es-ES"/>
        </w:rPr>
        <w:t>ón a escalas más pequeñas</w:t>
      </w:r>
      <w:r w:rsidR="00855A78" w:rsidRPr="008426CC">
        <w:rPr>
          <w:snapToGrid w:val="0"/>
          <w:kern w:val="22"/>
          <w:szCs w:val="22"/>
          <w:lang w:val="es-ES"/>
        </w:rPr>
        <w:t xml:space="preserve">. </w:t>
      </w:r>
      <w:r w:rsidR="008426CC" w:rsidRPr="008426CC">
        <w:rPr>
          <w:snapToGrid w:val="0"/>
          <w:kern w:val="22"/>
          <w:szCs w:val="22"/>
          <w:lang w:val="es-ES"/>
        </w:rPr>
        <w:t>Por ejemplo</w:t>
      </w:r>
      <w:r w:rsidR="00855A78" w:rsidRPr="008426CC">
        <w:rPr>
          <w:snapToGrid w:val="0"/>
          <w:kern w:val="22"/>
          <w:szCs w:val="22"/>
          <w:lang w:val="es-ES"/>
        </w:rPr>
        <w:t xml:space="preserve">, </w:t>
      </w:r>
      <w:r w:rsidR="00B21CBD" w:rsidRPr="008426CC">
        <w:rPr>
          <w:snapToGrid w:val="0"/>
          <w:kern w:val="22"/>
          <w:szCs w:val="22"/>
          <w:lang w:val="es-ES"/>
        </w:rPr>
        <w:t>C</w:t>
      </w:r>
      <w:r w:rsidR="008426CC" w:rsidRPr="008426CC">
        <w:rPr>
          <w:snapToGrid w:val="0"/>
          <w:kern w:val="22"/>
          <w:szCs w:val="22"/>
          <w:lang w:val="es-ES"/>
        </w:rPr>
        <w:t>hequia</w:t>
      </w:r>
      <w:r w:rsidR="00855A78" w:rsidRPr="008426CC">
        <w:rPr>
          <w:snapToGrid w:val="0"/>
          <w:kern w:val="22"/>
          <w:szCs w:val="22"/>
          <w:lang w:val="es-ES"/>
        </w:rPr>
        <w:t xml:space="preserve"> </w:t>
      </w:r>
      <w:r w:rsidR="00825C28" w:rsidRPr="008426CC">
        <w:rPr>
          <w:snapToGrid w:val="0"/>
          <w:kern w:val="22"/>
          <w:szCs w:val="22"/>
          <w:lang w:val="es-ES"/>
        </w:rPr>
        <w:t>indic</w:t>
      </w:r>
      <w:r w:rsidR="008426CC" w:rsidRPr="008426CC">
        <w:rPr>
          <w:snapToGrid w:val="0"/>
          <w:kern w:val="22"/>
          <w:szCs w:val="22"/>
          <w:lang w:val="es-ES"/>
        </w:rPr>
        <w:t>ó que había realizado un complejo estudio de los servicios de los ecosistemas</w:t>
      </w:r>
      <w:r w:rsidR="00855A78" w:rsidRPr="008426CC">
        <w:rPr>
          <w:snapToGrid w:val="0"/>
          <w:kern w:val="22"/>
          <w:szCs w:val="22"/>
          <w:lang w:val="es-ES"/>
        </w:rPr>
        <w:t xml:space="preserve">, </w:t>
      </w:r>
      <w:r w:rsidR="008426CC">
        <w:rPr>
          <w:snapToGrid w:val="0"/>
          <w:kern w:val="22"/>
          <w:szCs w:val="22"/>
          <w:lang w:val="es-ES"/>
        </w:rPr>
        <w:t>produciendo un valor medio de los servicios de los ecosistemas 1,5 veces mayor que el PIB actual</w:t>
      </w:r>
      <w:r w:rsidR="00855A78" w:rsidRPr="008426CC">
        <w:rPr>
          <w:snapToGrid w:val="0"/>
          <w:kern w:val="22"/>
          <w:szCs w:val="22"/>
          <w:lang w:val="es-ES"/>
        </w:rPr>
        <w:t>.</w:t>
      </w:r>
    </w:p>
    <w:p w:rsidR="00855A78" w:rsidRPr="00176EF8" w:rsidRDefault="008426CC"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8426CC">
        <w:rPr>
          <w:snapToGrid w:val="0"/>
          <w:kern w:val="22"/>
          <w:szCs w:val="22"/>
          <w:lang w:val="es-ES"/>
        </w:rPr>
        <w:t>Un t</w:t>
      </w:r>
      <w:r w:rsidR="00855A78" w:rsidRPr="008426CC">
        <w:rPr>
          <w:snapToGrid w:val="0"/>
          <w:kern w:val="22"/>
          <w:szCs w:val="22"/>
          <w:lang w:val="es-ES"/>
        </w:rPr>
        <w:t xml:space="preserve">otal </w:t>
      </w:r>
      <w:r w:rsidRPr="008426CC">
        <w:rPr>
          <w:snapToGrid w:val="0"/>
          <w:kern w:val="22"/>
          <w:szCs w:val="22"/>
          <w:lang w:val="es-ES"/>
        </w:rPr>
        <w:t>de</w:t>
      </w:r>
      <w:r w:rsidR="00855A78" w:rsidRPr="008426CC">
        <w:rPr>
          <w:snapToGrid w:val="0"/>
          <w:kern w:val="22"/>
          <w:szCs w:val="22"/>
          <w:lang w:val="es-ES"/>
        </w:rPr>
        <w:t xml:space="preserve"> 43 Partes </w:t>
      </w:r>
      <w:r>
        <w:rPr>
          <w:snapToGrid w:val="0"/>
          <w:kern w:val="22"/>
          <w:szCs w:val="22"/>
          <w:lang w:val="es-ES"/>
        </w:rPr>
        <w:t>indican</w:t>
      </w:r>
      <w:r w:rsidRPr="008426CC">
        <w:rPr>
          <w:snapToGrid w:val="0"/>
          <w:kern w:val="22"/>
          <w:szCs w:val="22"/>
          <w:lang w:val="es-ES"/>
        </w:rPr>
        <w:t xml:space="preserve"> en sus EPANB revisadas</w:t>
      </w:r>
      <w:r w:rsidR="00855A78" w:rsidRPr="008426CC">
        <w:rPr>
          <w:snapToGrid w:val="0"/>
          <w:kern w:val="22"/>
          <w:szCs w:val="22"/>
          <w:lang w:val="es-ES"/>
        </w:rPr>
        <w:t xml:space="preserve"> </w:t>
      </w:r>
      <w:r w:rsidRPr="008426CC">
        <w:rPr>
          <w:snapToGrid w:val="0"/>
          <w:kern w:val="22"/>
          <w:szCs w:val="22"/>
          <w:lang w:val="es-ES"/>
        </w:rPr>
        <w:t>que ya han realizado estudios de evaluación de la diversidad biol</w:t>
      </w:r>
      <w:r>
        <w:rPr>
          <w:snapToGrid w:val="0"/>
          <w:kern w:val="22"/>
          <w:szCs w:val="22"/>
          <w:lang w:val="es-ES"/>
        </w:rPr>
        <w:t>ógica en sus países o en partes de los mismos</w:t>
      </w:r>
      <w:r w:rsidR="00855A78" w:rsidRPr="008426CC">
        <w:rPr>
          <w:snapToGrid w:val="0"/>
          <w:kern w:val="22"/>
          <w:szCs w:val="22"/>
          <w:lang w:val="es-ES"/>
        </w:rPr>
        <w:t xml:space="preserve">. </w:t>
      </w:r>
      <w:r w:rsidRPr="00176EF8">
        <w:rPr>
          <w:snapToGrid w:val="0"/>
          <w:kern w:val="22"/>
          <w:szCs w:val="22"/>
          <w:lang w:val="es-ES"/>
        </w:rPr>
        <w:t xml:space="preserve">De las </w:t>
      </w:r>
      <w:r w:rsidR="00855A78" w:rsidRPr="00176EF8">
        <w:rPr>
          <w:snapToGrid w:val="0"/>
          <w:kern w:val="22"/>
          <w:szCs w:val="22"/>
          <w:lang w:val="es-ES"/>
        </w:rPr>
        <w:t xml:space="preserve">153 </w:t>
      </w:r>
      <w:r w:rsidRPr="00176EF8">
        <w:rPr>
          <w:snapToGrid w:val="0"/>
          <w:kern w:val="22"/>
          <w:szCs w:val="22"/>
          <w:lang w:val="es-ES"/>
        </w:rPr>
        <w:t>EPANB revisadas</w:t>
      </w:r>
      <w:r w:rsidR="00855A78" w:rsidRPr="00176EF8">
        <w:rPr>
          <w:snapToGrid w:val="0"/>
          <w:kern w:val="22"/>
          <w:szCs w:val="22"/>
          <w:lang w:val="es-ES"/>
        </w:rPr>
        <w:t xml:space="preserve">, 37 </w:t>
      </w:r>
      <w:r w:rsidRPr="00176EF8">
        <w:rPr>
          <w:snapToGrid w:val="0"/>
          <w:kern w:val="22"/>
          <w:szCs w:val="22"/>
          <w:lang w:val="es-ES"/>
        </w:rPr>
        <w:t xml:space="preserve">países han establecido metas nacionales sobre evaluación y </w:t>
      </w:r>
      <w:r w:rsidR="00855A78" w:rsidRPr="00176EF8">
        <w:rPr>
          <w:snapToGrid w:val="0"/>
          <w:kern w:val="22"/>
          <w:szCs w:val="22"/>
          <w:lang w:val="es-ES"/>
        </w:rPr>
        <w:t xml:space="preserve">50 </w:t>
      </w:r>
      <w:r w:rsidR="00176EF8" w:rsidRPr="00176EF8">
        <w:rPr>
          <w:snapToGrid w:val="0"/>
          <w:kern w:val="22"/>
          <w:szCs w:val="22"/>
          <w:lang w:val="es-ES"/>
        </w:rPr>
        <w:t>indican su intenci</w:t>
      </w:r>
      <w:r w:rsidR="00176EF8">
        <w:rPr>
          <w:snapToGrid w:val="0"/>
          <w:kern w:val="22"/>
          <w:szCs w:val="22"/>
          <w:lang w:val="es-ES"/>
        </w:rPr>
        <w:t>ón de llevar a cabo estudios de evaluación en el futuro</w:t>
      </w:r>
      <w:r w:rsidR="00855A78" w:rsidRPr="00490BF5">
        <w:rPr>
          <w:rStyle w:val="FootnoteReference"/>
          <w:snapToGrid w:val="0"/>
          <w:kern w:val="22"/>
          <w:szCs w:val="22"/>
        </w:rPr>
        <w:footnoteReference w:id="12"/>
      </w:r>
      <w:r w:rsidR="00176EF8" w:rsidRPr="00176EF8">
        <w:rPr>
          <w:snapToGrid w:val="0"/>
          <w:kern w:val="22"/>
          <w:szCs w:val="22"/>
          <w:lang w:val="es-ES"/>
        </w:rPr>
        <w:t>.</w:t>
      </w:r>
    </w:p>
    <w:p w:rsidR="00855A78" w:rsidRPr="00176EF8" w:rsidRDefault="00855A78" w:rsidP="00490BF5">
      <w:pPr>
        <w:pStyle w:val="Heading1"/>
        <w:suppressLineNumbers/>
        <w:tabs>
          <w:tab w:val="clear" w:pos="720"/>
          <w:tab w:val="left" w:pos="360"/>
        </w:tabs>
        <w:suppressAutoHyphens/>
        <w:kinsoku w:val="0"/>
        <w:overflowPunct w:val="0"/>
        <w:autoSpaceDE w:val="0"/>
        <w:autoSpaceDN w:val="0"/>
        <w:adjustRightInd w:val="0"/>
        <w:snapToGrid w:val="0"/>
        <w:spacing w:before="120"/>
        <w:ind w:left="360"/>
        <w:rPr>
          <w:snapToGrid w:val="0"/>
          <w:kern w:val="22"/>
          <w:szCs w:val="22"/>
          <w:lang w:val="es-ES"/>
        </w:rPr>
      </w:pPr>
      <w:r w:rsidRPr="00FE3976">
        <w:rPr>
          <w:snapToGrid w:val="0"/>
          <w:kern w:val="22"/>
          <w:szCs w:val="22"/>
          <w:lang w:val="es-ES"/>
        </w:rPr>
        <w:t xml:space="preserve">IV. </w:t>
      </w:r>
      <w:r w:rsidR="006E604B" w:rsidRPr="00FE3976">
        <w:rPr>
          <w:snapToGrid w:val="0"/>
          <w:kern w:val="22"/>
          <w:szCs w:val="22"/>
          <w:lang w:val="es-ES"/>
        </w:rPr>
        <w:tab/>
      </w:r>
      <w:r w:rsidR="00176EF8">
        <w:rPr>
          <w:snapToGrid w:val="0"/>
          <w:kern w:val="22"/>
          <w:lang w:val="es-ES"/>
        </w:rPr>
        <w:t>Presentación de informes sobre gastos nacionales actuales en diversidad biológica</w:t>
      </w:r>
    </w:p>
    <w:p w:rsidR="00855A78" w:rsidRPr="00176EF8" w:rsidRDefault="00176EF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Pr>
          <w:snapToGrid w:val="0"/>
          <w:kern w:val="22"/>
          <w:szCs w:val="22"/>
          <w:lang w:val="es-ES"/>
        </w:rPr>
        <w:t>De las 76 Partes que presentan informes, 71 Partes, o casi el 94 %, informaron sobre su apoyo financiero anual proporcionado a actividades nacionales relacionadas con la diversidad biológica en el país. Aunque esto también puede parecer satisfactorio, solo representa alrededor del 36 % de todas las Partes, por lo tanto, si se hace una interpretación estricta, este elemento de la meta 1 c) de la decisión XII/3 no se ha cumplido</w:t>
      </w:r>
      <w:r w:rsidR="00855A78" w:rsidRPr="00176EF8">
        <w:rPr>
          <w:snapToGrid w:val="0"/>
          <w:kern w:val="22"/>
          <w:szCs w:val="22"/>
          <w:lang w:val="es-ES"/>
        </w:rPr>
        <w:t>.</w:t>
      </w:r>
    </w:p>
    <w:p w:rsidR="00855A78" w:rsidRPr="00DC0E61" w:rsidRDefault="00176EF8" w:rsidP="00490BF5">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lang w:val="es-ES"/>
        </w:rPr>
      </w:pPr>
      <w:r w:rsidRPr="00176EF8">
        <w:rPr>
          <w:snapToGrid w:val="0"/>
          <w:kern w:val="22"/>
          <w:szCs w:val="22"/>
          <w:lang w:val="es-ES"/>
        </w:rPr>
        <w:t>El cuadro</w:t>
      </w:r>
      <w:r w:rsidR="00855A78" w:rsidRPr="00176EF8">
        <w:rPr>
          <w:snapToGrid w:val="0"/>
          <w:kern w:val="22"/>
          <w:szCs w:val="22"/>
          <w:lang w:val="es-ES"/>
        </w:rPr>
        <w:t xml:space="preserve"> </w:t>
      </w:r>
      <w:r w:rsidR="004366D9" w:rsidRPr="00176EF8">
        <w:rPr>
          <w:snapToGrid w:val="0"/>
          <w:kern w:val="22"/>
          <w:szCs w:val="22"/>
          <w:lang w:val="es-ES"/>
        </w:rPr>
        <w:t xml:space="preserve">4 </w:t>
      </w:r>
      <w:r w:rsidRPr="00176EF8">
        <w:rPr>
          <w:snapToGrid w:val="0"/>
          <w:kern w:val="22"/>
          <w:szCs w:val="22"/>
          <w:lang w:val="es-ES"/>
        </w:rPr>
        <w:t xml:space="preserve">que figura a continuación </w:t>
      </w:r>
      <w:r>
        <w:rPr>
          <w:snapToGrid w:val="0"/>
          <w:kern w:val="22"/>
          <w:szCs w:val="22"/>
          <w:lang w:val="es-ES"/>
        </w:rPr>
        <w:t>proporciona una visión general de las fuentes y categorías incluidas en las cifras facilitadas, que ref</w:t>
      </w:r>
      <w:r w:rsidRPr="00CE3F21">
        <w:rPr>
          <w:snapToGrid w:val="0"/>
          <w:kern w:val="22"/>
          <w:szCs w:val="22"/>
          <w:lang w:val="es-ES"/>
        </w:rPr>
        <w:t>lejan diferentes enfoques metodológicos</w:t>
      </w:r>
      <w:r w:rsidR="00855A78" w:rsidRPr="00CE3F21">
        <w:rPr>
          <w:snapToGrid w:val="0"/>
          <w:kern w:val="22"/>
          <w:szCs w:val="22"/>
          <w:lang w:val="es-ES"/>
        </w:rPr>
        <w:t>.</w:t>
      </w:r>
      <w:r w:rsidR="00855A78" w:rsidRPr="00176EF8">
        <w:rPr>
          <w:snapToGrid w:val="0"/>
          <w:kern w:val="22"/>
          <w:szCs w:val="22"/>
          <w:lang w:val="es-ES"/>
        </w:rPr>
        <w:t xml:space="preserve"> </w:t>
      </w:r>
      <w:r w:rsidRPr="00176EF8">
        <w:rPr>
          <w:snapToGrid w:val="0"/>
          <w:kern w:val="22"/>
          <w:szCs w:val="22"/>
          <w:lang w:val="es-ES"/>
        </w:rPr>
        <w:t xml:space="preserve">Menos países </w:t>
      </w:r>
      <w:r>
        <w:rPr>
          <w:snapToGrid w:val="0"/>
          <w:kern w:val="22"/>
          <w:szCs w:val="22"/>
          <w:lang w:val="es-ES"/>
        </w:rPr>
        <w:t xml:space="preserve">abarcan instancias gubernamentales inferiores, fuentes no gubernamentales o gastos que están indirectamente </w:t>
      </w:r>
      <w:r>
        <w:rPr>
          <w:snapToGrid w:val="0"/>
          <w:kern w:val="22"/>
          <w:szCs w:val="22"/>
          <w:lang w:val="es-ES"/>
        </w:rPr>
        <w:lastRenderedPageBreak/>
        <w:t>relacionados con la diversidad biológica</w:t>
      </w:r>
      <w:r w:rsidR="00855A78" w:rsidRPr="00176EF8">
        <w:rPr>
          <w:snapToGrid w:val="0"/>
          <w:kern w:val="22"/>
          <w:szCs w:val="22"/>
          <w:lang w:val="es-ES"/>
        </w:rPr>
        <w:t xml:space="preserve">. </w:t>
      </w:r>
      <w:r>
        <w:rPr>
          <w:snapToGrid w:val="0"/>
          <w:kern w:val="22"/>
          <w:szCs w:val="22"/>
          <w:lang w:val="es-ES"/>
        </w:rPr>
        <w:t xml:space="preserve">Además, los países también informan sobre años diferentes. </w:t>
      </w:r>
      <w:r w:rsidR="00DC0E61" w:rsidRPr="00DC0E61">
        <w:rPr>
          <w:snapToGrid w:val="0"/>
          <w:kern w:val="22"/>
          <w:szCs w:val="22"/>
          <w:lang w:val="es-ES"/>
        </w:rPr>
        <w:t>Aunque los datos no permiten realizar comparaciones entre los países o proporcionar una cifra total significativa de los gastos nacionales en materia de diversidad biológica</w:t>
      </w:r>
      <w:r w:rsidR="009B504A" w:rsidRPr="00DC0E61">
        <w:rPr>
          <w:snapToGrid w:val="0"/>
          <w:kern w:val="22"/>
          <w:szCs w:val="22"/>
          <w:lang w:val="es-ES"/>
        </w:rPr>
        <w:t>,</w:t>
      </w:r>
      <w:r w:rsidR="00855A78" w:rsidRPr="00DC0E61">
        <w:rPr>
          <w:snapToGrid w:val="0"/>
          <w:kern w:val="22"/>
          <w:szCs w:val="22"/>
          <w:lang w:val="es-ES"/>
        </w:rPr>
        <w:t xml:space="preserve"> </w:t>
      </w:r>
      <w:r w:rsidR="00DC0E61" w:rsidRPr="00DC0E61">
        <w:rPr>
          <w:snapToGrid w:val="0"/>
          <w:kern w:val="22"/>
          <w:szCs w:val="22"/>
          <w:lang w:val="es-ES"/>
        </w:rPr>
        <w:t xml:space="preserve">a veces </w:t>
      </w:r>
      <w:r w:rsidR="00DC0E61">
        <w:rPr>
          <w:snapToGrid w:val="0"/>
          <w:kern w:val="22"/>
          <w:szCs w:val="22"/>
          <w:lang w:val="es-ES"/>
        </w:rPr>
        <w:t>permiten un análisis de tendencias de cómo los gastos relacionados con la diversidad biológica evolucionan con el paso del tiempo</w:t>
      </w:r>
      <w:r w:rsidR="00855A78" w:rsidRPr="00DC0E61">
        <w:rPr>
          <w:snapToGrid w:val="0"/>
          <w:kern w:val="22"/>
          <w:szCs w:val="22"/>
          <w:lang w:val="es-ES"/>
        </w:rPr>
        <w:t xml:space="preserve">, </w:t>
      </w:r>
      <w:r w:rsidR="00DC0E61">
        <w:rPr>
          <w:snapToGrid w:val="0"/>
          <w:kern w:val="22"/>
          <w:szCs w:val="22"/>
          <w:lang w:val="es-ES"/>
        </w:rPr>
        <w:t>aunque no en todos los casos</w:t>
      </w:r>
      <w:r w:rsidR="00855A78" w:rsidRPr="00DC0E61">
        <w:rPr>
          <w:snapToGrid w:val="0"/>
          <w:kern w:val="22"/>
          <w:szCs w:val="22"/>
          <w:lang w:val="es-ES"/>
        </w:rPr>
        <w:t xml:space="preserve"> (</w:t>
      </w:r>
      <w:r w:rsidR="00DC0E61">
        <w:rPr>
          <w:snapToGrid w:val="0"/>
          <w:kern w:val="22"/>
          <w:szCs w:val="22"/>
          <w:lang w:val="es-ES"/>
        </w:rPr>
        <w:t>p</w:t>
      </w:r>
      <w:r w:rsidR="00855A78" w:rsidRPr="00DC0E61">
        <w:rPr>
          <w:snapToGrid w:val="0"/>
          <w:kern w:val="22"/>
          <w:szCs w:val="22"/>
          <w:lang w:val="es-ES"/>
        </w:rPr>
        <w:t xml:space="preserve">or </w:t>
      </w:r>
      <w:r w:rsidR="00DC0E61">
        <w:rPr>
          <w:snapToGrid w:val="0"/>
          <w:kern w:val="22"/>
          <w:szCs w:val="22"/>
          <w:lang w:val="es-ES"/>
        </w:rPr>
        <w:t>ejemplo, debido a los cambios metodológicos, como es el caso de los datos de E</w:t>
      </w:r>
      <w:r w:rsidR="00855A78" w:rsidRPr="00DC0E61">
        <w:rPr>
          <w:snapToGrid w:val="0"/>
          <w:kern w:val="22"/>
          <w:szCs w:val="22"/>
          <w:lang w:val="es-ES"/>
        </w:rPr>
        <w:t>stonia o Jap</w:t>
      </w:r>
      <w:r w:rsidR="00DC0E61">
        <w:rPr>
          <w:snapToGrid w:val="0"/>
          <w:kern w:val="22"/>
          <w:szCs w:val="22"/>
          <w:lang w:val="es-ES"/>
        </w:rPr>
        <w:t>ó</w:t>
      </w:r>
      <w:r w:rsidR="00855A78" w:rsidRPr="00DC0E61">
        <w:rPr>
          <w:snapToGrid w:val="0"/>
          <w:kern w:val="22"/>
          <w:szCs w:val="22"/>
          <w:lang w:val="es-ES"/>
        </w:rPr>
        <w:t>n, o</w:t>
      </w:r>
      <w:r w:rsidR="00DC0E61">
        <w:rPr>
          <w:snapToGrid w:val="0"/>
          <w:kern w:val="22"/>
          <w:szCs w:val="22"/>
          <w:lang w:val="es-ES"/>
        </w:rPr>
        <w:t xml:space="preserve"> porque los países informan sobre un año o solo sobre una media</w:t>
      </w:r>
      <w:r w:rsidR="003F5E49" w:rsidRPr="00DC0E61">
        <w:rPr>
          <w:snapToGrid w:val="0"/>
          <w:kern w:val="22"/>
          <w:szCs w:val="22"/>
          <w:lang w:val="es-ES"/>
        </w:rPr>
        <w:t>)</w:t>
      </w:r>
      <w:r w:rsidR="00855A78" w:rsidRPr="00DC0E61">
        <w:rPr>
          <w:snapToGrid w:val="0"/>
          <w:kern w:val="22"/>
          <w:szCs w:val="22"/>
          <w:lang w:val="es-ES"/>
        </w:rPr>
        <w:t xml:space="preserve">. </w:t>
      </w:r>
      <w:r w:rsidR="00DC0E61" w:rsidRPr="00DC0E61">
        <w:rPr>
          <w:snapToGrid w:val="0"/>
          <w:kern w:val="22"/>
          <w:szCs w:val="22"/>
          <w:lang w:val="es-ES"/>
        </w:rPr>
        <w:t>El cuadro 4 que figura a continuación sintetiza este análisis, realizado en la medida de lo posible</w:t>
      </w:r>
      <w:r w:rsidR="00855A78" w:rsidRPr="00DC0E61">
        <w:rPr>
          <w:snapToGrid w:val="0"/>
          <w:kern w:val="22"/>
          <w:szCs w:val="22"/>
          <w:lang w:val="es-ES"/>
        </w:rPr>
        <w:t>, indica</w:t>
      </w:r>
      <w:r w:rsidR="00DC0E61">
        <w:rPr>
          <w:snapToGrid w:val="0"/>
          <w:kern w:val="22"/>
          <w:szCs w:val="22"/>
          <w:lang w:val="es-ES"/>
        </w:rPr>
        <w:t>ndo tendencias crecientes o al menos neutrales en la mayoría de los países</w:t>
      </w:r>
      <w:r w:rsidR="00855A78" w:rsidRPr="00DC0E61">
        <w:rPr>
          <w:snapToGrid w:val="0"/>
          <w:kern w:val="22"/>
          <w:szCs w:val="22"/>
          <w:lang w:val="es-ES"/>
        </w:rPr>
        <w:t>.</w:t>
      </w:r>
    </w:p>
    <w:p w:rsidR="00B34BC8" w:rsidRPr="00DC0E61" w:rsidRDefault="00DC0E61" w:rsidP="00490BF5">
      <w:pPr>
        <w:keepNext/>
        <w:suppressLineNumbers/>
        <w:suppressAutoHyphens/>
        <w:kinsoku w:val="0"/>
        <w:overflowPunct w:val="0"/>
        <w:autoSpaceDE w:val="0"/>
        <w:autoSpaceDN w:val="0"/>
        <w:adjustRightInd w:val="0"/>
        <w:snapToGrid w:val="0"/>
        <w:spacing w:after="120"/>
        <w:ind w:left="360"/>
        <w:jc w:val="left"/>
        <w:rPr>
          <w:snapToGrid w:val="0"/>
          <w:kern w:val="22"/>
          <w:szCs w:val="22"/>
          <w:lang w:val="es-ES"/>
        </w:rPr>
      </w:pPr>
      <w:r>
        <w:rPr>
          <w:b/>
          <w:snapToGrid w:val="0"/>
          <w:kern w:val="22"/>
          <w:szCs w:val="22"/>
          <w:lang w:val="es-ES"/>
        </w:rPr>
        <w:t>Cuadro</w:t>
      </w:r>
      <w:r w:rsidR="00B34BC8" w:rsidRPr="00DC0E61">
        <w:rPr>
          <w:b/>
          <w:snapToGrid w:val="0"/>
          <w:kern w:val="22"/>
          <w:szCs w:val="22"/>
          <w:lang w:val="es-ES"/>
        </w:rPr>
        <w:t xml:space="preserve"> 4. </w:t>
      </w:r>
      <w:r>
        <w:rPr>
          <w:b/>
          <w:snapToGrid w:val="0"/>
          <w:kern w:val="22"/>
          <w:szCs w:val="22"/>
          <w:lang w:val="es-ES"/>
        </w:rPr>
        <w:t>Fuentes y categorías de gastos 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2020"/>
        <w:gridCol w:w="2020"/>
      </w:tblGrid>
      <w:tr w:rsidR="00855A78" w:rsidRPr="00490BF5" w:rsidTr="000B2CC8">
        <w:tc>
          <w:tcPr>
            <w:tcW w:w="5455" w:type="dxa"/>
            <w:shd w:val="clear" w:color="auto" w:fill="auto"/>
          </w:tcPr>
          <w:p w:rsidR="00855A78" w:rsidRPr="00DC0E61" w:rsidRDefault="00855A78" w:rsidP="00490BF5">
            <w:pPr>
              <w:suppressLineNumbers/>
              <w:suppressAutoHyphens/>
              <w:kinsoku w:val="0"/>
              <w:overflowPunct w:val="0"/>
              <w:autoSpaceDE w:val="0"/>
              <w:autoSpaceDN w:val="0"/>
              <w:adjustRightInd w:val="0"/>
              <w:snapToGrid w:val="0"/>
              <w:ind w:left="360"/>
              <w:jc w:val="left"/>
              <w:rPr>
                <w:bCs/>
                <w:snapToGrid w:val="0"/>
                <w:kern w:val="22"/>
                <w:szCs w:val="22"/>
                <w:lang w:val="es-ES"/>
              </w:rPr>
            </w:pPr>
          </w:p>
        </w:tc>
        <w:tc>
          <w:tcPr>
            <w:tcW w:w="4121" w:type="dxa"/>
            <w:gridSpan w:val="2"/>
            <w:shd w:val="clear" w:color="auto" w:fill="auto"/>
          </w:tcPr>
          <w:p w:rsidR="00855A78" w:rsidRPr="00490BF5" w:rsidRDefault="00855A78" w:rsidP="00DC0E61">
            <w:pPr>
              <w:suppressLineNumbers/>
              <w:suppressAutoHyphens/>
              <w:kinsoku w:val="0"/>
              <w:overflowPunct w:val="0"/>
              <w:autoSpaceDE w:val="0"/>
              <w:autoSpaceDN w:val="0"/>
              <w:adjustRightInd w:val="0"/>
              <w:snapToGrid w:val="0"/>
              <w:ind w:left="360"/>
              <w:jc w:val="center"/>
              <w:rPr>
                <w:i/>
                <w:iCs/>
                <w:snapToGrid w:val="0"/>
                <w:kern w:val="22"/>
                <w:szCs w:val="22"/>
              </w:rPr>
            </w:pPr>
            <w:r w:rsidRPr="00490BF5">
              <w:rPr>
                <w:i/>
                <w:iCs/>
                <w:snapToGrid w:val="0"/>
                <w:kern w:val="22"/>
                <w:szCs w:val="22"/>
              </w:rPr>
              <w:t>N</w:t>
            </w:r>
            <w:r w:rsidR="00DC0E61">
              <w:rPr>
                <w:i/>
                <w:iCs/>
                <w:snapToGrid w:val="0"/>
                <w:kern w:val="22"/>
                <w:szCs w:val="22"/>
              </w:rPr>
              <w:t>úmero de países</w:t>
            </w:r>
          </w:p>
        </w:tc>
      </w:tr>
      <w:tr w:rsidR="00AA6109" w:rsidRPr="00FE3976" w:rsidTr="000B2CC8">
        <w:tc>
          <w:tcPr>
            <w:tcW w:w="0" w:type="auto"/>
            <w:shd w:val="clear" w:color="auto" w:fill="auto"/>
            <w:hideMark/>
          </w:tcPr>
          <w:p w:rsidR="00AA6109" w:rsidRPr="00490BF5" w:rsidRDefault="00AA6109" w:rsidP="00490BF5">
            <w:pPr>
              <w:suppressLineNumbers/>
              <w:suppressAutoHyphens/>
              <w:kinsoku w:val="0"/>
              <w:overflowPunct w:val="0"/>
              <w:autoSpaceDE w:val="0"/>
              <w:autoSpaceDN w:val="0"/>
              <w:adjustRightInd w:val="0"/>
              <w:snapToGrid w:val="0"/>
              <w:ind w:left="360"/>
              <w:jc w:val="center"/>
              <w:rPr>
                <w:i/>
                <w:iCs/>
                <w:snapToGrid w:val="0"/>
                <w:kern w:val="22"/>
                <w:szCs w:val="22"/>
                <w:lang w:eastAsia="fr-FR"/>
              </w:rPr>
            </w:pPr>
            <w:r>
              <w:rPr>
                <w:i/>
                <w:iCs/>
                <w:snapToGrid w:val="0"/>
                <w:kern w:val="22"/>
                <w:szCs w:val="22"/>
                <w:lang w:val="es-ES" w:eastAsia="fr-FR"/>
              </w:rPr>
              <w:t>Las cifras proporcionadas incluyen</w:t>
            </w:r>
          </w:p>
        </w:tc>
        <w:tc>
          <w:tcPr>
            <w:tcW w:w="0" w:type="auto"/>
            <w:shd w:val="clear" w:color="auto" w:fill="auto"/>
            <w:hideMark/>
          </w:tcPr>
          <w:p w:rsidR="00AA6109" w:rsidRDefault="00AA6109" w:rsidP="00842B4E">
            <w:pPr>
              <w:suppressLineNumbers/>
              <w:suppressAutoHyphens/>
              <w:jc w:val="center"/>
              <w:rPr>
                <w:i/>
                <w:iCs/>
                <w:snapToGrid w:val="0"/>
                <w:kern w:val="22"/>
                <w:szCs w:val="22"/>
                <w:lang w:val="es-ES" w:eastAsia="fr-FR"/>
              </w:rPr>
            </w:pPr>
            <w:r>
              <w:rPr>
                <w:i/>
                <w:iCs/>
                <w:snapToGrid w:val="0"/>
                <w:kern w:val="22"/>
                <w:szCs w:val="22"/>
                <w:lang w:val="es-ES" w:eastAsia="fr-FR"/>
              </w:rPr>
              <w:t>Gastos directamente relacionados con la diversidad biológica</w:t>
            </w:r>
          </w:p>
        </w:tc>
        <w:tc>
          <w:tcPr>
            <w:tcW w:w="0" w:type="auto"/>
            <w:shd w:val="clear" w:color="auto" w:fill="auto"/>
            <w:hideMark/>
          </w:tcPr>
          <w:p w:rsidR="00AA6109" w:rsidRDefault="00AA6109" w:rsidP="00842B4E">
            <w:pPr>
              <w:suppressLineNumbers/>
              <w:suppressAutoHyphens/>
              <w:jc w:val="center"/>
              <w:rPr>
                <w:i/>
                <w:iCs/>
                <w:snapToGrid w:val="0"/>
                <w:kern w:val="22"/>
                <w:szCs w:val="22"/>
                <w:lang w:val="es-ES" w:eastAsia="fr-FR"/>
              </w:rPr>
            </w:pPr>
            <w:r>
              <w:rPr>
                <w:i/>
                <w:iCs/>
                <w:snapToGrid w:val="0"/>
                <w:kern w:val="22"/>
                <w:szCs w:val="22"/>
                <w:lang w:val="es-ES" w:eastAsia="fr-FR"/>
              </w:rPr>
              <w:t>Gastos indirectamente relacionados con la diversidad biológica</w:t>
            </w:r>
          </w:p>
        </w:tc>
      </w:tr>
      <w:tr w:rsidR="00855A78" w:rsidRPr="00490BF5" w:rsidTr="000B2CC8">
        <w:tc>
          <w:tcPr>
            <w:tcW w:w="0" w:type="auto"/>
            <w:shd w:val="clear" w:color="auto" w:fill="auto"/>
            <w:hideMark/>
          </w:tcPr>
          <w:p w:rsidR="00855A78" w:rsidRPr="00490BF5" w:rsidRDefault="00AA6109" w:rsidP="00AA6109">
            <w:pPr>
              <w:suppressLineNumbers/>
              <w:suppressAutoHyphens/>
              <w:kinsoku w:val="0"/>
              <w:overflowPunct w:val="0"/>
              <w:autoSpaceDE w:val="0"/>
              <w:autoSpaceDN w:val="0"/>
              <w:adjustRightInd w:val="0"/>
              <w:snapToGrid w:val="0"/>
              <w:ind w:left="360"/>
              <w:jc w:val="left"/>
              <w:rPr>
                <w:snapToGrid w:val="0"/>
                <w:kern w:val="22"/>
                <w:szCs w:val="22"/>
                <w:lang w:eastAsia="fr-FR"/>
              </w:rPr>
            </w:pPr>
            <w:r>
              <w:rPr>
                <w:snapToGrid w:val="0"/>
                <w:kern w:val="22"/>
                <w:szCs w:val="22"/>
                <w:lang w:eastAsia="fr-FR"/>
              </w:rPr>
              <w:t>Presupuestos gubernamentales</w:t>
            </w:r>
            <w:r w:rsidR="00855A78" w:rsidRPr="00490BF5">
              <w:rPr>
                <w:snapToGrid w:val="0"/>
                <w:kern w:val="22"/>
                <w:szCs w:val="22"/>
                <w:lang w:eastAsia="fr-FR"/>
              </w:rPr>
              <w:t xml:space="preserve"> – central</w:t>
            </w:r>
            <w:r>
              <w:rPr>
                <w:snapToGrid w:val="0"/>
                <w:kern w:val="22"/>
                <w:szCs w:val="22"/>
                <w:lang w:eastAsia="fr-FR"/>
              </w:rPr>
              <w:t>es</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6</w:t>
            </w:r>
            <w:r w:rsidR="0067018B" w:rsidRPr="00490BF5">
              <w:rPr>
                <w:snapToGrid w:val="0"/>
                <w:kern w:val="22"/>
                <w:szCs w:val="22"/>
              </w:rPr>
              <w:t>7</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40</w:t>
            </w:r>
          </w:p>
        </w:tc>
      </w:tr>
      <w:tr w:rsidR="00855A78" w:rsidRPr="00490BF5" w:rsidTr="000B2CC8">
        <w:tc>
          <w:tcPr>
            <w:tcW w:w="0" w:type="auto"/>
            <w:shd w:val="clear" w:color="auto" w:fill="auto"/>
            <w:hideMark/>
          </w:tcPr>
          <w:p w:rsidR="00855A78" w:rsidRPr="00AA6109" w:rsidRDefault="00AA6109" w:rsidP="00AA6109">
            <w:pPr>
              <w:suppressLineNumbers/>
              <w:suppressAutoHyphens/>
              <w:kinsoku w:val="0"/>
              <w:overflowPunct w:val="0"/>
              <w:autoSpaceDE w:val="0"/>
              <w:autoSpaceDN w:val="0"/>
              <w:adjustRightInd w:val="0"/>
              <w:snapToGrid w:val="0"/>
              <w:ind w:left="360"/>
              <w:jc w:val="left"/>
              <w:rPr>
                <w:snapToGrid w:val="0"/>
                <w:kern w:val="22"/>
                <w:szCs w:val="22"/>
                <w:lang w:val="es-ES" w:eastAsia="fr-FR"/>
              </w:rPr>
            </w:pPr>
            <w:r w:rsidRPr="00AA6109">
              <w:rPr>
                <w:snapToGrid w:val="0"/>
                <w:kern w:val="22"/>
                <w:szCs w:val="22"/>
                <w:lang w:val="es-ES" w:eastAsia="fr-FR"/>
              </w:rPr>
              <w:t>Presupuestos gubernamentales</w:t>
            </w:r>
            <w:r w:rsidR="00855A78" w:rsidRPr="00AA6109">
              <w:rPr>
                <w:snapToGrid w:val="0"/>
                <w:kern w:val="22"/>
                <w:szCs w:val="22"/>
                <w:lang w:val="es-ES" w:eastAsia="fr-FR"/>
              </w:rPr>
              <w:t xml:space="preserve"> – </w:t>
            </w:r>
            <w:r>
              <w:rPr>
                <w:snapToGrid w:val="0"/>
                <w:kern w:val="22"/>
                <w:szCs w:val="22"/>
                <w:lang w:val="es-ES" w:eastAsia="fr-FR"/>
              </w:rPr>
              <w:t>estatales/provinciales</w:t>
            </w:r>
            <w:r w:rsidRPr="00AA6109">
              <w:rPr>
                <w:snapToGrid w:val="0"/>
                <w:kern w:val="22"/>
                <w:szCs w:val="22"/>
                <w:lang w:val="es-ES" w:eastAsia="fr-FR"/>
              </w:rPr>
              <w:t xml:space="preserve"> </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27</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17</w:t>
            </w:r>
          </w:p>
        </w:tc>
      </w:tr>
      <w:tr w:rsidR="00855A78" w:rsidRPr="00490BF5" w:rsidTr="000B2CC8">
        <w:tc>
          <w:tcPr>
            <w:tcW w:w="0" w:type="auto"/>
            <w:shd w:val="clear" w:color="auto" w:fill="auto"/>
            <w:hideMark/>
          </w:tcPr>
          <w:p w:rsidR="00855A78" w:rsidRPr="00490BF5" w:rsidRDefault="00AA6109" w:rsidP="00AA6109">
            <w:pPr>
              <w:suppressLineNumbers/>
              <w:suppressAutoHyphens/>
              <w:kinsoku w:val="0"/>
              <w:overflowPunct w:val="0"/>
              <w:autoSpaceDE w:val="0"/>
              <w:autoSpaceDN w:val="0"/>
              <w:adjustRightInd w:val="0"/>
              <w:snapToGrid w:val="0"/>
              <w:ind w:left="360"/>
              <w:jc w:val="left"/>
              <w:rPr>
                <w:snapToGrid w:val="0"/>
                <w:kern w:val="22"/>
                <w:szCs w:val="22"/>
                <w:lang w:eastAsia="fr-FR"/>
              </w:rPr>
            </w:pPr>
            <w:r>
              <w:rPr>
                <w:snapToGrid w:val="0"/>
                <w:kern w:val="22"/>
                <w:szCs w:val="22"/>
                <w:lang w:eastAsia="fr-FR"/>
              </w:rPr>
              <w:t>Presupuestos gubernamentales</w:t>
            </w:r>
            <w:r w:rsidR="00855A78" w:rsidRPr="00490BF5">
              <w:rPr>
                <w:snapToGrid w:val="0"/>
                <w:kern w:val="22"/>
                <w:szCs w:val="22"/>
                <w:lang w:eastAsia="fr-FR"/>
              </w:rPr>
              <w:t xml:space="preserve"> – local</w:t>
            </w:r>
            <w:r>
              <w:rPr>
                <w:snapToGrid w:val="0"/>
                <w:kern w:val="22"/>
                <w:szCs w:val="22"/>
                <w:lang w:eastAsia="fr-FR"/>
              </w:rPr>
              <w:t>es</w:t>
            </w:r>
            <w:r w:rsidR="00855A78" w:rsidRPr="00490BF5">
              <w:rPr>
                <w:snapToGrid w:val="0"/>
                <w:kern w:val="22"/>
                <w:szCs w:val="22"/>
                <w:lang w:eastAsia="fr-FR"/>
              </w:rPr>
              <w:t>/municipal</w:t>
            </w:r>
            <w:r>
              <w:rPr>
                <w:snapToGrid w:val="0"/>
                <w:kern w:val="22"/>
                <w:szCs w:val="22"/>
                <w:lang w:eastAsia="fr-FR"/>
              </w:rPr>
              <w:t>es</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23</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14</w:t>
            </w:r>
          </w:p>
        </w:tc>
      </w:tr>
      <w:tr w:rsidR="00855A78" w:rsidRPr="00490BF5" w:rsidTr="000B2CC8">
        <w:tc>
          <w:tcPr>
            <w:tcW w:w="0" w:type="auto"/>
            <w:shd w:val="clear" w:color="auto" w:fill="auto"/>
            <w:hideMark/>
          </w:tcPr>
          <w:p w:rsidR="00855A78" w:rsidRPr="00490BF5" w:rsidRDefault="00855A78" w:rsidP="00AA6109">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Extra</w:t>
            </w:r>
            <w:r w:rsidR="00AA6109">
              <w:rPr>
                <w:snapToGrid w:val="0"/>
                <w:kern w:val="22"/>
                <w:szCs w:val="22"/>
                <w:lang w:eastAsia="fr-FR"/>
              </w:rPr>
              <w:t>presupuestarios</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23</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15</w:t>
            </w:r>
          </w:p>
        </w:tc>
      </w:tr>
      <w:tr w:rsidR="00855A78" w:rsidRPr="00490BF5" w:rsidTr="000B2CC8">
        <w:tc>
          <w:tcPr>
            <w:tcW w:w="0" w:type="auto"/>
            <w:shd w:val="clear" w:color="auto" w:fill="auto"/>
            <w:hideMark/>
          </w:tcPr>
          <w:p w:rsidR="00855A78" w:rsidRPr="00490BF5" w:rsidRDefault="00855A78" w:rsidP="00AA6109">
            <w:pPr>
              <w:suppressLineNumbers/>
              <w:suppressAutoHyphens/>
              <w:kinsoku w:val="0"/>
              <w:overflowPunct w:val="0"/>
              <w:autoSpaceDE w:val="0"/>
              <w:autoSpaceDN w:val="0"/>
              <w:adjustRightInd w:val="0"/>
              <w:snapToGrid w:val="0"/>
              <w:ind w:left="360"/>
              <w:jc w:val="left"/>
              <w:rPr>
                <w:snapToGrid w:val="0"/>
                <w:kern w:val="22"/>
                <w:szCs w:val="22"/>
                <w:lang w:eastAsia="fr-FR"/>
              </w:rPr>
            </w:pPr>
            <w:r w:rsidRPr="00490BF5">
              <w:rPr>
                <w:snapToGrid w:val="0"/>
                <w:kern w:val="22"/>
                <w:szCs w:val="22"/>
                <w:lang w:eastAsia="fr-FR"/>
              </w:rPr>
              <w:t>Priva</w:t>
            </w:r>
            <w:r w:rsidR="00AA6109">
              <w:rPr>
                <w:snapToGrid w:val="0"/>
                <w:kern w:val="22"/>
                <w:szCs w:val="22"/>
                <w:lang w:eastAsia="fr-FR"/>
              </w:rPr>
              <w:t>do</w:t>
            </w:r>
            <w:r w:rsidRPr="00490BF5">
              <w:rPr>
                <w:snapToGrid w:val="0"/>
                <w:kern w:val="22"/>
                <w:szCs w:val="22"/>
                <w:lang w:eastAsia="fr-FR"/>
              </w:rPr>
              <w:t>/</w:t>
            </w:r>
            <w:r w:rsidR="00AA6109">
              <w:rPr>
                <w:snapToGrid w:val="0"/>
                <w:kern w:val="22"/>
                <w:szCs w:val="22"/>
                <w:lang w:eastAsia="fr-FR"/>
              </w:rPr>
              <w:t>del mercado</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16</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10</w:t>
            </w:r>
          </w:p>
        </w:tc>
      </w:tr>
      <w:tr w:rsidR="00855A78" w:rsidRPr="00490BF5" w:rsidTr="000B2CC8">
        <w:tc>
          <w:tcPr>
            <w:tcW w:w="0" w:type="auto"/>
            <w:shd w:val="clear" w:color="auto" w:fill="auto"/>
            <w:hideMark/>
          </w:tcPr>
          <w:p w:rsidR="00855A78" w:rsidRPr="00AA6109" w:rsidRDefault="00855A78" w:rsidP="00AA6109">
            <w:pPr>
              <w:suppressLineNumbers/>
              <w:suppressAutoHyphens/>
              <w:kinsoku w:val="0"/>
              <w:overflowPunct w:val="0"/>
              <w:autoSpaceDE w:val="0"/>
              <w:autoSpaceDN w:val="0"/>
              <w:adjustRightInd w:val="0"/>
              <w:snapToGrid w:val="0"/>
              <w:ind w:left="360"/>
              <w:jc w:val="left"/>
              <w:rPr>
                <w:snapToGrid w:val="0"/>
                <w:kern w:val="22"/>
                <w:szCs w:val="22"/>
                <w:lang w:val="es-ES" w:eastAsia="fr-FR"/>
              </w:rPr>
            </w:pPr>
            <w:r w:rsidRPr="00AA6109">
              <w:rPr>
                <w:snapToGrid w:val="0"/>
                <w:kern w:val="22"/>
                <w:szCs w:val="22"/>
                <w:lang w:val="es-ES" w:eastAsia="fr-FR"/>
              </w:rPr>
              <w:t>Ot</w:t>
            </w:r>
            <w:r w:rsidR="00AA6109" w:rsidRPr="00AA6109">
              <w:rPr>
                <w:snapToGrid w:val="0"/>
                <w:kern w:val="22"/>
                <w:szCs w:val="22"/>
                <w:lang w:val="es-ES" w:eastAsia="fr-FR"/>
              </w:rPr>
              <w:t>ros</w:t>
            </w:r>
            <w:r w:rsidRPr="00AA6109">
              <w:rPr>
                <w:snapToGrid w:val="0"/>
                <w:kern w:val="22"/>
                <w:szCs w:val="22"/>
                <w:lang w:val="es-ES" w:eastAsia="fr-FR"/>
              </w:rPr>
              <w:t xml:space="preserve"> (</w:t>
            </w:r>
            <w:r w:rsidR="00AA6109" w:rsidRPr="00AA6109">
              <w:rPr>
                <w:snapToGrid w:val="0"/>
                <w:kern w:val="22"/>
                <w:szCs w:val="22"/>
                <w:lang w:val="es-ES" w:eastAsia="fr-FR"/>
              </w:rPr>
              <w:t>ON</w:t>
            </w:r>
            <w:r w:rsidRPr="00AA6109">
              <w:rPr>
                <w:snapToGrid w:val="0"/>
                <w:kern w:val="22"/>
                <w:szCs w:val="22"/>
                <w:lang w:val="es-ES" w:eastAsia="fr-FR"/>
              </w:rPr>
              <w:t>G</w:t>
            </w:r>
            <w:r w:rsidR="00AA6109" w:rsidRPr="00AA6109">
              <w:rPr>
                <w:snapToGrid w:val="0"/>
                <w:kern w:val="22"/>
                <w:szCs w:val="22"/>
                <w:lang w:val="es-ES" w:eastAsia="fr-FR"/>
              </w:rPr>
              <w:t>, f</w:t>
            </w:r>
            <w:r w:rsidRPr="00AA6109">
              <w:rPr>
                <w:snapToGrid w:val="0"/>
                <w:kern w:val="22"/>
                <w:szCs w:val="22"/>
                <w:lang w:val="es-ES" w:eastAsia="fr-FR"/>
              </w:rPr>
              <w:t>unda</w:t>
            </w:r>
            <w:r w:rsidR="00AA6109" w:rsidRPr="00AA6109">
              <w:rPr>
                <w:snapToGrid w:val="0"/>
                <w:kern w:val="22"/>
                <w:szCs w:val="22"/>
                <w:lang w:val="es-ES" w:eastAsia="fr-FR"/>
              </w:rPr>
              <w:t>ciones</w:t>
            </w:r>
            <w:r w:rsidRPr="00AA6109">
              <w:rPr>
                <w:snapToGrid w:val="0"/>
                <w:kern w:val="22"/>
                <w:szCs w:val="22"/>
                <w:lang w:val="es-ES" w:eastAsia="fr-FR"/>
              </w:rPr>
              <w:t xml:space="preserve">, </w:t>
            </w:r>
            <w:r w:rsidR="00AA6109" w:rsidRPr="00AA6109">
              <w:rPr>
                <w:snapToGrid w:val="0"/>
                <w:kern w:val="22"/>
                <w:szCs w:val="22"/>
                <w:lang w:val="es-ES" w:eastAsia="fr-FR"/>
              </w:rPr>
              <w:t>sector académico</w:t>
            </w:r>
            <w:r w:rsidR="00AA6109">
              <w:rPr>
                <w:snapToGrid w:val="0"/>
                <w:kern w:val="22"/>
                <w:szCs w:val="22"/>
                <w:lang w:val="es-ES" w:eastAsia="fr-FR"/>
              </w:rPr>
              <w:t>)</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28</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17</w:t>
            </w:r>
          </w:p>
        </w:tc>
      </w:tr>
      <w:tr w:rsidR="00855A78" w:rsidRPr="00490BF5" w:rsidTr="000B2CC8">
        <w:tc>
          <w:tcPr>
            <w:tcW w:w="0" w:type="auto"/>
            <w:shd w:val="clear" w:color="auto" w:fill="auto"/>
            <w:hideMark/>
          </w:tcPr>
          <w:p w:rsidR="00855A78" w:rsidRPr="00AA6109" w:rsidRDefault="00AA6109" w:rsidP="00AA6109">
            <w:pPr>
              <w:suppressLineNumbers/>
              <w:suppressAutoHyphens/>
              <w:kinsoku w:val="0"/>
              <w:overflowPunct w:val="0"/>
              <w:autoSpaceDE w:val="0"/>
              <w:autoSpaceDN w:val="0"/>
              <w:adjustRightInd w:val="0"/>
              <w:snapToGrid w:val="0"/>
              <w:ind w:left="360"/>
              <w:jc w:val="left"/>
              <w:rPr>
                <w:snapToGrid w:val="0"/>
                <w:kern w:val="22"/>
                <w:szCs w:val="22"/>
                <w:lang w:val="es-ES" w:eastAsia="fr-FR"/>
              </w:rPr>
            </w:pPr>
            <w:r w:rsidRPr="00AA6109">
              <w:rPr>
                <w:snapToGrid w:val="0"/>
                <w:kern w:val="22"/>
                <w:szCs w:val="22"/>
                <w:lang w:val="es-ES" w:eastAsia="fr-FR"/>
              </w:rPr>
              <w:t>Acción colectiva de las comunidades indígenas y locales</w:t>
            </w:r>
          </w:p>
        </w:tc>
        <w:tc>
          <w:tcPr>
            <w:tcW w:w="0" w:type="auto"/>
            <w:shd w:val="clear" w:color="auto" w:fill="auto"/>
            <w:noWrap/>
            <w:tcMar>
              <w:left w:w="720" w:type="dxa"/>
              <w:right w:w="720"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6</w:t>
            </w:r>
          </w:p>
        </w:tc>
        <w:tc>
          <w:tcPr>
            <w:tcW w:w="0" w:type="auto"/>
            <w:shd w:val="clear" w:color="auto" w:fill="auto"/>
            <w:noWrap/>
            <w:tcMar>
              <w:left w:w="720" w:type="dxa"/>
              <w:right w:w="720"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3</w:t>
            </w:r>
          </w:p>
        </w:tc>
      </w:tr>
    </w:tbl>
    <w:p w:rsidR="00855A78" w:rsidRPr="00CD73FD" w:rsidRDefault="00AA6109" w:rsidP="00490BF5">
      <w:pPr>
        <w:pStyle w:val="ListParagraph"/>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lang w:val="es-ES"/>
        </w:rPr>
      </w:pPr>
      <w:r w:rsidRPr="00AA6109">
        <w:rPr>
          <w:snapToGrid w:val="0"/>
          <w:kern w:val="22"/>
          <w:szCs w:val="22"/>
          <w:lang w:val="es-ES"/>
        </w:rPr>
        <w:t>Entre las Partes que proporcionaron información metodológica adicional</w:t>
      </w:r>
      <w:r w:rsidR="00855A78" w:rsidRPr="00AA6109">
        <w:rPr>
          <w:snapToGrid w:val="0"/>
          <w:kern w:val="22"/>
          <w:szCs w:val="22"/>
          <w:lang w:val="es-ES"/>
        </w:rPr>
        <w:t xml:space="preserve">, </w:t>
      </w:r>
      <w:r w:rsidRPr="00AA6109">
        <w:rPr>
          <w:snapToGrid w:val="0"/>
          <w:kern w:val="22"/>
          <w:szCs w:val="22"/>
          <w:lang w:val="es-ES"/>
        </w:rPr>
        <w:t>la mayoría de las Partes</w:t>
      </w:r>
      <w:r w:rsidR="00855A78" w:rsidRPr="00AA6109">
        <w:rPr>
          <w:snapToGrid w:val="0"/>
          <w:kern w:val="22"/>
          <w:szCs w:val="22"/>
          <w:lang w:val="es-ES"/>
        </w:rPr>
        <w:t xml:space="preserve"> (27) </w:t>
      </w:r>
      <w:r w:rsidRPr="00AA6109">
        <w:rPr>
          <w:snapToGrid w:val="0"/>
          <w:kern w:val="22"/>
          <w:szCs w:val="22"/>
          <w:lang w:val="es-ES"/>
        </w:rPr>
        <w:t xml:space="preserve">hicieron referencia a un análisis de documentos presupuestarios, </w:t>
      </w:r>
      <w:r>
        <w:rPr>
          <w:snapToGrid w:val="0"/>
          <w:kern w:val="22"/>
          <w:szCs w:val="22"/>
          <w:lang w:val="es-ES"/>
        </w:rPr>
        <w:t xml:space="preserve">que </w:t>
      </w:r>
      <w:r w:rsidRPr="00AA6109">
        <w:rPr>
          <w:snapToGrid w:val="0"/>
          <w:kern w:val="22"/>
          <w:szCs w:val="22"/>
          <w:lang w:val="es-ES"/>
        </w:rPr>
        <w:t>posiblemente inclu</w:t>
      </w:r>
      <w:r>
        <w:rPr>
          <w:snapToGrid w:val="0"/>
          <w:kern w:val="22"/>
          <w:szCs w:val="22"/>
          <w:lang w:val="es-ES"/>
        </w:rPr>
        <w:t>ye</w:t>
      </w:r>
      <w:r w:rsidRPr="00AA6109">
        <w:rPr>
          <w:snapToGrid w:val="0"/>
          <w:kern w:val="22"/>
          <w:szCs w:val="22"/>
          <w:lang w:val="es-ES"/>
        </w:rPr>
        <w:t xml:space="preserve"> la asignaci</w:t>
      </w:r>
      <w:r>
        <w:rPr>
          <w:snapToGrid w:val="0"/>
          <w:kern w:val="22"/>
          <w:szCs w:val="22"/>
          <w:lang w:val="es-ES"/>
        </w:rPr>
        <w:t>ón de coeficientes para las contribuciones indirectas a la diversidad biológica</w:t>
      </w:r>
      <w:r w:rsidR="00855A78" w:rsidRPr="00AA6109">
        <w:rPr>
          <w:snapToGrid w:val="0"/>
          <w:kern w:val="22"/>
          <w:szCs w:val="22"/>
          <w:lang w:val="es-ES"/>
        </w:rPr>
        <w:t xml:space="preserve">. </w:t>
      </w:r>
      <w:r w:rsidRPr="00CD73FD">
        <w:rPr>
          <w:snapToGrid w:val="0"/>
          <w:kern w:val="22"/>
          <w:szCs w:val="22"/>
          <w:lang w:val="es-ES"/>
        </w:rPr>
        <w:t xml:space="preserve">Un grupo más pequeño de </w:t>
      </w:r>
      <w:r w:rsidR="00855A78" w:rsidRPr="00CD73FD">
        <w:rPr>
          <w:snapToGrid w:val="0"/>
          <w:kern w:val="22"/>
          <w:szCs w:val="22"/>
          <w:lang w:val="es-ES"/>
        </w:rPr>
        <w:t>1</w:t>
      </w:r>
      <w:r w:rsidR="00471C1C" w:rsidRPr="00CD73FD">
        <w:rPr>
          <w:snapToGrid w:val="0"/>
          <w:kern w:val="22"/>
          <w:szCs w:val="22"/>
          <w:lang w:val="es-ES"/>
        </w:rPr>
        <w:t>1</w:t>
      </w:r>
      <w:r w:rsidR="00855A78" w:rsidRPr="00CD73FD">
        <w:rPr>
          <w:snapToGrid w:val="0"/>
          <w:kern w:val="22"/>
          <w:szCs w:val="22"/>
          <w:lang w:val="es-ES"/>
        </w:rPr>
        <w:t xml:space="preserve"> Partes </w:t>
      </w:r>
      <w:r w:rsidRPr="00CD73FD">
        <w:rPr>
          <w:snapToGrid w:val="0"/>
          <w:kern w:val="22"/>
          <w:szCs w:val="22"/>
          <w:lang w:val="es-ES"/>
        </w:rPr>
        <w:t xml:space="preserve">hizo referencia </w:t>
      </w:r>
      <w:r w:rsidR="00CD73FD" w:rsidRPr="00CD73FD">
        <w:rPr>
          <w:snapToGrid w:val="0"/>
          <w:kern w:val="22"/>
          <w:szCs w:val="22"/>
          <w:lang w:val="es-ES"/>
        </w:rPr>
        <w:t>a la utilización de estadísticas nacionales</w:t>
      </w:r>
      <w:r w:rsidR="00471C1C" w:rsidRPr="00CD73FD">
        <w:rPr>
          <w:snapToGrid w:val="0"/>
          <w:kern w:val="22"/>
          <w:szCs w:val="22"/>
          <w:lang w:val="es-ES"/>
        </w:rPr>
        <w:t xml:space="preserve">, </w:t>
      </w:r>
      <w:r w:rsidR="00CD73FD">
        <w:rPr>
          <w:snapToGrid w:val="0"/>
          <w:kern w:val="22"/>
          <w:szCs w:val="22"/>
          <w:lang w:val="es-ES"/>
        </w:rPr>
        <w:t>probablemente basadas en cuentas de gastos públicos en materia medioambiental, haciendo referencia a clasificaciones acordadas internacionalmente, como la Clasificación de Actividades de Protección Ambiental o la Clasificación de las Funciones de las Administraciones Públicas, y en particular la subclase “protección del paisaje y de la diversidad biológica” contenidas en las mismas</w:t>
      </w:r>
      <w:r w:rsidR="00855A78" w:rsidRPr="00CD73FD">
        <w:rPr>
          <w:snapToGrid w:val="0"/>
          <w:kern w:val="22"/>
          <w:szCs w:val="22"/>
          <w:lang w:val="es-ES"/>
        </w:rPr>
        <w:t>.</w:t>
      </w:r>
    </w:p>
    <w:p w:rsidR="00855A78" w:rsidRPr="00DF1913" w:rsidRDefault="00070ECB"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lang w:val="es-ES"/>
        </w:rPr>
      </w:pPr>
      <w:r w:rsidRPr="00070ECB">
        <w:rPr>
          <w:snapToGrid w:val="0"/>
          <w:kern w:val="22"/>
          <w:szCs w:val="22"/>
          <w:lang w:val="es-ES"/>
        </w:rPr>
        <w:t>En este grupo</w:t>
      </w:r>
      <w:r w:rsidR="00855A78" w:rsidRPr="00070ECB">
        <w:rPr>
          <w:snapToGrid w:val="0"/>
          <w:kern w:val="22"/>
          <w:szCs w:val="22"/>
          <w:lang w:val="es-ES"/>
        </w:rPr>
        <w:t xml:space="preserve">, </w:t>
      </w:r>
      <w:r w:rsidRPr="00070ECB">
        <w:rPr>
          <w:snapToGrid w:val="0"/>
          <w:kern w:val="22"/>
          <w:szCs w:val="22"/>
          <w:lang w:val="es-ES"/>
        </w:rPr>
        <w:t xml:space="preserve">Chequia y </w:t>
      </w:r>
      <w:r w:rsidR="00855A78" w:rsidRPr="00070ECB">
        <w:rPr>
          <w:snapToGrid w:val="0"/>
          <w:kern w:val="22"/>
          <w:szCs w:val="22"/>
          <w:lang w:val="es-ES"/>
        </w:rPr>
        <w:t>Finland</w:t>
      </w:r>
      <w:r w:rsidRPr="00070ECB">
        <w:rPr>
          <w:snapToGrid w:val="0"/>
          <w:kern w:val="22"/>
          <w:szCs w:val="22"/>
          <w:lang w:val="es-ES"/>
        </w:rPr>
        <w:t>ia</w:t>
      </w:r>
      <w:r w:rsidR="00855A78" w:rsidRPr="00070ECB">
        <w:rPr>
          <w:snapToGrid w:val="0"/>
          <w:kern w:val="22"/>
          <w:szCs w:val="22"/>
          <w:lang w:val="es-ES"/>
        </w:rPr>
        <w:t xml:space="preserve"> </w:t>
      </w:r>
      <w:r w:rsidRPr="00070ECB">
        <w:rPr>
          <w:snapToGrid w:val="0"/>
          <w:kern w:val="22"/>
          <w:szCs w:val="22"/>
          <w:lang w:val="es-ES"/>
        </w:rPr>
        <w:t xml:space="preserve">hicieron referencia a la </w:t>
      </w:r>
      <w:r>
        <w:rPr>
          <w:snapToGrid w:val="0"/>
          <w:kern w:val="22"/>
          <w:szCs w:val="22"/>
          <w:lang w:val="es-ES"/>
        </w:rPr>
        <w:t>cobertura de las fuentes privadas en las cuentas de gastos relativas a la protección medioambiental en una serie de países miembros de la Unión Europea</w:t>
      </w:r>
      <w:r w:rsidR="00855A78" w:rsidRPr="00070ECB">
        <w:rPr>
          <w:snapToGrid w:val="0"/>
          <w:kern w:val="22"/>
          <w:szCs w:val="22"/>
          <w:lang w:val="es-ES"/>
        </w:rPr>
        <w:t xml:space="preserve">, </w:t>
      </w:r>
      <w:r>
        <w:rPr>
          <w:snapToGrid w:val="0"/>
          <w:kern w:val="22"/>
          <w:szCs w:val="22"/>
          <w:lang w:val="es-ES"/>
        </w:rPr>
        <w:t>y</w:t>
      </w:r>
      <w:r w:rsidR="00855A78" w:rsidRPr="00070ECB">
        <w:rPr>
          <w:snapToGrid w:val="0"/>
          <w:kern w:val="22"/>
          <w:szCs w:val="22"/>
          <w:lang w:val="es-ES"/>
        </w:rPr>
        <w:t xml:space="preserve"> Finland</w:t>
      </w:r>
      <w:r>
        <w:rPr>
          <w:snapToGrid w:val="0"/>
          <w:kern w:val="22"/>
          <w:szCs w:val="22"/>
          <w:lang w:val="es-ES"/>
        </w:rPr>
        <w:t>ia</w:t>
      </w:r>
      <w:r w:rsidR="00855A78" w:rsidRPr="00070ECB">
        <w:rPr>
          <w:snapToGrid w:val="0"/>
          <w:kern w:val="22"/>
          <w:szCs w:val="22"/>
          <w:lang w:val="es-ES"/>
        </w:rPr>
        <w:t xml:space="preserve"> </w:t>
      </w:r>
      <w:r>
        <w:rPr>
          <w:snapToGrid w:val="0"/>
          <w:kern w:val="22"/>
          <w:szCs w:val="22"/>
          <w:lang w:val="es-ES"/>
        </w:rPr>
        <w:t>señaló que los datos estadísticos sobre los gastos de protección medioambiental del sector público incluyen instancias gubernamentales inferiores de manera consolidada (se tienen en cuenta las transferencias entre el Gobierno central y los municipios</w:t>
      </w:r>
      <w:r w:rsidR="00855A78" w:rsidRPr="00070ECB">
        <w:rPr>
          <w:snapToGrid w:val="0"/>
          <w:kern w:val="22"/>
          <w:szCs w:val="22"/>
          <w:lang w:val="es-ES"/>
        </w:rPr>
        <w:t xml:space="preserve">). </w:t>
      </w:r>
      <w:r w:rsidR="00D0187E" w:rsidRPr="00244BC3">
        <w:rPr>
          <w:snapToGrid w:val="0"/>
          <w:kern w:val="22"/>
          <w:szCs w:val="22"/>
          <w:lang w:val="es-ES"/>
        </w:rPr>
        <w:t xml:space="preserve">En cambio, los países del primer grupo dependían por lo general </w:t>
      </w:r>
      <w:r w:rsidR="007263E0" w:rsidRPr="00244BC3">
        <w:rPr>
          <w:snapToGrid w:val="0"/>
          <w:kern w:val="22"/>
          <w:szCs w:val="22"/>
          <w:lang w:val="es-ES"/>
        </w:rPr>
        <w:t xml:space="preserve">de </w:t>
      </w:r>
      <w:r w:rsidR="00244BC3" w:rsidRPr="00244BC3">
        <w:rPr>
          <w:snapToGrid w:val="0"/>
          <w:kern w:val="22"/>
          <w:szCs w:val="22"/>
          <w:lang w:val="es-ES"/>
        </w:rPr>
        <w:t>una documentación especial</w:t>
      </w:r>
      <w:r w:rsidR="00855A78" w:rsidRPr="00244BC3">
        <w:rPr>
          <w:snapToGrid w:val="0"/>
          <w:kern w:val="22"/>
          <w:szCs w:val="22"/>
          <w:lang w:val="es-ES"/>
        </w:rPr>
        <w:t xml:space="preserve"> </w:t>
      </w:r>
      <w:r w:rsidR="00244BC3" w:rsidRPr="00244BC3">
        <w:rPr>
          <w:snapToGrid w:val="0"/>
          <w:kern w:val="22"/>
          <w:szCs w:val="22"/>
          <w:lang w:val="es-ES"/>
        </w:rPr>
        <w:t>y la recopilaci</w:t>
      </w:r>
      <w:r w:rsidR="00244BC3">
        <w:rPr>
          <w:snapToGrid w:val="0"/>
          <w:kern w:val="22"/>
          <w:szCs w:val="22"/>
          <w:lang w:val="es-ES"/>
        </w:rPr>
        <w:t>ón de datos para dirigirse a estas fuent</w:t>
      </w:r>
      <w:r w:rsidR="00855A78" w:rsidRPr="00244BC3">
        <w:rPr>
          <w:snapToGrid w:val="0"/>
          <w:kern w:val="22"/>
          <w:szCs w:val="22"/>
          <w:lang w:val="es-ES"/>
        </w:rPr>
        <w:t xml:space="preserve">es; </w:t>
      </w:r>
      <w:r w:rsidR="00244BC3">
        <w:rPr>
          <w:snapToGrid w:val="0"/>
          <w:kern w:val="22"/>
          <w:szCs w:val="22"/>
          <w:lang w:val="es-ES"/>
        </w:rPr>
        <w:t>por ejemplo,</w:t>
      </w:r>
      <w:r w:rsidR="00855A78" w:rsidRPr="00244BC3">
        <w:rPr>
          <w:snapToGrid w:val="0"/>
          <w:kern w:val="22"/>
          <w:szCs w:val="22"/>
          <w:lang w:val="es-ES"/>
        </w:rPr>
        <w:t xml:space="preserve"> Canad</w:t>
      </w:r>
      <w:r w:rsidR="00244BC3">
        <w:rPr>
          <w:snapToGrid w:val="0"/>
          <w:kern w:val="22"/>
          <w:szCs w:val="22"/>
          <w:lang w:val="es-ES"/>
        </w:rPr>
        <w:t>á</w:t>
      </w:r>
      <w:r w:rsidR="00855A78" w:rsidRPr="00244BC3">
        <w:rPr>
          <w:snapToGrid w:val="0"/>
          <w:kern w:val="22"/>
          <w:szCs w:val="22"/>
          <w:lang w:val="es-ES"/>
        </w:rPr>
        <w:t>, Croa</w:t>
      </w:r>
      <w:r w:rsidR="00244BC3">
        <w:rPr>
          <w:snapToGrid w:val="0"/>
          <w:kern w:val="22"/>
          <w:szCs w:val="22"/>
          <w:lang w:val="es-ES"/>
        </w:rPr>
        <w:t>c</w:t>
      </w:r>
      <w:r w:rsidR="00855A78" w:rsidRPr="00244BC3">
        <w:rPr>
          <w:snapToGrid w:val="0"/>
          <w:kern w:val="22"/>
          <w:szCs w:val="22"/>
          <w:lang w:val="es-ES"/>
        </w:rPr>
        <w:t>ia, D</w:t>
      </w:r>
      <w:r w:rsidR="00244BC3">
        <w:rPr>
          <w:snapToGrid w:val="0"/>
          <w:kern w:val="22"/>
          <w:szCs w:val="22"/>
          <w:lang w:val="es-ES"/>
        </w:rPr>
        <w:t>inamarca</w:t>
      </w:r>
      <w:r w:rsidR="00855A78" w:rsidRPr="00244BC3">
        <w:rPr>
          <w:snapToGrid w:val="0"/>
          <w:kern w:val="22"/>
          <w:szCs w:val="22"/>
          <w:lang w:val="es-ES"/>
        </w:rPr>
        <w:t>, Jap</w:t>
      </w:r>
      <w:r w:rsidR="00244BC3">
        <w:rPr>
          <w:snapToGrid w:val="0"/>
          <w:kern w:val="22"/>
          <w:szCs w:val="22"/>
          <w:lang w:val="es-ES"/>
        </w:rPr>
        <w:t>ón</w:t>
      </w:r>
      <w:r w:rsidR="00855A78" w:rsidRPr="00244BC3">
        <w:rPr>
          <w:snapToGrid w:val="0"/>
          <w:kern w:val="22"/>
          <w:szCs w:val="22"/>
          <w:lang w:val="es-ES"/>
        </w:rPr>
        <w:t>, L</w:t>
      </w:r>
      <w:r w:rsidR="00244BC3">
        <w:rPr>
          <w:snapToGrid w:val="0"/>
          <w:kern w:val="22"/>
          <w:szCs w:val="22"/>
          <w:lang w:val="es-ES"/>
        </w:rPr>
        <w:t>íbano y Suiza</w:t>
      </w:r>
      <w:r w:rsidR="00855A78" w:rsidRPr="00244BC3">
        <w:rPr>
          <w:snapToGrid w:val="0"/>
          <w:kern w:val="22"/>
          <w:szCs w:val="22"/>
          <w:lang w:val="es-ES"/>
        </w:rPr>
        <w:t xml:space="preserve"> </w:t>
      </w:r>
      <w:r w:rsidR="00244BC3">
        <w:rPr>
          <w:snapToGrid w:val="0"/>
          <w:kern w:val="22"/>
          <w:szCs w:val="22"/>
          <w:lang w:val="es-ES"/>
        </w:rPr>
        <w:t xml:space="preserve">utilizaron datos fiables de empresas </w:t>
      </w:r>
      <w:r w:rsidR="00855A78" w:rsidRPr="00244BC3">
        <w:rPr>
          <w:snapToGrid w:val="0"/>
          <w:kern w:val="22"/>
          <w:szCs w:val="22"/>
          <w:lang w:val="es-ES"/>
        </w:rPr>
        <w:t>individual</w:t>
      </w:r>
      <w:r w:rsidR="00DF1913">
        <w:rPr>
          <w:snapToGrid w:val="0"/>
          <w:kern w:val="22"/>
          <w:szCs w:val="22"/>
          <w:lang w:val="es-ES"/>
        </w:rPr>
        <w:t>es</w:t>
      </w:r>
      <w:r w:rsidR="00855A78" w:rsidRPr="00244BC3">
        <w:rPr>
          <w:snapToGrid w:val="0"/>
          <w:kern w:val="22"/>
          <w:szCs w:val="22"/>
          <w:lang w:val="es-ES"/>
        </w:rPr>
        <w:t xml:space="preserve">, </w:t>
      </w:r>
      <w:r w:rsidR="00DF1913">
        <w:rPr>
          <w:snapToGrid w:val="0"/>
          <w:kern w:val="22"/>
          <w:szCs w:val="22"/>
          <w:lang w:val="es-ES"/>
        </w:rPr>
        <w:t>fundaciones e instituciones académicas</w:t>
      </w:r>
      <w:r w:rsidR="00855A78" w:rsidRPr="00244BC3">
        <w:rPr>
          <w:snapToGrid w:val="0"/>
          <w:kern w:val="22"/>
          <w:szCs w:val="22"/>
          <w:lang w:val="es-ES"/>
        </w:rPr>
        <w:t xml:space="preserve">. </w:t>
      </w:r>
      <w:r w:rsidR="00DF1913">
        <w:rPr>
          <w:snapToGrid w:val="0"/>
          <w:kern w:val="22"/>
          <w:szCs w:val="22"/>
          <w:lang w:val="es-ES"/>
        </w:rPr>
        <w:t>En cuanto a los gastos subnacionales directamente relacionados con la diversidad biológica</w:t>
      </w:r>
      <w:r w:rsidR="00855A78" w:rsidRPr="00DF1913">
        <w:rPr>
          <w:snapToGrid w:val="0"/>
          <w:kern w:val="22"/>
          <w:szCs w:val="22"/>
          <w:lang w:val="es-ES"/>
        </w:rPr>
        <w:t>, Jap</w:t>
      </w:r>
      <w:r w:rsidR="00DF1913">
        <w:rPr>
          <w:snapToGrid w:val="0"/>
          <w:kern w:val="22"/>
          <w:szCs w:val="22"/>
          <w:lang w:val="es-ES"/>
        </w:rPr>
        <w:t>ón utilizó encuestas enviadas a las prefecturas y los municipios</w:t>
      </w:r>
      <w:r w:rsidR="00855A78" w:rsidRPr="00DF1913">
        <w:rPr>
          <w:snapToGrid w:val="0"/>
          <w:kern w:val="22"/>
          <w:szCs w:val="22"/>
          <w:lang w:val="es-ES"/>
        </w:rPr>
        <w:t xml:space="preserve">, </w:t>
      </w:r>
      <w:r w:rsidR="00DF1913">
        <w:rPr>
          <w:snapToGrid w:val="0"/>
          <w:kern w:val="22"/>
          <w:szCs w:val="22"/>
          <w:lang w:val="es-ES"/>
        </w:rPr>
        <w:t>y</w:t>
      </w:r>
      <w:r w:rsidR="00855A78" w:rsidRPr="00DF1913">
        <w:rPr>
          <w:snapToGrid w:val="0"/>
          <w:kern w:val="22"/>
          <w:szCs w:val="22"/>
          <w:lang w:val="es-ES"/>
        </w:rPr>
        <w:t xml:space="preserve"> Canad</w:t>
      </w:r>
      <w:r w:rsidR="00DF1913">
        <w:rPr>
          <w:snapToGrid w:val="0"/>
          <w:kern w:val="22"/>
          <w:szCs w:val="22"/>
          <w:lang w:val="es-ES"/>
        </w:rPr>
        <w:t>á</w:t>
      </w:r>
      <w:r w:rsidR="00855A78" w:rsidRPr="00DF1913">
        <w:rPr>
          <w:snapToGrid w:val="0"/>
          <w:kern w:val="22"/>
          <w:szCs w:val="22"/>
          <w:lang w:val="es-ES"/>
        </w:rPr>
        <w:t xml:space="preserve"> </w:t>
      </w:r>
      <w:r w:rsidR="00DF1913">
        <w:rPr>
          <w:snapToGrid w:val="0"/>
          <w:kern w:val="22"/>
          <w:szCs w:val="22"/>
          <w:lang w:val="es-ES"/>
        </w:rPr>
        <w:t>mencionó inconsistencias en los datos que limitaban la presentación de informes al respecto</w:t>
      </w:r>
      <w:r w:rsidR="00855A78" w:rsidRPr="00DF1913">
        <w:rPr>
          <w:snapToGrid w:val="0"/>
          <w:kern w:val="22"/>
          <w:szCs w:val="22"/>
          <w:lang w:val="es-ES"/>
        </w:rPr>
        <w:t>.</w:t>
      </w:r>
    </w:p>
    <w:p w:rsidR="00855A78" w:rsidRPr="00E910EA" w:rsidRDefault="00E910EA"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lang w:val="es-ES"/>
        </w:rPr>
      </w:pPr>
      <w:r w:rsidRPr="00E910EA">
        <w:rPr>
          <w:snapToGrid w:val="0"/>
          <w:kern w:val="22"/>
          <w:szCs w:val="22"/>
          <w:lang w:val="es-ES"/>
        </w:rPr>
        <w:t>En lo que respecta a los gastos extrapresupuestarios</w:t>
      </w:r>
      <w:r w:rsidR="00855A78" w:rsidRPr="00E910EA">
        <w:rPr>
          <w:snapToGrid w:val="0"/>
          <w:kern w:val="22"/>
          <w:szCs w:val="22"/>
          <w:lang w:val="es-ES"/>
        </w:rPr>
        <w:t xml:space="preserve">, </w:t>
      </w:r>
      <w:r w:rsidR="006E604B" w:rsidRPr="00E910EA">
        <w:rPr>
          <w:snapToGrid w:val="0"/>
          <w:kern w:val="22"/>
          <w:szCs w:val="22"/>
          <w:lang w:val="es-ES"/>
        </w:rPr>
        <w:t>s</w:t>
      </w:r>
      <w:r w:rsidRPr="00E910EA">
        <w:rPr>
          <w:snapToGrid w:val="0"/>
          <w:kern w:val="22"/>
          <w:szCs w:val="22"/>
          <w:lang w:val="es-ES"/>
        </w:rPr>
        <w:t>iete</w:t>
      </w:r>
      <w:r w:rsidR="00855A78" w:rsidRPr="00E910EA">
        <w:rPr>
          <w:snapToGrid w:val="0"/>
          <w:kern w:val="22"/>
          <w:szCs w:val="22"/>
          <w:lang w:val="es-ES"/>
        </w:rPr>
        <w:t xml:space="preserve"> Partes </w:t>
      </w:r>
      <w:r w:rsidRPr="00E910EA">
        <w:rPr>
          <w:snapToGrid w:val="0"/>
          <w:kern w:val="22"/>
          <w:szCs w:val="22"/>
          <w:lang w:val="es-ES"/>
        </w:rPr>
        <w:t xml:space="preserve">explicaron que habían llevado a cabo una evaluación de </w:t>
      </w:r>
      <w:r>
        <w:rPr>
          <w:snapToGrid w:val="0"/>
          <w:kern w:val="22"/>
          <w:szCs w:val="22"/>
          <w:lang w:val="es-ES"/>
        </w:rPr>
        <w:t xml:space="preserve">proyectos de cooperación al desarrollo con el fin de identificar </w:t>
      </w:r>
      <w:r w:rsidRPr="00E910EA">
        <w:rPr>
          <w:snapToGrid w:val="0"/>
          <w:kern w:val="22"/>
          <w:szCs w:val="22"/>
          <w:lang w:val="es-ES"/>
        </w:rPr>
        <w:t xml:space="preserve">los gastos extrapresupuestarios que </w:t>
      </w:r>
      <w:r>
        <w:rPr>
          <w:snapToGrid w:val="0"/>
          <w:kern w:val="22"/>
          <w:szCs w:val="22"/>
          <w:lang w:val="es-ES"/>
        </w:rPr>
        <w:t>fuesen</w:t>
      </w:r>
      <w:r w:rsidRPr="00E910EA">
        <w:rPr>
          <w:snapToGrid w:val="0"/>
          <w:kern w:val="22"/>
          <w:szCs w:val="22"/>
          <w:lang w:val="es-ES"/>
        </w:rPr>
        <w:t xml:space="preserve"> relevantes para la diversidad biol</w:t>
      </w:r>
      <w:r>
        <w:rPr>
          <w:snapToGrid w:val="0"/>
          <w:kern w:val="22"/>
          <w:szCs w:val="22"/>
          <w:lang w:val="es-ES"/>
        </w:rPr>
        <w:t>ógica</w:t>
      </w:r>
      <w:r w:rsidR="00855A78" w:rsidRPr="00E910EA">
        <w:rPr>
          <w:snapToGrid w:val="0"/>
          <w:kern w:val="22"/>
          <w:szCs w:val="22"/>
          <w:lang w:val="es-ES"/>
        </w:rPr>
        <w:t xml:space="preserve">, </w:t>
      </w:r>
      <w:r>
        <w:rPr>
          <w:snapToGrid w:val="0"/>
          <w:kern w:val="22"/>
          <w:szCs w:val="22"/>
          <w:lang w:val="es-ES"/>
        </w:rPr>
        <w:t xml:space="preserve">asignando de nuevo cuotas porcentuales a aquellos </w:t>
      </w:r>
      <w:r w:rsidR="00C21972">
        <w:rPr>
          <w:snapToGrid w:val="0"/>
          <w:kern w:val="22"/>
          <w:szCs w:val="22"/>
          <w:lang w:val="es-ES"/>
        </w:rPr>
        <w:t xml:space="preserve">relacionados </w:t>
      </w:r>
      <w:r>
        <w:rPr>
          <w:snapToGrid w:val="0"/>
          <w:kern w:val="22"/>
          <w:szCs w:val="22"/>
          <w:lang w:val="es-ES"/>
        </w:rPr>
        <w:t>indirectamente</w:t>
      </w:r>
      <w:r w:rsidR="00855A78" w:rsidRPr="00E910EA">
        <w:rPr>
          <w:snapToGrid w:val="0"/>
          <w:kern w:val="22"/>
          <w:szCs w:val="22"/>
          <w:lang w:val="es-ES"/>
        </w:rPr>
        <w:t xml:space="preserve">, </w:t>
      </w:r>
      <w:r w:rsidR="00C21972">
        <w:rPr>
          <w:snapToGrid w:val="0"/>
          <w:kern w:val="22"/>
          <w:szCs w:val="22"/>
          <w:lang w:val="es-ES"/>
        </w:rPr>
        <w:t xml:space="preserve">y utilizando </w:t>
      </w:r>
      <w:r w:rsidR="00855A78" w:rsidRPr="00E910EA">
        <w:rPr>
          <w:snapToGrid w:val="0"/>
          <w:kern w:val="22"/>
          <w:szCs w:val="22"/>
          <w:lang w:val="es-ES"/>
        </w:rPr>
        <w:t>po</w:t>
      </w:r>
      <w:r w:rsidR="00C21972">
        <w:rPr>
          <w:snapToGrid w:val="0"/>
          <w:kern w:val="22"/>
          <w:szCs w:val="22"/>
          <w:lang w:val="es-ES"/>
        </w:rPr>
        <w:t>siblemente la base de datos del CRS de la OCDE para identificar los proyectos pertinentes y los gastos asociado</w:t>
      </w:r>
      <w:r w:rsidR="00855A78" w:rsidRPr="00E910EA">
        <w:rPr>
          <w:snapToGrid w:val="0"/>
          <w:kern w:val="22"/>
          <w:szCs w:val="22"/>
          <w:lang w:val="es-ES"/>
        </w:rPr>
        <w:t>s.</w:t>
      </w:r>
    </w:p>
    <w:p w:rsidR="00855A78" w:rsidRPr="00490BF5" w:rsidRDefault="00CF0C80" w:rsidP="00490BF5">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rPr>
      </w:pPr>
      <w:r w:rsidRPr="00CF0C80">
        <w:rPr>
          <w:snapToGrid w:val="0"/>
          <w:kern w:val="22"/>
          <w:szCs w:val="22"/>
          <w:lang w:val="es-ES"/>
        </w:rPr>
        <w:t xml:space="preserve">La iniciativa BIOFIN del PNUD </w:t>
      </w:r>
      <w:r w:rsidR="00855A78" w:rsidRPr="00CF0C80">
        <w:rPr>
          <w:snapToGrid w:val="0"/>
          <w:kern w:val="22"/>
          <w:szCs w:val="22"/>
          <w:lang w:val="es-ES"/>
        </w:rPr>
        <w:t>pro</w:t>
      </w:r>
      <w:r w:rsidRPr="00CF0C80">
        <w:rPr>
          <w:snapToGrid w:val="0"/>
          <w:kern w:val="22"/>
          <w:szCs w:val="22"/>
          <w:lang w:val="es-ES"/>
        </w:rPr>
        <w:t>porcionó información actualizada sobre los progresos realizados por los países participantes junto</w:t>
      </w:r>
      <w:r w:rsidRPr="00CE3F21">
        <w:rPr>
          <w:snapToGrid w:val="0"/>
          <w:kern w:val="22"/>
          <w:szCs w:val="22"/>
          <w:lang w:val="es-ES"/>
        </w:rPr>
        <w:t xml:space="preserve"> a las fases d</w:t>
      </w:r>
      <w:r w:rsidRPr="00CF0C80">
        <w:rPr>
          <w:snapToGrid w:val="0"/>
          <w:kern w:val="22"/>
          <w:szCs w:val="22"/>
          <w:lang w:val="es-ES"/>
        </w:rPr>
        <w:t>e la meto</w:t>
      </w:r>
      <w:r>
        <w:rPr>
          <w:snapToGrid w:val="0"/>
          <w:kern w:val="22"/>
          <w:szCs w:val="22"/>
          <w:lang w:val="es-ES"/>
        </w:rPr>
        <w:t>do</w:t>
      </w:r>
      <w:r w:rsidRPr="00CF0C80">
        <w:rPr>
          <w:snapToGrid w:val="0"/>
          <w:kern w:val="22"/>
          <w:szCs w:val="22"/>
          <w:lang w:val="es-ES"/>
        </w:rPr>
        <w:t>log</w:t>
      </w:r>
      <w:r>
        <w:rPr>
          <w:snapToGrid w:val="0"/>
          <w:kern w:val="22"/>
          <w:szCs w:val="22"/>
          <w:lang w:val="es-ES"/>
        </w:rPr>
        <w:t xml:space="preserve">ía </w:t>
      </w:r>
      <w:r w:rsidR="00855A78" w:rsidRPr="00CF0C80">
        <w:rPr>
          <w:snapToGrid w:val="0"/>
          <w:kern w:val="22"/>
          <w:szCs w:val="22"/>
          <w:lang w:val="es-ES"/>
        </w:rPr>
        <w:t xml:space="preserve">BIOFIN, </w:t>
      </w:r>
      <w:r>
        <w:rPr>
          <w:snapToGrid w:val="0"/>
          <w:kern w:val="22"/>
          <w:szCs w:val="22"/>
          <w:lang w:val="es-ES"/>
        </w:rPr>
        <w:t xml:space="preserve">que corresponden a </w:t>
      </w:r>
      <w:r>
        <w:rPr>
          <w:snapToGrid w:val="0"/>
          <w:kern w:val="22"/>
          <w:szCs w:val="22"/>
          <w:lang w:val="es-ES"/>
        </w:rPr>
        <w:lastRenderedPageBreak/>
        <w:t>algunas de las metas para la movilización de recursos</w:t>
      </w:r>
      <w:r w:rsidR="00855A78" w:rsidRPr="00CF0C80">
        <w:rPr>
          <w:snapToGrid w:val="0"/>
          <w:kern w:val="22"/>
          <w:szCs w:val="22"/>
          <w:lang w:val="es-ES"/>
        </w:rPr>
        <w:t xml:space="preserve">. </w:t>
      </w:r>
      <w:r w:rsidRPr="00FE3976">
        <w:rPr>
          <w:snapToGrid w:val="0"/>
          <w:kern w:val="22"/>
          <w:szCs w:val="22"/>
          <w:lang w:val="es-ES"/>
        </w:rPr>
        <w:t xml:space="preserve">Esta información figura en el anexo </w:t>
      </w:r>
      <w:r w:rsidR="00855A78" w:rsidRPr="00FE3976">
        <w:rPr>
          <w:snapToGrid w:val="0"/>
          <w:kern w:val="22"/>
          <w:szCs w:val="22"/>
          <w:lang w:val="es-ES"/>
        </w:rPr>
        <w:t xml:space="preserve">II. </w:t>
      </w:r>
      <w:r w:rsidRPr="00CF0C80">
        <w:rPr>
          <w:snapToGrid w:val="0"/>
          <w:kern w:val="22"/>
          <w:szCs w:val="22"/>
          <w:lang w:val="es-ES"/>
        </w:rPr>
        <w:t xml:space="preserve">Un total de </w:t>
      </w:r>
      <w:r w:rsidR="00855A78" w:rsidRPr="00CF0C80">
        <w:rPr>
          <w:snapToGrid w:val="0"/>
          <w:kern w:val="22"/>
          <w:szCs w:val="22"/>
          <w:lang w:val="es-ES"/>
        </w:rPr>
        <w:t xml:space="preserve">14 </w:t>
      </w:r>
      <w:r w:rsidRPr="00CF0C80">
        <w:rPr>
          <w:snapToGrid w:val="0"/>
          <w:kern w:val="22"/>
          <w:szCs w:val="22"/>
          <w:lang w:val="es-ES"/>
        </w:rPr>
        <w:t xml:space="preserve">países se encuentran en la </w:t>
      </w:r>
      <w:r>
        <w:rPr>
          <w:snapToGrid w:val="0"/>
          <w:kern w:val="22"/>
          <w:szCs w:val="22"/>
          <w:lang w:val="es-ES"/>
        </w:rPr>
        <w:t>etapa</w:t>
      </w:r>
      <w:r w:rsidRPr="00CF0C80">
        <w:rPr>
          <w:snapToGrid w:val="0"/>
          <w:kern w:val="22"/>
          <w:szCs w:val="22"/>
          <w:lang w:val="es-ES"/>
        </w:rPr>
        <w:t xml:space="preserve"> de prepar</w:t>
      </w:r>
      <w:r>
        <w:rPr>
          <w:snapToGrid w:val="0"/>
          <w:kern w:val="22"/>
          <w:szCs w:val="22"/>
          <w:lang w:val="es-ES"/>
        </w:rPr>
        <w:t>a</w:t>
      </w:r>
      <w:r w:rsidRPr="00CF0C80">
        <w:rPr>
          <w:snapToGrid w:val="0"/>
          <w:kern w:val="22"/>
          <w:szCs w:val="22"/>
          <w:lang w:val="es-ES"/>
        </w:rPr>
        <w:t>r su informe final sobre el análisis de sus</w:t>
      </w:r>
      <w:r>
        <w:rPr>
          <w:snapToGrid w:val="0"/>
          <w:kern w:val="22"/>
          <w:szCs w:val="22"/>
          <w:lang w:val="es-ES"/>
        </w:rPr>
        <w:t xml:space="preserve"> gastos en materia de diversidad biológica</w:t>
      </w:r>
      <w:r w:rsidR="00855A78" w:rsidRPr="00CF0C80">
        <w:rPr>
          <w:snapToGrid w:val="0"/>
          <w:kern w:val="22"/>
          <w:szCs w:val="22"/>
          <w:lang w:val="es-ES"/>
        </w:rPr>
        <w:t xml:space="preserve">. </w:t>
      </w:r>
      <w:r w:rsidR="00842B4E" w:rsidRPr="00842B4E">
        <w:rPr>
          <w:snapToGrid w:val="0"/>
          <w:kern w:val="22"/>
          <w:szCs w:val="22"/>
          <w:lang w:val="es-ES"/>
        </w:rPr>
        <w:t xml:space="preserve">Los equipos nacionales de </w:t>
      </w:r>
      <w:r w:rsidR="00855A78" w:rsidRPr="00842B4E">
        <w:rPr>
          <w:snapToGrid w:val="0"/>
          <w:kern w:val="22"/>
          <w:szCs w:val="22"/>
          <w:lang w:val="es-ES"/>
        </w:rPr>
        <w:t xml:space="preserve">BIOFIN </w:t>
      </w:r>
      <w:r w:rsidR="00842B4E" w:rsidRPr="00842B4E">
        <w:rPr>
          <w:snapToGrid w:val="0"/>
          <w:kern w:val="22"/>
          <w:szCs w:val="22"/>
          <w:lang w:val="es-ES"/>
        </w:rPr>
        <w:t>presentaron los resultados de sus evaluaciones e</w:t>
      </w:r>
      <w:r w:rsidR="00842B4E">
        <w:rPr>
          <w:snapToGrid w:val="0"/>
          <w:kern w:val="22"/>
          <w:szCs w:val="22"/>
          <w:lang w:val="es-ES"/>
        </w:rPr>
        <w:t xml:space="preserve">n la tercera Conferencia Mundial de </w:t>
      </w:r>
      <w:r w:rsidR="00855A78" w:rsidRPr="00842B4E">
        <w:rPr>
          <w:snapToGrid w:val="0"/>
          <w:kern w:val="22"/>
          <w:szCs w:val="22"/>
          <w:lang w:val="es-ES"/>
        </w:rPr>
        <w:t xml:space="preserve">BIOFIN, </w:t>
      </w:r>
      <w:r w:rsidR="00842B4E">
        <w:rPr>
          <w:snapToGrid w:val="0"/>
          <w:kern w:val="22"/>
          <w:szCs w:val="22"/>
          <w:lang w:val="es-ES"/>
        </w:rPr>
        <w:t>celebrada en</w:t>
      </w:r>
      <w:r w:rsidR="00855A78" w:rsidRPr="00842B4E">
        <w:rPr>
          <w:snapToGrid w:val="0"/>
          <w:kern w:val="22"/>
          <w:szCs w:val="22"/>
          <w:lang w:val="es-ES"/>
        </w:rPr>
        <w:t xml:space="preserve"> Chennai, India, </w:t>
      </w:r>
      <w:r w:rsidR="00842B4E">
        <w:rPr>
          <w:snapToGrid w:val="0"/>
          <w:kern w:val="22"/>
          <w:szCs w:val="22"/>
          <w:lang w:val="es-ES"/>
        </w:rPr>
        <w:t>del</w:t>
      </w:r>
      <w:r w:rsidR="00855A78" w:rsidRPr="00842B4E">
        <w:rPr>
          <w:snapToGrid w:val="0"/>
          <w:kern w:val="22"/>
          <w:szCs w:val="22"/>
          <w:lang w:val="es-ES"/>
        </w:rPr>
        <w:t xml:space="preserve"> 6</w:t>
      </w:r>
      <w:r w:rsidR="00842B4E">
        <w:rPr>
          <w:snapToGrid w:val="0"/>
          <w:kern w:val="22"/>
          <w:szCs w:val="22"/>
          <w:lang w:val="es-ES"/>
        </w:rPr>
        <w:t xml:space="preserve"> al</w:t>
      </w:r>
      <w:r w:rsidR="00394BF3" w:rsidRPr="00842B4E">
        <w:rPr>
          <w:snapToGrid w:val="0"/>
          <w:kern w:val="22"/>
          <w:szCs w:val="22"/>
          <w:lang w:val="es-ES"/>
        </w:rPr>
        <w:t xml:space="preserve"> </w:t>
      </w:r>
      <w:r w:rsidR="00855A78" w:rsidRPr="00842B4E">
        <w:rPr>
          <w:snapToGrid w:val="0"/>
          <w:kern w:val="22"/>
          <w:szCs w:val="22"/>
          <w:lang w:val="es-ES"/>
        </w:rPr>
        <w:t xml:space="preserve">8 </w:t>
      </w:r>
      <w:r w:rsidR="00842B4E">
        <w:rPr>
          <w:snapToGrid w:val="0"/>
          <w:kern w:val="22"/>
          <w:szCs w:val="22"/>
          <w:lang w:val="es-ES"/>
        </w:rPr>
        <w:t>de marzo de</w:t>
      </w:r>
      <w:r w:rsidR="00855A78" w:rsidRPr="00842B4E">
        <w:rPr>
          <w:snapToGrid w:val="0"/>
          <w:kern w:val="22"/>
          <w:szCs w:val="22"/>
          <w:lang w:val="es-ES"/>
        </w:rPr>
        <w:t xml:space="preserve"> 2018</w:t>
      </w:r>
      <w:r w:rsidR="00855A78" w:rsidRPr="00490BF5">
        <w:rPr>
          <w:rStyle w:val="FootnoteReference"/>
          <w:snapToGrid w:val="0"/>
          <w:kern w:val="22"/>
          <w:szCs w:val="22"/>
        </w:rPr>
        <w:footnoteReference w:id="13"/>
      </w:r>
      <w:r w:rsidR="00842B4E" w:rsidRPr="00842B4E">
        <w:rPr>
          <w:snapToGrid w:val="0"/>
          <w:kern w:val="22"/>
          <w:szCs w:val="22"/>
          <w:lang w:val="es-ES"/>
        </w:rPr>
        <w:t>.</w:t>
      </w:r>
      <w:r w:rsidR="00855A78" w:rsidRPr="00842B4E">
        <w:rPr>
          <w:snapToGrid w:val="0"/>
          <w:kern w:val="22"/>
          <w:szCs w:val="22"/>
          <w:lang w:val="es-ES"/>
        </w:rPr>
        <w:t xml:space="preserve"> </w:t>
      </w:r>
      <w:r w:rsidR="00842B4E">
        <w:rPr>
          <w:snapToGrid w:val="0"/>
          <w:kern w:val="22"/>
          <w:szCs w:val="22"/>
          <w:lang w:val="es-ES"/>
        </w:rPr>
        <w:t>Por ejemplo</w:t>
      </w:r>
      <w:r w:rsidR="00855A78" w:rsidRPr="00490BF5">
        <w:rPr>
          <w:snapToGrid w:val="0"/>
          <w:kern w:val="22"/>
          <w:szCs w:val="22"/>
        </w:rPr>
        <w:t>:</w:t>
      </w:r>
    </w:p>
    <w:p w:rsidR="00855A78" w:rsidRPr="00842B4E" w:rsidRDefault="00842B4E"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842B4E">
        <w:rPr>
          <w:snapToGrid w:val="0"/>
          <w:kern w:val="22"/>
          <w:szCs w:val="22"/>
          <w:lang w:val="es-ES"/>
        </w:rPr>
        <w:t>E</w:t>
      </w:r>
      <w:r w:rsidR="00855A78" w:rsidRPr="00842B4E">
        <w:rPr>
          <w:snapToGrid w:val="0"/>
          <w:kern w:val="22"/>
          <w:szCs w:val="22"/>
          <w:lang w:val="es-ES"/>
        </w:rPr>
        <w:t xml:space="preserve">n Colombia, </w:t>
      </w:r>
      <w:r w:rsidRPr="00842B4E">
        <w:rPr>
          <w:snapToGrid w:val="0"/>
          <w:kern w:val="22"/>
          <w:szCs w:val="22"/>
          <w:lang w:val="es-ES"/>
        </w:rPr>
        <w:t>el gasto total en materia de diversidad biológica representó cerca de</w:t>
      </w:r>
      <w:r w:rsidR="00386EB6" w:rsidRPr="00842B4E">
        <w:rPr>
          <w:snapToGrid w:val="0"/>
          <w:kern w:val="22"/>
          <w:szCs w:val="22"/>
          <w:lang w:val="es-ES"/>
        </w:rPr>
        <w:t> </w:t>
      </w:r>
      <w:r w:rsidR="00855A78" w:rsidRPr="00842B4E">
        <w:rPr>
          <w:snapToGrid w:val="0"/>
          <w:kern w:val="22"/>
          <w:szCs w:val="22"/>
          <w:lang w:val="es-ES"/>
        </w:rPr>
        <w:t xml:space="preserve">272 </w:t>
      </w:r>
      <w:r w:rsidR="00781E8F" w:rsidRPr="00842B4E">
        <w:rPr>
          <w:snapToGrid w:val="0"/>
          <w:kern w:val="22"/>
          <w:szCs w:val="22"/>
          <w:lang w:val="es-ES"/>
        </w:rPr>
        <w:t>mill</w:t>
      </w:r>
      <w:r w:rsidRPr="00842B4E">
        <w:rPr>
          <w:snapToGrid w:val="0"/>
          <w:kern w:val="22"/>
          <w:szCs w:val="22"/>
          <w:lang w:val="es-ES"/>
        </w:rPr>
        <w:t>ones de dólares estadounidenses</w:t>
      </w:r>
      <w:r w:rsidR="00855A78" w:rsidRPr="00842B4E">
        <w:rPr>
          <w:snapToGrid w:val="0"/>
          <w:kern w:val="22"/>
          <w:szCs w:val="22"/>
          <w:lang w:val="es-ES"/>
        </w:rPr>
        <w:t xml:space="preserve">, </w:t>
      </w:r>
      <w:r w:rsidRPr="00842B4E">
        <w:rPr>
          <w:snapToGrid w:val="0"/>
          <w:kern w:val="22"/>
          <w:szCs w:val="22"/>
          <w:lang w:val="es-ES"/>
        </w:rPr>
        <w:t xml:space="preserve">una media del </w:t>
      </w:r>
      <w:r w:rsidR="00855A78" w:rsidRPr="00842B4E">
        <w:rPr>
          <w:snapToGrid w:val="0"/>
          <w:kern w:val="22"/>
          <w:szCs w:val="22"/>
          <w:lang w:val="es-ES"/>
        </w:rPr>
        <w:t>0</w:t>
      </w:r>
      <w:r w:rsidRPr="00842B4E">
        <w:rPr>
          <w:snapToGrid w:val="0"/>
          <w:kern w:val="22"/>
          <w:szCs w:val="22"/>
          <w:lang w:val="es-ES"/>
        </w:rPr>
        <w:t>,</w:t>
      </w:r>
      <w:r w:rsidR="00855A78" w:rsidRPr="00842B4E">
        <w:rPr>
          <w:snapToGrid w:val="0"/>
          <w:kern w:val="22"/>
          <w:szCs w:val="22"/>
          <w:lang w:val="es-ES"/>
        </w:rPr>
        <w:t>12</w:t>
      </w:r>
      <w:r w:rsidR="006A0651" w:rsidRPr="00842B4E">
        <w:rPr>
          <w:snapToGrid w:val="0"/>
          <w:kern w:val="22"/>
          <w:szCs w:val="22"/>
          <w:lang w:val="es-ES"/>
        </w:rPr>
        <w:t> </w:t>
      </w:r>
      <w:r w:rsidRPr="00842B4E">
        <w:rPr>
          <w:snapToGrid w:val="0"/>
          <w:kern w:val="22"/>
          <w:szCs w:val="22"/>
          <w:lang w:val="es-ES"/>
        </w:rPr>
        <w:t>% del product</w:t>
      </w:r>
      <w:r w:rsidR="002A043C">
        <w:rPr>
          <w:snapToGrid w:val="0"/>
          <w:kern w:val="22"/>
          <w:szCs w:val="22"/>
          <w:lang w:val="es-ES"/>
        </w:rPr>
        <w:t>o</w:t>
      </w:r>
      <w:r w:rsidRPr="00842B4E">
        <w:rPr>
          <w:snapToGrid w:val="0"/>
          <w:kern w:val="22"/>
          <w:szCs w:val="22"/>
          <w:lang w:val="es-ES"/>
        </w:rPr>
        <w:t xml:space="preserve"> interior bruto </w:t>
      </w:r>
      <w:r w:rsidR="00AE0E35" w:rsidRPr="00842B4E">
        <w:rPr>
          <w:snapToGrid w:val="0"/>
          <w:kern w:val="22"/>
          <w:szCs w:val="22"/>
          <w:lang w:val="es-ES"/>
        </w:rPr>
        <w:t>(</w:t>
      </w:r>
      <w:r>
        <w:rPr>
          <w:snapToGrid w:val="0"/>
          <w:kern w:val="22"/>
          <w:szCs w:val="22"/>
          <w:lang w:val="es-ES"/>
        </w:rPr>
        <w:t>PIB</w:t>
      </w:r>
      <w:r w:rsidR="00AE0E35" w:rsidRPr="00842B4E">
        <w:rPr>
          <w:snapToGrid w:val="0"/>
          <w:kern w:val="22"/>
          <w:szCs w:val="22"/>
          <w:lang w:val="es-ES"/>
        </w:rPr>
        <w:t>)</w:t>
      </w:r>
      <w:r w:rsidR="00855A78" w:rsidRPr="00842B4E">
        <w:rPr>
          <w:snapToGrid w:val="0"/>
          <w:kern w:val="22"/>
          <w:szCs w:val="22"/>
          <w:lang w:val="es-ES"/>
        </w:rPr>
        <w:t xml:space="preserve">, </w:t>
      </w:r>
      <w:r w:rsidR="002A043C">
        <w:rPr>
          <w:snapToGrid w:val="0"/>
          <w:kern w:val="22"/>
          <w:szCs w:val="22"/>
          <w:lang w:val="es-ES"/>
        </w:rPr>
        <w:t xml:space="preserve">el </w:t>
      </w:r>
      <w:r w:rsidR="00855A78" w:rsidRPr="00842B4E">
        <w:rPr>
          <w:snapToGrid w:val="0"/>
          <w:kern w:val="22"/>
          <w:szCs w:val="22"/>
          <w:lang w:val="es-ES"/>
        </w:rPr>
        <w:t>0</w:t>
      </w:r>
      <w:r>
        <w:rPr>
          <w:snapToGrid w:val="0"/>
          <w:kern w:val="22"/>
          <w:szCs w:val="22"/>
          <w:lang w:val="es-ES"/>
        </w:rPr>
        <w:t>,</w:t>
      </w:r>
      <w:r w:rsidR="00855A78" w:rsidRPr="00842B4E">
        <w:rPr>
          <w:snapToGrid w:val="0"/>
          <w:kern w:val="22"/>
          <w:szCs w:val="22"/>
          <w:lang w:val="es-ES"/>
        </w:rPr>
        <w:t>5</w:t>
      </w:r>
      <w:r w:rsidR="006A0651" w:rsidRPr="00842B4E">
        <w:rPr>
          <w:snapToGrid w:val="0"/>
          <w:kern w:val="22"/>
          <w:szCs w:val="22"/>
          <w:lang w:val="es-ES"/>
        </w:rPr>
        <w:t> </w:t>
      </w:r>
      <w:r>
        <w:rPr>
          <w:snapToGrid w:val="0"/>
          <w:kern w:val="22"/>
          <w:szCs w:val="22"/>
          <w:lang w:val="es-ES"/>
        </w:rPr>
        <w:t>% del gasto público y</w:t>
      </w:r>
      <w:r w:rsidR="00855A78" w:rsidRPr="00842B4E">
        <w:rPr>
          <w:snapToGrid w:val="0"/>
          <w:kern w:val="22"/>
          <w:szCs w:val="22"/>
          <w:lang w:val="es-ES"/>
        </w:rPr>
        <w:t xml:space="preserve"> </w:t>
      </w:r>
      <w:r w:rsidR="002A043C">
        <w:rPr>
          <w:snapToGrid w:val="0"/>
          <w:kern w:val="22"/>
          <w:szCs w:val="22"/>
          <w:lang w:val="es-ES"/>
        </w:rPr>
        <w:t xml:space="preserve">el </w:t>
      </w:r>
      <w:r w:rsidR="00855A78" w:rsidRPr="00842B4E">
        <w:rPr>
          <w:snapToGrid w:val="0"/>
          <w:kern w:val="22"/>
          <w:szCs w:val="22"/>
          <w:lang w:val="es-ES"/>
        </w:rPr>
        <w:t>24</w:t>
      </w:r>
      <w:r w:rsidR="006A0651" w:rsidRPr="00842B4E">
        <w:rPr>
          <w:snapToGrid w:val="0"/>
          <w:kern w:val="22"/>
          <w:szCs w:val="22"/>
          <w:lang w:val="es-ES"/>
        </w:rPr>
        <w:t> </w:t>
      </w:r>
      <w:r w:rsidR="002A043C">
        <w:rPr>
          <w:snapToGrid w:val="0"/>
          <w:kern w:val="22"/>
          <w:szCs w:val="22"/>
          <w:lang w:val="es-ES"/>
        </w:rPr>
        <w:t>% del gasto en medioambiente del país</w:t>
      </w:r>
      <w:r w:rsidR="00855A78" w:rsidRPr="00842B4E">
        <w:rPr>
          <w:snapToGrid w:val="0"/>
          <w:kern w:val="22"/>
          <w:szCs w:val="22"/>
          <w:lang w:val="es-ES"/>
        </w:rPr>
        <w:t>;</w:t>
      </w:r>
    </w:p>
    <w:p w:rsidR="00855A78" w:rsidRPr="002A043C" w:rsidRDefault="002A043C"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2A043C">
        <w:rPr>
          <w:snapToGrid w:val="0"/>
          <w:kern w:val="22"/>
          <w:szCs w:val="22"/>
          <w:lang w:val="es-ES"/>
        </w:rPr>
        <w:t>E</w:t>
      </w:r>
      <w:r w:rsidR="00855A78" w:rsidRPr="002A043C">
        <w:rPr>
          <w:snapToGrid w:val="0"/>
          <w:kern w:val="22"/>
          <w:szCs w:val="22"/>
          <w:lang w:val="es-ES"/>
        </w:rPr>
        <w:t>n M</w:t>
      </w:r>
      <w:r w:rsidRPr="002A043C">
        <w:rPr>
          <w:snapToGrid w:val="0"/>
          <w:kern w:val="22"/>
          <w:szCs w:val="22"/>
          <w:lang w:val="es-ES"/>
        </w:rPr>
        <w:t>é</w:t>
      </w:r>
      <w:r w:rsidR="00855A78" w:rsidRPr="002A043C">
        <w:rPr>
          <w:snapToGrid w:val="0"/>
          <w:kern w:val="22"/>
          <w:szCs w:val="22"/>
          <w:lang w:val="es-ES"/>
        </w:rPr>
        <w:t xml:space="preserve">xico, </w:t>
      </w:r>
      <w:r w:rsidRPr="002A043C">
        <w:rPr>
          <w:snapToGrid w:val="0"/>
          <w:kern w:val="22"/>
          <w:szCs w:val="22"/>
          <w:lang w:val="es-ES"/>
        </w:rPr>
        <w:t>el gasto en diversidad biológica</w:t>
      </w:r>
      <w:r w:rsidR="00855A78" w:rsidRPr="002A043C">
        <w:rPr>
          <w:snapToGrid w:val="0"/>
          <w:kern w:val="22"/>
          <w:szCs w:val="22"/>
          <w:lang w:val="es-ES"/>
        </w:rPr>
        <w:t xml:space="preserve"> ha</w:t>
      </w:r>
      <w:r w:rsidRPr="002A043C">
        <w:rPr>
          <w:snapToGrid w:val="0"/>
          <w:kern w:val="22"/>
          <w:szCs w:val="22"/>
          <w:lang w:val="es-ES"/>
        </w:rPr>
        <w:t xml:space="preserve"> aumentado un </w:t>
      </w:r>
      <w:r w:rsidR="00855A78" w:rsidRPr="002A043C">
        <w:rPr>
          <w:snapToGrid w:val="0"/>
          <w:kern w:val="22"/>
          <w:szCs w:val="22"/>
          <w:lang w:val="es-ES"/>
        </w:rPr>
        <w:t>248 </w:t>
      </w:r>
      <w:r w:rsidRPr="002A043C">
        <w:rPr>
          <w:snapToGrid w:val="0"/>
          <w:kern w:val="22"/>
          <w:szCs w:val="22"/>
          <w:lang w:val="es-ES"/>
        </w:rPr>
        <w:t xml:space="preserve">% desde </w:t>
      </w:r>
      <w:r w:rsidR="00855A78" w:rsidRPr="002A043C">
        <w:rPr>
          <w:snapToGrid w:val="0"/>
          <w:kern w:val="22"/>
          <w:szCs w:val="22"/>
          <w:lang w:val="es-ES"/>
        </w:rPr>
        <w:t xml:space="preserve">2006 </w:t>
      </w:r>
      <w:r>
        <w:rPr>
          <w:snapToGrid w:val="0"/>
          <w:kern w:val="22"/>
          <w:szCs w:val="22"/>
          <w:lang w:val="es-ES"/>
        </w:rPr>
        <w:t>hasta</w:t>
      </w:r>
      <w:r w:rsidR="00855A78" w:rsidRPr="002A043C">
        <w:rPr>
          <w:snapToGrid w:val="0"/>
          <w:kern w:val="22"/>
          <w:szCs w:val="22"/>
          <w:lang w:val="es-ES"/>
        </w:rPr>
        <w:t xml:space="preserve"> 2015 (</w:t>
      </w:r>
      <w:r>
        <w:rPr>
          <w:snapToGrid w:val="0"/>
          <w:kern w:val="22"/>
          <w:szCs w:val="22"/>
          <w:lang w:val="es-ES"/>
        </w:rPr>
        <w:t>de</w:t>
      </w:r>
      <w:r w:rsidR="00386EB6" w:rsidRPr="002A043C">
        <w:rPr>
          <w:snapToGrid w:val="0"/>
          <w:kern w:val="22"/>
          <w:szCs w:val="22"/>
          <w:lang w:val="es-ES"/>
        </w:rPr>
        <w:t> </w:t>
      </w:r>
      <w:r w:rsidR="00855A78" w:rsidRPr="002A043C">
        <w:rPr>
          <w:snapToGrid w:val="0"/>
          <w:kern w:val="22"/>
          <w:szCs w:val="22"/>
          <w:lang w:val="es-ES"/>
        </w:rPr>
        <w:t>425</w:t>
      </w:r>
      <w:r>
        <w:rPr>
          <w:snapToGrid w:val="0"/>
          <w:kern w:val="22"/>
          <w:szCs w:val="22"/>
          <w:lang w:val="es-ES"/>
        </w:rPr>
        <w:t>,</w:t>
      </w:r>
      <w:r w:rsidR="00855A78" w:rsidRPr="002A043C">
        <w:rPr>
          <w:snapToGrid w:val="0"/>
          <w:kern w:val="22"/>
          <w:szCs w:val="22"/>
          <w:lang w:val="es-ES"/>
        </w:rPr>
        <w:t xml:space="preserve">6 </w:t>
      </w:r>
      <w:r w:rsidR="00781E8F" w:rsidRPr="002A043C">
        <w:rPr>
          <w:snapToGrid w:val="0"/>
          <w:kern w:val="22"/>
          <w:szCs w:val="22"/>
          <w:lang w:val="es-ES"/>
        </w:rPr>
        <w:t>mill</w:t>
      </w:r>
      <w:r>
        <w:rPr>
          <w:snapToGrid w:val="0"/>
          <w:kern w:val="22"/>
          <w:szCs w:val="22"/>
          <w:lang w:val="es-ES"/>
        </w:rPr>
        <w:t>ones a</w:t>
      </w:r>
      <w:r w:rsidR="00386EB6" w:rsidRPr="002A043C">
        <w:rPr>
          <w:snapToGrid w:val="0"/>
          <w:kern w:val="22"/>
          <w:szCs w:val="22"/>
          <w:lang w:val="es-ES"/>
        </w:rPr>
        <w:t> </w:t>
      </w:r>
      <w:r w:rsidR="00855A78" w:rsidRPr="002A043C">
        <w:rPr>
          <w:snapToGrid w:val="0"/>
          <w:kern w:val="22"/>
          <w:szCs w:val="22"/>
          <w:lang w:val="es-ES"/>
        </w:rPr>
        <w:t>1169</w:t>
      </w:r>
      <w:r>
        <w:rPr>
          <w:snapToGrid w:val="0"/>
          <w:kern w:val="22"/>
          <w:szCs w:val="22"/>
          <w:lang w:val="es-ES"/>
        </w:rPr>
        <w:t>,</w:t>
      </w:r>
      <w:r w:rsidR="00855A78" w:rsidRPr="002A043C">
        <w:rPr>
          <w:snapToGrid w:val="0"/>
          <w:kern w:val="22"/>
          <w:szCs w:val="22"/>
          <w:lang w:val="es-ES"/>
        </w:rPr>
        <w:t xml:space="preserve">8 </w:t>
      </w:r>
      <w:r w:rsidR="00781E8F" w:rsidRPr="002A043C">
        <w:rPr>
          <w:snapToGrid w:val="0"/>
          <w:kern w:val="22"/>
          <w:szCs w:val="22"/>
          <w:lang w:val="es-ES"/>
        </w:rPr>
        <w:t>mill</w:t>
      </w:r>
      <w:r>
        <w:rPr>
          <w:snapToGrid w:val="0"/>
          <w:kern w:val="22"/>
          <w:szCs w:val="22"/>
          <w:lang w:val="es-ES"/>
        </w:rPr>
        <w:t>ones de dólares estadounidenses</w:t>
      </w:r>
      <w:r w:rsidR="00855A78" w:rsidRPr="002A043C">
        <w:rPr>
          <w:snapToGrid w:val="0"/>
          <w:kern w:val="22"/>
          <w:szCs w:val="22"/>
          <w:lang w:val="es-ES"/>
        </w:rPr>
        <w:t xml:space="preserve">); </w:t>
      </w:r>
      <w:r>
        <w:rPr>
          <w:snapToGrid w:val="0"/>
          <w:kern w:val="22"/>
          <w:szCs w:val="22"/>
          <w:lang w:val="es-ES"/>
        </w:rPr>
        <w:t>e</w:t>
      </w:r>
      <w:r w:rsidR="00855A78" w:rsidRPr="002A043C">
        <w:rPr>
          <w:snapToGrid w:val="0"/>
          <w:kern w:val="22"/>
          <w:szCs w:val="22"/>
          <w:lang w:val="es-ES"/>
        </w:rPr>
        <w:t xml:space="preserve">n 2015, </w:t>
      </w:r>
      <w:r>
        <w:rPr>
          <w:snapToGrid w:val="0"/>
          <w:kern w:val="22"/>
          <w:szCs w:val="22"/>
          <w:lang w:val="es-ES"/>
        </w:rPr>
        <w:t xml:space="preserve">el gasto público para la diversidad biológica representó el </w:t>
      </w:r>
      <w:r w:rsidR="00855A78" w:rsidRPr="002A043C">
        <w:rPr>
          <w:snapToGrid w:val="0"/>
          <w:kern w:val="22"/>
          <w:szCs w:val="22"/>
          <w:lang w:val="es-ES"/>
        </w:rPr>
        <w:t>0</w:t>
      </w:r>
      <w:r>
        <w:rPr>
          <w:snapToGrid w:val="0"/>
          <w:kern w:val="22"/>
          <w:szCs w:val="22"/>
          <w:lang w:val="es-ES"/>
        </w:rPr>
        <w:t>,</w:t>
      </w:r>
      <w:r w:rsidR="00855A78" w:rsidRPr="002A043C">
        <w:rPr>
          <w:snapToGrid w:val="0"/>
          <w:kern w:val="22"/>
          <w:szCs w:val="22"/>
          <w:lang w:val="es-ES"/>
        </w:rPr>
        <w:t>1</w:t>
      </w:r>
      <w:r w:rsidR="006A0651" w:rsidRPr="002A043C">
        <w:rPr>
          <w:snapToGrid w:val="0"/>
          <w:kern w:val="22"/>
          <w:szCs w:val="22"/>
          <w:lang w:val="es-ES"/>
        </w:rPr>
        <w:t> </w:t>
      </w:r>
      <w:r>
        <w:rPr>
          <w:snapToGrid w:val="0"/>
          <w:kern w:val="22"/>
          <w:szCs w:val="22"/>
          <w:lang w:val="es-ES"/>
        </w:rPr>
        <w:t>% del PIB</w:t>
      </w:r>
      <w:r w:rsidR="00855A78" w:rsidRPr="002A043C">
        <w:rPr>
          <w:snapToGrid w:val="0"/>
          <w:kern w:val="22"/>
          <w:szCs w:val="22"/>
          <w:lang w:val="es-ES"/>
        </w:rPr>
        <w:t>;</w:t>
      </w:r>
    </w:p>
    <w:p w:rsidR="00855A78" w:rsidRPr="002A043C" w:rsidRDefault="002A043C" w:rsidP="00490BF5">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2A043C">
        <w:rPr>
          <w:snapToGrid w:val="0"/>
          <w:kern w:val="22"/>
          <w:szCs w:val="22"/>
          <w:lang w:val="es-ES"/>
        </w:rPr>
        <w:t xml:space="preserve">En Filipinas, se invirtieron </w:t>
      </w:r>
      <w:r w:rsidR="00855A78" w:rsidRPr="002A043C">
        <w:rPr>
          <w:snapToGrid w:val="0"/>
          <w:kern w:val="22"/>
          <w:szCs w:val="22"/>
          <w:lang w:val="es-ES"/>
        </w:rPr>
        <w:t>49</w:t>
      </w:r>
      <w:r w:rsidRPr="002A043C">
        <w:rPr>
          <w:snapToGrid w:val="0"/>
          <w:kern w:val="22"/>
          <w:szCs w:val="22"/>
          <w:lang w:val="es-ES"/>
        </w:rPr>
        <w:t xml:space="preserve">00 millones de pesos en la diversidad biológica al año entre </w:t>
      </w:r>
      <w:r w:rsidR="00855A78" w:rsidRPr="002A043C">
        <w:rPr>
          <w:snapToGrid w:val="0"/>
          <w:kern w:val="22"/>
          <w:szCs w:val="22"/>
          <w:lang w:val="es-ES"/>
        </w:rPr>
        <w:t xml:space="preserve">2008 </w:t>
      </w:r>
      <w:r w:rsidRPr="002A043C">
        <w:rPr>
          <w:snapToGrid w:val="0"/>
          <w:kern w:val="22"/>
          <w:szCs w:val="22"/>
          <w:lang w:val="es-ES"/>
        </w:rPr>
        <w:t>y</w:t>
      </w:r>
      <w:r w:rsidR="00855A78" w:rsidRPr="002A043C">
        <w:rPr>
          <w:snapToGrid w:val="0"/>
          <w:kern w:val="22"/>
          <w:szCs w:val="22"/>
          <w:lang w:val="es-ES"/>
        </w:rPr>
        <w:t xml:space="preserve"> 2013, </w:t>
      </w:r>
      <w:r w:rsidRPr="002A043C">
        <w:rPr>
          <w:snapToGrid w:val="0"/>
          <w:kern w:val="22"/>
          <w:szCs w:val="22"/>
          <w:lang w:val="es-ES"/>
        </w:rPr>
        <w:t xml:space="preserve">lo que representa el </w:t>
      </w:r>
      <w:r w:rsidR="00855A78" w:rsidRPr="002A043C">
        <w:rPr>
          <w:snapToGrid w:val="0"/>
          <w:kern w:val="22"/>
          <w:szCs w:val="22"/>
          <w:lang w:val="es-ES"/>
        </w:rPr>
        <w:t>0</w:t>
      </w:r>
      <w:r w:rsidRPr="002A043C">
        <w:rPr>
          <w:snapToGrid w:val="0"/>
          <w:kern w:val="22"/>
          <w:szCs w:val="22"/>
          <w:lang w:val="es-ES"/>
        </w:rPr>
        <w:t>,</w:t>
      </w:r>
      <w:r w:rsidR="00855A78" w:rsidRPr="002A043C">
        <w:rPr>
          <w:snapToGrid w:val="0"/>
          <w:kern w:val="22"/>
          <w:szCs w:val="22"/>
          <w:lang w:val="es-ES"/>
        </w:rPr>
        <w:t>08</w:t>
      </w:r>
      <w:r w:rsidR="006A0651" w:rsidRPr="002A043C">
        <w:rPr>
          <w:snapToGrid w:val="0"/>
          <w:kern w:val="22"/>
          <w:szCs w:val="22"/>
          <w:lang w:val="es-ES"/>
        </w:rPr>
        <w:t> </w:t>
      </w:r>
      <w:r w:rsidRPr="002A043C">
        <w:rPr>
          <w:snapToGrid w:val="0"/>
          <w:kern w:val="22"/>
          <w:szCs w:val="22"/>
          <w:lang w:val="es-ES"/>
        </w:rPr>
        <w:t xml:space="preserve">% del PIB de </w:t>
      </w:r>
      <w:r w:rsidR="00855A78" w:rsidRPr="002A043C">
        <w:rPr>
          <w:snapToGrid w:val="0"/>
          <w:kern w:val="22"/>
          <w:szCs w:val="22"/>
          <w:lang w:val="es-ES"/>
        </w:rPr>
        <w:t xml:space="preserve">2008 </w:t>
      </w:r>
      <w:r w:rsidRPr="002A043C">
        <w:rPr>
          <w:snapToGrid w:val="0"/>
          <w:kern w:val="22"/>
          <w:szCs w:val="22"/>
          <w:lang w:val="es-ES"/>
        </w:rPr>
        <w:t>hasta</w:t>
      </w:r>
      <w:r w:rsidR="00855A78" w:rsidRPr="002A043C">
        <w:rPr>
          <w:snapToGrid w:val="0"/>
          <w:kern w:val="22"/>
          <w:szCs w:val="22"/>
          <w:lang w:val="es-ES"/>
        </w:rPr>
        <w:t xml:space="preserve"> 2013, </w:t>
      </w:r>
      <w:r w:rsidRPr="002A043C">
        <w:rPr>
          <w:snapToGrid w:val="0"/>
          <w:kern w:val="22"/>
          <w:szCs w:val="22"/>
          <w:lang w:val="es-ES"/>
        </w:rPr>
        <w:t xml:space="preserve">el </w:t>
      </w:r>
      <w:r w:rsidR="00855A78" w:rsidRPr="002A043C">
        <w:rPr>
          <w:snapToGrid w:val="0"/>
          <w:kern w:val="22"/>
          <w:szCs w:val="22"/>
          <w:lang w:val="es-ES"/>
        </w:rPr>
        <w:t>0</w:t>
      </w:r>
      <w:r>
        <w:rPr>
          <w:snapToGrid w:val="0"/>
          <w:kern w:val="22"/>
          <w:szCs w:val="22"/>
          <w:lang w:val="es-ES"/>
        </w:rPr>
        <w:t>,</w:t>
      </w:r>
      <w:r w:rsidR="00855A78" w:rsidRPr="002A043C">
        <w:rPr>
          <w:snapToGrid w:val="0"/>
          <w:kern w:val="22"/>
          <w:szCs w:val="22"/>
          <w:lang w:val="es-ES"/>
        </w:rPr>
        <w:t>31</w:t>
      </w:r>
      <w:r w:rsidR="006A0651" w:rsidRPr="002A043C">
        <w:rPr>
          <w:snapToGrid w:val="0"/>
          <w:kern w:val="22"/>
          <w:szCs w:val="22"/>
          <w:lang w:val="es-ES"/>
        </w:rPr>
        <w:t> </w:t>
      </w:r>
      <w:r>
        <w:rPr>
          <w:snapToGrid w:val="0"/>
          <w:kern w:val="22"/>
          <w:szCs w:val="22"/>
          <w:lang w:val="es-ES"/>
        </w:rPr>
        <w:t>% de los presupuestos nacionales</w:t>
      </w:r>
      <w:r w:rsidR="00855A78" w:rsidRPr="002A043C">
        <w:rPr>
          <w:snapToGrid w:val="0"/>
          <w:kern w:val="22"/>
          <w:szCs w:val="22"/>
          <w:lang w:val="es-ES"/>
        </w:rPr>
        <w:t>;</w:t>
      </w:r>
    </w:p>
    <w:p w:rsidR="00FF546A" w:rsidRPr="002A043C" w:rsidRDefault="00855A78" w:rsidP="00490BF5">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lang w:val="es-ES"/>
        </w:rPr>
      </w:pPr>
      <w:r w:rsidRPr="002A043C">
        <w:rPr>
          <w:snapToGrid w:val="0"/>
          <w:kern w:val="22"/>
          <w:szCs w:val="22"/>
          <w:lang w:val="es-ES"/>
        </w:rPr>
        <w:t>A</w:t>
      </w:r>
      <w:r w:rsidR="002A043C" w:rsidRPr="002A043C">
        <w:rPr>
          <w:snapToGrid w:val="0"/>
          <w:kern w:val="22"/>
          <w:szCs w:val="22"/>
          <w:lang w:val="es-ES"/>
        </w:rPr>
        <w:t xml:space="preserve"> nivel regional, los gastos relacionados con la diversidad biológica de los p</w:t>
      </w:r>
      <w:r w:rsidR="002A043C">
        <w:rPr>
          <w:snapToGrid w:val="0"/>
          <w:kern w:val="22"/>
          <w:szCs w:val="22"/>
          <w:lang w:val="es-ES"/>
        </w:rPr>
        <w:t xml:space="preserve">aíses de </w:t>
      </w:r>
      <w:r w:rsidRPr="002A043C">
        <w:rPr>
          <w:snapToGrid w:val="0"/>
          <w:kern w:val="22"/>
          <w:szCs w:val="22"/>
          <w:lang w:val="es-ES"/>
        </w:rPr>
        <w:t>BIOFIN</w:t>
      </w:r>
      <w:r w:rsidR="002A043C">
        <w:rPr>
          <w:snapToGrid w:val="0"/>
          <w:kern w:val="22"/>
          <w:szCs w:val="22"/>
          <w:lang w:val="es-ES"/>
        </w:rPr>
        <w:t xml:space="preserve"> en la región de América Latina y el Caribe ascienden, de media, al</w:t>
      </w:r>
      <w:r w:rsidRPr="002A043C">
        <w:rPr>
          <w:snapToGrid w:val="0"/>
          <w:kern w:val="22"/>
          <w:szCs w:val="22"/>
          <w:lang w:val="es-ES"/>
        </w:rPr>
        <w:t xml:space="preserve"> 0</w:t>
      </w:r>
      <w:r w:rsidR="002A043C">
        <w:rPr>
          <w:snapToGrid w:val="0"/>
          <w:kern w:val="22"/>
          <w:szCs w:val="22"/>
          <w:lang w:val="es-ES"/>
        </w:rPr>
        <w:t>,</w:t>
      </w:r>
      <w:r w:rsidRPr="002A043C">
        <w:rPr>
          <w:snapToGrid w:val="0"/>
          <w:kern w:val="22"/>
          <w:szCs w:val="22"/>
          <w:lang w:val="es-ES"/>
        </w:rPr>
        <w:t>14</w:t>
      </w:r>
      <w:r w:rsidR="006A0651" w:rsidRPr="002A043C">
        <w:rPr>
          <w:snapToGrid w:val="0"/>
          <w:kern w:val="22"/>
          <w:szCs w:val="22"/>
          <w:lang w:val="es-ES"/>
        </w:rPr>
        <w:t> </w:t>
      </w:r>
      <w:r w:rsidR="002A043C">
        <w:rPr>
          <w:snapToGrid w:val="0"/>
          <w:kern w:val="22"/>
          <w:szCs w:val="22"/>
          <w:lang w:val="es-ES"/>
        </w:rPr>
        <w:t>% del PIB</w:t>
      </w:r>
      <w:r w:rsidRPr="002A043C">
        <w:rPr>
          <w:snapToGrid w:val="0"/>
          <w:kern w:val="22"/>
          <w:szCs w:val="22"/>
          <w:lang w:val="es-ES"/>
        </w:rPr>
        <w:t>.</w:t>
      </w:r>
    </w:p>
    <w:p w:rsidR="00FF546A" w:rsidRPr="002A043C" w:rsidRDefault="002A043C" w:rsidP="00490BF5">
      <w:pPr>
        <w:keepNext/>
        <w:suppressLineNumbers/>
        <w:suppressAutoHyphens/>
        <w:kinsoku w:val="0"/>
        <w:overflowPunct w:val="0"/>
        <w:autoSpaceDE w:val="0"/>
        <w:autoSpaceDN w:val="0"/>
        <w:adjustRightInd w:val="0"/>
        <w:snapToGrid w:val="0"/>
        <w:spacing w:after="120"/>
        <w:jc w:val="left"/>
        <w:rPr>
          <w:snapToGrid w:val="0"/>
          <w:kern w:val="22"/>
          <w:szCs w:val="22"/>
          <w:lang w:val="es-ES"/>
        </w:rPr>
      </w:pPr>
      <w:r>
        <w:rPr>
          <w:b/>
          <w:snapToGrid w:val="0"/>
          <w:kern w:val="22"/>
          <w:szCs w:val="22"/>
          <w:lang w:val="es-ES"/>
        </w:rPr>
        <w:t>Cuadro</w:t>
      </w:r>
      <w:r w:rsidR="00FF546A" w:rsidRPr="002A043C">
        <w:rPr>
          <w:b/>
          <w:snapToGrid w:val="0"/>
          <w:kern w:val="22"/>
          <w:szCs w:val="22"/>
          <w:lang w:val="es-ES"/>
        </w:rPr>
        <w:t xml:space="preserve"> </w:t>
      </w:r>
      <w:r w:rsidR="00921B38" w:rsidRPr="002A043C">
        <w:rPr>
          <w:b/>
          <w:snapToGrid w:val="0"/>
          <w:kern w:val="22"/>
          <w:szCs w:val="22"/>
          <w:lang w:val="es-ES"/>
        </w:rPr>
        <w:t>5.</w:t>
      </w:r>
      <w:r w:rsidR="00FF546A" w:rsidRPr="002A043C">
        <w:rPr>
          <w:b/>
          <w:snapToGrid w:val="0"/>
          <w:kern w:val="22"/>
          <w:szCs w:val="22"/>
          <w:lang w:val="es-ES"/>
        </w:rPr>
        <w:t xml:space="preserve"> </w:t>
      </w:r>
      <w:r w:rsidRPr="002A043C">
        <w:rPr>
          <w:b/>
          <w:snapToGrid w:val="0"/>
          <w:kern w:val="22"/>
          <w:szCs w:val="22"/>
          <w:lang w:val="es-ES"/>
        </w:rPr>
        <w:t>Tendencias de los gastos nacionales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1359"/>
        <w:gridCol w:w="1420"/>
        <w:gridCol w:w="1249"/>
        <w:gridCol w:w="919"/>
        <w:gridCol w:w="1022"/>
      </w:tblGrid>
      <w:tr w:rsidR="00855A78" w:rsidRPr="00490BF5" w:rsidTr="002A043C">
        <w:trPr>
          <w:cantSplit/>
          <w:jc w:val="center"/>
        </w:trPr>
        <w:tc>
          <w:tcPr>
            <w:tcW w:w="3661" w:type="dxa"/>
            <w:shd w:val="clear" w:color="auto" w:fill="auto"/>
          </w:tcPr>
          <w:p w:rsidR="00855A78" w:rsidRPr="002A043C" w:rsidRDefault="00855A78" w:rsidP="00490BF5">
            <w:pPr>
              <w:suppressLineNumbers/>
              <w:suppressAutoHyphens/>
              <w:kinsoku w:val="0"/>
              <w:overflowPunct w:val="0"/>
              <w:autoSpaceDE w:val="0"/>
              <w:autoSpaceDN w:val="0"/>
              <w:adjustRightInd w:val="0"/>
              <w:snapToGrid w:val="0"/>
              <w:ind w:left="360"/>
              <w:rPr>
                <w:bCs/>
                <w:snapToGrid w:val="0"/>
                <w:kern w:val="22"/>
                <w:szCs w:val="22"/>
                <w:lang w:val="es-ES"/>
              </w:rPr>
            </w:pPr>
          </w:p>
        </w:tc>
        <w:tc>
          <w:tcPr>
            <w:tcW w:w="1326" w:type="dxa"/>
            <w:shd w:val="clear" w:color="auto" w:fill="auto"/>
          </w:tcPr>
          <w:p w:rsidR="00855A78" w:rsidRPr="00490BF5" w:rsidRDefault="002A043C" w:rsidP="002A043C">
            <w:pPr>
              <w:suppressLineNumbers/>
              <w:suppressAutoHyphens/>
              <w:kinsoku w:val="0"/>
              <w:overflowPunct w:val="0"/>
              <w:autoSpaceDE w:val="0"/>
              <w:autoSpaceDN w:val="0"/>
              <w:adjustRightInd w:val="0"/>
              <w:snapToGrid w:val="0"/>
              <w:ind w:left="360"/>
              <w:rPr>
                <w:i/>
                <w:snapToGrid w:val="0"/>
                <w:kern w:val="22"/>
                <w:szCs w:val="22"/>
              </w:rPr>
            </w:pPr>
            <w:r>
              <w:rPr>
                <w:i/>
                <w:snapToGrid w:val="0"/>
                <w:kern w:val="22"/>
                <w:szCs w:val="22"/>
              </w:rPr>
              <w:t>Aumento</w:t>
            </w:r>
          </w:p>
        </w:tc>
        <w:tc>
          <w:tcPr>
            <w:tcW w:w="1399" w:type="dxa"/>
            <w:shd w:val="clear" w:color="auto" w:fill="auto"/>
          </w:tcPr>
          <w:p w:rsidR="00855A78" w:rsidRPr="00490BF5" w:rsidRDefault="00855A78" w:rsidP="002A043C">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De</w:t>
            </w:r>
            <w:r w:rsidR="002A043C">
              <w:rPr>
                <w:i/>
                <w:snapToGrid w:val="0"/>
                <w:kern w:val="22"/>
                <w:szCs w:val="22"/>
              </w:rPr>
              <w:t>s</w:t>
            </w:r>
            <w:r w:rsidRPr="00490BF5">
              <w:rPr>
                <w:i/>
                <w:snapToGrid w:val="0"/>
                <w:kern w:val="22"/>
                <w:szCs w:val="22"/>
              </w:rPr>
              <w:t>ce</w:t>
            </w:r>
            <w:r w:rsidR="002A043C">
              <w:rPr>
                <w:i/>
                <w:snapToGrid w:val="0"/>
                <w:kern w:val="22"/>
                <w:szCs w:val="22"/>
              </w:rPr>
              <w:t>nso</w:t>
            </w:r>
          </w:p>
        </w:tc>
        <w:tc>
          <w:tcPr>
            <w:tcW w:w="1249"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Neutral</w:t>
            </w:r>
          </w:p>
        </w:tc>
        <w:tc>
          <w:tcPr>
            <w:tcW w:w="919"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N/A</w:t>
            </w:r>
          </w:p>
        </w:tc>
        <w:tc>
          <w:tcPr>
            <w:tcW w:w="102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rPr>
                <w:i/>
                <w:snapToGrid w:val="0"/>
                <w:kern w:val="22"/>
                <w:szCs w:val="22"/>
              </w:rPr>
            </w:pPr>
            <w:r w:rsidRPr="00490BF5">
              <w:rPr>
                <w:i/>
                <w:snapToGrid w:val="0"/>
                <w:kern w:val="22"/>
                <w:szCs w:val="22"/>
              </w:rPr>
              <w:t>Total</w:t>
            </w:r>
          </w:p>
        </w:tc>
      </w:tr>
      <w:tr w:rsidR="00855A78" w:rsidRPr="00490BF5" w:rsidTr="002A043C">
        <w:trPr>
          <w:cantSplit/>
          <w:jc w:val="center"/>
        </w:trPr>
        <w:tc>
          <w:tcPr>
            <w:tcW w:w="3661" w:type="dxa"/>
            <w:shd w:val="clear" w:color="auto" w:fill="auto"/>
          </w:tcPr>
          <w:p w:rsidR="00855A78" w:rsidRPr="00490BF5" w:rsidRDefault="002A043C" w:rsidP="002A043C">
            <w:pPr>
              <w:suppressLineNumbers/>
              <w:suppressAutoHyphens/>
              <w:kinsoku w:val="0"/>
              <w:overflowPunct w:val="0"/>
              <w:autoSpaceDE w:val="0"/>
              <w:autoSpaceDN w:val="0"/>
              <w:adjustRightInd w:val="0"/>
              <w:snapToGrid w:val="0"/>
              <w:rPr>
                <w:snapToGrid w:val="0"/>
                <w:kern w:val="22"/>
                <w:szCs w:val="22"/>
              </w:rPr>
            </w:pPr>
            <w:r>
              <w:rPr>
                <w:snapToGrid w:val="0"/>
                <w:kern w:val="22"/>
                <w:szCs w:val="22"/>
              </w:rPr>
              <w:t>Miembros del CAD</w:t>
            </w:r>
          </w:p>
        </w:tc>
        <w:tc>
          <w:tcPr>
            <w:tcW w:w="1326"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7</w:t>
            </w:r>
          </w:p>
        </w:tc>
        <w:tc>
          <w:tcPr>
            <w:tcW w:w="1399"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4</w:t>
            </w:r>
          </w:p>
        </w:tc>
        <w:tc>
          <w:tcPr>
            <w:tcW w:w="1249"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7</w:t>
            </w:r>
          </w:p>
        </w:tc>
        <w:tc>
          <w:tcPr>
            <w:tcW w:w="919"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3</w:t>
            </w:r>
          </w:p>
        </w:tc>
        <w:tc>
          <w:tcPr>
            <w:tcW w:w="1022" w:type="dxa"/>
            <w:shd w:val="clear" w:color="auto" w:fill="auto"/>
          </w:tcPr>
          <w:p w:rsidR="00855A78" w:rsidRPr="00490BF5" w:rsidRDefault="00855A78"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21</w:t>
            </w:r>
          </w:p>
        </w:tc>
      </w:tr>
      <w:tr w:rsidR="002A043C" w:rsidRPr="00490BF5" w:rsidTr="002A043C">
        <w:trPr>
          <w:cantSplit/>
          <w:jc w:val="center"/>
        </w:trPr>
        <w:tc>
          <w:tcPr>
            <w:tcW w:w="3661" w:type="dxa"/>
            <w:shd w:val="clear" w:color="auto" w:fill="auto"/>
          </w:tcPr>
          <w:p w:rsidR="002A043C" w:rsidRDefault="002A043C" w:rsidP="00FE3976">
            <w:pPr>
              <w:suppressLineNumbers/>
              <w:suppressAutoHyphens/>
              <w:spacing w:after="120"/>
              <w:rPr>
                <w:snapToGrid w:val="0"/>
                <w:kern w:val="22"/>
                <w:szCs w:val="22"/>
                <w:lang w:val="es-ES"/>
              </w:rPr>
            </w:pPr>
            <w:r>
              <w:rPr>
                <w:snapToGrid w:val="0"/>
                <w:kern w:val="22"/>
                <w:szCs w:val="22"/>
                <w:lang w:val="es-ES"/>
              </w:rPr>
              <w:t>Países que no son miembros del CAD</w:t>
            </w:r>
          </w:p>
        </w:tc>
        <w:tc>
          <w:tcPr>
            <w:tcW w:w="1326"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16</w:t>
            </w:r>
          </w:p>
        </w:tc>
        <w:tc>
          <w:tcPr>
            <w:tcW w:w="1399"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3</w:t>
            </w:r>
          </w:p>
        </w:tc>
        <w:tc>
          <w:tcPr>
            <w:tcW w:w="1249"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10</w:t>
            </w:r>
          </w:p>
        </w:tc>
        <w:tc>
          <w:tcPr>
            <w:tcW w:w="919"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8</w:t>
            </w:r>
          </w:p>
        </w:tc>
        <w:tc>
          <w:tcPr>
            <w:tcW w:w="1022"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37</w:t>
            </w:r>
          </w:p>
        </w:tc>
      </w:tr>
      <w:tr w:rsidR="002A043C" w:rsidRPr="00490BF5" w:rsidTr="002A043C">
        <w:trPr>
          <w:cantSplit/>
          <w:jc w:val="center"/>
        </w:trPr>
        <w:tc>
          <w:tcPr>
            <w:tcW w:w="3661" w:type="dxa"/>
            <w:shd w:val="clear" w:color="auto" w:fill="auto"/>
          </w:tcPr>
          <w:p w:rsidR="002A043C" w:rsidRDefault="002A043C" w:rsidP="00FE3976">
            <w:pPr>
              <w:suppressLineNumbers/>
              <w:suppressAutoHyphens/>
              <w:spacing w:after="120"/>
              <w:rPr>
                <w:snapToGrid w:val="0"/>
                <w:kern w:val="22"/>
                <w:szCs w:val="22"/>
                <w:lang w:val="es-ES"/>
              </w:rPr>
            </w:pPr>
            <w:r>
              <w:rPr>
                <w:snapToGrid w:val="0"/>
                <w:kern w:val="22"/>
                <w:szCs w:val="22"/>
                <w:lang w:val="es-ES"/>
              </w:rPr>
              <w:t>Países megadiversos</w:t>
            </w:r>
          </w:p>
        </w:tc>
        <w:tc>
          <w:tcPr>
            <w:tcW w:w="1326"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5</w:t>
            </w:r>
          </w:p>
        </w:tc>
        <w:tc>
          <w:tcPr>
            <w:tcW w:w="1399"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1</w:t>
            </w:r>
          </w:p>
        </w:tc>
        <w:tc>
          <w:tcPr>
            <w:tcW w:w="1249"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2</w:t>
            </w:r>
          </w:p>
        </w:tc>
        <w:tc>
          <w:tcPr>
            <w:tcW w:w="919"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0</w:t>
            </w:r>
          </w:p>
        </w:tc>
        <w:tc>
          <w:tcPr>
            <w:tcW w:w="1022" w:type="dxa"/>
            <w:shd w:val="clear" w:color="auto" w:fill="auto"/>
          </w:tcPr>
          <w:p w:rsidR="002A043C" w:rsidRPr="00490BF5" w:rsidRDefault="002A043C" w:rsidP="00490BF5">
            <w:pPr>
              <w:suppressLineNumbers/>
              <w:suppressAutoHyphens/>
              <w:kinsoku w:val="0"/>
              <w:overflowPunct w:val="0"/>
              <w:autoSpaceDE w:val="0"/>
              <w:autoSpaceDN w:val="0"/>
              <w:adjustRightInd w:val="0"/>
              <w:snapToGrid w:val="0"/>
              <w:ind w:left="360"/>
              <w:jc w:val="center"/>
              <w:rPr>
                <w:snapToGrid w:val="0"/>
                <w:kern w:val="22"/>
                <w:szCs w:val="22"/>
              </w:rPr>
            </w:pPr>
            <w:r w:rsidRPr="00490BF5">
              <w:rPr>
                <w:snapToGrid w:val="0"/>
                <w:kern w:val="22"/>
                <w:szCs w:val="22"/>
              </w:rPr>
              <w:t>8</w:t>
            </w:r>
          </w:p>
        </w:tc>
      </w:tr>
    </w:tbl>
    <w:p w:rsidR="00855A78" w:rsidRPr="002A043C" w:rsidRDefault="00855A78" w:rsidP="00490BF5">
      <w:pPr>
        <w:pStyle w:val="Heading1"/>
        <w:suppressLineNumbers/>
        <w:tabs>
          <w:tab w:val="clear" w:pos="720"/>
        </w:tabs>
        <w:suppressAutoHyphens/>
        <w:kinsoku w:val="0"/>
        <w:overflowPunct w:val="0"/>
        <w:autoSpaceDE w:val="0"/>
        <w:autoSpaceDN w:val="0"/>
        <w:adjustRightInd w:val="0"/>
        <w:snapToGrid w:val="0"/>
        <w:ind w:left="360"/>
        <w:rPr>
          <w:snapToGrid w:val="0"/>
          <w:kern w:val="22"/>
          <w:szCs w:val="22"/>
          <w:lang w:val="es-ES"/>
        </w:rPr>
      </w:pPr>
      <w:r w:rsidRPr="002A043C">
        <w:rPr>
          <w:snapToGrid w:val="0"/>
          <w:kern w:val="22"/>
          <w:szCs w:val="22"/>
          <w:lang w:val="es-ES"/>
        </w:rPr>
        <w:t>V.</w:t>
      </w:r>
      <w:r w:rsidR="00212214" w:rsidRPr="002A043C">
        <w:rPr>
          <w:snapToGrid w:val="0"/>
          <w:kern w:val="22"/>
          <w:szCs w:val="22"/>
          <w:lang w:val="es-ES"/>
        </w:rPr>
        <w:tab/>
      </w:r>
      <w:r w:rsidR="002A043C">
        <w:rPr>
          <w:snapToGrid w:val="0"/>
          <w:kern w:val="22"/>
          <w:lang w:val="es-ES"/>
        </w:rPr>
        <w:t>Evaluación de la función de la acción colectiva</w:t>
      </w:r>
    </w:p>
    <w:p w:rsidR="00855A78" w:rsidRPr="00442524" w:rsidRDefault="002A043C"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01037F">
        <w:rPr>
          <w:snapToGrid w:val="0"/>
          <w:kern w:val="22"/>
          <w:szCs w:val="22"/>
          <w:lang w:val="es-ES"/>
        </w:rPr>
        <w:t>Un</w:t>
      </w:r>
      <w:r w:rsidR="00855A78" w:rsidRPr="0001037F">
        <w:rPr>
          <w:snapToGrid w:val="0"/>
          <w:kern w:val="22"/>
          <w:szCs w:val="22"/>
          <w:lang w:val="es-ES"/>
        </w:rPr>
        <w:t xml:space="preserve"> total </w:t>
      </w:r>
      <w:r w:rsidRPr="0001037F">
        <w:rPr>
          <w:snapToGrid w:val="0"/>
          <w:kern w:val="22"/>
          <w:szCs w:val="22"/>
          <w:lang w:val="es-ES"/>
        </w:rPr>
        <w:t>de</w:t>
      </w:r>
      <w:r w:rsidR="00855A78" w:rsidRPr="0001037F">
        <w:rPr>
          <w:snapToGrid w:val="0"/>
          <w:kern w:val="22"/>
          <w:szCs w:val="22"/>
          <w:lang w:val="es-ES"/>
        </w:rPr>
        <w:t xml:space="preserve"> 6</w:t>
      </w:r>
      <w:r w:rsidR="00471C1C" w:rsidRPr="0001037F">
        <w:rPr>
          <w:snapToGrid w:val="0"/>
          <w:kern w:val="22"/>
          <w:szCs w:val="22"/>
          <w:lang w:val="es-ES"/>
        </w:rPr>
        <w:t>0</w:t>
      </w:r>
      <w:r w:rsidR="00855A78" w:rsidRPr="0001037F">
        <w:rPr>
          <w:snapToGrid w:val="0"/>
          <w:kern w:val="22"/>
          <w:szCs w:val="22"/>
          <w:lang w:val="es-ES"/>
        </w:rPr>
        <w:t xml:space="preserve"> Partes </w:t>
      </w:r>
      <w:r w:rsidR="0001037F">
        <w:rPr>
          <w:snapToGrid w:val="0"/>
          <w:kern w:val="22"/>
          <w:szCs w:val="22"/>
          <w:lang w:val="es-ES"/>
        </w:rPr>
        <w:t xml:space="preserve">proporcionaron información sobre si habían evaluado o no la función de la acción colectiva, incluidas las comunidades indígenas y locales, y enfoques no basados en el mercado para movilizar recursos destinados al logro de los objetivos del Convenio. Un total de 18 Partes indicaron que dicha evaluación no es necesaria, mientras que 36 Partes todavía no habían empezado y seis países informaron que se habían realizado algunas evaluaciones. </w:t>
      </w:r>
      <w:r w:rsidR="0001037F" w:rsidRPr="00FE3976">
        <w:rPr>
          <w:snapToGrid w:val="0"/>
          <w:kern w:val="22"/>
          <w:szCs w:val="22"/>
          <w:lang w:val="es-ES"/>
        </w:rPr>
        <w:t>Ningún país indicó que se hubiesen realizado evaluaciones exhaustivas</w:t>
      </w:r>
      <w:r w:rsidR="00855A78" w:rsidRPr="00FE3976">
        <w:rPr>
          <w:snapToGrid w:val="0"/>
          <w:kern w:val="22"/>
          <w:szCs w:val="22"/>
          <w:lang w:val="es-ES"/>
        </w:rPr>
        <w:t xml:space="preserve">. </w:t>
      </w:r>
      <w:r w:rsidR="0001037F" w:rsidRPr="003B6D91">
        <w:rPr>
          <w:snapToGrid w:val="0"/>
          <w:kern w:val="22"/>
          <w:szCs w:val="22"/>
          <w:lang w:val="es-ES"/>
        </w:rPr>
        <w:t>Un</w:t>
      </w:r>
      <w:r w:rsidR="00855A78" w:rsidRPr="003B6D91">
        <w:rPr>
          <w:snapToGrid w:val="0"/>
          <w:kern w:val="22"/>
          <w:szCs w:val="22"/>
          <w:lang w:val="es-ES"/>
        </w:rPr>
        <w:t xml:space="preserve"> total </w:t>
      </w:r>
      <w:r w:rsidR="0001037F" w:rsidRPr="003B6D91">
        <w:rPr>
          <w:snapToGrid w:val="0"/>
          <w:kern w:val="22"/>
          <w:szCs w:val="22"/>
          <w:lang w:val="es-ES"/>
        </w:rPr>
        <w:t>de cinco países</w:t>
      </w:r>
      <w:r w:rsidR="00855A78" w:rsidRPr="003B6D91">
        <w:rPr>
          <w:snapToGrid w:val="0"/>
          <w:kern w:val="22"/>
          <w:szCs w:val="22"/>
          <w:lang w:val="es-ES"/>
        </w:rPr>
        <w:t xml:space="preserve"> (Bolivia, Canad</w:t>
      </w:r>
      <w:r w:rsidR="0001037F" w:rsidRPr="003B6D91">
        <w:rPr>
          <w:snapToGrid w:val="0"/>
          <w:kern w:val="22"/>
          <w:szCs w:val="22"/>
          <w:lang w:val="es-ES"/>
        </w:rPr>
        <w:t>á</w:t>
      </w:r>
      <w:r w:rsidR="00855A78" w:rsidRPr="003B6D91">
        <w:rPr>
          <w:snapToGrid w:val="0"/>
          <w:kern w:val="22"/>
          <w:szCs w:val="22"/>
          <w:lang w:val="es-ES"/>
        </w:rPr>
        <w:t>, Costa Rica, Per</w:t>
      </w:r>
      <w:r w:rsidR="0001037F" w:rsidRPr="003B6D91">
        <w:rPr>
          <w:snapToGrid w:val="0"/>
          <w:kern w:val="22"/>
          <w:szCs w:val="22"/>
          <w:lang w:val="es-ES"/>
        </w:rPr>
        <w:t>ú y Sudáfrica</w:t>
      </w:r>
      <w:r w:rsidR="00855A78" w:rsidRPr="003B6D91">
        <w:rPr>
          <w:snapToGrid w:val="0"/>
          <w:kern w:val="22"/>
          <w:szCs w:val="22"/>
          <w:lang w:val="es-ES"/>
        </w:rPr>
        <w:t xml:space="preserve">) </w:t>
      </w:r>
      <w:r w:rsidR="0001037F" w:rsidRPr="003B6D91">
        <w:rPr>
          <w:snapToGrid w:val="0"/>
          <w:kern w:val="22"/>
          <w:szCs w:val="22"/>
          <w:lang w:val="es-ES"/>
        </w:rPr>
        <w:t>proporcionaron información adicional sobre este aspecto</w:t>
      </w:r>
      <w:r w:rsidR="00855A78" w:rsidRPr="003B6D91">
        <w:rPr>
          <w:snapToGrid w:val="0"/>
          <w:kern w:val="22"/>
          <w:szCs w:val="22"/>
          <w:lang w:val="es-ES"/>
        </w:rPr>
        <w:t xml:space="preserve">, </w:t>
      </w:r>
      <w:r w:rsidR="003B6D91" w:rsidRPr="003B6D91">
        <w:rPr>
          <w:snapToGrid w:val="0"/>
          <w:kern w:val="22"/>
          <w:szCs w:val="22"/>
          <w:lang w:val="es-ES"/>
        </w:rPr>
        <w:t>que no sufrió cambios con respecto al último informe</w:t>
      </w:r>
      <w:r w:rsidR="00855A78" w:rsidRPr="003B6D91">
        <w:rPr>
          <w:rStyle w:val="FootnoteReference"/>
          <w:snapToGrid w:val="0"/>
          <w:kern w:val="22"/>
          <w:szCs w:val="22"/>
          <w:lang w:val="es-ES"/>
        </w:rPr>
        <w:t xml:space="preserve"> </w:t>
      </w:r>
      <w:r w:rsidR="00855A78" w:rsidRPr="00490BF5">
        <w:rPr>
          <w:rStyle w:val="FootnoteReference"/>
          <w:snapToGrid w:val="0"/>
          <w:kern w:val="22"/>
          <w:szCs w:val="22"/>
        </w:rPr>
        <w:footnoteReference w:id="14"/>
      </w:r>
      <w:r w:rsidR="003B6D91" w:rsidRPr="003B6D91">
        <w:rPr>
          <w:snapToGrid w:val="0"/>
          <w:kern w:val="22"/>
          <w:szCs w:val="22"/>
          <w:lang w:val="es-ES"/>
        </w:rPr>
        <w:t xml:space="preserve">. </w:t>
      </w:r>
      <w:r w:rsidR="003B6D91" w:rsidRPr="00442524">
        <w:rPr>
          <w:snapToGrid w:val="0"/>
          <w:kern w:val="22"/>
          <w:szCs w:val="22"/>
          <w:lang w:val="es-ES"/>
        </w:rPr>
        <w:t xml:space="preserve">Esta información incluye </w:t>
      </w:r>
      <w:r w:rsidR="00442524" w:rsidRPr="00442524">
        <w:rPr>
          <w:snapToGrid w:val="0"/>
          <w:kern w:val="22"/>
          <w:szCs w:val="22"/>
          <w:lang w:val="es-ES"/>
        </w:rPr>
        <w:t>datos monetarios o de otra índole</w:t>
      </w:r>
      <w:r w:rsidR="00855A78" w:rsidRPr="00442524">
        <w:rPr>
          <w:snapToGrid w:val="0"/>
          <w:kern w:val="22"/>
          <w:szCs w:val="22"/>
          <w:lang w:val="es-ES"/>
        </w:rPr>
        <w:t xml:space="preserve">: </w:t>
      </w:r>
      <w:r w:rsidR="006E604B" w:rsidRPr="00442524">
        <w:rPr>
          <w:snapToGrid w:val="0"/>
          <w:kern w:val="22"/>
          <w:szCs w:val="22"/>
          <w:lang w:val="es-ES"/>
        </w:rPr>
        <w:t>a</w:t>
      </w:r>
      <w:r w:rsidR="00855A78" w:rsidRPr="00442524">
        <w:rPr>
          <w:snapToGrid w:val="0"/>
          <w:kern w:val="22"/>
          <w:szCs w:val="22"/>
          <w:lang w:val="es-ES"/>
        </w:rPr>
        <w:t xml:space="preserve">) </w:t>
      </w:r>
      <w:r w:rsidR="00442524">
        <w:rPr>
          <w:snapToGrid w:val="0"/>
          <w:kern w:val="22"/>
          <w:szCs w:val="22"/>
          <w:lang w:val="es-ES"/>
        </w:rPr>
        <w:t>en su informe preliminar, Bolivia evaluó la función de la acción colectiva para un equivalente monetario aproximado de 360 millones de dólares estadounidenses anualmente entre 2006 y 2015; b) Canadá llevó a cabo una evaluación parcial de la función de la acción colectiva basándose en 19 ejemplos de programas o iniciativas de acción colectiva, que ascendía a una media anual de 151 millones de dólares canadienses entre 2006 y 2014; c) Costa Rica informó que se proporcionaron 3 millones de dólares estadounidenses en pagos para servicios de los ecosistemas anualmente entre 2007 y 2011 a las comunidades indígenas y locales para su contribución a la conservación de la diversidad biológica; d) Perú informó sobre la contribución de los pequeños agricultores para conservar la diversidad genética de las patatas, que ascendía a un equivalente monetario de 66 millones de dólares estadounidenses en 2014; e) Sudáfrica mencionó la superficie terrestre conservada por propietarios privados o comunales, que ascendía a 3 440 009 hectáreas o casi al 30 % del patrimonio total de áreas protegidas en Sudáfrica</w:t>
      </w:r>
      <w:r w:rsidR="00855A78" w:rsidRPr="00442524">
        <w:rPr>
          <w:snapToGrid w:val="0"/>
          <w:kern w:val="22"/>
          <w:szCs w:val="22"/>
          <w:lang w:val="es-ES"/>
        </w:rPr>
        <w:t>.</w:t>
      </w:r>
    </w:p>
    <w:p w:rsidR="00855A78" w:rsidRPr="00442524" w:rsidRDefault="00855A7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442524">
        <w:rPr>
          <w:snapToGrid w:val="0"/>
          <w:kern w:val="22"/>
          <w:szCs w:val="22"/>
          <w:lang w:val="es-ES"/>
        </w:rPr>
        <w:t>Bolivia, Canad</w:t>
      </w:r>
      <w:r w:rsidR="00442524" w:rsidRPr="00442524">
        <w:rPr>
          <w:snapToGrid w:val="0"/>
          <w:kern w:val="22"/>
          <w:szCs w:val="22"/>
          <w:lang w:val="es-ES"/>
        </w:rPr>
        <w:t xml:space="preserve">á y </w:t>
      </w:r>
      <w:r w:rsidRPr="00442524">
        <w:rPr>
          <w:snapToGrid w:val="0"/>
          <w:kern w:val="22"/>
          <w:szCs w:val="22"/>
          <w:lang w:val="es-ES"/>
        </w:rPr>
        <w:t>Per</w:t>
      </w:r>
      <w:r w:rsidR="00442524" w:rsidRPr="00442524">
        <w:rPr>
          <w:snapToGrid w:val="0"/>
          <w:kern w:val="22"/>
          <w:szCs w:val="22"/>
          <w:lang w:val="es-ES"/>
        </w:rPr>
        <w:t>ú</w:t>
      </w:r>
      <w:r w:rsidRPr="00442524">
        <w:rPr>
          <w:snapToGrid w:val="0"/>
          <w:kern w:val="22"/>
          <w:szCs w:val="22"/>
          <w:lang w:val="es-ES"/>
        </w:rPr>
        <w:t xml:space="preserve"> </w:t>
      </w:r>
      <w:r w:rsidR="00442524" w:rsidRPr="00442524">
        <w:rPr>
          <w:snapToGrid w:val="0"/>
          <w:kern w:val="22"/>
          <w:szCs w:val="22"/>
          <w:lang w:val="es-ES"/>
        </w:rPr>
        <w:t>proporcionaron información metodológica adicional sobre la evaluaci</w:t>
      </w:r>
      <w:r w:rsidR="00442524">
        <w:rPr>
          <w:snapToGrid w:val="0"/>
          <w:kern w:val="22"/>
          <w:szCs w:val="22"/>
          <w:lang w:val="es-ES"/>
        </w:rPr>
        <w:t>ón de la contribución de la acción colectiva</w:t>
      </w:r>
      <w:r w:rsidRPr="00442524">
        <w:rPr>
          <w:snapToGrid w:val="0"/>
          <w:kern w:val="22"/>
          <w:szCs w:val="22"/>
          <w:lang w:val="es-ES"/>
        </w:rPr>
        <w:t>:</w:t>
      </w:r>
    </w:p>
    <w:p w:rsidR="00855A78" w:rsidRPr="00442524" w:rsidRDefault="00855A78"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442524">
        <w:rPr>
          <w:snapToGrid w:val="0"/>
          <w:kern w:val="22"/>
          <w:szCs w:val="22"/>
          <w:lang w:val="es-ES"/>
        </w:rPr>
        <w:lastRenderedPageBreak/>
        <w:t xml:space="preserve">Bolivia </w:t>
      </w:r>
      <w:r w:rsidR="00442524">
        <w:rPr>
          <w:snapToGrid w:val="0"/>
          <w:kern w:val="22"/>
          <w:szCs w:val="22"/>
          <w:lang w:val="es-ES"/>
        </w:rPr>
        <w:t>se aproximó a la contribución de la acción colectiva en las áreas protegidas utilizando el número de habitantes de las comunidades indígenas y locales en las zonas protegidas y el salario mínimo. Para las contribuciones de la acción colectiva fuera de las áreas protegidas, Bolivia aplicó el marco conceptual y metodológico para evaluar la contribución de la acción colectiva a la conservación de la diversidad biológica usando la superficie habitada por las comunidades indígenas y locales fuera de las áreas protegidas y el gasto oficial por hectárea en gestión de áreas protegidas</w:t>
      </w:r>
      <w:r w:rsidR="006E604B" w:rsidRPr="00442524">
        <w:rPr>
          <w:snapToGrid w:val="0"/>
          <w:kern w:val="22"/>
          <w:szCs w:val="22"/>
          <w:lang w:val="es-ES"/>
        </w:rPr>
        <w:t>;</w:t>
      </w:r>
    </w:p>
    <w:p w:rsidR="00855A78" w:rsidRPr="004C43D8" w:rsidRDefault="00855A78"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442524">
        <w:rPr>
          <w:snapToGrid w:val="0"/>
          <w:kern w:val="22"/>
          <w:szCs w:val="22"/>
          <w:lang w:val="es-ES"/>
        </w:rPr>
        <w:t>Canad</w:t>
      </w:r>
      <w:r w:rsidR="00442524" w:rsidRPr="00442524">
        <w:rPr>
          <w:snapToGrid w:val="0"/>
          <w:kern w:val="22"/>
          <w:szCs w:val="22"/>
          <w:lang w:val="es-ES"/>
        </w:rPr>
        <w:t>á</w:t>
      </w:r>
      <w:r w:rsidRPr="00442524">
        <w:rPr>
          <w:snapToGrid w:val="0"/>
          <w:kern w:val="22"/>
          <w:szCs w:val="22"/>
          <w:lang w:val="es-ES"/>
        </w:rPr>
        <w:t xml:space="preserve"> </w:t>
      </w:r>
      <w:r w:rsidR="00442524">
        <w:rPr>
          <w:snapToGrid w:val="0"/>
          <w:kern w:val="22"/>
          <w:szCs w:val="22"/>
          <w:lang w:val="es-ES"/>
        </w:rPr>
        <w:t>usó la cantidad total de financiación movilizada por dos o más socios (p. ej. grupos aborígenes, ONG, instituciones académicas)</w:t>
      </w:r>
      <w:r w:rsidR="004C43D8">
        <w:rPr>
          <w:snapToGrid w:val="0"/>
          <w:kern w:val="22"/>
          <w:szCs w:val="22"/>
          <w:lang w:val="es-ES"/>
        </w:rPr>
        <w:t>,</w:t>
      </w:r>
      <w:r w:rsidR="00442524">
        <w:rPr>
          <w:snapToGrid w:val="0"/>
          <w:kern w:val="22"/>
          <w:szCs w:val="22"/>
          <w:lang w:val="es-ES"/>
        </w:rPr>
        <w:t xml:space="preserve"> incluyendo principalmente programas del Gobierno federal que t</w:t>
      </w:r>
      <w:r w:rsidR="004C43D8">
        <w:rPr>
          <w:snapToGrid w:val="0"/>
          <w:kern w:val="22"/>
          <w:szCs w:val="22"/>
          <w:lang w:val="es-ES"/>
        </w:rPr>
        <w:t>enían</w:t>
      </w:r>
      <w:r w:rsidR="00442524">
        <w:rPr>
          <w:snapToGrid w:val="0"/>
          <w:kern w:val="22"/>
          <w:szCs w:val="22"/>
          <w:lang w:val="es-ES"/>
        </w:rPr>
        <w:t xml:space="preserve"> como objetivo conseguir una movilización mínima en una proporción de 1:1 de fondos invertidos de forma que, por cada dólar proporcionado por el programa, los destinatarios del proyecto cofinancien al menos un dólar a través de recursos financieros o en especie (p. ej. trabajo voluntario, productos o servicios). Canadá utilizó indicadores financieros puesto que esta información estaba disponible de inmediato y se podía comparar con un mayor número de ejemplos. </w:t>
      </w:r>
      <w:r w:rsidR="00442524" w:rsidRPr="004C43D8">
        <w:rPr>
          <w:snapToGrid w:val="0"/>
          <w:kern w:val="22"/>
          <w:szCs w:val="22"/>
          <w:lang w:val="es-ES"/>
        </w:rPr>
        <w:t>La comunicación indica que resultó difícil cuantificar los indicadores no financieros de manera comparable, ya que los distintos programas o iniciativas usan diferentes parámetros de medición de los resultados en materia de diversidad biológica</w:t>
      </w:r>
      <w:r w:rsidR="006E604B" w:rsidRPr="004C43D8">
        <w:rPr>
          <w:snapToGrid w:val="0"/>
          <w:kern w:val="22"/>
          <w:szCs w:val="22"/>
          <w:lang w:val="es-ES"/>
        </w:rPr>
        <w:t>;</w:t>
      </w:r>
    </w:p>
    <w:p w:rsidR="00855A78" w:rsidRPr="004C43D8" w:rsidRDefault="004C43D8" w:rsidP="00490BF5">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4C43D8">
        <w:rPr>
          <w:snapToGrid w:val="0"/>
          <w:kern w:val="22"/>
          <w:szCs w:val="22"/>
          <w:lang w:val="es-ES"/>
        </w:rPr>
        <w:t xml:space="preserve">La evaluación de </w:t>
      </w:r>
      <w:r>
        <w:rPr>
          <w:snapToGrid w:val="0"/>
          <w:kern w:val="22"/>
          <w:szCs w:val="22"/>
          <w:lang w:val="es-ES"/>
        </w:rPr>
        <w:t xml:space="preserve">Perú de la contribución de los pequeños agricultores a la conservación de la diversidad genética de las patatas incluía a pequeños propietarios con una hectárea o menos, basándose en los datos del Censo nacional agrícola de 2013. </w:t>
      </w:r>
      <w:r w:rsidRPr="004C43D8">
        <w:rPr>
          <w:snapToGrid w:val="0"/>
          <w:kern w:val="22"/>
          <w:szCs w:val="22"/>
          <w:lang w:val="es-ES"/>
        </w:rPr>
        <w:t>Las contribuciones cubiertas incluían la transferencia de conocimientos, el intercambio y almacenamiento de semillas</w:t>
      </w:r>
      <w:r w:rsidR="00855A78" w:rsidRPr="004C43D8">
        <w:rPr>
          <w:snapToGrid w:val="0"/>
          <w:kern w:val="22"/>
          <w:szCs w:val="22"/>
          <w:lang w:val="es-ES"/>
        </w:rPr>
        <w:t>.</w:t>
      </w:r>
    </w:p>
    <w:p w:rsidR="00855A78" w:rsidRPr="004C43D8" w:rsidRDefault="00855A78" w:rsidP="00490BF5">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lang w:val="es-ES"/>
        </w:rPr>
      </w:pPr>
      <w:r w:rsidRPr="004C43D8">
        <w:rPr>
          <w:snapToGrid w:val="0"/>
          <w:kern w:val="22"/>
          <w:szCs w:val="22"/>
          <w:lang w:val="es-ES"/>
        </w:rPr>
        <w:t>VI.</w:t>
      </w:r>
      <w:r w:rsidR="006E604B" w:rsidRPr="004C43D8">
        <w:rPr>
          <w:snapToGrid w:val="0"/>
          <w:kern w:val="22"/>
          <w:szCs w:val="22"/>
          <w:lang w:val="es-ES"/>
        </w:rPr>
        <w:tab/>
      </w:r>
      <w:r w:rsidR="004C43D8">
        <w:rPr>
          <w:snapToGrid w:val="0"/>
          <w:kern w:val="22"/>
          <w:lang w:val="es-ES"/>
        </w:rPr>
        <w:t>Presentación de informes sobre necesidades, carencias y prioridades de financiacióN</w:t>
      </w:r>
    </w:p>
    <w:p w:rsidR="00855A78" w:rsidRPr="00005CEC" w:rsidRDefault="004C43D8"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4C43D8">
        <w:rPr>
          <w:snapToGrid w:val="0"/>
          <w:kern w:val="22"/>
          <w:szCs w:val="22"/>
          <w:lang w:val="es-ES"/>
        </w:rPr>
        <w:t xml:space="preserve">Un </w:t>
      </w:r>
      <w:r w:rsidR="00855A78" w:rsidRPr="004C43D8">
        <w:rPr>
          <w:snapToGrid w:val="0"/>
          <w:kern w:val="22"/>
          <w:szCs w:val="22"/>
          <w:lang w:val="es-ES"/>
        </w:rPr>
        <w:t xml:space="preserve">total </w:t>
      </w:r>
      <w:r w:rsidRPr="004C43D8">
        <w:rPr>
          <w:snapToGrid w:val="0"/>
          <w:kern w:val="22"/>
          <w:szCs w:val="22"/>
          <w:lang w:val="es-ES"/>
        </w:rPr>
        <w:t>de</w:t>
      </w:r>
      <w:r w:rsidR="00855A78" w:rsidRPr="004C43D8">
        <w:rPr>
          <w:snapToGrid w:val="0"/>
          <w:kern w:val="22"/>
          <w:szCs w:val="22"/>
          <w:lang w:val="es-ES"/>
        </w:rPr>
        <w:t xml:space="preserve"> </w:t>
      </w:r>
      <w:r w:rsidR="006D6BB3" w:rsidRPr="004C43D8">
        <w:rPr>
          <w:snapToGrid w:val="0"/>
          <w:kern w:val="22"/>
          <w:szCs w:val="22"/>
          <w:lang w:val="es-ES"/>
        </w:rPr>
        <w:t xml:space="preserve">35 </w:t>
      </w:r>
      <w:r w:rsidRPr="004C43D8">
        <w:rPr>
          <w:snapToGrid w:val="0"/>
          <w:kern w:val="22"/>
          <w:szCs w:val="22"/>
          <w:lang w:val="es-ES"/>
        </w:rPr>
        <w:t xml:space="preserve">Partes </w:t>
      </w:r>
      <w:r>
        <w:rPr>
          <w:snapToGrid w:val="0"/>
          <w:kern w:val="22"/>
          <w:szCs w:val="22"/>
          <w:lang w:val="es-ES"/>
        </w:rPr>
        <w:t xml:space="preserve">que presentaron informes (algo más del 45 %) indicaron su necesidad de financiación estimada (que suele basarse en las EPANB revisadas; véase </w:t>
      </w:r>
      <w:r>
        <w:rPr>
          <w:i/>
          <w:iCs/>
          <w:snapToGrid w:val="0"/>
          <w:kern w:val="22"/>
          <w:szCs w:val="22"/>
          <w:lang w:val="es-ES"/>
        </w:rPr>
        <w:t>infra</w:t>
      </w:r>
      <w:r>
        <w:rPr>
          <w:snapToGrid w:val="0"/>
          <w:kern w:val="22"/>
          <w:szCs w:val="22"/>
          <w:lang w:val="es-ES"/>
        </w:rPr>
        <w:t xml:space="preserve">), y la mayoría de ellas calcularon el déficit de financiación estimado sustrayendo los recursos disponibles estimados. Un total de 21 países, o aproximadamente el 30 %, indicaron asimismo medidas para la financiación prioritaria. </w:t>
      </w:r>
      <w:r w:rsidR="00005CEC">
        <w:rPr>
          <w:snapToGrid w:val="0"/>
          <w:kern w:val="22"/>
          <w:szCs w:val="22"/>
          <w:lang w:val="es-ES"/>
        </w:rPr>
        <w:t>Los países que presentaron informes hicieron referencia en particular a sus EPANB revisadas como base para su evaluación y, en algunos casos, concretamente a su plan para la movilización de recursos. En varios casos, los países mencionaron su labor continua en las EPANB revisadas o su labor en curso en el marco de la iniciativa BIOFIN. Varias</w:t>
      </w:r>
      <w:r>
        <w:rPr>
          <w:snapToGrid w:val="0"/>
          <w:kern w:val="22"/>
          <w:szCs w:val="22"/>
          <w:lang w:val="es-ES"/>
        </w:rPr>
        <w:t xml:space="preserve"> Partes (China, España, Estonia, Letonia, </w:t>
      </w:r>
      <w:r w:rsidR="00005CEC">
        <w:rPr>
          <w:snapToGrid w:val="0"/>
          <w:kern w:val="22"/>
          <w:szCs w:val="22"/>
          <w:lang w:val="es-ES"/>
        </w:rPr>
        <w:t xml:space="preserve">Madagascar, </w:t>
      </w:r>
      <w:r>
        <w:rPr>
          <w:snapToGrid w:val="0"/>
          <w:kern w:val="22"/>
          <w:szCs w:val="22"/>
          <w:lang w:val="es-ES"/>
        </w:rPr>
        <w:t xml:space="preserve">Reino Unido, </w:t>
      </w:r>
      <w:r w:rsidR="00005CEC">
        <w:rPr>
          <w:snapToGrid w:val="0"/>
          <w:kern w:val="22"/>
          <w:szCs w:val="22"/>
          <w:lang w:val="es-ES"/>
        </w:rPr>
        <w:t xml:space="preserve">Sudán, </w:t>
      </w:r>
      <w:r>
        <w:rPr>
          <w:snapToGrid w:val="0"/>
          <w:kern w:val="22"/>
          <w:szCs w:val="22"/>
          <w:lang w:val="es-ES"/>
        </w:rPr>
        <w:t>Suiza y la Unión Europea), aunque no aportan datos en el cuadro, sí proporcionaron información adicional</w:t>
      </w:r>
      <w:r w:rsidR="00005CEC">
        <w:rPr>
          <w:snapToGrid w:val="0"/>
          <w:kern w:val="22"/>
          <w:szCs w:val="22"/>
          <w:lang w:val="es-ES"/>
        </w:rPr>
        <w:t xml:space="preserve">, observando, por ejemplo, las necesidades específicas </w:t>
      </w:r>
      <w:r w:rsidR="00005CEC" w:rsidRPr="00CE3F21">
        <w:rPr>
          <w:snapToGrid w:val="0"/>
          <w:kern w:val="22"/>
          <w:szCs w:val="22"/>
          <w:lang w:val="es-ES"/>
        </w:rPr>
        <w:t>que se podrían identificar</w:t>
      </w:r>
      <w:r w:rsidR="00855A78" w:rsidRPr="00CE3F21">
        <w:rPr>
          <w:snapToGrid w:val="0"/>
          <w:kern w:val="22"/>
          <w:szCs w:val="22"/>
          <w:lang w:val="es-ES"/>
        </w:rPr>
        <w:t>.</w:t>
      </w:r>
    </w:p>
    <w:p w:rsidR="00855A78" w:rsidRPr="00701D1E" w:rsidRDefault="000F50BF"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701D1E">
        <w:rPr>
          <w:snapToGrid w:val="0"/>
          <w:kern w:val="22"/>
          <w:szCs w:val="22"/>
          <w:lang w:val="es-ES"/>
        </w:rPr>
        <w:t>Un</w:t>
      </w:r>
      <w:r w:rsidR="00855A78" w:rsidRPr="00701D1E">
        <w:rPr>
          <w:snapToGrid w:val="0"/>
          <w:kern w:val="22"/>
          <w:szCs w:val="22"/>
          <w:lang w:val="es-ES"/>
        </w:rPr>
        <w:t xml:space="preserve"> total </w:t>
      </w:r>
      <w:r w:rsidRPr="00701D1E">
        <w:rPr>
          <w:snapToGrid w:val="0"/>
          <w:kern w:val="22"/>
          <w:szCs w:val="22"/>
          <w:lang w:val="es-ES"/>
        </w:rPr>
        <w:t>de</w:t>
      </w:r>
      <w:r w:rsidR="00855A78" w:rsidRPr="00701D1E">
        <w:rPr>
          <w:snapToGrid w:val="0"/>
          <w:kern w:val="22"/>
          <w:szCs w:val="22"/>
          <w:lang w:val="es-ES"/>
        </w:rPr>
        <w:t xml:space="preserve"> 59 </w:t>
      </w:r>
      <w:r w:rsidRPr="00701D1E">
        <w:rPr>
          <w:snapToGrid w:val="0"/>
          <w:kern w:val="22"/>
          <w:szCs w:val="22"/>
          <w:lang w:val="es-ES"/>
        </w:rPr>
        <w:t xml:space="preserve">EPANB revisadas incluyen un </w:t>
      </w:r>
      <w:r w:rsidR="00701D1E" w:rsidRPr="00701D1E">
        <w:rPr>
          <w:snapToGrid w:val="0"/>
          <w:kern w:val="22"/>
          <w:szCs w:val="22"/>
          <w:lang w:val="es-ES"/>
        </w:rPr>
        <w:t>cálculo de costes para sus planes de acci</w:t>
      </w:r>
      <w:r w:rsidR="00701D1E">
        <w:rPr>
          <w:snapToGrid w:val="0"/>
          <w:kern w:val="22"/>
          <w:szCs w:val="22"/>
          <w:lang w:val="es-ES"/>
        </w:rPr>
        <w:t>ón (aunque no necesariamente en cuanto a costes anualizados</w:t>
      </w:r>
      <w:r w:rsidR="00855A78" w:rsidRPr="00701D1E">
        <w:rPr>
          <w:snapToGrid w:val="0"/>
          <w:color w:val="000000"/>
          <w:kern w:val="22"/>
          <w:szCs w:val="22"/>
          <w:lang w:val="es-ES"/>
        </w:rPr>
        <w:t>)</w:t>
      </w:r>
      <w:r w:rsidR="00855A78" w:rsidRPr="00490BF5">
        <w:rPr>
          <w:rStyle w:val="FootnoteReference"/>
          <w:snapToGrid w:val="0"/>
          <w:color w:val="000000"/>
          <w:kern w:val="22"/>
          <w:szCs w:val="22"/>
        </w:rPr>
        <w:footnoteReference w:id="15"/>
      </w:r>
      <w:r w:rsidR="00701D1E" w:rsidRPr="00701D1E">
        <w:rPr>
          <w:snapToGrid w:val="0"/>
          <w:color w:val="000000"/>
          <w:kern w:val="22"/>
          <w:szCs w:val="22"/>
          <w:lang w:val="es-ES"/>
        </w:rPr>
        <w:t>.</w:t>
      </w:r>
    </w:p>
    <w:p w:rsidR="00855A78" w:rsidRPr="00D964D8" w:rsidRDefault="00701D1E"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701D1E">
        <w:rPr>
          <w:snapToGrid w:val="0"/>
          <w:kern w:val="22"/>
          <w:szCs w:val="22"/>
          <w:lang w:val="es-ES"/>
        </w:rPr>
        <w:t>En el cuadro de progresos actualizado de la iniciativa BIOFIN del PNUD</w:t>
      </w:r>
      <w:r w:rsidR="00855A78" w:rsidRPr="00701D1E">
        <w:rPr>
          <w:snapToGrid w:val="0"/>
          <w:kern w:val="22"/>
          <w:szCs w:val="22"/>
          <w:lang w:val="es-ES"/>
        </w:rPr>
        <w:t xml:space="preserve">, </w:t>
      </w:r>
      <w:r>
        <w:rPr>
          <w:snapToGrid w:val="0"/>
          <w:kern w:val="22"/>
          <w:szCs w:val="22"/>
          <w:lang w:val="es-ES"/>
        </w:rPr>
        <w:t xml:space="preserve">un </w:t>
      </w:r>
      <w:r w:rsidR="00855A78" w:rsidRPr="00701D1E">
        <w:rPr>
          <w:snapToGrid w:val="0"/>
          <w:kern w:val="22"/>
          <w:szCs w:val="22"/>
          <w:lang w:val="es-ES"/>
        </w:rPr>
        <w:t xml:space="preserve">total </w:t>
      </w:r>
      <w:r>
        <w:rPr>
          <w:snapToGrid w:val="0"/>
          <w:kern w:val="22"/>
          <w:szCs w:val="22"/>
          <w:lang w:val="es-ES"/>
        </w:rPr>
        <w:t>de nueve p</w:t>
      </w:r>
      <w:r w:rsidRPr="00CE3F21">
        <w:rPr>
          <w:snapToGrid w:val="0"/>
          <w:kern w:val="22"/>
          <w:szCs w:val="22"/>
          <w:lang w:val="es-ES"/>
        </w:rPr>
        <w:t xml:space="preserve">aíses </w:t>
      </w:r>
      <w:r w:rsidR="00D964D8" w:rsidRPr="00CE3F21">
        <w:rPr>
          <w:snapToGrid w:val="0"/>
          <w:kern w:val="22"/>
          <w:szCs w:val="22"/>
          <w:lang w:val="es-ES"/>
        </w:rPr>
        <w:t>finalizaron</w:t>
      </w:r>
      <w:r w:rsidRPr="00CE3F21">
        <w:rPr>
          <w:snapToGrid w:val="0"/>
          <w:kern w:val="22"/>
          <w:szCs w:val="22"/>
          <w:lang w:val="es-ES"/>
        </w:rPr>
        <w:t xml:space="preserve"> su</w:t>
      </w:r>
      <w:r>
        <w:rPr>
          <w:snapToGrid w:val="0"/>
          <w:kern w:val="22"/>
          <w:szCs w:val="22"/>
          <w:lang w:val="es-ES"/>
        </w:rPr>
        <w:t xml:space="preserve"> evaluación de las necesidades y carencias de financiación</w:t>
      </w:r>
      <w:r w:rsidR="00855A78" w:rsidRPr="00701D1E">
        <w:rPr>
          <w:snapToGrid w:val="0"/>
          <w:kern w:val="22"/>
          <w:szCs w:val="22"/>
          <w:lang w:val="es-ES"/>
        </w:rPr>
        <w:t xml:space="preserve">. </w:t>
      </w:r>
      <w:r w:rsidR="008C3C9A" w:rsidRPr="00D964D8">
        <w:rPr>
          <w:snapToGrid w:val="0"/>
          <w:kern w:val="22"/>
          <w:szCs w:val="22"/>
          <w:lang w:val="es-ES"/>
        </w:rPr>
        <w:t>A</w:t>
      </w:r>
      <w:r w:rsidR="00D964D8" w:rsidRPr="00D964D8">
        <w:rPr>
          <w:snapToGrid w:val="0"/>
          <w:kern w:val="22"/>
          <w:szCs w:val="22"/>
          <w:lang w:val="es-ES"/>
        </w:rPr>
        <w:t>lgunas conclusiones presentadas en la tercera Conferencia de</w:t>
      </w:r>
      <w:r w:rsidR="00AB18CD" w:rsidRPr="00D964D8">
        <w:rPr>
          <w:snapToGrid w:val="0"/>
          <w:kern w:val="22"/>
          <w:szCs w:val="22"/>
          <w:lang w:val="es-ES"/>
        </w:rPr>
        <w:t xml:space="preserve"> </w:t>
      </w:r>
      <w:r w:rsidR="00855A78" w:rsidRPr="00D964D8">
        <w:rPr>
          <w:snapToGrid w:val="0"/>
          <w:kern w:val="22"/>
          <w:szCs w:val="22"/>
          <w:lang w:val="es-ES"/>
        </w:rPr>
        <w:t xml:space="preserve">BIOFIN </w:t>
      </w:r>
      <w:r w:rsidR="00D964D8" w:rsidRPr="00D964D8">
        <w:rPr>
          <w:snapToGrid w:val="0"/>
          <w:kern w:val="22"/>
          <w:szCs w:val="22"/>
          <w:lang w:val="es-ES"/>
        </w:rPr>
        <w:t xml:space="preserve">se resumen </w:t>
      </w:r>
      <w:r w:rsidR="003E5195">
        <w:rPr>
          <w:snapToGrid w:val="0"/>
          <w:kern w:val="22"/>
          <w:szCs w:val="22"/>
          <w:lang w:val="es-ES"/>
        </w:rPr>
        <w:t>a continuación</w:t>
      </w:r>
      <w:r w:rsidR="00855A78" w:rsidRPr="00D964D8">
        <w:rPr>
          <w:snapToGrid w:val="0"/>
          <w:kern w:val="22"/>
          <w:szCs w:val="22"/>
          <w:lang w:val="es-ES"/>
        </w:rPr>
        <w:t>:</w:t>
      </w:r>
    </w:p>
    <w:p w:rsidR="00855A78" w:rsidRPr="003E5195" w:rsidRDefault="003E5195"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3E5195">
        <w:rPr>
          <w:snapToGrid w:val="0"/>
          <w:kern w:val="22"/>
          <w:szCs w:val="22"/>
          <w:lang w:val="es-ES"/>
        </w:rPr>
        <w:t>E</w:t>
      </w:r>
      <w:r w:rsidR="00855A78" w:rsidRPr="003E5195">
        <w:rPr>
          <w:snapToGrid w:val="0"/>
          <w:kern w:val="22"/>
          <w:szCs w:val="22"/>
          <w:lang w:val="es-ES"/>
        </w:rPr>
        <w:t xml:space="preserve">n Colombia, </w:t>
      </w:r>
      <w:r w:rsidRPr="003E5195">
        <w:rPr>
          <w:snapToGrid w:val="0"/>
          <w:kern w:val="22"/>
          <w:szCs w:val="22"/>
          <w:lang w:val="es-ES"/>
        </w:rPr>
        <w:t>son necesarios 4800 millones de dólares estadounidenses para aplicar su EPANB</w:t>
      </w:r>
      <w:r w:rsidR="00855A78" w:rsidRPr="003E5195">
        <w:rPr>
          <w:snapToGrid w:val="0"/>
          <w:kern w:val="22"/>
          <w:szCs w:val="22"/>
          <w:lang w:val="es-ES"/>
        </w:rPr>
        <w:t xml:space="preserve">, </w:t>
      </w:r>
      <w:r>
        <w:rPr>
          <w:snapToGrid w:val="0"/>
          <w:kern w:val="22"/>
          <w:szCs w:val="22"/>
          <w:lang w:val="es-ES"/>
        </w:rPr>
        <w:t>de los cuales</w:t>
      </w:r>
      <w:r w:rsidR="00297D50" w:rsidRPr="003E5195">
        <w:rPr>
          <w:snapToGrid w:val="0"/>
          <w:kern w:val="22"/>
          <w:szCs w:val="22"/>
          <w:lang w:val="es-ES"/>
        </w:rPr>
        <w:t> </w:t>
      </w:r>
      <w:r w:rsidR="00855A78" w:rsidRPr="003E5195">
        <w:rPr>
          <w:snapToGrid w:val="0"/>
          <w:kern w:val="22"/>
          <w:szCs w:val="22"/>
          <w:lang w:val="es-ES"/>
        </w:rPr>
        <w:t>14</w:t>
      </w:r>
      <w:r>
        <w:rPr>
          <w:snapToGrid w:val="0"/>
          <w:kern w:val="22"/>
          <w:szCs w:val="22"/>
          <w:lang w:val="es-ES"/>
        </w:rPr>
        <w:t>00 millones de dólares estadounidenses todavía no están financiados</w:t>
      </w:r>
      <w:r w:rsidR="00855A78" w:rsidRPr="003E5195">
        <w:rPr>
          <w:snapToGrid w:val="0"/>
          <w:kern w:val="22"/>
          <w:szCs w:val="22"/>
          <w:lang w:val="es-ES"/>
        </w:rPr>
        <w:t xml:space="preserve">. </w:t>
      </w:r>
      <w:r w:rsidRPr="003E5195">
        <w:rPr>
          <w:snapToGrid w:val="0"/>
          <w:kern w:val="22"/>
          <w:szCs w:val="22"/>
          <w:lang w:val="es-ES"/>
        </w:rPr>
        <w:t>Se necesitan recursos adicionales de fuentes internacionales y privadas que asciendan a casi 1</w:t>
      </w:r>
      <w:r w:rsidR="00855A78" w:rsidRPr="003E5195">
        <w:rPr>
          <w:snapToGrid w:val="0"/>
          <w:kern w:val="22"/>
          <w:szCs w:val="22"/>
          <w:lang w:val="es-ES"/>
        </w:rPr>
        <w:t>00 mill</w:t>
      </w:r>
      <w:r>
        <w:rPr>
          <w:snapToGrid w:val="0"/>
          <w:kern w:val="22"/>
          <w:szCs w:val="22"/>
          <w:lang w:val="es-ES"/>
        </w:rPr>
        <w:t>ones de dólares estadounidenses anualmente</w:t>
      </w:r>
      <w:r w:rsidR="00855A78" w:rsidRPr="003E5195">
        <w:rPr>
          <w:snapToGrid w:val="0"/>
          <w:kern w:val="22"/>
          <w:szCs w:val="22"/>
          <w:lang w:val="es-ES"/>
        </w:rPr>
        <w:t>;</w:t>
      </w:r>
    </w:p>
    <w:p w:rsidR="00855A78" w:rsidRPr="003E5195" w:rsidRDefault="003E5195"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3E5195">
        <w:rPr>
          <w:snapToGrid w:val="0"/>
          <w:kern w:val="22"/>
          <w:szCs w:val="22"/>
          <w:lang w:val="es-ES"/>
        </w:rPr>
        <w:lastRenderedPageBreak/>
        <w:t>En Mé</w:t>
      </w:r>
      <w:r w:rsidR="00855A78" w:rsidRPr="003E5195">
        <w:rPr>
          <w:snapToGrid w:val="0"/>
          <w:kern w:val="22"/>
          <w:szCs w:val="22"/>
          <w:lang w:val="es-ES"/>
        </w:rPr>
        <w:t xml:space="preserve">xico, </w:t>
      </w:r>
      <w:r w:rsidRPr="003E5195">
        <w:rPr>
          <w:snapToGrid w:val="0"/>
          <w:kern w:val="22"/>
          <w:szCs w:val="22"/>
          <w:lang w:val="es-ES"/>
        </w:rPr>
        <w:t xml:space="preserve">las necesidades financieras para aplicar su EPANB se calculan en 1800 millones de dólares estadounidenses </w:t>
      </w:r>
      <w:r>
        <w:rPr>
          <w:snapToGrid w:val="0"/>
          <w:kern w:val="22"/>
          <w:szCs w:val="22"/>
          <w:lang w:val="es-ES"/>
        </w:rPr>
        <w:t xml:space="preserve">entre </w:t>
      </w:r>
      <w:r w:rsidR="00855A78" w:rsidRPr="003E5195">
        <w:rPr>
          <w:snapToGrid w:val="0"/>
          <w:kern w:val="22"/>
          <w:szCs w:val="22"/>
          <w:lang w:val="es-ES"/>
        </w:rPr>
        <w:t xml:space="preserve">2017 </w:t>
      </w:r>
      <w:r>
        <w:rPr>
          <w:snapToGrid w:val="0"/>
          <w:kern w:val="22"/>
          <w:szCs w:val="22"/>
          <w:lang w:val="es-ES"/>
        </w:rPr>
        <w:t xml:space="preserve">y </w:t>
      </w:r>
      <w:r w:rsidR="00855A78" w:rsidRPr="003E5195">
        <w:rPr>
          <w:snapToGrid w:val="0"/>
          <w:kern w:val="22"/>
          <w:szCs w:val="22"/>
          <w:lang w:val="es-ES"/>
        </w:rPr>
        <w:t>2020, o</w:t>
      </w:r>
      <w:r>
        <w:rPr>
          <w:snapToGrid w:val="0"/>
          <w:kern w:val="22"/>
          <w:szCs w:val="22"/>
          <w:lang w:val="es-ES"/>
        </w:rPr>
        <w:t xml:space="preserve"> en</w:t>
      </w:r>
      <w:r w:rsidR="004F0161" w:rsidRPr="003E5195">
        <w:rPr>
          <w:snapToGrid w:val="0"/>
          <w:kern w:val="22"/>
          <w:szCs w:val="22"/>
          <w:lang w:val="es-ES"/>
        </w:rPr>
        <w:t> </w:t>
      </w:r>
      <w:r w:rsidR="00855A78" w:rsidRPr="003E5195">
        <w:rPr>
          <w:snapToGrid w:val="0"/>
          <w:kern w:val="22"/>
          <w:szCs w:val="22"/>
          <w:lang w:val="es-ES"/>
        </w:rPr>
        <w:t>461</w:t>
      </w:r>
      <w:r>
        <w:rPr>
          <w:snapToGrid w:val="0"/>
          <w:kern w:val="22"/>
          <w:szCs w:val="22"/>
          <w:lang w:val="es-ES"/>
        </w:rPr>
        <w:t>,</w:t>
      </w:r>
      <w:r w:rsidR="00855A78" w:rsidRPr="003E5195">
        <w:rPr>
          <w:snapToGrid w:val="0"/>
          <w:kern w:val="22"/>
          <w:szCs w:val="22"/>
          <w:lang w:val="es-ES"/>
        </w:rPr>
        <w:t>9 mill</w:t>
      </w:r>
      <w:r>
        <w:rPr>
          <w:snapToGrid w:val="0"/>
          <w:kern w:val="22"/>
          <w:szCs w:val="22"/>
          <w:lang w:val="es-ES"/>
        </w:rPr>
        <w:t>ones de dólares estadounidenses anualmente</w:t>
      </w:r>
      <w:r w:rsidR="00855A78" w:rsidRPr="003E5195">
        <w:rPr>
          <w:snapToGrid w:val="0"/>
          <w:kern w:val="22"/>
          <w:szCs w:val="22"/>
          <w:lang w:val="es-ES"/>
        </w:rPr>
        <w:t xml:space="preserve">, </w:t>
      </w:r>
      <w:r>
        <w:rPr>
          <w:snapToGrid w:val="0"/>
          <w:kern w:val="22"/>
          <w:szCs w:val="22"/>
          <w:lang w:val="es-ES"/>
        </w:rPr>
        <w:t xml:space="preserve">lo que representa un incremento del </w:t>
      </w:r>
      <w:r w:rsidR="00855A78" w:rsidRPr="003E5195">
        <w:rPr>
          <w:snapToGrid w:val="0"/>
          <w:kern w:val="22"/>
          <w:szCs w:val="22"/>
          <w:lang w:val="es-ES"/>
        </w:rPr>
        <w:t>46</w:t>
      </w:r>
      <w:r>
        <w:rPr>
          <w:snapToGrid w:val="0"/>
          <w:kern w:val="22"/>
          <w:szCs w:val="22"/>
          <w:lang w:val="es-ES"/>
        </w:rPr>
        <w:t>,</w:t>
      </w:r>
      <w:r w:rsidR="00855A78" w:rsidRPr="003E5195">
        <w:rPr>
          <w:snapToGrid w:val="0"/>
          <w:kern w:val="22"/>
          <w:szCs w:val="22"/>
          <w:lang w:val="es-ES"/>
        </w:rPr>
        <w:t>7</w:t>
      </w:r>
      <w:r w:rsidR="006A0651" w:rsidRPr="003E5195">
        <w:rPr>
          <w:snapToGrid w:val="0"/>
          <w:kern w:val="22"/>
          <w:szCs w:val="22"/>
          <w:lang w:val="es-ES"/>
        </w:rPr>
        <w:t> </w:t>
      </w:r>
      <w:r>
        <w:rPr>
          <w:snapToGrid w:val="0"/>
          <w:kern w:val="22"/>
          <w:szCs w:val="22"/>
          <w:lang w:val="es-ES"/>
        </w:rPr>
        <w:t>%</w:t>
      </w:r>
      <w:r w:rsidR="00855A78" w:rsidRPr="003E5195">
        <w:rPr>
          <w:snapToGrid w:val="0"/>
          <w:kern w:val="22"/>
          <w:szCs w:val="22"/>
          <w:lang w:val="es-ES"/>
        </w:rPr>
        <w:t xml:space="preserve"> </w:t>
      </w:r>
      <w:r>
        <w:rPr>
          <w:snapToGrid w:val="0"/>
          <w:kern w:val="22"/>
          <w:szCs w:val="22"/>
          <w:lang w:val="es-ES"/>
        </w:rPr>
        <w:t xml:space="preserve">del gasto en diversidad biológica de </w:t>
      </w:r>
      <w:r w:rsidR="00855A78" w:rsidRPr="003E5195">
        <w:rPr>
          <w:snapToGrid w:val="0"/>
          <w:kern w:val="22"/>
          <w:szCs w:val="22"/>
          <w:lang w:val="es-ES"/>
        </w:rPr>
        <w:t>2015;</w:t>
      </w:r>
    </w:p>
    <w:p w:rsidR="00855A78" w:rsidRPr="00C80DDF" w:rsidRDefault="003E5195" w:rsidP="00490BF5">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lang w:val="es-ES"/>
        </w:rPr>
      </w:pPr>
      <w:r w:rsidRPr="00C80DDF">
        <w:rPr>
          <w:snapToGrid w:val="0"/>
          <w:kern w:val="22"/>
          <w:szCs w:val="22"/>
          <w:lang w:val="es-ES"/>
        </w:rPr>
        <w:t xml:space="preserve">La aplicación de la EPANB de Filipinas requiere </w:t>
      </w:r>
      <w:r w:rsidR="00855A78" w:rsidRPr="00C80DDF">
        <w:rPr>
          <w:snapToGrid w:val="0"/>
          <w:kern w:val="22"/>
          <w:szCs w:val="22"/>
          <w:lang w:val="es-ES"/>
        </w:rPr>
        <w:t>24</w:t>
      </w:r>
      <w:r w:rsidR="00C80DDF" w:rsidRPr="00C80DDF">
        <w:rPr>
          <w:snapToGrid w:val="0"/>
          <w:kern w:val="22"/>
          <w:szCs w:val="22"/>
          <w:lang w:val="es-ES"/>
        </w:rPr>
        <w:t xml:space="preserve"> 000</w:t>
      </w:r>
      <w:r w:rsidR="00855A78" w:rsidRPr="00C80DDF">
        <w:rPr>
          <w:snapToGrid w:val="0"/>
          <w:kern w:val="22"/>
          <w:szCs w:val="22"/>
          <w:lang w:val="es-ES"/>
        </w:rPr>
        <w:t xml:space="preserve"> </w:t>
      </w:r>
      <w:r w:rsidR="00C80DDF">
        <w:rPr>
          <w:snapToGrid w:val="0"/>
          <w:kern w:val="22"/>
          <w:szCs w:val="22"/>
          <w:lang w:val="es-ES"/>
        </w:rPr>
        <w:t xml:space="preserve">millones de </w:t>
      </w:r>
      <w:r w:rsidR="00DB7A50" w:rsidRPr="00C80DDF">
        <w:rPr>
          <w:snapToGrid w:val="0"/>
          <w:kern w:val="22"/>
          <w:szCs w:val="22"/>
          <w:lang w:val="es-ES"/>
        </w:rPr>
        <w:t xml:space="preserve">pesos </w:t>
      </w:r>
      <w:r w:rsidR="00C80DDF">
        <w:rPr>
          <w:snapToGrid w:val="0"/>
          <w:kern w:val="22"/>
          <w:szCs w:val="22"/>
          <w:lang w:val="es-ES"/>
        </w:rPr>
        <w:t xml:space="preserve">al año desde </w:t>
      </w:r>
      <w:r w:rsidR="00855A78" w:rsidRPr="00C80DDF">
        <w:rPr>
          <w:snapToGrid w:val="0"/>
          <w:kern w:val="22"/>
          <w:szCs w:val="22"/>
          <w:lang w:val="es-ES"/>
        </w:rPr>
        <w:t>2015</w:t>
      </w:r>
      <w:r w:rsidR="00DB7A50" w:rsidRPr="00C80DDF">
        <w:rPr>
          <w:snapToGrid w:val="0"/>
          <w:kern w:val="22"/>
          <w:szCs w:val="22"/>
          <w:lang w:val="es-ES"/>
        </w:rPr>
        <w:t xml:space="preserve"> </w:t>
      </w:r>
      <w:r w:rsidR="00C80DDF">
        <w:rPr>
          <w:snapToGrid w:val="0"/>
          <w:kern w:val="22"/>
          <w:szCs w:val="22"/>
          <w:lang w:val="es-ES"/>
        </w:rPr>
        <w:t>hasta</w:t>
      </w:r>
      <w:r w:rsidR="00DB7A50" w:rsidRPr="00C80DDF">
        <w:rPr>
          <w:snapToGrid w:val="0"/>
          <w:kern w:val="22"/>
          <w:szCs w:val="22"/>
          <w:lang w:val="es-ES"/>
        </w:rPr>
        <w:t xml:space="preserve"> </w:t>
      </w:r>
      <w:r w:rsidR="00855A78" w:rsidRPr="00C80DDF">
        <w:rPr>
          <w:snapToGrid w:val="0"/>
          <w:kern w:val="22"/>
          <w:szCs w:val="22"/>
          <w:lang w:val="es-ES"/>
        </w:rPr>
        <w:t xml:space="preserve">2018, </w:t>
      </w:r>
      <w:r w:rsidR="00C80DDF">
        <w:rPr>
          <w:snapToGrid w:val="0"/>
          <w:kern w:val="22"/>
          <w:szCs w:val="22"/>
          <w:lang w:val="es-ES"/>
        </w:rPr>
        <w:t xml:space="preserve">lo que supone un déficit financiero de un </w:t>
      </w:r>
      <w:r w:rsidR="00855A78" w:rsidRPr="00C80DDF">
        <w:rPr>
          <w:snapToGrid w:val="0"/>
          <w:kern w:val="22"/>
          <w:szCs w:val="22"/>
          <w:lang w:val="es-ES"/>
        </w:rPr>
        <w:t>80 </w:t>
      </w:r>
      <w:r w:rsidR="00C80DDF">
        <w:rPr>
          <w:snapToGrid w:val="0"/>
          <w:kern w:val="22"/>
          <w:szCs w:val="22"/>
          <w:lang w:val="es-ES"/>
        </w:rPr>
        <w:t>%</w:t>
      </w:r>
      <w:r w:rsidR="00855A78" w:rsidRPr="00C80DDF">
        <w:rPr>
          <w:snapToGrid w:val="0"/>
          <w:kern w:val="22"/>
          <w:szCs w:val="22"/>
          <w:lang w:val="es-ES"/>
        </w:rPr>
        <w:t>.</w:t>
      </w:r>
    </w:p>
    <w:p w:rsidR="00855A78" w:rsidRPr="00490BF5" w:rsidRDefault="00855A78" w:rsidP="00490BF5">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VII.</w:t>
      </w:r>
      <w:r w:rsidR="006E604B" w:rsidRPr="00490BF5">
        <w:rPr>
          <w:snapToGrid w:val="0"/>
          <w:kern w:val="22"/>
          <w:szCs w:val="22"/>
        </w:rPr>
        <w:tab/>
      </w:r>
      <w:r w:rsidR="007765CC">
        <w:rPr>
          <w:snapToGrid w:val="0"/>
          <w:kern w:val="22"/>
          <w:lang w:val="es-ES"/>
        </w:rPr>
        <w:t>Planes financieros nacionaleS</w:t>
      </w:r>
    </w:p>
    <w:p w:rsidR="00855A78" w:rsidRPr="00FE3976" w:rsidRDefault="007765CC"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FE3976">
        <w:rPr>
          <w:snapToGrid w:val="0"/>
          <w:kern w:val="22"/>
          <w:szCs w:val="22"/>
          <w:lang w:val="es-ES"/>
        </w:rPr>
        <w:t>Un total de 15 Partes, o el 25 %, proporcionaron elementos de un plan financiero</w:t>
      </w:r>
      <w:r w:rsidR="00855A78" w:rsidRPr="00FE3976">
        <w:rPr>
          <w:snapToGrid w:val="0"/>
          <w:kern w:val="22"/>
          <w:szCs w:val="22"/>
          <w:lang w:val="es-ES"/>
        </w:rPr>
        <w:t xml:space="preserve"> </w:t>
      </w:r>
      <w:r w:rsidR="00CE3F21">
        <w:rPr>
          <w:snapToGrid w:val="0"/>
          <w:kern w:val="22"/>
          <w:szCs w:val="22"/>
          <w:lang w:val="es-ES"/>
        </w:rPr>
        <w:t>a</w:t>
      </w:r>
      <w:r w:rsidR="00FE3976" w:rsidRPr="00FE3976">
        <w:rPr>
          <w:snapToGrid w:val="0"/>
          <w:kern w:val="22"/>
          <w:szCs w:val="22"/>
          <w:lang w:val="es-ES"/>
        </w:rPr>
        <w:t>l cuadro pertinente del marco de presentación de informes financieros</w:t>
      </w:r>
      <w:r w:rsidR="00855A78" w:rsidRPr="00FE3976">
        <w:rPr>
          <w:snapToGrid w:val="0"/>
          <w:kern w:val="22"/>
          <w:szCs w:val="22"/>
          <w:lang w:val="es-ES"/>
        </w:rPr>
        <w:t xml:space="preserve">, </w:t>
      </w:r>
      <w:r w:rsidR="00FE3976">
        <w:rPr>
          <w:snapToGrid w:val="0"/>
          <w:kern w:val="22"/>
          <w:szCs w:val="22"/>
          <w:lang w:val="es-ES"/>
        </w:rPr>
        <w:t xml:space="preserve">aportaron </w:t>
      </w:r>
      <w:r w:rsidR="00FE3976" w:rsidRPr="00FE3976">
        <w:rPr>
          <w:snapToGrid w:val="0"/>
          <w:kern w:val="22"/>
          <w:szCs w:val="22"/>
          <w:lang w:val="es-ES"/>
        </w:rPr>
        <w:t xml:space="preserve">principalmente </w:t>
      </w:r>
      <w:r w:rsidR="00FE3976">
        <w:rPr>
          <w:snapToGrid w:val="0"/>
          <w:kern w:val="22"/>
          <w:szCs w:val="22"/>
          <w:lang w:val="es-ES"/>
        </w:rPr>
        <w:t>cifras totales sobre la cuantía de recursos nacionales e internacionales que piensan movilizar</w:t>
      </w:r>
      <w:r w:rsidR="00855A78" w:rsidRPr="00FE3976">
        <w:rPr>
          <w:snapToGrid w:val="0"/>
          <w:kern w:val="22"/>
          <w:szCs w:val="22"/>
          <w:lang w:val="es-ES"/>
        </w:rPr>
        <w:t>. Guinea, S</w:t>
      </w:r>
      <w:r w:rsidR="00FE3976" w:rsidRPr="00FE3976">
        <w:rPr>
          <w:snapToGrid w:val="0"/>
          <w:kern w:val="22"/>
          <w:szCs w:val="22"/>
          <w:lang w:val="es-ES"/>
        </w:rPr>
        <w:t>udáfrica y Túnez</w:t>
      </w:r>
      <w:r w:rsidR="00855A78" w:rsidRPr="00FE3976">
        <w:rPr>
          <w:snapToGrid w:val="0"/>
          <w:kern w:val="22"/>
          <w:szCs w:val="22"/>
          <w:lang w:val="es-ES"/>
        </w:rPr>
        <w:t xml:space="preserve"> </w:t>
      </w:r>
      <w:r w:rsidR="00FE3976">
        <w:rPr>
          <w:snapToGrid w:val="0"/>
          <w:kern w:val="22"/>
          <w:szCs w:val="22"/>
          <w:lang w:val="es-ES"/>
        </w:rPr>
        <w:t>indicaron también fuentes de financiación individuales, tanto nacionales como internacionales, con las que tienen pensado reducir su déficit de financiación en los próximos años</w:t>
      </w:r>
      <w:r w:rsidR="00855A78" w:rsidRPr="00FE3976">
        <w:rPr>
          <w:snapToGrid w:val="0"/>
          <w:kern w:val="22"/>
          <w:szCs w:val="22"/>
          <w:lang w:val="es-ES"/>
        </w:rPr>
        <w:t>. T</w:t>
      </w:r>
      <w:r w:rsidR="00FE3976" w:rsidRPr="00FE3976">
        <w:rPr>
          <w:snapToGrid w:val="0"/>
          <w:kern w:val="22"/>
          <w:szCs w:val="22"/>
          <w:lang w:val="es-ES"/>
        </w:rPr>
        <w:t>únez</w:t>
      </w:r>
      <w:r w:rsidR="00855A78" w:rsidRPr="00FE3976">
        <w:rPr>
          <w:snapToGrid w:val="0"/>
          <w:kern w:val="22"/>
          <w:szCs w:val="22"/>
          <w:lang w:val="es-ES"/>
        </w:rPr>
        <w:t xml:space="preserve"> </w:t>
      </w:r>
      <w:r w:rsidR="00FE3976">
        <w:rPr>
          <w:snapToGrid w:val="0"/>
          <w:kern w:val="22"/>
          <w:szCs w:val="22"/>
          <w:lang w:val="es-ES"/>
        </w:rPr>
        <w:t>proporcionó asimismo su plan nacional completo de movilización de recursos, del cual se habían incluido un número selecto de fuentes de financiación en el cuadro pertinente, incluidos planes de fiscalidad ecológica y de pago/compensación</w:t>
      </w:r>
      <w:r w:rsidR="00855A78" w:rsidRPr="00FE3976">
        <w:rPr>
          <w:snapToGrid w:val="0"/>
          <w:kern w:val="22"/>
          <w:szCs w:val="22"/>
          <w:lang w:val="es-ES"/>
        </w:rPr>
        <w:t>.</w:t>
      </w:r>
    </w:p>
    <w:p w:rsidR="00855A78" w:rsidRPr="00CE5FC2" w:rsidRDefault="00FE3976"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854C47">
        <w:rPr>
          <w:snapToGrid w:val="0"/>
          <w:kern w:val="22"/>
          <w:szCs w:val="22"/>
          <w:lang w:val="es-ES"/>
        </w:rPr>
        <w:t xml:space="preserve">En lo que respecta a las medidas adoptadas para alentar al sector privado, así como a las ONG, fundaciones e instituciones académicas a brindar apoyo nacional para </w:t>
      </w:r>
      <w:r w:rsidR="00854C47">
        <w:rPr>
          <w:snapToGrid w:val="0"/>
          <w:kern w:val="22"/>
          <w:szCs w:val="22"/>
          <w:lang w:val="es-ES"/>
        </w:rPr>
        <w:t xml:space="preserve">aplicar el Plan Estratégico, 66 países dieron una respuesta, de los cuales 12 informaron que no se habían adoptado medidas, mientras que 53 Partes indicaron que se habían adoptado algunas medidas y un país señaló que se habían adoptado medidas exhaustivas. </w:t>
      </w:r>
      <w:r w:rsidR="00854C47" w:rsidRPr="00854C47">
        <w:rPr>
          <w:snapToGrid w:val="0"/>
          <w:kern w:val="22"/>
          <w:szCs w:val="22"/>
          <w:lang w:val="es-ES"/>
        </w:rPr>
        <w:t>Un total de 4</w:t>
      </w:r>
      <w:r w:rsidR="00854C47">
        <w:rPr>
          <w:snapToGrid w:val="0"/>
          <w:kern w:val="22"/>
          <w:szCs w:val="22"/>
          <w:lang w:val="es-ES"/>
        </w:rPr>
        <w:t>3</w:t>
      </w:r>
      <w:r w:rsidR="00854C47" w:rsidRPr="00854C47">
        <w:rPr>
          <w:snapToGrid w:val="0"/>
          <w:kern w:val="22"/>
          <w:szCs w:val="22"/>
          <w:lang w:val="es-ES"/>
        </w:rPr>
        <w:t xml:space="preserve"> países proporcionaron información adicional sobre su compromiso con </w:t>
      </w:r>
      <w:r w:rsidR="00854C47">
        <w:rPr>
          <w:snapToGrid w:val="0"/>
          <w:kern w:val="22"/>
          <w:szCs w:val="22"/>
          <w:lang w:val="es-ES"/>
        </w:rPr>
        <w:t>ONG</w:t>
      </w:r>
      <w:r w:rsidR="00854C47" w:rsidRPr="00854C47">
        <w:rPr>
          <w:snapToGrid w:val="0"/>
          <w:kern w:val="22"/>
          <w:szCs w:val="22"/>
          <w:lang w:val="es-ES"/>
        </w:rPr>
        <w:t>, fundaciones e instituciones académicas</w:t>
      </w:r>
      <w:r w:rsidR="00855A78" w:rsidRPr="00854C47">
        <w:rPr>
          <w:snapToGrid w:val="0"/>
          <w:kern w:val="22"/>
          <w:szCs w:val="22"/>
          <w:lang w:val="es-ES"/>
        </w:rPr>
        <w:t xml:space="preserve">. </w:t>
      </w:r>
      <w:r w:rsidR="00854C47" w:rsidRPr="00854C47">
        <w:rPr>
          <w:snapToGrid w:val="0"/>
          <w:kern w:val="22"/>
          <w:szCs w:val="22"/>
          <w:lang w:val="es-ES"/>
        </w:rPr>
        <w:t>P</w:t>
      </w:r>
      <w:r w:rsidR="00855A78" w:rsidRPr="00854C47">
        <w:rPr>
          <w:snapToGrid w:val="0"/>
          <w:kern w:val="22"/>
          <w:szCs w:val="22"/>
          <w:lang w:val="es-ES"/>
        </w:rPr>
        <w:t xml:space="preserve">or </w:t>
      </w:r>
      <w:r w:rsidR="00854C47" w:rsidRPr="00854C47">
        <w:rPr>
          <w:snapToGrid w:val="0"/>
          <w:kern w:val="22"/>
          <w:szCs w:val="22"/>
          <w:lang w:val="es-ES"/>
        </w:rPr>
        <w:t>ejemplo</w:t>
      </w:r>
      <w:r w:rsidR="00855A78" w:rsidRPr="00854C47">
        <w:rPr>
          <w:snapToGrid w:val="0"/>
          <w:kern w:val="22"/>
          <w:szCs w:val="22"/>
          <w:lang w:val="es-ES"/>
        </w:rPr>
        <w:t xml:space="preserve">, Burkina Faso </w:t>
      </w:r>
      <w:r w:rsidR="00854C47" w:rsidRPr="00854C47">
        <w:rPr>
          <w:snapToGrid w:val="0"/>
          <w:kern w:val="22"/>
          <w:szCs w:val="22"/>
          <w:lang w:val="es-ES"/>
        </w:rPr>
        <w:t>hizo mención a la colaboración pública-privada en la gesti</w:t>
      </w:r>
      <w:r w:rsidR="00854C47">
        <w:rPr>
          <w:snapToGrid w:val="0"/>
          <w:kern w:val="22"/>
          <w:szCs w:val="22"/>
          <w:lang w:val="es-ES"/>
        </w:rPr>
        <w:t>ón de las concesiones de caza y turismo</w:t>
      </w:r>
      <w:r w:rsidR="00855A78" w:rsidRPr="00854C47">
        <w:rPr>
          <w:snapToGrid w:val="0"/>
          <w:kern w:val="22"/>
          <w:szCs w:val="22"/>
          <w:lang w:val="es-ES"/>
        </w:rPr>
        <w:t xml:space="preserve">. </w:t>
      </w:r>
      <w:r w:rsidR="00855A78" w:rsidRPr="00CE3F21">
        <w:rPr>
          <w:snapToGrid w:val="0"/>
          <w:kern w:val="22"/>
          <w:szCs w:val="22"/>
          <w:lang w:val="es-ES"/>
        </w:rPr>
        <w:t xml:space="preserve">China </w:t>
      </w:r>
      <w:r w:rsidR="00854C47" w:rsidRPr="00CE3F21">
        <w:rPr>
          <w:snapToGrid w:val="0"/>
          <w:kern w:val="22"/>
          <w:szCs w:val="22"/>
          <w:lang w:val="es-ES"/>
        </w:rPr>
        <w:t xml:space="preserve">está probando un modelo de cofinanciación mediante el cual </w:t>
      </w:r>
      <w:r w:rsidR="00CE5FC2" w:rsidRPr="00CE3F21">
        <w:rPr>
          <w:snapToGrid w:val="0"/>
          <w:kern w:val="22"/>
          <w:szCs w:val="22"/>
          <w:lang w:val="es-ES"/>
        </w:rPr>
        <w:t>las asociaciones públicas y privadas invierten conjuntamente</w:t>
      </w:r>
      <w:r w:rsidR="00CE5FC2" w:rsidRPr="00CE5FC2">
        <w:rPr>
          <w:snapToGrid w:val="0"/>
          <w:kern w:val="22"/>
          <w:szCs w:val="22"/>
          <w:lang w:val="es-ES"/>
        </w:rPr>
        <w:t xml:space="preserve"> en</w:t>
      </w:r>
      <w:r w:rsidR="00CE5FC2">
        <w:rPr>
          <w:snapToGrid w:val="0"/>
          <w:kern w:val="22"/>
          <w:szCs w:val="22"/>
          <w:lang w:val="es-ES"/>
        </w:rPr>
        <w:t xml:space="preserve"> </w:t>
      </w:r>
      <w:r w:rsidR="00CE5FC2" w:rsidRPr="00CE5FC2">
        <w:rPr>
          <w:snapToGrid w:val="0"/>
          <w:kern w:val="22"/>
          <w:szCs w:val="22"/>
          <w:lang w:val="es-ES"/>
        </w:rPr>
        <w:t>proyectos de resta</w:t>
      </w:r>
      <w:r w:rsidR="00CE5FC2">
        <w:rPr>
          <w:snapToGrid w:val="0"/>
          <w:kern w:val="22"/>
          <w:szCs w:val="22"/>
          <w:lang w:val="es-ES"/>
        </w:rPr>
        <w:t>ur</w:t>
      </w:r>
      <w:r w:rsidR="00CE5FC2" w:rsidRPr="00CE5FC2">
        <w:rPr>
          <w:snapToGrid w:val="0"/>
          <w:kern w:val="22"/>
          <w:szCs w:val="22"/>
          <w:lang w:val="es-ES"/>
        </w:rPr>
        <w:t>ación y conservaci</w:t>
      </w:r>
      <w:r w:rsidR="00CE5FC2">
        <w:rPr>
          <w:snapToGrid w:val="0"/>
          <w:kern w:val="22"/>
          <w:szCs w:val="22"/>
          <w:lang w:val="es-ES"/>
        </w:rPr>
        <w:t>ón ecológica</w:t>
      </w:r>
      <w:r w:rsidR="00855A78" w:rsidRPr="00CE5FC2">
        <w:rPr>
          <w:snapToGrid w:val="0"/>
          <w:kern w:val="22"/>
          <w:szCs w:val="22"/>
          <w:lang w:val="es-ES"/>
        </w:rPr>
        <w:t xml:space="preserve">, </w:t>
      </w:r>
      <w:r w:rsidR="00CE5FC2">
        <w:rPr>
          <w:snapToGrid w:val="0"/>
          <w:kern w:val="22"/>
          <w:szCs w:val="22"/>
          <w:lang w:val="es-ES"/>
        </w:rPr>
        <w:t>con miras a atraer más fondos privados a estos proyectos y aumentar la eficacia en el uso de los fondos públicos</w:t>
      </w:r>
      <w:r w:rsidR="00855A78" w:rsidRPr="00CE5FC2">
        <w:rPr>
          <w:snapToGrid w:val="0"/>
          <w:kern w:val="22"/>
          <w:szCs w:val="22"/>
          <w:lang w:val="es-ES"/>
        </w:rPr>
        <w:t xml:space="preserve">. </w:t>
      </w:r>
      <w:r w:rsidR="00CE5FC2">
        <w:rPr>
          <w:snapToGrid w:val="0"/>
          <w:kern w:val="22"/>
          <w:szCs w:val="22"/>
          <w:lang w:val="es-ES"/>
        </w:rPr>
        <w:t>Finlandia, India, Perú y la Unión Europea mencionaron el establecimiento y/o la labor en curso de iniciativas empresariales y de biodiversidad, mientras que Malta señaló que los bancos habían sido fuentes de financiación importantes para los esfuerzos de conservación directos e indirectos en el país</w:t>
      </w:r>
      <w:r w:rsidR="00855A78" w:rsidRPr="00CE5FC2">
        <w:rPr>
          <w:snapToGrid w:val="0"/>
          <w:kern w:val="22"/>
          <w:szCs w:val="22"/>
          <w:lang w:val="es-ES"/>
        </w:rPr>
        <w:t>.</w:t>
      </w:r>
    </w:p>
    <w:p w:rsidR="00855A78" w:rsidRPr="002F2321" w:rsidRDefault="0079417C"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10668C">
        <w:rPr>
          <w:snapToGrid w:val="0"/>
          <w:kern w:val="22"/>
          <w:szCs w:val="22"/>
          <w:lang w:val="es-ES"/>
        </w:rPr>
        <w:t>Según el</w:t>
      </w:r>
      <w:r w:rsidR="00CE3F21">
        <w:rPr>
          <w:snapToGrid w:val="0"/>
          <w:kern w:val="22"/>
          <w:szCs w:val="22"/>
          <w:lang w:val="es-ES"/>
        </w:rPr>
        <w:t xml:space="preserve"> cuadro de progresos</w:t>
      </w:r>
      <w:r w:rsidRPr="0010668C">
        <w:rPr>
          <w:snapToGrid w:val="0"/>
          <w:kern w:val="22"/>
          <w:szCs w:val="22"/>
          <w:lang w:val="es-ES"/>
        </w:rPr>
        <w:t xml:space="preserve"> actualizado de la iniciativa BIOFIN del </w:t>
      </w:r>
      <w:r w:rsidR="0010668C" w:rsidRPr="0010668C">
        <w:rPr>
          <w:snapToGrid w:val="0"/>
          <w:kern w:val="22"/>
          <w:szCs w:val="22"/>
          <w:lang w:val="es-ES"/>
        </w:rPr>
        <w:t>PNUD</w:t>
      </w:r>
      <w:r w:rsidR="00855A78" w:rsidRPr="0010668C">
        <w:rPr>
          <w:snapToGrid w:val="0"/>
          <w:kern w:val="22"/>
          <w:szCs w:val="22"/>
          <w:lang w:val="es-ES"/>
        </w:rPr>
        <w:t xml:space="preserve">, </w:t>
      </w:r>
      <w:r w:rsidR="0010668C" w:rsidRPr="0010668C">
        <w:rPr>
          <w:snapToGrid w:val="0"/>
          <w:kern w:val="22"/>
          <w:szCs w:val="22"/>
          <w:lang w:val="es-ES"/>
        </w:rPr>
        <w:t xml:space="preserve">solo un </w:t>
      </w:r>
      <w:r w:rsidR="00855A78" w:rsidRPr="0010668C">
        <w:rPr>
          <w:snapToGrid w:val="0"/>
          <w:kern w:val="22"/>
          <w:szCs w:val="22"/>
          <w:lang w:val="es-ES"/>
        </w:rPr>
        <w:t xml:space="preserve">total </w:t>
      </w:r>
      <w:r w:rsidR="0010668C" w:rsidRPr="0010668C">
        <w:rPr>
          <w:snapToGrid w:val="0"/>
          <w:kern w:val="22"/>
          <w:szCs w:val="22"/>
          <w:lang w:val="es-ES"/>
        </w:rPr>
        <w:t xml:space="preserve">de cuatro </w:t>
      </w:r>
      <w:r w:rsidR="0010668C" w:rsidRPr="00CE3F21">
        <w:rPr>
          <w:snapToGrid w:val="0"/>
          <w:kern w:val="22"/>
          <w:szCs w:val="22"/>
          <w:lang w:val="es-ES"/>
        </w:rPr>
        <w:t>países se encuentran en la última fase de preparación de su plan de financiación</w:t>
      </w:r>
      <w:r w:rsidR="00855A78" w:rsidRPr="00CE3F21">
        <w:rPr>
          <w:snapToGrid w:val="0"/>
          <w:kern w:val="22"/>
          <w:szCs w:val="22"/>
          <w:lang w:val="es-ES"/>
        </w:rPr>
        <w:t xml:space="preserve">, </w:t>
      </w:r>
      <w:r w:rsidR="0010668C" w:rsidRPr="00CE3F21">
        <w:rPr>
          <w:snapToGrid w:val="0"/>
          <w:kern w:val="22"/>
          <w:szCs w:val="22"/>
          <w:lang w:val="es-ES"/>
        </w:rPr>
        <w:t>y otros seis se encuentran en una fase avanzada</w:t>
      </w:r>
      <w:r w:rsidR="00855A78" w:rsidRPr="00CE3F21">
        <w:rPr>
          <w:snapToGrid w:val="0"/>
          <w:kern w:val="22"/>
          <w:szCs w:val="22"/>
          <w:lang w:val="es-ES"/>
        </w:rPr>
        <w:t xml:space="preserve">. </w:t>
      </w:r>
      <w:r w:rsidR="0010668C" w:rsidRPr="00CE3F21">
        <w:rPr>
          <w:snapToGrid w:val="0"/>
          <w:kern w:val="22"/>
          <w:szCs w:val="22"/>
          <w:lang w:val="es-ES"/>
        </w:rPr>
        <w:t>P</w:t>
      </w:r>
      <w:r w:rsidR="00855A78" w:rsidRPr="00CE3F21">
        <w:rPr>
          <w:snapToGrid w:val="0"/>
          <w:kern w:val="22"/>
          <w:szCs w:val="22"/>
          <w:lang w:val="es-ES"/>
        </w:rPr>
        <w:t xml:space="preserve">or </w:t>
      </w:r>
      <w:r w:rsidR="0010668C" w:rsidRPr="00CE3F21">
        <w:rPr>
          <w:snapToGrid w:val="0"/>
          <w:kern w:val="22"/>
          <w:szCs w:val="22"/>
          <w:lang w:val="es-ES"/>
        </w:rPr>
        <w:t xml:space="preserve">ejemplo, en la tercera Conferencia de </w:t>
      </w:r>
      <w:r w:rsidR="00855A78" w:rsidRPr="00CE3F21">
        <w:rPr>
          <w:snapToGrid w:val="0"/>
          <w:kern w:val="22"/>
          <w:szCs w:val="22"/>
          <w:lang w:val="es-ES"/>
        </w:rPr>
        <w:t xml:space="preserve">BIOFIN, </w:t>
      </w:r>
      <w:r w:rsidR="0010668C" w:rsidRPr="00CE3F21">
        <w:rPr>
          <w:snapToGrid w:val="0"/>
          <w:kern w:val="22"/>
          <w:szCs w:val="22"/>
          <w:lang w:val="es-ES"/>
        </w:rPr>
        <w:t>el equipo nacional BIOFIN de Colombia señaló que el uso de</w:t>
      </w:r>
      <w:r w:rsidR="008D520E" w:rsidRPr="00CE3F21">
        <w:rPr>
          <w:snapToGrid w:val="0"/>
          <w:kern w:val="22"/>
          <w:szCs w:val="22"/>
          <w:lang w:val="es-ES"/>
        </w:rPr>
        <w:t xml:space="preserve"> </w:t>
      </w:r>
      <w:r w:rsidR="006E604B" w:rsidRPr="00CE3F21">
        <w:rPr>
          <w:snapToGrid w:val="0"/>
          <w:kern w:val="22"/>
          <w:szCs w:val="22"/>
          <w:lang w:val="es-ES"/>
        </w:rPr>
        <w:t>a</w:t>
      </w:r>
      <w:r w:rsidR="00855A78" w:rsidRPr="00CE3F21">
        <w:rPr>
          <w:snapToGrid w:val="0"/>
          <w:kern w:val="22"/>
          <w:szCs w:val="22"/>
          <w:lang w:val="es-ES"/>
        </w:rPr>
        <w:t xml:space="preserve">) </w:t>
      </w:r>
      <w:r w:rsidR="002F2321" w:rsidRPr="00CE3F21">
        <w:rPr>
          <w:snapToGrid w:val="0"/>
          <w:kern w:val="22"/>
          <w:szCs w:val="22"/>
          <w:lang w:val="es-ES"/>
        </w:rPr>
        <w:t>un impuesto al carbono para detener la deforestación</w:t>
      </w:r>
      <w:r w:rsidR="00855A78" w:rsidRPr="00CE3F21">
        <w:rPr>
          <w:snapToGrid w:val="0"/>
          <w:kern w:val="22"/>
          <w:szCs w:val="22"/>
          <w:lang w:val="es-ES"/>
        </w:rPr>
        <w:t xml:space="preserve">, </w:t>
      </w:r>
      <w:r w:rsidR="006E604B" w:rsidRPr="00CE3F21">
        <w:rPr>
          <w:snapToGrid w:val="0"/>
          <w:kern w:val="22"/>
          <w:szCs w:val="22"/>
          <w:lang w:val="es-ES"/>
        </w:rPr>
        <w:t>b</w:t>
      </w:r>
      <w:r w:rsidR="00855A78" w:rsidRPr="00CE3F21">
        <w:rPr>
          <w:snapToGrid w:val="0"/>
          <w:kern w:val="22"/>
          <w:szCs w:val="22"/>
          <w:lang w:val="es-ES"/>
        </w:rPr>
        <w:t xml:space="preserve">) </w:t>
      </w:r>
      <w:r w:rsidR="002F2321" w:rsidRPr="00CE3F21">
        <w:rPr>
          <w:snapToGrid w:val="0"/>
          <w:kern w:val="22"/>
          <w:szCs w:val="22"/>
          <w:lang w:val="es-ES"/>
        </w:rPr>
        <w:t>cánones para la</w:t>
      </w:r>
      <w:r w:rsidR="002F2321">
        <w:rPr>
          <w:snapToGrid w:val="0"/>
          <w:kern w:val="22"/>
          <w:szCs w:val="22"/>
          <w:lang w:val="es-ES"/>
        </w:rPr>
        <w:t xml:space="preserve"> diversidad biológica</w:t>
      </w:r>
      <w:r w:rsidR="00855A78" w:rsidRPr="002F2321">
        <w:rPr>
          <w:snapToGrid w:val="0"/>
          <w:kern w:val="22"/>
          <w:szCs w:val="22"/>
          <w:lang w:val="es-ES"/>
        </w:rPr>
        <w:t xml:space="preserve">, </w:t>
      </w:r>
      <w:r w:rsidR="002F2321">
        <w:rPr>
          <w:snapToGrid w:val="0"/>
          <w:kern w:val="22"/>
          <w:szCs w:val="22"/>
          <w:lang w:val="es-ES"/>
        </w:rPr>
        <w:t xml:space="preserve">y </w:t>
      </w:r>
      <w:r w:rsidR="006E604B" w:rsidRPr="002F2321">
        <w:rPr>
          <w:snapToGrid w:val="0"/>
          <w:kern w:val="22"/>
          <w:szCs w:val="22"/>
          <w:lang w:val="es-ES"/>
        </w:rPr>
        <w:t>c</w:t>
      </w:r>
      <w:r w:rsidR="00855A78" w:rsidRPr="002F2321">
        <w:rPr>
          <w:snapToGrid w:val="0"/>
          <w:kern w:val="22"/>
          <w:szCs w:val="22"/>
          <w:lang w:val="es-ES"/>
        </w:rPr>
        <w:t xml:space="preserve">) </w:t>
      </w:r>
      <w:r w:rsidR="002F2321">
        <w:rPr>
          <w:snapToGrid w:val="0"/>
          <w:kern w:val="22"/>
          <w:szCs w:val="22"/>
          <w:lang w:val="es-ES"/>
        </w:rPr>
        <w:t>una plataforma de mercado para las compensaciones para la diversidad biológica</w:t>
      </w:r>
      <w:r w:rsidR="00855A78" w:rsidRPr="002F2321">
        <w:rPr>
          <w:snapToGrid w:val="0"/>
          <w:kern w:val="22"/>
          <w:szCs w:val="22"/>
          <w:lang w:val="es-ES"/>
        </w:rPr>
        <w:t xml:space="preserve">, </w:t>
      </w:r>
      <w:r w:rsidR="00DC724D">
        <w:rPr>
          <w:snapToGrid w:val="0"/>
          <w:kern w:val="22"/>
          <w:szCs w:val="22"/>
          <w:lang w:val="es-ES"/>
        </w:rPr>
        <w:t>junto con los gastos de siempre, podría cubrir posiblemente el 88 % de las necesidades de financiación para aplicar la EPANB</w:t>
      </w:r>
      <w:r w:rsidR="00855A78" w:rsidRPr="002F2321">
        <w:rPr>
          <w:snapToGrid w:val="0"/>
          <w:kern w:val="22"/>
          <w:szCs w:val="22"/>
          <w:lang w:val="es-ES"/>
        </w:rPr>
        <w:t>.</w:t>
      </w:r>
    </w:p>
    <w:p w:rsidR="00855A78" w:rsidRPr="00D35240" w:rsidRDefault="00DC724D"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960B03">
        <w:rPr>
          <w:snapToGrid w:val="0"/>
          <w:color w:val="000000"/>
          <w:kern w:val="22"/>
          <w:szCs w:val="22"/>
          <w:lang w:val="es-ES"/>
        </w:rPr>
        <w:t>Un</w:t>
      </w:r>
      <w:r w:rsidR="00855A78" w:rsidRPr="00960B03">
        <w:rPr>
          <w:snapToGrid w:val="0"/>
          <w:color w:val="000000"/>
          <w:kern w:val="22"/>
          <w:szCs w:val="22"/>
          <w:lang w:val="es-ES"/>
        </w:rPr>
        <w:t xml:space="preserve"> total </w:t>
      </w:r>
      <w:r w:rsidRPr="00960B03">
        <w:rPr>
          <w:snapToGrid w:val="0"/>
          <w:color w:val="000000"/>
          <w:kern w:val="22"/>
          <w:szCs w:val="22"/>
          <w:lang w:val="es-ES"/>
        </w:rPr>
        <w:t>de</w:t>
      </w:r>
      <w:r w:rsidR="00855A78" w:rsidRPr="00960B03">
        <w:rPr>
          <w:snapToGrid w:val="0"/>
          <w:color w:val="000000"/>
          <w:kern w:val="22"/>
          <w:szCs w:val="22"/>
          <w:lang w:val="es-ES"/>
        </w:rPr>
        <w:t xml:space="preserve"> 23 </w:t>
      </w:r>
      <w:r w:rsidRPr="00960B03">
        <w:rPr>
          <w:snapToGrid w:val="0"/>
          <w:color w:val="000000"/>
          <w:kern w:val="22"/>
          <w:szCs w:val="22"/>
          <w:lang w:val="es-ES"/>
        </w:rPr>
        <w:t xml:space="preserve">EPANB revisadas incluyen específicamente una estrategia nacional para la movilización de recursos </w:t>
      </w:r>
      <w:r w:rsidR="00960B03" w:rsidRPr="00960B03">
        <w:rPr>
          <w:snapToGrid w:val="0"/>
          <w:color w:val="000000"/>
          <w:kern w:val="22"/>
          <w:szCs w:val="22"/>
          <w:lang w:val="es-ES"/>
        </w:rPr>
        <w:t>o equivalente</w:t>
      </w:r>
      <w:r w:rsidR="00855A78" w:rsidRPr="00960B03">
        <w:rPr>
          <w:snapToGrid w:val="0"/>
          <w:color w:val="000000"/>
          <w:kern w:val="22"/>
          <w:szCs w:val="22"/>
          <w:lang w:val="es-ES"/>
        </w:rPr>
        <w:t xml:space="preserve">, </w:t>
      </w:r>
      <w:r w:rsidR="00960B03" w:rsidRPr="00960B03">
        <w:rPr>
          <w:snapToGrid w:val="0"/>
          <w:color w:val="000000"/>
          <w:kern w:val="22"/>
          <w:szCs w:val="22"/>
          <w:lang w:val="es-ES"/>
        </w:rPr>
        <w:t>aunque no se basa necesariamente en u</w:t>
      </w:r>
      <w:r w:rsidR="00960B03">
        <w:rPr>
          <w:snapToGrid w:val="0"/>
          <w:color w:val="000000"/>
          <w:kern w:val="22"/>
          <w:szCs w:val="22"/>
          <w:lang w:val="es-ES"/>
        </w:rPr>
        <w:t xml:space="preserve">n cálculo de costes de la EPANB según lo previsto por la metodología de </w:t>
      </w:r>
      <w:r w:rsidR="00855A78" w:rsidRPr="00960B03">
        <w:rPr>
          <w:snapToGrid w:val="0"/>
          <w:color w:val="000000"/>
          <w:kern w:val="22"/>
          <w:szCs w:val="22"/>
          <w:lang w:val="es-ES"/>
        </w:rPr>
        <w:t>BIOFIN</w:t>
      </w:r>
      <w:r w:rsidR="00960B03">
        <w:rPr>
          <w:snapToGrid w:val="0"/>
          <w:color w:val="000000"/>
          <w:kern w:val="22"/>
          <w:szCs w:val="22"/>
          <w:lang w:val="es-ES"/>
        </w:rPr>
        <w:t xml:space="preserve"> y el marco de presentación de informes financieros</w:t>
      </w:r>
      <w:r w:rsidR="00855A78" w:rsidRPr="00960B03">
        <w:rPr>
          <w:snapToGrid w:val="0"/>
          <w:color w:val="000000"/>
          <w:kern w:val="22"/>
          <w:szCs w:val="22"/>
          <w:lang w:val="es-ES"/>
        </w:rPr>
        <w:t xml:space="preserve">, </w:t>
      </w:r>
      <w:r w:rsidR="00960B03">
        <w:rPr>
          <w:snapToGrid w:val="0"/>
          <w:color w:val="000000"/>
          <w:kern w:val="22"/>
          <w:szCs w:val="22"/>
          <w:lang w:val="es-ES"/>
        </w:rPr>
        <w:t>ni tampoco en cuanto a los recursos planificados que se movilizarán por año y fuente</w:t>
      </w:r>
      <w:r w:rsidR="00855A78" w:rsidRPr="00490BF5">
        <w:rPr>
          <w:rStyle w:val="FootnoteReference"/>
          <w:snapToGrid w:val="0"/>
          <w:color w:val="000000"/>
          <w:kern w:val="22"/>
          <w:szCs w:val="22"/>
        </w:rPr>
        <w:footnoteReference w:id="16"/>
      </w:r>
      <w:r w:rsidR="00960B03" w:rsidRPr="00960B03">
        <w:rPr>
          <w:snapToGrid w:val="0"/>
          <w:color w:val="000000"/>
          <w:kern w:val="22"/>
          <w:szCs w:val="22"/>
          <w:lang w:val="es-ES"/>
        </w:rPr>
        <w:t>.</w:t>
      </w:r>
      <w:r w:rsidR="00855A78" w:rsidRPr="00960B03">
        <w:rPr>
          <w:snapToGrid w:val="0"/>
          <w:color w:val="000000"/>
          <w:kern w:val="22"/>
          <w:szCs w:val="22"/>
          <w:lang w:val="es-ES"/>
        </w:rPr>
        <w:t xml:space="preserve"> </w:t>
      </w:r>
      <w:r w:rsidR="00960B03" w:rsidRPr="00D35240">
        <w:rPr>
          <w:snapToGrid w:val="0"/>
          <w:color w:val="000000"/>
          <w:kern w:val="22"/>
          <w:szCs w:val="22"/>
          <w:lang w:val="es-ES"/>
        </w:rPr>
        <w:t>Véase</w:t>
      </w:r>
      <w:r w:rsidR="00855A78" w:rsidRPr="00D35240">
        <w:rPr>
          <w:snapToGrid w:val="0"/>
          <w:color w:val="000000"/>
          <w:kern w:val="22"/>
          <w:szCs w:val="22"/>
          <w:lang w:val="es-ES"/>
        </w:rPr>
        <w:t xml:space="preserve"> CBD/SBI/2/2/Add.1 </w:t>
      </w:r>
      <w:r w:rsidR="00960B03" w:rsidRPr="00D35240">
        <w:rPr>
          <w:snapToGrid w:val="0"/>
          <w:color w:val="000000"/>
          <w:kern w:val="22"/>
          <w:szCs w:val="22"/>
          <w:lang w:val="es-ES"/>
        </w:rPr>
        <w:t xml:space="preserve">para ejemplos de </w:t>
      </w:r>
      <w:r w:rsidR="00855A78" w:rsidRPr="00D35240">
        <w:rPr>
          <w:snapToGrid w:val="0"/>
          <w:color w:val="000000"/>
          <w:kern w:val="22"/>
          <w:szCs w:val="22"/>
          <w:lang w:val="es-ES"/>
        </w:rPr>
        <w:t>Bosnia</w:t>
      </w:r>
      <w:r w:rsidR="00D35240" w:rsidRPr="00D35240">
        <w:rPr>
          <w:snapToGrid w:val="0"/>
          <w:color w:val="000000"/>
          <w:kern w:val="22"/>
          <w:szCs w:val="22"/>
          <w:lang w:val="es-ES"/>
        </w:rPr>
        <w:t>-</w:t>
      </w:r>
      <w:r w:rsidR="00855A78" w:rsidRPr="00D35240">
        <w:rPr>
          <w:snapToGrid w:val="0"/>
          <w:color w:val="000000"/>
          <w:kern w:val="22"/>
          <w:szCs w:val="22"/>
          <w:lang w:val="es-ES"/>
        </w:rPr>
        <w:t>Herzegovina, Bots</w:t>
      </w:r>
      <w:r w:rsidR="00D35240" w:rsidRPr="00D35240">
        <w:rPr>
          <w:snapToGrid w:val="0"/>
          <w:color w:val="000000"/>
          <w:kern w:val="22"/>
          <w:szCs w:val="22"/>
          <w:lang w:val="es-ES"/>
        </w:rPr>
        <w:t>u</w:t>
      </w:r>
      <w:r w:rsidR="00855A78" w:rsidRPr="00D35240">
        <w:rPr>
          <w:snapToGrid w:val="0"/>
          <w:color w:val="000000"/>
          <w:kern w:val="22"/>
          <w:szCs w:val="22"/>
          <w:lang w:val="es-ES"/>
        </w:rPr>
        <w:t xml:space="preserve">ana, Costa Rica, </w:t>
      </w:r>
      <w:r w:rsidR="00D35240" w:rsidRPr="00D35240">
        <w:rPr>
          <w:snapToGrid w:val="0"/>
          <w:color w:val="000000"/>
          <w:kern w:val="22"/>
          <w:szCs w:val="22"/>
          <w:lang w:val="es-ES"/>
        </w:rPr>
        <w:t>las</w:t>
      </w:r>
      <w:r w:rsidR="00855A78" w:rsidRPr="00D35240">
        <w:rPr>
          <w:snapToGrid w:val="0"/>
          <w:color w:val="000000"/>
          <w:kern w:val="22"/>
          <w:szCs w:val="22"/>
          <w:lang w:val="es-ES"/>
        </w:rPr>
        <w:t xml:space="preserve"> Maldiv</w:t>
      </w:r>
      <w:r w:rsidR="00D35240" w:rsidRPr="00D35240">
        <w:rPr>
          <w:snapToGrid w:val="0"/>
          <w:color w:val="000000"/>
          <w:kern w:val="22"/>
          <w:szCs w:val="22"/>
          <w:lang w:val="es-ES"/>
        </w:rPr>
        <w:t>a</w:t>
      </w:r>
      <w:r w:rsidR="00855A78" w:rsidRPr="00D35240">
        <w:rPr>
          <w:snapToGrid w:val="0"/>
          <w:color w:val="000000"/>
          <w:kern w:val="22"/>
          <w:szCs w:val="22"/>
          <w:lang w:val="es-ES"/>
        </w:rPr>
        <w:t xml:space="preserve">s </w:t>
      </w:r>
      <w:r w:rsidR="00D35240" w:rsidRPr="00D35240">
        <w:rPr>
          <w:snapToGrid w:val="0"/>
          <w:color w:val="000000"/>
          <w:kern w:val="22"/>
          <w:szCs w:val="22"/>
          <w:lang w:val="es-ES"/>
        </w:rPr>
        <w:t>y</w:t>
      </w:r>
      <w:r w:rsidR="00855A78" w:rsidRPr="00D35240">
        <w:rPr>
          <w:snapToGrid w:val="0"/>
          <w:color w:val="000000"/>
          <w:kern w:val="22"/>
          <w:szCs w:val="22"/>
          <w:lang w:val="es-ES"/>
        </w:rPr>
        <w:t xml:space="preserve"> R</w:t>
      </w:r>
      <w:r w:rsidR="00D35240" w:rsidRPr="00D35240">
        <w:rPr>
          <w:snapToGrid w:val="0"/>
          <w:color w:val="000000"/>
          <w:kern w:val="22"/>
          <w:szCs w:val="22"/>
          <w:lang w:val="es-ES"/>
        </w:rPr>
        <w:t>u</w:t>
      </w:r>
      <w:r w:rsidR="00855A78" w:rsidRPr="00D35240">
        <w:rPr>
          <w:snapToGrid w:val="0"/>
          <w:color w:val="000000"/>
          <w:kern w:val="22"/>
          <w:szCs w:val="22"/>
          <w:lang w:val="es-ES"/>
        </w:rPr>
        <w:t>anda</w:t>
      </w:r>
      <w:r w:rsidR="00855A78" w:rsidRPr="00D35240">
        <w:rPr>
          <w:snapToGrid w:val="0"/>
          <w:kern w:val="22"/>
          <w:szCs w:val="22"/>
          <w:lang w:val="es-ES"/>
        </w:rPr>
        <w:t>.</w:t>
      </w:r>
    </w:p>
    <w:p w:rsidR="00855A78" w:rsidRPr="00490BF5" w:rsidRDefault="00855A78" w:rsidP="00490BF5">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V</w:t>
      </w:r>
      <w:r w:rsidR="006E604B" w:rsidRPr="00490BF5">
        <w:rPr>
          <w:snapToGrid w:val="0"/>
          <w:kern w:val="22"/>
          <w:szCs w:val="22"/>
        </w:rPr>
        <w:t>III</w:t>
      </w:r>
      <w:r w:rsidRPr="00490BF5">
        <w:rPr>
          <w:snapToGrid w:val="0"/>
          <w:kern w:val="22"/>
          <w:szCs w:val="22"/>
        </w:rPr>
        <w:t>.</w:t>
      </w:r>
      <w:r w:rsidRPr="00490BF5">
        <w:rPr>
          <w:snapToGrid w:val="0"/>
          <w:kern w:val="22"/>
          <w:szCs w:val="22"/>
        </w:rPr>
        <w:tab/>
        <w:t>Conclusion</w:t>
      </w:r>
      <w:r w:rsidR="00D35240">
        <w:rPr>
          <w:snapToGrid w:val="0"/>
          <w:kern w:val="22"/>
          <w:szCs w:val="22"/>
        </w:rPr>
        <w:t>E</w:t>
      </w:r>
      <w:r w:rsidRPr="00490BF5">
        <w:rPr>
          <w:snapToGrid w:val="0"/>
          <w:kern w:val="22"/>
          <w:szCs w:val="22"/>
        </w:rPr>
        <w:t>s</w:t>
      </w:r>
    </w:p>
    <w:p w:rsidR="00855A78" w:rsidRPr="00AD391B" w:rsidRDefault="00D35240"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D35240">
        <w:rPr>
          <w:snapToGrid w:val="0"/>
          <w:kern w:val="22"/>
          <w:szCs w:val="22"/>
          <w:lang w:val="es-ES"/>
        </w:rPr>
        <w:t>Los avances en la presentación de informes con respecto a l</w:t>
      </w:r>
      <w:r>
        <w:rPr>
          <w:snapToGrid w:val="0"/>
          <w:kern w:val="22"/>
          <w:szCs w:val="22"/>
          <w:lang w:val="es-ES"/>
        </w:rPr>
        <w:t>as metas</w:t>
      </w:r>
      <w:r w:rsidRPr="00D35240">
        <w:rPr>
          <w:snapToGrid w:val="0"/>
          <w:kern w:val="22"/>
          <w:szCs w:val="22"/>
          <w:lang w:val="es-ES"/>
        </w:rPr>
        <w:t xml:space="preserve"> para la movilización de recursos son lentos en general</w:t>
      </w:r>
      <w:r w:rsidR="00855A78" w:rsidRPr="00D35240">
        <w:rPr>
          <w:snapToGrid w:val="0"/>
          <w:kern w:val="22"/>
          <w:szCs w:val="22"/>
          <w:lang w:val="es-ES"/>
        </w:rPr>
        <w:t xml:space="preserve">. </w:t>
      </w:r>
      <w:r w:rsidRPr="00D35240">
        <w:rPr>
          <w:snapToGrid w:val="0"/>
          <w:kern w:val="22"/>
          <w:szCs w:val="22"/>
          <w:lang w:val="es-ES"/>
        </w:rPr>
        <w:t xml:space="preserve">De las </w:t>
      </w:r>
      <w:r w:rsidR="00855A78" w:rsidRPr="00D35240">
        <w:rPr>
          <w:snapToGrid w:val="0"/>
          <w:kern w:val="22"/>
          <w:szCs w:val="22"/>
          <w:lang w:val="es-ES"/>
        </w:rPr>
        <w:t xml:space="preserve">30 Partes </w:t>
      </w:r>
      <w:r w:rsidRPr="00D35240">
        <w:rPr>
          <w:snapToGrid w:val="0"/>
          <w:kern w:val="22"/>
          <w:szCs w:val="22"/>
          <w:lang w:val="es-ES"/>
        </w:rPr>
        <w:t>que presentaron informes en relación con la meta</w:t>
      </w:r>
      <w:r w:rsidR="00855A78" w:rsidRPr="00D35240">
        <w:rPr>
          <w:snapToGrid w:val="0"/>
          <w:kern w:val="22"/>
          <w:szCs w:val="22"/>
          <w:lang w:val="es-ES"/>
        </w:rPr>
        <w:t xml:space="preserve"> 1</w:t>
      </w:r>
      <w:r w:rsidRPr="00D35240">
        <w:rPr>
          <w:snapToGrid w:val="0"/>
          <w:kern w:val="22"/>
          <w:szCs w:val="22"/>
          <w:lang w:val="es-ES"/>
        </w:rPr>
        <w:t xml:space="preserve"> </w:t>
      </w:r>
      <w:r w:rsidR="00855A78" w:rsidRPr="00D35240">
        <w:rPr>
          <w:snapToGrid w:val="0"/>
          <w:kern w:val="22"/>
          <w:szCs w:val="22"/>
          <w:lang w:val="es-ES"/>
        </w:rPr>
        <w:t xml:space="preserve">a), </w:t>
      </w:r>
      <w:r w:rsidRPr="00D35240">
        <w:rPr>
          <w:snapToGrid w:val="0"/>
          <w:kern w:val="22"/>
          <w:szCs w:val="22"/>
          <w:lang w:val="es-ES"/>
        </w:rPr>
        <w:t>un</w:t>
      </w:r>
      <w:r w:rsidR="00855A78" w:rsidRPr="00D35240">
        <w:rPr>
          <w:snapToGrid w:val="0"/>
          <w:kern w:val="22"/>
          <w:szCs w:val="22"/>
          <w:lang w:val="es-ES"/>
        </w:rPr>
        <w:t xml:space="preserve"> total </w:t>
      </w:r>
      <w:r w:rsidRPr="00D35240">
        <w:rPr>
          <w:snapToGrid w:val="0"/>
          <w:kern w:val="22"/>
          <w:szCs w:val="22"/>
          <w:lang w:val="es-ES"/>
        </w:rPr>
        <w:t>de 7 Part</w:t>
      </w:r>
      <w:r w:rsidR="00855A78" w:rsidRPr="00D35240">
        <w:rPr>
          <w:snapToGrid w:val="0"/>
          <w:kern w:val="22"/>
          <w:szCs w:val="22"/>
          <w:lang w:val="es-ES"/>
        </w:rPr>
        <w:t xml:space="preserve">es, </w:t>
      </w:r>
      <w:r w:rsidRPr="00D35240">
        <w:rPr>
          <w:snapToGrid w:val="0"/>
          <w:kern w:val="22"/>
          <w:szCs w:val="22"/>
          <w:lang w:val="es-ES"/>
        </w:rPr>
        <w:t xml:space="preserve">que representa el </w:t>
      </w:r>
      <w:r w:rsidR="00855A78" w:rsidRPr="00D35240">
        <w:rPr>
          <w:snapToGrid w:val="0"/>
          <w:kern w:val="22"/>
          <w:szCs w:val="22"/>
          <w:lang w:val="es-ES"/>
        </w:rPr>
        <w:t>15 </w:t>
      </w:r>
      <w:r w:rsidRPr="00D35240">
        <w:rPr>
          <w:snapToGrid w:val="0"/>
          <w:kern w:val="22"/>
          <w:szCs w:val="22"/>
          <w:lang w:val="es-ES"/>
        </w:rPr>
        <w:t>% de los datos de referencia comunicados</w:t>
      </w:r>
      <w:r w:rsidR="00855A78" w:rsidRPr="00D35240">
        <w:rPr>
          <w:snapToGrid w:val="0"/>
          <w:kern w:val="22"/>
          <w:szCs w:val="22"/>
          <w:lang w:val="es-ES"/>
        </w:rPr>
        <w:t xml:space="preserve">, </w:t>
      </w:r>
      <w:r>
        <w:rPr>
          <w:snapToGrid w:val="0"/>
          <w:kern w:val="22"/>
          <w:szCs w:val="22"/>
          <w:lang w:val="es-ES"/>
        </w:rPr>
        <w:t xml:space="preserve">todavía deben comunicar sus datos de </w:t>
      </w:r>
      <w:r w:rsidR="00855A78" w:rsidRPr="00D35240">
        <w:rPr>
          <w:snapToGrid w:val="0"/>
          <w:kern w:val="22"/>
          <w:szCs w:val="22"/>
          <w:lang w:val="es-ES"/>
        </w:rPr>
        <w:t xml:space="preserve">2015, </w:t>
      </w:r>
      <w:r>
        <w:rPr>
          <w:snapToGrid w:val="0"/>
          <w:kern w:val="22"/>
          <w:szCs w:val="22"/>
          <w:lang w:val="es-ES"/>
        </w:rPr>
        <w:t>y 6 miembros del CAD que son Partes en el Convenio</w:t>
      </w:r>
      <w:r w:rsidR="00855A78" w:rsidRPr="00D35240">
        <w:rPr>
          <w:snapToGrid w:val="0"/>
          <w:kern w:val="22"/>
          <w:szCs w:val="22"/>
          <w:lang w:val="es-ES"/>
        </w:rPr>
        <w:t xml:space="preserve">, </w:t>
      </w:r>
      <w:r>
        <w:rPr>
          <w:snapToGrid w:val="0"/>
          <w:kern w:val="22"/>
          <w:szCs w:val="22"/>
          <w:lang w:val="es-ES"/>
        </w:rPr>
        <w:t xml:space="preserve">todavía no han presentado sus </w:t>
      </w:r>
      <w:r>
        <w:rPr>
          <w:snapToGrid w:val="0"/>
          <w:kern w:val="22"/>
          <w:szCs w:val="22"/>
          <w:lang w:val="es-ES"/>
        </w:rPr>
        <w:lastRenderedPageBreak/>
        <w:t>informes</w:t>
      </w:r>
      <w:r w:rsidR="00855A78" w:rsidRPr="00D35240">
        <w:rPr>
          <w:snapToGrid w:val="0"/>
          <w:kern w:val="22"/>
          <w:szCs w:val="22"/>
          <w:lang w:val="es-ES"/>
        </w:rPr>
        <w:t xml:space="preserve">. </w:t>
      </w:r>
      <w:r w:rsidRPr="00D35240">
        <w:rPr>
          <w:snapToGrid w:val="0"/>
          <w:kern w:val="22"/>
          <w:szCs w:val="22"/>
          <w:lang w:val="es-ES"/>
        </w:rPr>
        <w:t xml:space="preserve">En cuanto a las otras metas, el lento progreso probablemente no se deba a una deficiencia </w:t>
      </w:r>
      <w:r w:rsidR="004C5469">
        <w:rPr>
          <w:snapToGrid w:val="0"/>
          <w:kern w:val="22"/>
          <w:szCs w:val="22"/>
          <w:lang w:val="es-ES"/>
        </w:rPr>
        <w:t xml:space="preserve">predominante en la </w:t>
      </w:r>
      <w:r w:rsidRPr="00D35240">
        <w:rPr>
          <w:snapToGrid w:val="0"/>
          <w:kern w:val="22"/>
          <w:szCs w:val="22"/>
          <w:lang w:val="es-ES"/>
        </w:rPr>
        <w:t>presentaci</w:t>
      </w:r>
      <w:r>
        <w:rPr>
          <w:snapToGrid w:val="0"/>
          <w:kern w:val="22"/>
          <w:szCs w:val="22"/>
          <w:lang w:val="es-ES"/>
        </w:rPr>
        <w:t xml:space="preserve">ón de informes </w:t>
      </w:r>
      <w:r w:rsidRPr="00D35240">
        <w:rPr>
          <w:snapToGrid w:val="0"/>
          <w:kern w:val="22"/>
          <w:szCs w:val="22"/>
          <w:lang w:val="es-ES"/>
        </w:rPr>
        <w:t>propiamente dicha</w:t>
      </w:r>
      <w:r w:rsidR="00855A78" w:rsidRPr="00D35240">
        <w:rPr>
          <w:snapToGrid w:val="0"/>
          <w:kern w:val="22"/>
          <w:szCs w:val="22"/>
          <w:lang w:val="es-ES"/>
        </w:rPr>
        <w:t xml:space="preserve">: </w:t>
      </w:r>
      <w:r w:rsidR="004C5469">
        <w:rPr>
          <w:snapToGrid w:val="0"/>
          <w:kern w:val="22"/>
          <w:szCs w:val="22"/>
          <w:lang w:val="es-ES"/>
        </w:rPr>
        <w:t>una comparación</w:t>
      </w:r>
      <w:r w:rsidR="009C6BD1">
        <w:rPr>
          <w:snapToGrid w:val="0"/>
          <w:kern w:val="22"/>
          <w:szCs w:val="22"/>
          <w:lang w:val="es-ES"/>
        </w:rPr>
        <w:t xml:space="preserve"> realizada</w:t>
      </w:r>
      <w:r w:rsidR="004C5469" w:rsidRPr="004C5469">
        <w:rPr>
          <w:snapToGrid w:val="0"/>
          <w:color w:val="FF0000"/>
          <w:kern w:val="22"/>
          <w:szCs w:val="22"/>
          <w:lang w:val="es-ES"/>
        </w:rPr>
        <w:t xml:space="preserve"> </w:t>
      </w:r>
      <w:r w:rsidR="004C5469">
        <w:rPr>
          <w:snapToGrid w:val="0"/>
          <w:kern w:val="22"/>
          <w:szCs w:val="22"/>
          <w:lang w:val="es-ES"/>
        </w:rPr>
        <w:t>con las EPANB presentadas por las Partes muestra que las cifras no son en general muy divergentes</w:t>
      </w:r>
      <w:r w:rsidR="00855A78" w:rsidRPr="00D35240">
        <w:rPr>
          <w:snapToGrid w:val="0"/>
          <w:kern w:val="22"/>
          <w:szCs w:val="22"/>
          <w:lang w:val="es-ES"/>
        </w:rPr>
        <w:t xml:space="preserve">. </w:t>
      </w:r>
      <w:r w:rsidR="004C5469" w:rsidRPr="004C5469">
        <w:rPr>
          <w:snapToGrid w:val="0"/>
          <w:kern w:val="22"/>
          <w:szCs w:val="22"/>
          <w:lang w:val="es-ES"/>
        </w:rPr>
        <w:t>Aunque algunas Partes que prepararon, por ejemplo, un cálculo de costes de sus EPANB revisadas o elementos de una estrategia para la movilizaci</w:t>
      </w:r>
      <w:r w:rsidR="004C5469">
        <w:rPr>
          <w:snapToGrid w:val="0"/>
          <w:kern w:val="22"/>
          <w:szCs w:val="22"/>
          <w:lang w:val="es-ES"/>
        </w:rPr>
        <w:t xml:space="preserve">ón </w:t>
      </w:r>
      <w:r w:rsidR="004C5469" w:rsidRPr="009C6BD1">
        <w:rPr>
          <w:snapToGrid w:val="0"/>
          <w:kern w:val="22"/>
          <w:szCs w:val="22"/>
          <w:lang w:val="es-ES"/>
        </w:rPr>
        <w:t>de recursos</w:t>
      </w:r>
      <w:r w:rsidR="00EE745C" w:rsidRPr="009C6BD1">
        <w:rPr>
          <w:snapToGrid w:val="0"/>
          <w:kern w:val="22"/>
          <w:szCs w:val="22"/>
          <w:lang w:val="es-ES"/>
        </w:rPr>
        <w:t xml:space="preserve"> que</w:t>
      </w:r>
      <w:r w:rsidR="004C5469" w:rsidRPr="009C6BD1">
        <w:rPr>
          <w:snapToGrid w:val="0"/>
          <w:kern w:val="22"/>
          <w:szCs w:val="22"/>
          <w:lang w:val="es-ES"/>
        </w:rPr>
        <w:t xml:space="preserve"> todavía tienen que presentar su marco de presentación de informes financieros</w:t>
      </w:r>
      <w:r w:rsidR="00855A78" w:rsidRPr="009C6BD1">
        <w:rPr>
          <w:snapToGrid w:val="0"/>
          <w:kern w:val="22"/>
          <w:szCs w:val="22"/>
          <w:lang w:val="es-ES"/>
        </w:rPr>
        <w:t xml:space="preserve">, </w:t>
      </w:r>
      <w:r w:rsidR="00EE745C" w:rsidRPr="009C6BD1">
        <w:rPr>
          <w:snapToGrid w:val="0"/>
          <w:kern w:val="22"/>
          <w:szCs w:val="22"/>
          <w:lang w:val="es-ES"/>
        </w:rPr>
        <w:t xml:space="preserve">las cifras asociadas </w:t>
      </w:r>
      <w:r w:rsidR="009C6BD1" w:rsidRPr="009C6BD1">
        <w:rPr>
          <w:snapToGrid w:val="0"/>
          <w:kern w:val="22"/>
          <w:szCs w:val="22"/>
          <w:lang w:val="es-ES"/>
        </w:rPr>
        <w:t>s</w:t>
      </w:r>
      <w:r w:rsidR="00EE745C" w:rsidRPr="009C6BD1">
        <w:rPr>
          <w:snapToGrid w:val="0"/>
          <w:kern w:val="22"/>
          <w:szCs w:val="22"/>
          <w:lang w:val="es-ES"/>
        </w:rPr>
        <w:t>on relativamente pequeñas</w:t>
      </w:r>
      <w:r w:rsidR="00855A78" w:rsidRPr="009C6BD1">
        <w:rPr>
          <w:snapToGrid w:val="0"/>
          <w:kern w:val="22"/>
          <w:szCs w:val="22"/>
          <w:lang w:val="es-ES"/>
        </w:rPr>
        <w:t xml:space="preserve">. </w:t>
      </w:r>
      <w:r w:rsidR="00EE745C" w:rsidRPr="009C6BD1">
        <w:rPr>
          <w:snapToGrid w:val="0"/>
          <w:kern w:val="22"/>
          <w:szCs w:val="22"/>
          <w:lang w:val="es-ES"/>
        </w:rPr>
        <w:t>En vista de lo anterior, una limitación importante radica en los problemas persistentes para</w:t>
      </w:r>
      <w:r w:rsidR="00EE745C" w:rsidRPr="00EE745C">
        <w:rPr>
          <w:snapToGrid w:val="0"/>
          <w:kern w:val="22"/>
          <w:szCs w:val="22"/>
          <w:lang w:val="es-ES"/>
        </w:rPr>
        <w:t xml:space="preserve"> </w:t>
      </w:r>
      <w:r w:rsidR="00AD391B">
        <w:rPr>
          <w:snapToGrid w:val="0"/>
          <w:kern w:val="22"/>
          <w:szCs w:val="22"/>
          <w:lang w:val="es-ES"/>
        </w:rPr>
        <w:t>la consecución de</w:t>
      </w:r>
      <w:r w:rsidR="00EE745C" w:rsidRPr="00EE745C">
        <w:rPr>
          <w:snapToGrid w:val="0"/>
          <w:kern w:val="22"/>
          <w:szCs w:val="22"/>
          <w:lang w:val="es-ES"/>
        </w:rPr>
        <w:t xml:space="preserve"> algunas de las metas, en particular las metas </w:t>
      </w:r>
      <w:r w:rsidR="00855A78" w:rsidRPr="00EE745C">
        <w:rPr>
          <w:snapToGrid w:val="0"/>
          <w:kern w:val="22"/>
          <w:szCs w:val="22"/>
          <w:lang w:val="es-ES"/>
        </w:rPr>
        <w:t>1</w:t>
      </w:r>
      <w:r w:rsidR="00AD391B">
        <w:rPr>
          <w:snapToGrid w:val="0"/>
          <w:kern w:val="22"/>
          <w:szCs w:val="22"/>
          <w:lang w:val="es-ES"/>
        </w:rPr>
        <w:t xml:space="preserve"> </w:t>
      </w:r>
      <w:r w:rsidR="00855A78" w:rsidRPr="00EE745C">
        <w:rPr>
          <w:snapToGrid w:val="0"/>
          <w:kern w:val="22"/>
          <w:szCs w:val="22"/>
          <w:lang w:val="es-ES"/>
        </w:rPr>
        <w:t xml:space="preserve">c) </w:t>
      </w:r>
      <w:r w:rsidR="00AD391B">
        <w:rPr>
          <w:snapToGrid w:val="0"/>
          <w:kern w:val="22"/>
          <w:szCs w:val="22"/>
          <w:lang w:val="es-ES"/>
        </w:rPr>
        <w:t xml:space="preserve">y 1 </w:t>
      </w:r>
      <w:r w:rsidR="00855A78" w:rsidRPr="00EE745C">
        <w:rPr>
          <w:snapToGrid w:val="0"/>
          <w:kern w:val="22"/>
          <w:szCs w:val="22"/>
          <w:lang w:val="es-ES"/>
        </w:rPr>
        <w:t xml:space="preserve">d), </w:t>
      </w:r>
      <w:r w:rsidR="00AD391B">
        <w:rPr>
          <w:snapToGrid w:val="0"/>
          <w:kern w:val="22"/>
          <w:szCs w:val="22"/>
          <w:lang w:val="es-ES"/>
        </w:rPr>
        <w:t>relacionadas con una falta general de capacidad</w:t>
      </w:r>
      <w:r w:rsidR="00855A78" w:rsidRPr="00EE745C">
        <w:rPr>
          <w:snapToGrid w:val="0"/>
          <w:kern w:val="22"/>
          <w:szCs w:val="22"/>
          <w:lang w:val="es-ES"/>
        </w:rPr>
        <w:t xml:space="preserve">, </w:t>
      </w:r>
      <w:r w:rsidR="00AD391B">
        <w:rPr>
          <w:snapToGrid w:val="0"/>
          <w:kern w:val="22"/>
          <w:szCs w:val="22"/>
          <w:lang w:val="es-ES"/>
        </w:rPr>
        <w:t>sobre todo en lo que respecta a los países que no participan en la iniciativa</w:t>
      </w:r>
      <w:r w:rsidR="00855A78" w:rsidRPr="00EE745C">
        <w:rPr>
          <w:snapToGrid w:val="0"/>
          <w:kern w:val="22"/>
          <w:szCs w:val="22"/>
          <w:lang w:val="es-ES"/>
        </w:rPr>
        <w:t xml:space="preserve"> BIOFIN. </w:t>
      </w:r>
      <w:r w:rsidR="00AD391B" w:rsidRPr="00AD391B">
        <w:rPr>
          <w:snapToGrid w:val="0"/>
          <w:kern w:val="22"/>
          <w:szCs w:val="22"/>
          <w:lang w:val="es-ES"/>
        </w:rPr>
        <w:t xml:space="preserve">No obstante, incluso en los países de </w:t>
      </w:r>
      <w:r w:rsidR="00855A78" w:rsidRPr="00AD391B">
        <w:rPr>
          <w:snapToGrid w:val="0"/>
          <w:kern w:val="22"/>
          <w:szCs w:val="22"/>
          <w:lang w:val="es-ES"/>
        </w:rPr>
        <w:t xml:space="preserve">BIOFIN, </w:t>
      </w:r>
      <w:r w:rsidR="00AD391B" w:rsidRPr="00AD391B">
        <w:rPr>
          <w:snapToGrid w:val="0"/>
          <w:kern w:val="22"/>
          <w:szCs w:val="22"/>
          <w:lang w:val="es-ES"/>
        </w:rPr>
        <w:t>los avances son lentos en general</w:t>
      </w:r>
      <w:r w:rsidR="00855A78" w:rsidRPr="00AD391B">
        <w:rPr>
          <w:snapToGrid w:val="0"/>
          <w:kern w:val="22"/>
          <w:szCs w:val="22"/>
          <w:lang w:val="es-ES"/>
        </w:rPr>
        <w:t xml:space="preserve">, </w:t>
      </w:r>
      <w:r w:rsidR="00AD391B" w:rsidRPr="00AD391B">
        <w:rPr>
          <w:snapToGrid w:val="0"/>
          <w:kern w:val="22"/>
          <w:szCs w:val="22"/>
          <w:lang w:val="es-ES"/>
        </w:rPr>
        <w:t>presumiblemente debido a varios problemas técnicos y metodológicos</w:t>
      </w:r>
      <w:r w:rsidR="00855A78" w:rsidRPr="00AD391B">
        <w:rPr>
          <w:snapToGrid w:val="0"/>
          <w:kern w:val="22"/>
          <w:szCs w:val="22"/>
          <w:lang w:val="es-ES"/>
        </w:rPr>
        <w:t xml:space="preserve">, </w:t>
      </w:r>
      <w:r w:rsidR="001F0F6E">
        <w:rPr>
          <w:snapToGrid w:val="0"/>
          <w:kern w:val="22"/>
          <w:szCs w:val="22"/>
          <w:lang w:val="es-ES"/>
        </w:rPr>
        <w:t>por ejem</w:t>
      </w:r>
      <w:r w:rsidR="001F0F6E" w:rsidRPr="009C6BD1">
        <w:rPr>
          <w:snapToGrid w:val="0"/>
          <w:kern w:val="22"/>
          <w:szCs w:val="22"/>
          <w:lang w:val="es-ES"/>
        </w:rPr>
        <w:t>plo</w:t>
      </w:r>
      <w:r w:rsidR="00855A78" w:rsidRPr="009C6BD1">
        <w:rPr>
          <w:snapToGrid w:val="0"/>
          <w:kern w:val="22"/>
          <w:szCs w:val="22"/>
          <w:lang w:val="es-ES"/>
        </w:rPr>
        <w:t xml:space="preserve">, </w:t>
      </w:r>
      <w:r w:rsidR="001F0F6E" w:rsidRPr="009C6BD1">
        <w:rPr>
          <w:snapToGrid w:val="0"/>
          <w:kern w:val="22"/>
          <w:szCs w:val="22"/>
          <w:lang w:val="es-ES"/>
        </w:rPr>
        <w:t xml:space="preserve">las EPANB que los equipos de los países de BIOFIN consideraron que no </w:t>
      </w:r>
      <w:r w:rsidR="005D0834" w:rsidRPr="009C6BD1">
        <w:rPr>
          <w:snapToGrid w:val="0"/>
          <w:kern w:val="22"/>
          <w:szCs w:val="22"/>
          <w:lang w:val="es-ES"/>
        </w:rPr>
        <w:t xml:space="preserve">se prestaban fácilmente a </w:t>
      </w:r>
      <w:r w:rsidR="001F0F6E" w:rsidRPr="009C6BD1">
        <w:rPr>
          <w:snapToGrid w:val="0"/>
          <w:kern w:val="22"/>
          <w:szCs w:val="22"/>
          <w:lang w:val="es-ES"/>
        </w:rPr>
        <w:t>una</w:t>
      </w:r>
      <w:r w:rsidR="001F0F6E">
        <w:rPr>
          <w:snapToGrid w:val="0"/>
          <w:kern w:val="22"/>
          <w:szCs w:val="22"/>
          <w:lang w:val="es-ES"/>
        </w:rPr>
        <w:t xml:space="preserve"> evaluación de las necesidades de financiación</w:t>
      </w:r>
      <w:r w:rsidR="00855A78" w:rsidRPr="00AD391B">
        <w:rPr>
          <w:snapToGrid w:val="0"/>
          <w:kern w:val="22"/>
          <w:szCs w:val="22"/>
          <w:lang w:val="es-ES"/>
        </w:rPr>
        <w:t>.</w:t>
      </w:r>
    </w:p>
    <w:p w:rsidR="00855A78" w:rsidRPr="0012760C" w:rsidRDefault="00236FE7"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Pr>
          <w:i/>
          <w:snapToGrid w:val="0"/>
          <w:kern w:val="22"/>
          <w:szCs w:val="22"/>
          <w:lang w:val="es-ES"/>
        </w:rPr>
        <w:t>M</w:t>
      </w:r>
      <w:r w:rsidR="005D0834" w:rsidRPr="005D0834">
        <w:rPr>
          <w:i/>
          <w:snapToGrid w:val="0"/>
          <w:kern w:val="22"/>
          <w:szCs w:val="22"/>
          <w:lang w:val="es-ES"/>
        </w:rPr>
        <w:t>eta</w:t>
      </w:r>
      <w:r w:rsidR="00855A78" w:rsidRPr="005D0834">
        <w:rPr>
          <w:i/>
          <w:snapToGrid w:val="0"/>
          <w:kern w:val="22"/>
          <w:szCs w:val="22"/>
          <w:lang w:val="es-ES"/>
        </w:rPr>
        <w:t xml:space="preserve"> 1 a) </w:t>
      </w:r>
      <w:r w:rsidR="005D0834" w:rsidRPr="005D0834">
        <w:rPr>
          <w:i/>
          <w:snapToGrid w:val="0"/>
          <w:kern w:val="22"/>
          <w:szCs w:val="22"/>
          <w:lang w:val="es-ES"/>
        </w:rPr>
        <w:t>de la decisión</w:t>
      </w:r>
      <w:r w:rsidR="00855A78" w:rsidRPr="005D0834">
        <w:rPr>
          <w:i/>
          <w:snapToGrid w:val="0"/>
          <w:kern w:val="22"/>
          <w:szCs w:val="22"/>
          <w:lang w:val="es-ES"/>
        </w:rPr>
        <w:t xml:space="preserve"> XII/3 (</w:t>
      </w:r>
      <w:r w:rsidRPr="00F600E5">
        <w:rPr>
          <w:i/>
          <w:iCs/>
          <w:kern w:val="22"/>
          <w:szCs w:val="22"/>
          <w:lang w:val="es-ES_tradnl"/>
        </w:rPr>
        <w:t>la duplicación colectiva de los flujos internacionales para 2015 y mantener dicho nivel hasta 2020</w:t>
      </w:r>
      <w:r w:rsidR="00855A78" w:rsidRPr="005D0834">
        <w:rPr>
          <w:i/>
          <w:iCs/>
          <w:snapToGrid w:val="0"/>
          <w:kern w:val="22"/>
          <w:szCs w:val="22"/>
          <w:lang w:val="es-ES"/>
        </w:rPr>
        <w:t>)</w:t>
      </w:r>
      <w:r w:rsidR="00855A78" w:rsidRPr="005D0834">
        <w:rPr>
          <w:snapToGrid w:val="0"/>
          <w:kern w:val="22"/>
          <w:szCs w:val="22"/>
          <w:lang w:val="es-ES"/>
        </w:rPr>
        <w:t xml:space="preserve">: </w:t>
      </w:r>
      <w:r w:rsidR="005D0834" w:rsidRPr="005D0834">
        <w:rPr>
          <w:snapToGrid w:val="0"/>
          <w:kern w:val="22"/>
          <w:szCs w:val="22"/>
          <w:lang w:val="es-ES"/>
        </w:rPr>
        <w:t xml:space="preserve">las </w:t>
      </w:r>
      <w:r w:rsidR="00855A78" w:rsidRPr="005D0834">
        <w:rPr>
          <w:snapToGrid w:val="0"/>
          <w:kern w:val="22"/>
          <w:szCs w:val="22"/>
          <w:lang w:val="es-ES"/>
        </w:rPr>
        <w:t xml:space="preserve">Partes </w:t>
      </w:r>
      <w:r w:rsidR="005D0834" w:rsidRPr="005D0834">
        <w:rPr>
          <w:snapToGrid w:val="0"/>
          <w:kern w:val="22"/>
          <w:szCs w:val="22"/>
          <w:lang w:val="es-ES"/>
        </w:rPr>
        <w:t xml:space="preserve">que estaban en condiciones de comunicar datos de </w:t>
      </w:r>
      <w:r w:rsidR="00855A78" w:rsidRPr="005D0834">
        <w:rPr>
          <w:snapToGrid w:val="0"/>
          <w:kern w:val="22"/>
          <w:szCs w:val="22"/>
          <w:lang w:val="es-ES"/>
        </w:rPr>
        <w:t xml:space="preserve">2015 </w:t>
      </w:r>
      <w:r w:rsidR="005D0834" w:rsidRPr="005D0834">
        <w:rPr>
          <w:snapToGrid w:val="0"/>
          <w:kern w:val="22"/>
          <w:szCs w:val="22"/>
          <w:lang w:val="es-ES"/>
        </w:rPr>
        <w:t>a tiempo para la elaboraci</w:t>
      </w:r>
      <w:r w:rsidR="005D0834">
        <w:rPr>
          <w:snapToGrid w:val="0"/>
          <w:kern w:val="22"/>
          <w:szCs w:val="22"/>
          <w:lang w:val="es-ES"/>
        </w:rPr>
        <w:t>ón del presente informe</w:t>
      </w:r>
      <w:r w:rsidR="00855A78" w:rsidRPr="005D0834">
        <w:rPr>
          <w:snapToGrid w:val="0"/>
          <w:kern w:val="22"/>
          <w:szCs w:val="22"/>
          <w:lang w:val="es-ES"/>
        </w:rPr>
        <w:t xml:space="preserve">, </w:t>
      </w:r>
      <w:r w:rsidR="005D0834">
        <w:rPr>
          <w:snapToGrid w:val="0"/>
          <w:kern w:val="22"/>
          <w:szCs w:val="22"/>
          <w:lang w:val="es-ES"/>
        </w:rPr>
        <w:t xml:space="preserve">y que </w:t>
      </w:r>
      <w:r w:rsidRPr="00F600E5">
        <w:rPr>
          <w:kern w:val="22"/>
          <w:szCs w:val="22"/>
          <w:lang w:val="es-ES_tradnl"/>
        </w:rPr>
        <w:t>representan en conjunto</w:t>
      </w:r>
      <w:r w:rsidR="005D0834">
        <w:rPr>
          <w:snapToGrid w:val="0"/>
          <w:kern w:val="22"/>
          <w:szCs w:val="22"/>
          <w:lang w:val="es-ES"/>
        </w:rPr>
        <w:t xml:space="preserve"> el </w:t>
      </w:r>
      <w:r w:rsidR="00855A78" w:rsidRPr="005D0834">
        <w:rPr>
          <w:snapToGrid w:val="0"/>
          <w:kern w:val="22"/>
          <w:szCs w:val="22"/>
          <w:lang w:val="es-ES"/>
        </w:rPr>
        <w:t>85</w:t>
      </w:r>
      <w:r w:rsidR="006A0651" w:rsidRPr="005D0834">
        <w:rPr>
          <w:snapToGrid w:val="0"/>
          <w:kern w:val="22"/>
          <w:szCs w:val="22"/>
          <w:lang w:val="es-ES"/>
        </w:rPr>
        <w:t> </w:t>
      </w:r>
      <w:r w:rsidR="005D0834">
        <w:rPr>
          <w:snapToGrid w:val="0"/>
          <w:kern w:val="22"/>
          <w:szCs w:val="22"/>
          <w:lang w:val="es-ES"/>
        </w:rPr>
        <w:t xml:space="preserve">% </w:t>
      </w:r>
      <w:r w:rsidRPr="00F600E5">
        <w:rPr>
          <w:kern w:val="22"/>
          <w:szCs w:val="22"/>
          <w:lang w:val="es-ES_tradnl"/>
        </w:rPr>
        <w:t>del total de la información de referencia</w:t>
      </w:r>
      <w:r w:rsidR="00855A78" w:rsidRPr="005D0834">
        <w:rPr>
          <w:snapToGrid w:val="0"/>
          <w:kern w:val="22"/>
          <w:szCs w:val="22"/>
          <w:lang w:val="es-ES"/>
        </w:rPr>
        <w:t>, ha</w:t>
      </w:r>
      <w:r w:rsidR="005D0834">
        <w:rPr>
          <w:snapToGrid w:val="0"/>
          <w:kern w:val="22"/>
          <w:szCs w:val="22"/>
          <w:lang w:val="es-ES"/>
        </w:rPr>
        <w:t>n</w:t>
      </w:r>
      <w:r>
        <w:rPr>
          <w:snapToGrid w:val="0"/>
          <w:kern w:val="22"/>
          <w:szCs w:val="22"/>
          <w:lang w:val="es-ES"/>
        </w:rPr>
        <w:t xml:space="preserve"> </w:t>
      </w:r>
      <w:r w:rsidRPr="00F600E5">
        <w:rPr>
          <w:kern w:val="22"/>
          <w:szCs w:val="22"/>
          <w:lang w:val="es-ES_tradnl"/>
        </w:rPr>
        <w:t>conseguido en conjunto un aumento del</w:t>
      </w:r>
      <w:r w:rsidR="005D0834">
        <w:rPr>
          <w:snapToGrid w:val="0"/>
          <w:kern w:val="22"/>
          <w:szCs w:val="22"/>
          <w:lang w:val="es-ES"/>
        </w:rPr>
        <w:t xml:space="preserve"> </w:t>
      </w:r>
      <w:r w:rsidR="00855A78" w:rsidRPr="005D0834">
        <w:rPr>
          <w:snapToGrid w:val="0"/>
          <w:kern w:val="22"/>
          <w:szCs w:val="22"/>
          <w:lang w:val="es-ES"/>
        </w:rPr>
        <w:t>92</w:t>
      </w:r>
      <w:r w:rsidR="006A0651" w:rsidRPr="005D0834">
        <w:rPr>
          <w:snapToGrid w:val="0"/>
          <w:kern w:val="22"/>
          <w:szCs w:val="22"/>
          <w:lang w:val="es-ES"/>
        </w:rPr>
        <w:t> </w:t>
      </w:r>
      <w:r w:rsidR="005D0834">
        <w:rPr>
          <w:snapToGrid w:val="0"/>
          <w:kern w:val="22"/>
          <w:szCs w:val="22"/>
          <w:lang w:val="es-ES"/>
        </w:rPr>
        <w:t>%</w:t>
      </w:r>
      <w:r w:rsidR="00855A78" w:rsidRPr="005D0834">
        <w:rPr>
          <w:snapToGrid w:val="0"/>
          <w:kern w:val="22"/>
          <w:szCs w:val="22"/>
          <w:lang w:val="es-ES"/>
        </w:rPr>
        <w:t xml:space="preserve"> </w:t>
      </w:r>
      <w:r w:rsidR="005D0834">
        <w:rPr>
          <w:snapToGrid w:val="0"/>
          <w:kern w:val="22"/>
          <w:szCs w:val="22"/>
          <w:lang w:val="es-ES"/>
        </w:rPr>
        <w:t>en relaci</w:t>
      </w:r>
      <w:r w:rsidR="0012760C">
        <w:rPr>
          <w:snapToGrid w:val="0"/>
          <w:kern w:val="22"/>
          <w:szCs w:val="22"/>
          <w:lang w:val="es-ES"/>
        </w:rPr>
        <w:t xml:space="preserve">ón con </w:t>
      </w:r>
      <w:r w:rsidRPr="00F600E5">
        <w:rPr>
          <w:kern w:val="22"/>
          <w:szCs w:val="22"/>
          <w:lang w:val="es-ES_tradnl"/>
        </w:rPr>
        <w:t>su nivel de referencia, excluyendo los efectos del tipo de cambio</w:t>
      </w:r>
      <w:r w:rsidR="00855A78" w:rsidRPr="005D0834">
        <w:rPr>
          <w:snapToGrid w:val="0"/>
          <w:kern w:val="22"/>
          <w:szCs w:val="22"/>
          <w:lang w:val="es-ES"/>
        </w:rPr>
        <w:t xml:space="preserve">. </w:t>
      </w:r>
      <w:r w:rsidR="0012760C">
        <w:rPr>
          <w:snapToGrid w:val="0"/>
          <w:kern w:val="22"/>
          <w:szCs w:val="22"/>
          <w:lang w:val="es-ES"/>
        </w:rPr>
        <w:t xml:space="preserve">El </w:t>
      </w:r>
      <w:r w:rsidRPr="00F600E5">
        <w:rPr>
          <w:kern w:val="22"/>
          <w:szCs w:val="22"/>
          <w:lang w:val="es-ES_tradnl"/>
        </w:rPr>
        <w:t xml:space="preserve">progreso medido con respecto al total de la información de referencia representa un incremento </w:t>
      </w:r>
      <w:r w:rsidR="0012760C">
        <w:rPr>
          <w:snapToGrid w:val="0"/>
          <w:kern w:val="22"/>
          <w:szCs w:val="22"/>
          <w:lang w:val="es-ES"/>
        </w:rPr>
        <w:t>del</w:t>
      </w:r>
      <w:r w:rsidR="00855A78" w:rsidRPr="0012760C">
        <w:rPr>
          <w:snapToGrid w:val="0"/>
          <w:kern w:val="22"/>
          <w:szCs w:val="22"/>
          <w:lang w:val="es-ES"/>
        </w:rPr>
        <w:t xml:space="preserve"> 62</w:t>
      </w:r>
      <w:r w:rsidR="006A0651" w:rsidRPr="0012760C">
        <w:rPr>
          <w:snapToGrid w:val="0"/>
          <w:kern w:val="22"/>
          <w:szCs w:val="22"/>
          <w:lang w:val="es-ES"/>
        </w:rPr>
        <w:t> </w:t>
      </w:r>
      <w:r w:rsidR="0012760C">
        <w:rPr>
          <w:snapToGrid w:val="0"/>
          <w:kern w:val="22"/>
          <w:szCs w:val="22"/>
          <w:lang w:val="es-ES"/>
        </w:rPr>
        <w:t>%</w:t>
      </w:r>
      <w:r w:rsidR="00855A78" w:rsidRPr="0012760C">
        <w:rPr>
          <w:snapToGrid w:val="0"/>
          <w:kern w:val="22"/>
          <w:szCs w:val="22"/>
          <w:lang w:val="es-ES"/>
        </w:rPr>
        <w:t xml:space="preserve">. </w:t>
      </w:r>
      <w:r>
        <w:rPr>
          <w:snapToGrid w:val="0"/>
          <w:kern w:val="22"/>
          <w:szCs w:val="22"/>
          <w:lang w:val="es-ES"/>
        </w:rPr>
        <w:t xml:space="preserve">Empleando </w:t>
      </w:r>
      <w:r w:rsidRPr="00F600E5">
        <w:rPr>
          <w:kern w:val="22"/>
          <w:szCs w:val="22"/>
          <w:lang w:val="es-ES_tradnl"/>
        </w:rPr>
        <w:t>el tipo de interés promedio pa</w:t>
      </w:r>
      <w:r>
        <w:rPr>
          <w:kern w:val="22"/>
          <w:szCs w:val="22"/>
          <w:lang w:val="es-ES_tradnl"/>
        </w:rPr>
        <w:t xml:space="preserve">ra 2015, dicho progreso asciende al </w:t>
      </w:r>
      <w:r w:rsidR="00855A78" w:rsidRPr="0012760C">
        <w:rPr>
          <w:snapToGrid w:val="0"/>
          <w:kern w:val="22"/>
          <w:szCs w:val="22"/>
          <w:lang w:val="es-ES"/>
        </w:rPr>
        <w:t>70</w:t>
      </w:r>
      <w:r w:rsidR="006A0651" w:rsidRPr="0012760C">
        <w:rPr>
          <w:snapToGrid w:val="0"/>
          <w:kern w:val="22"/>
          <w:szCs w:val="22"/>
          <w:lang w:val="es-ES"/>
        </w:rPr>
        <w:t> </w:t>
      </w:r>
      <w:r w:rsidR="0012760C">
        <w:rPr>
          <w:snapToGrid w:val="0"/>
          <w:kern w:val="22"/>
          <w:szCs w:val="22"/>
          <w:lang w:val="es-ES"/>
        </w:rPr>
        <w:t xml:space="preserve">% y </w:t>
      </w:r>
      <w:r w:rsidR="00A926F6">
        <w:rPr>
          <w:snapToGrid w:val="0"/>
          <w:kern w:val="22"/>
          <w:szCs w:val="22"/>
          <w:lang w:val="es-ES"/>
        </w:rPr>
        <w:t>a</w:t>
      </w:r>
      <w:r w:rsidR="0012760C">
        <w:rPr>
          <w:snapToGrid w:val="0"/>
          <w:kern w:val="22"/>
          <w:szCs w:val="22"/>
          <w:lang w:val="es-ES"/>
        </w:rPr>
        <w:t xml:space="preserve">l </w:t>
      </w:r>
      <w:r w:rsidR="00855A78" w:rsidRPr="0012760C">
        <w:rPr>
          <w:snapToGrid w:val="0"/>
          <w:kern w:val="22"/>
          <w:szCs w:val="22"/>
          <w:lang w:val="es-ES"/>
        </w:rPr>
        <w:t>44</w:t>
      </w:r>
      <w:r w:rsidR="006A0651" w:rsidRPr="0012760C">
        <w:rPr>
          <w:snapToGrid w:val="0"/>
          <w:kern w:val="22"/>
          <w:szCs w:val="22"/>
          <w:lang w:val="es-ES"/>
        </w:rPr>
        <w:t> </w:t>
      </w:r>
      <w:r w:rsidR="0012760C">
        <w:rPr>
          <w:snapToGrid w:val="0"/>
          <w:kern w:val="22"/>
          <w:szCs w:val="22"/>
          <w:lang w:val="es-ES"/>
        </w:rPr>
        <w:t>%</w:t>
      </w:r>
      <w:r w:rsidR="00855A78" w:rsidRPr="0012760C">
        <w:rPr>
          <w:snapToGrid w:val="0"/>
          <w:kern w:val="22"/>
          <w:szCs w:val="22"/>
          <w:lang w:val="es-ES"/>
        </w:rPr>
        <w:t>, respectiv</w:t>
      </w:r>
      <w:r w:rsidR="0012760C">
        <w:rPr>
          <w:snapToGrid w:val="0"/>
          <w:kern w:val="22"/>
          <w:szCs w:val="22"/>
          <w:lang w:val="es-ES"/>
        </w:rPr>
        <w:t>amente</w:t>
      </w:r>
      <w:r w:rsidR="00855A78" w:rsidRPr="0012760C">
        <w:rPr>
          <w:snapToGrid w:val="0"/>
          <w:kern w:val="22"/>
          <w:szCs w:val="22"/>
          <w:lang w:val="es-ES"/>
        </w:rPr>
        <w:t>.</w:t>
      </w:r>
    </w:p>
    <w:p w:rsidR="00855A78" w:rsidRPr="009B4FDC" w:rsidRDefault="00A926F6"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Pr>
          <w:i/>
          <w:snapToGrid w:val="0"/>
          <w:kern w:val="22"/>
          <w:szCs w:val="22"/>
          <w:lang w:val="es-ES"/>
        </w:rPr>
        <w:t>M</w:t>
      </w:r>
      <w:r w:rsidR="0012760C" w:rsidRPr="009B4FDC">
        <w:rPr>
          <w:i/>
          <w:snapToGrid w:val="0"/>
          <w:kern w:val="22"/>
          <w:szCs w:val="22"/>
          <w:lang w:val="es-ES"/>
        </w:rPr>
        <w:t>eta</w:t>
      </w:r>
      <w:r w:rsidR="00855A78" w:rsidRPr="009B4FDC">
        <w:rPr>
          <w:i/>
          <w:snapToGrid w:val="0"/>
          <w:kern w:val="22"/>
          <w:szCs w:val="22"/>
          <w:lang w:val="es-ES"/>
        </w:rPr>
        <w:t xml:space="preserve"> 1 b) </w:t>
      </w:r>
      <w:r w:rsidR="0012760C" w:rsidRPr="009B4FDC">
        <w:rPr>
          <w:i/>
          <w:snapToGrid w:val="0"/>
          <w:kern w:val="22"/>
          <w:szCs w:val="22"/>
          <w:lang w:val="es-ES"/>
        </w:rPr>
        <w:t>de la decisión</w:t>
      </w:r>
      <w:r w:rsidR="00855A78" w:rsidRPr="009B4FDC">
        <w:rPr>
          <w:i/>
          <w:snapToGrid w:val="0"/>
          <w:kern w:val="22"/>
          <w:szCs w:val="22"/>
          <w:lang w:val="es-ES"/>
        </w:rPr>
        <w:t xml:space="preserve"> XII/3 </w:t>
      </w:r>
      <w:r w:rsidR="00855A78" w:rsidRPr="009B4FDC">
        <w:rPr>
          <w:i/>
          <w:iCs/>
          <w:snapToGrid w:val="0"/>
          <w:kern w:val="22"/>
          <w:szCs w:val="22"/>
          <w:lang w:val="es-ES"/>
        </w:rPr>
        <w:t>(</w:t>
      </w:r>
      <w:r w:rsidRPr="00F600E5">
        <w:rPr>
          <w:i/>
          <w:iCs/>
          <w:kern w:val="22"/>
          <w:szCs w:val="22"/>
          <w:lang w:val="es-ES_tradnl"/>
        </w:rPr>
        <w:t>inclusión de la diversidad biológica para 2015)</w:t>
      </w:r>
      <w:r w:rsidRPr="00F600E5">
        <w:rPr>
          <w:kern w:val="22"/>
          <w:szCs w:val="22"/>
          <w:lang w:val="es-ES_tradnl"/>
        </w:rPr>
        <w:t>:</w:t>
      </w:r>
      <w:r w:rsidR="0012760C" w:rsidRPr="009B4FDC">
        <w:rPr>
          <w:snapToGrid w:val="0"/>
          <w:kern w:val="22"/>
          <w:szCs w:val="22"/>
          <w:lang w:val="es-ES"/>
        </w:rPr>
        <w:t xml:space="preserve"> Un</w:t>
      </w:r>
      <w:r w:rsidR="00855A78" w:rsidRPr="009B4FDC">
        <w:rPr>
          <w:snapToGrid w:val="0"/>
          <w:kern w:val="22"/>
          <w:szCs w:val="22"/>
          <w:lang w:val="es-ES"/>
        </w:rPr>
        <w:t xml:space="preserve"> total </w:t>
      </w:r>
      <w:r w:rsidR="0012760C" w:rsidRPr="009B4FDC">
        <w:rPr>
          <w:snapToGrid w:val="0"/>
          <w:kern w:val="22"/>
          <w:szCs w:val="22"/>
          <w:lang w:val="es-ES"/>
        </w:rPr>
        <w:t>de</w:t>
      </w:r>
      <w:r w:rsidR="00855A78" w:rsidRPr="009B4FDC">
        <w:rPr>
          <w:snapToGrid w:val="0"/>
          <w:kern w:val="22"/>
          <w:szCs w:val="22"/>
          <w:lang w:val="es-ES"/>
        </w:rPr>
        <w:t xml:space="preserve"> </w:t>
      </w:r>
      <w:r w:rsidR="00F47C0B" w:rsidRPr="009B4FDC">
        <w:rPr>
          <w:snapToGrid w:val="0"/>
          <w:kern w:val="22"/>
          <w:szCs w:val="22"/>
          <w:lang w:val="es-ES"/>
        </w:rPr>
        <w:t xml:space="preserve">72 </w:t>
      </w:r>
      <w:r w:rsidR="00855A78" w:rsidRPr="009B4FDC">
        <w:rPr>
          <w:snapToGrid w:val="0"/>
          <w:kern w:val="22"/>
          <w:szCs w:val="22"/>
          <w:lang w:val="es-ES"/>
        </w:rPr>
        <w:t xml:space="preserve">Partes </w:t>
      </w:r>
      <w:r w:rsidR="0012760C" w:rsidRPr="009B4FDC">
        <w:rPr>
          <w:snapToGrid w:val="0"/>
          <w:kern w:val="22"/>
          <w:szCs w:val="22"/>
          <w:lang w:val="es-ES"/>
        </w:rPr>
        <w:t xml:space="preserve">respondieron </w:t>
      </w:r>
      <w:r w:rsidR="009B4FDC">
        <w:rPr>
          <w:snapToGrid w:val="0"/>
          <w:kern w:val="22"/>
          <w:szCs w:val="22"/>
          <w:lang w:val="es-ES"/>
        </w:rPr>
        <w:t>si habían incluido o no la diversidad biológica en las prioridades o los planes de desarrollo nacionales, y todas ellas informaron al menos de algunos progreso</w:t>
      </w:r>
      <w:r w:rsidR="00855A78" w:rsidRPr="009B4FDC">
        <w:rPr>
          <w:snapToGrid w:val="0"/>
          <w:kern w:val="22"/>
          <w:szCs w:val="22"/>
          <w:lang w:val="es-ES"/>
        </w:rPr>
        <w:t xml:space="preserve">s: </w:t>
      </w:r>
      <w:r w:rsidR="00F47C0B" w:rsidRPr="009B4FDC">
        <w:rPr>
          <w:snapToGrid w:val="0"/>
          <w:kern w:val="22"/>
          <w:szCs w:val="22"/>
          <w:lang w:val="es-ES"/>
        </w:rPr>
        <w:t xml:space="preserve">49 </w:t>
      </w:r>
      <w:r w:rsidR="00855A78" w:rsidRPr="009B4FDC">
        <w:rPr>
          <w:snapToGrid w:val="0"/>
          <w:kern w:val="22"/>
          <w:szCs w:val="22"/>
          <w:lang w:val="es-ES"/>
        </w:rPr>
        <w:t>Partes, o</w:t>
      </w:r>
      <w:r w:rsidR="009B4FDC">
        <w:rPr>
          <w:snapToGrid w:val="0"/>
          <w:kern w:val="22"/>
          <w:szCs w:val="22"/>
          <w:lang w:val="es-ES"/>
        </w:rPr>
        <w:t xml:space="preserve"> el </w:t>
      </w:r>
      <w:r w:rsidR="00855A78" w:rsidRPr="009B4FDC">
        <w:rPr>
          <w:snapToGrid w:val="0"/>
          <w:kern w:val="22"/>
          <w:szCs w:val="22"/>
          <w:lang w:val="es-ES"/>
        </w:rPr>
        <w:t>68</w:t>
      </w:r>
      <w:r w:rsidR="006A0651" w:rsidRPr="009B4FDC">
        <w:rPr>
          <w:snapToGrid w:val="0"/>
          <w:kern w:val="22"/>
          <w:szCs w:val="22"/>
          <w:lang w:val="es-ES"/>
        </w:rPr>
        <w:t> </w:t>
      </w:r>
      <w:r w:rsidR="009B4FDC">
        <w:rPr>
          <w:snapToGrid w:val="0"/>
          <w:kern w:val="22"/>
          <w:szCs w:val="22"/>
          <w:lang w:val="es-ES"/>
        </w:rPr>
        <w:t>%</w:t>
      </w:r>
      <w:r w:rsidR="00855A78" w:rsidRPr="009B4FDC">
        <w:rPr>
          <w:snapToGrid w:val="0"/>
          <w:kern w:val="22"/>
          <w:szCs w:val="22"/>
          <w:lang w:val="es-ES"/>
        </w:rPr>
        <w:t xml:space="preserve">, </w:t>
      </w:r>
      <w:r w:rsidR="009B4FDC">
        <w:rPr>
          <w:snapToGrid w:val="0"/>
          <w:kern w:val="22"/>
          <w:szCs w:val="22"/>
          <w:lang w:val="es-ES"/>
        </w:rPr>
        <w:t xml:space="preserve">indicaron que se había conseguido cierta inclusión, mientras que 23 países, o el 32 %, indicaron que se había logrado una inclusión global. </w:t>
      </w:r>
      <w:r w:rsidRPr="00F600E5">
        <w:rPr>
          <w:kern w:val="22"/>
          <w:szCs w:val="22"/>
          <w:lang w:val="es-ES_tradnl"/>
        </w:rPr>
        <w:t>Teniendo en cuenta el número limitado total de los informes recibidos</w:t>
      </w:r>
      <w:r w:rsidR="009B4FDC" w:rsidRPr="009B4FDC">
        <w:rPr>
          <w:snapToGrid w:val="0"/>
          <w:kern w:val="22"/>
          <w:szCs w:val="22"/>
          <w:lang w:val="es-ES"/>
        </w:rPr>
        <w:t>,</w:t>
      </w:r>
      <w:r w:rsidR="00855A78" w:rsidRPr="009B4FDC">
        <w:rPr>
          <w:snapToGrid w:val="0"/>
          <w:kern w:val="22"/>
          <w:szCs w:val="22"/>
          <w:lang w:val="es-ES"/>
        </w:rPr>
        <w:t xml:space="preserve"> </w:t>
      </w:r>
      <w:r w:rsidR="009B4FDC" w:rsidRPr="009B4FDC">
        <w:rPr>
          <w:snapToGrid w:val="0"/>
          <w:kern w:val="22"/>
          <w:szCs w:val="22"/>
          <w:lang w:val="es-ES"/>
        </w:rPr>
        <w:t>los progresos en la consecuci</w:t>
      </w:r>
      <w:r w:rsidR="009B4FDC">
        <w:rPr>
          <w:snapToGrid w:val="0"/>
          <w:kern w:val="22"/>
          <w:szCs w:val="22"/>
          <w:lang w:val="es-ES"/>
        </w:rPr>
        <w:t>ón de esta meta parecen alentadore</w:t>
      </w:r>
      <w:r w:rsidR="00236FE7">
        <w:rPr>
          <w:snapToGrid w:val="0"/>
          <w:kern w:val="22"/>
          <w:szCs w:val="22"/>
          <w:lang w:val="es-ES"/>
        </w:rPr>
        <w:t>s</w:t>
      </w:r>
      <w:r w:rsidR="00855A78" w:rsidRPr="009B4FDC">
        <w:rPr>
          <w:snapToGrid w:val="0"/>
          <w:kern w:val="22"/>
          <w:szCs w:val="22"/>
          <w:lang w:val="es-ES"/>
        </w:rPr>
        <w:t>.</w:t>
      </w:r>
    </w:p>
    <w:p w:rsidR="00855A78" w:rsidRPr="00582004" w:rsidRDefault="00A926F6"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A926F6">
        <w:rPr>
          <w:i/>
          <w:snapToGrid w:val="0"/>
          <w:kern w:val="22"/>
          <w:szCs w:val="22"/>
          <w:lang w:val="es-ES"/>
        </w:rPr>
        <w:t>M</w:t>
      </w:r>
      <w:r w:rsidR="00236FE7" w:rsidRPr="00A926F6">
        <w:rPr>
          <w:i/>
          <w:snapToGrid w:val="0"/>
          <w:kern w:val="22"/>
          <w:szCs w:val="22"/>
          <w:lang w:val="es-ES"/>
        </w:rPr>
        <w:t>eta</w:t>
      </w:r>
      <w:r w:rsidR="00855A78" w:rsidRPr="00A926F6">
        <w:rPr>
          <w:i/>
          <w:snapToGrid w:val="0"/>
          <w:kern w:val="22"/>
          <w:szCs w:val="22"/>
          <w:lang w:val="es-ES"/>
        </w:rPr>
        <w:t xml:space="preserve"> 1 c) </w:t>
      </w:r>
      <w:r w:rsidR="00236FE7" w:rsidRPr="00A926F6">
        <w:rPr>
          <w:i/>
          <w:snapToGrid w:val="0"/>
          <w:kern w:val="22"/>
          <w:szCs w:val="22"/>
          <w:lang w:val="es-ES"/>
        </w:rPr>
        <w:t>de la decisión</w:t>
      </w:r>
      <w:r w:rsidR="00855A78" w:rsidRPr="00A926F6">
        <w:rPr>
          <w:i/>
          <w:snapToGrid w:val="0"/>
          <w:kern w:val="22"/>
          <w:szCs w:val="22"/>
          <w:lang w:val="es-ES"/>
        </w:rPr>
        <w:t xml:space="preserve"> XII/3 </w:t>
      </w:r>
      <w:r w:rsidR="00855A78" w:rsidRPr="00A926F6">
        <w:rPr>
          <w:i/>
          <w:iCs/>
          <w:snapToGrid w:val="0"/>
          <w:kern w:val="22"/>
          <w:szCs w:val="22"/>
          <w:lang w:val="es-ES"/>
        </w:rPr>
        <w:t>(</w:t>
      </w:r>
      <w:r w:rsidRPr="00F600E5">
        <w:rPr>
          <w:i/>
          <w:iCs/>
          <w:kern w:val="22"/>
          <w:szCs w:val="22"/>
          <w:lang w:val="es-ES_tradnl"/>
        </w:rPr>
        <w:t>presentación de informes para 2015 de los gastos nacionales relacionados con la diversidad biológica, así como sus necesidades, deficiencias y prioridades de financiación)</w:t>
      </w:r>
      <w:r w:rsidRPr="00F600E5">
        <w:rPr>
          <w:kern w:val="22"/>
          <w:szCs w:val="22"/>
          <w:lang w:val="es-ES_tradnl"/>
        </w:rPr>
        <w:t xml:space="preserve">: </w:t>
      </w:r>
      <w:r w:rsidRPr="00F600E5">
        <w:rPr>
          <w:lang w:val="es-ES_tradnl"/>
        </w:rPr>
        <w:t>Si se hace una interpretación estricta, la meta no se ha alcanzado en 2015</w:t>
      </w:r>
      <w:r w:rsidRPr="00F600E5">
        <w:rPr>
          <w:kern w:val="22"/>
          <w:szCs w:val="22"/>
          <w:lang w:val="es-ES_tradnl"/>
        </w:rPr>
        <w:t xml:space="preserve">, dado que menos del 75% de las Partes notificaron gastos </w:t>
      </w:r>
      <w:r>
        <w:rPr>
          <w:kern w:val="22"/>
          <w:szCs w:val="22"/>
          <w:lang w:val="es-ES_tradnl"/>
        </w:rPr>
        <w:t xml:space="preserve">nacionales </w:t>
      </w:r>
      <w:r w:rsidRPr="00F600E5">
        <w:rPr>
          <w:kern w:val="22"/>
          <w:szCs w:val="22"/>
          <w:lang w:val="es-ES_tradnl"/>
        </w:rPr>
        <w:t>relacionados con la diversidad biológica, así como sus necesidades, deficiencias y prioridades de financiación. No obstante, entre los países que presentan informes, el progreso en la presentación de informes sobre gastos nacionales en materia de diversidad biológica es alentador</w:t>
      </w:r>
      <w:r>
        <w:rPr>
          <w:kern w:val="22"/>
          <w:szCs w:val="22"/>
          <w:lang w:val="es-ES_tradnl"/>
        </w:rPr>
        <w:t xml:space="preserve">, </w:t>
      </w:r>
      <w:r w:rsidR="00582004">
        <w:rPr>
          <w:snapToGrid w:val="0"/>
          <w:kern w:val="22"/>
          <w:szCs w:val="22"/>
          <w:lang w:val="es-ES"/>
        </w:rPr>
        <w:t>habida cuenta también del hecho de que la mitad de los países que presentan informes indicaron que no disponían de los recursos financieros adecuados para presentar informes sobre gastos nacionales en materia de diversidad biológica. No obstante, la presentación de informes sobre necesidades, carencias y prioridades de financiación parece ser más difícil, ya que más de la mitad de las Partes que presentan informes indicaron que no tenían los recursos financieros adecuados para presentar informes sobre necesidades, carencias y prioridades de financiación</w:t>
      </w:r>
      <w:r w:rsidR="00855A78" w:rsidRPr="00582004">
        <w:rPr>
          <w:snapToGrid w:val="0"/>
          <w:kern w:val="22"/>
          <w:szCs w:val="22"/>
          <w:lang w:val="es-ES"/>
        </w:rPr>
        <w:t>.</w:t>
      </w:r>
    </w:p>
    <w:p w:rsidR="00855A78" w:rsidRPr="003B4049" w:rsidRDefault="00582004"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582004">
        <w:rPr>
          <w:i/>
          <w:snapToGrid w:val="0"/>
          <w:kern w:val="22"/>
          <w:szCs w:val="22"/>
          <w:lang w:val="es-ES"/>
        </w:rPr>
        <w:t xml:space="preserve">Meta </w:t>
      </w:r>
      <w:r>
        <w:rPr>
          <w:i/>
          <w:snapToGrid w:val="0"/>
          <w:kern w:val="22"/>
          <w:szCs w:val="22"/>
          <w:lang w:val="es-ES"/>
        </w:rPr>
        <w:t xml:space="preserve">1 d) de la decisión XII/3 </w:t>
      </w:r>
      <w:r w:rsidRPr="00582004">
        <w:rPr>
          <w:i/>
          <w:iCs/>
          <w:snapToGrid w:val="0"/>
          <w:kern w:val="22"/>
          <w:szCs w:val="22"/>
          <w:lang w:val="es-ES"/>
        </w:rPr>
        <w:t>(</w:t>
      </w:r>
      <w:r w:rsidRPr="00F600E5">
        <w:rPr>
          <w:i/>
          <w:iCs/>
          <w:kern w:val="22"/>
          <w:szCs w:val="22"/>
          <w:lang w:val="es-ES_tradnl"/>
        </w:rPr>
        <w:t>preparación para 2015 de planes nacionales de financiación, y evaluación de los valores</w:t>
      </w:r>
      <w:r w:rsidRPr="00582004">
        <w:rPr>
          <w:i/>
          <w:iCs/>
          <w:snapToGrid w:val="0"/>
          <w:kern w:val="22"/>
          <w:szCs w:val="22"/>
          <w:lang w:val="es-ES"/>
        </w:rPr>
        <w:t>)</w:t>
      </w:r>
      <w:r>
        <w:rPr>
          <w:i/>
          <w:snapToGrid w:val="0"/>
          <w:kern w:val="22"/>
          <w:szCs w:val="22"/>
          <w:lang w:val="es-ES"/>
        </w:rPr>
        <w:t>:</w:t>
      </w:r>
      <w:r>
        <w:rPr>
          <w:snapToGrid w:val="0"/>
          <w:kern w:val="22"/>
          <w:szCs w:val="22"/>
          <w:lang w:val="es-ES"/>
        </w:rPr>
        <w:t xml:space="preserve"> Un total de 70 Partes respondieron si habían evaluado y/o valorado o no los valores </w:t>
      </w:r>
      <w:r>
        <w:rPr>
          <w:kern w:val="20"/>
          <w:lang w:val="es-ES"/>
        </w:rPr>
        <w:t xml:space="preserve">intrínsecos, ecológicos, genéticos, socioeconómicos, científicos, educativos, culturales, recreativos y estéticos de la diversidad biológica y sus componentes y, aunque solo cuatro países indicaron que se habían llevado a cabo evaluaciones exhaustivas, el 81 % de los países que presentan informes habían llevado a cabo al menos algunas evaluaciones, lo que parece indicar un progreso bastante satisfactorio con respecto a este elemento de la meta 1 d).  </w:t>
      </w:r>
      <w:r w:rsidR="003B4049" w:rsidRPr="009C6BD1">
        <w:rPr>
          <w:kern w:val="20"/>
          <w:lang w:val="es-ES"/>
        </w:rPr>
        <w:t>Sin embargo, solo 1</w:t>
      </w:r>
      <w:r w:rsidR="003B4049">
        <w:rPr>
          <w:kern w:val="20"/>
          <w:lang w:val="es-ES"/>
        </w:rPr>
        <w:t>5 Partes, o el 25 % de las Partes que presentan informes, proporcionaron elementos de un plan de financiación en el cuadro pertinente, principalmente facilitando cifras globales sobre la cuantía de recursos nacionales e internacionales que pensaban movilizar</w:t>
      </w:r>
      <w:r w:rsidR="00855A78" w:rsidRPr="003B4049">
        <w:rPr>
          <w:snapToGrid w:val="0"/>
          <w:kern w:val="22"/>
          <w:szCs w:val="22"/>
          <w:lang w:val="es-ES"/>
        </w:rPr>
        <w:t xml:space="preserve">. </w:t>
      </w:r>
      <w:r w:rsidR="003B4049" w:rsidRPr="003B4049">
        <w:rPr>
          <w:snapToGrid w:val="0"/>
          <w:kern w:val="22"/>
          <w:szCs w:val="22"/>
          <w:lang w:val="es-ES"/>
        </w:rPr>
        <w:t xml:space="preserve">Junto con el bajo número de informes </w:t>
      </w:r>
      <w:r w:rsidR="003B4049">
        <w:rPr>
          <w:snapToGrid w:val="0"/>
          <w:kern w:val="22"/>
          <w:szCs w:val="22"/>
          <w:lang w:val="es-ES"/>
        </w:rPr>
        <w:t xml:space="preserve">nuevos y </w:t>
      </w:r>
      <w:r w:rsidR="003B4049" w:rsidRPr="003B4049">
        <w:rPr>
          <w:snapToGrid w:val="0"/>
          <w:kern w:val="22"/>
          <w:szCs w:val="22"/>
          <w:lang w:val="es-ES"/>
        </w:rPr>
        <w:t>actualizados, esto parece indicar dificultades persistentes en el desarrollo y la presentaci</w:t>
      </w:r>
      <w:r w:rsidR="003B4049">
        <w:rPr>
          <w:snapToGrid w:val="0"/>
          <w:kern w:val="22"/>
          <w:szCs w:val="22"/>
          <w:lang w:val="es-ES"/>
        </w:rPr>
        <w:t>ón de sus planes de financiación nacionales</w:t>
      </w:r>
      <w:r w:rsidR="00855A78" w:rsidRPr="003B4049">
        <w:rPr>
          <w:snapToGrid w:val="0"/>
          <w:kern w:val="22"/>
          <w:szCs w:val="22"/>
          <w:lang w:val="es-ES"/>
        </w:rPr>
        <w:t xml:space="preserve">. </w:t>
      </w:r>
      <w:r w:rsidR="003B4049">
        <w:rPr>
          <w:snapToGrid w:val="0"/>
          <w:kern w:val="22"/>
          <w:szCs w:val="22"/>
          <w:lang w:val="es-ES"/>
        </w:rPr>
        <w:t>Consecuentemente</w:t>
      </w:r>
      <w:r w:rsidR="00855A78" w:rsidRPr="003B4049">
        <w:rPr>
          <w:snapToGrid w:val="0"/>
          <w:kern w:val="22"/>
          <w:szCs w:val="22"/>
          <w:lang w:val="es-ES"/>
        </w:rPr>
        <w:t xml:space="preserve">, </w:t>
      </w:r>
      <w:r w:rsidR="003B4049" w:rsidRPr="003B4049">
        <w:rPr>
          <w:snapToGrid w:val="0"/>
          <w:kern w:val="22"/>
          <w:szCs w:val="22"/>
          <w:lang w:val="es-ES"/>
        </w:rPr>
        <w:t>dos tercios de las Partes que presentan informes indicaron que no disponen de los recursos financieros adecuados para prepar</w:t>
      </w:r>
      <w:r w:rsidR="003B4049">
        <w:rPr>
          <w:snapToGrid w:val="0"/>
          <w:kern w:val="22"/>
          <w:szCs w:val="22"/>
          <w:lang w:val="es-ES"/>
        </w:rPr>
        <w:t>a</w:t>
      </w:r>
      <w:r w:rsidR="003B4049" w:rsidRPr="003B4049">
        <w:rPr>
          <w:snapToGrid w:val="0"/>
          <w:kern w:val="22"/>
          <w:szCs w:val="22"/>
          <w:lang w:val="es-ES"/>
        </w:rPr>
        <w:t>r los planes de financiaci</w:t>
      </w:r>
      <w:r w:rsidR="003B4049">
        <w:rPr>
          <w:snapToGrid w:val="0"/>
          <w:kern w:val="22"/>
          <w:szCs w:val="22"/>
          <w:lang w:val="es-ES"/>
        </w:rPr>
        <w:t>ón</w:t>
      </w:r>
      <w:r w:rsidR="00855A78" w:rsidRPr="003B4049">
        <w:rPr>
          <w:snapToGrid w:val="0"/>
          <w:kern w:val="22"/>
          <w:szCs w:val="22"/>
          <w:lang w:val="es-ES"/>
        </w:rPr>
        <w:t>.</w:t>
      </w:r>
    </w:p>
    <w:p w:rsidR="00855A78" w:rsidRPr="002E0BDB" w:rsidRDefault="003B4049" w:rsidP="00490BF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es-ES"/>
        </w:rPr>
      </w:pPr>
      <w:r w:rsidRPr="003B4049">
        <w:rPr>
          <w:i/>
          <w:snapToGrid w:val="0"/>
          <w:kern w:val="22"/>
          <w:szCs w:val="22"/>
          <w:lang w:val="es-ES"/>
        </w:rPr>
        <w:lastRenderedPageBreak/>
        <w:t>Meta</w:t>
      </w:r>
      <w:r w:rsidR="00855A78" w:rsidRPr="003B4049">
        <w:rPr>
          <w:i/>
          <w:snapToGrid w:val="0"/>
          <w:kern w:val="22"/>
          <w:szCs w:val="22"/>
          <w:lang w:val="es-ES"/>
        </w:rPr>
        <w:t xml:space="preserve"> 1</w:t>
      </w:r>
      <w:r w:rsidRPr="003B4049">
        <w:rPr>
          <w:i/>
          <w:snapToGrid w:val="0"/>
          <w:kern w:val="22"/>
          <w:szCs w:val="22"/>
          <w:lang w:val="es-ES"/>
        </w:rPr>
        <w:t xml:space="preserve"> </w:t>
      </w:r>
      <w:r w:rsidR="00855A78" w:rsidRPr="003B4049">
        <w:rPr>
          <w:i/>
          <w:snapToGrid w:val="0"/>
          <w:kern w:val="22"/>
          <w:szCs w:val="22"/>
          <w:lang w:val="es-ES"/>
        </w:rPr>
        <w:t xml:space="preserve">e) </w:t>
      </w:r>
      <w:r w:rsidRPr="003B4049">
        <w:rPr>
          <w:i/>
          <w:snapToGrid w:val="0"/>
          <w:kern w:val="22"/>
          <w:szCs w:val="22"/>
          <w:lang w:val="es-ES"/>
        </w:rPr>
        <w:t>de la decisión</w:t>
      </w:r>
      <w:r w:rsidR="00855A78" w:rsidRPr="003B4049">
        <w:rPr>
          <w:i/>
          <w:snapToGrid w:val="0"/>
          <w:kern w:val="22"/>
          <w:szCs w:val="22"/>
          <w:lang w:val="es-ES"/>
        </w:rPr>
        <w:t xml:space="preserve"> XII/3 </w:t>
      </w:r>
      <w:r w:rsidR="00855A78" w:rsidRPr="003B4049">
        <w:rPr>
          <w:i/>
          <w:iCs/>
          <w:snapToGrid w:val="0"/>
          <w:kern w:val="22"/>
          <w:szCs w:val="22"/>
          <w:lang w:val="es-ES"/>
        </w:rPr>
        <w:t>(</w:t>
      </w:r>
      <w:r w:rsidRPr="003B4049">
        <w:rPr>
          <w:i/>
          <w:iCs/>
          <w:kern w:val="22"/>
          <w:szCs w:val="22"/>
          <w:lang w:val="es-ES"/>
        </w:rPr>
        <w:t>movilización de recursos financieros nacionales</w:t>
      </w:r>
      <w:r w:rsidR="00855A78" w:rsidRPr="003B4049">
        <w:rPr>
          <w:i/>
          <w:iCs/>
          <w:snapToGrid w:val="0"/>
          <w:kern w:val="22"/>
          <w:szCs w:val="22"/>
          <w:lang w:val="es-ES"/>
        </w:rPr>
        <w:t>)</w:t>
      </w:r>
      <w:r w:rsidR="00855A78" w:rsidRPr="003B4049">
        <w:rPr>
          <w:i/>
          <w:snapToGrid w:val="0"/>
          <w:kern w:val="22"/>
          <w:szCs w:val="22"/>
          <w:lang w:val="es-ES"/>
        </w:rPr>
        <w:t xml:space="preserve">: </w:t>
      </w:r>
      <w:r w:rsidRPr="00F600E5">
        <w:rPr>
          <w:lang w:val="es-ES_tradnl"/>
        </w:rPr>
        <w:t xml:space="preserve">Esta meta no tiene un plazo para 2015 y los progresos realizados en relación con esta meta por lo tanto serían evaluados durante la segunda ronda de presentación de informes, junto con los sextos informes nacionales. </w:t>
      </w:r>
      <w:r w:rsidR="002E0BDB">
        <w:rPr>
          <w:snapToGrid w:val="0"/>
          <w:kern w:val="22"/>
          <w:szCs w:val="22"/>
          <w:lang w:val="es-ES"/>
        </w:rPr>
        <w:t>No obstante, para evaluar si el déficit de financiación se redujo o no mediante la movilización de recursos financieros nacionales, en primer lugar se debe establecer e informar sobre dicho déficit de financiación, y un progreso limitado en la identificación y en la presentación de informes sobre carencias de financiación y sobre la preparación de planes financieros nacionales también repercutirá a la hora de evaluar los progresos en relación con esta meta</w:t>
      </w:r>
      <w:r w:rsidR="00855A78" w:rsidRPr="002E0BDB">
        <w:rPr>
          <w:snapToGrid w:val="0"/>
          <w:kern w:val="22"/>
          <w:szCs w:val="22"/>
          <w:lang w:val="es-ES"/>
        </w:rPr>
        <w:t>.</w:t>
      </w:r>
    </w:p>
    <w:p w:rsidR="00855A78" w:rsidRPr="002E0BDB" w:rsidRDefault="00855A78" w:rsidP="00490BF5">
      <w:pPr>
        <w:suppressLineNumbers/>
        <w:suppressAutoHyphens/>
        <w:kinsoku w:val="0"/>
        <w:overflowPunct w:val="0"/>
        <w:autoSpaceDE w:val="0"/>
        <w:autoSpaceDN w:val="0"/>
        <w:adjustRightInd w:val="0"/>
        <w:snapToGrid w:val="0"/>
        <w:spacing w:after="120"/>
        <w:rPr>
          <w:snapToGrid w:val="0"/>
          <w:kern w:val="22"/>
          <w:szCs w:val="22"/>
          <w:lang w:val="es-ES"/>
        </w:rPr>
      </w:pPr>
    </w:p>
    <w:p w:rsidR="00795DD1" w:rsidRPr="002E0BDB" w:rsidRDefault="00795DD1" w:rsidP="00490BF5">
      <w:pPr>
        <w:suppressLineNumbers/>
        <w:suppressAutoHyphens/>
        <w:kinsoku w:val="0"/>
        <w:overflowPunct w:val="0"/>
        <w:autoSpaceDE w:val="0"/>
        <w:autoSpaceDN w:val="0"/>
        <w:adjustRightInd w:val="0"/>
        <w:snapToGrid w:val="0"/>
        <w:spacing w:after="120"/>
        <w:rPr>
          <w:snapToGrid w:val="0"/>
          <w:kern w:val="22"/>
          <w:szCs w:val="22"/>
          <w:lang w:val="es-ES"/>
        </w:rPr>
        <w:sectPr w:rsidR="00795DD1" w:rsidRPr="002E0BDB" w:rsidSect="006E604B">
          <w:headerReference w:type="even" r:id="rId16"/>
          <w:headerReference w:type="default" r:id="rId17"/>
          <w:footerReference w:type="even" r:id="rId18"/>
          <w:footerReference w:type="default" r:id="rId19"/>
          <w:headerReference w:type="first" r:id="rId20"/>
          <w:footerReference w:type="first" r:id="rId21"/>
          <w:pgSz w:w="12240" w:h="15840" w:code="1"/>
          <w:pgMar w:top="1134" w:right="1440" w:bottom="1140" w:left="1440" w:header="454" w:footer="720" w:gutter="0"/>
          <w:cols w:space="720"/>
          <w:titlePg/>
          <w:docGrid w:linePitch="299"/>
        </w:sectPr>
      </w:pPr>
    </w:p>
    <w:p w:rsidR="00855A78" w:rsidRPr="002F7233"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lang w:val="es-ES"/>
        </w:rPr>
      </w:pPr>
      <w:r w:rsidRPr="002F7233">
        <w:rPr>
          <w:b w:val="0"/>
          <w:i/>
          <w:snapToGrid w:val="0"/>
          <w:kern w:val="22"/>
          <w:szCs w:val="22"/>
          <w:lang w:val="es-ES"/>
        </w:rPr>
        <w:lastRenderedPageBreak/>
        <w:t>A</w:t>
      </w:r>
      <w:r w:rsidR="006E604B" w:rsidRPr="002F7233">
        <w:rPr>
          <w:b w:val="0"/>
          <w:i/>
          <w:caps w:val="0"/>
          <w:snapToGrid w:val="0"/>
          <w:kern w:val="22"/>
          <w:szCs w:val="22"/>
          <w:lang w:val="es-ES"/>
        </w:rPr>
        <w:t>n</w:t>
      </w:r>
      <w:r w:rsidR="002E0BDB" w:rsidRPr="002F7233">
        <w:rPr>
          <w:b w:val="0"/>
          <w:i/>
          <w:caps w:val="0"/>
          <w:snapToGrid w:val="0"/>
          <w:kern w:val="22"/>
          <w:szCs w:val="22"/>
          <w:lang w:val="es-ES"/>
        </w:rPr>
        <w:t>exo</w:t>
      </w:r>
      <w:r w:rsidRPr="002F7233">
        <w:rPr>
          <w:b w:val="0"/>
          <w:i/>
          <w:snapToGrid w:val="0"/>
          <w:kern w:val="22"/>
          <w:szCs w:val="22"/>
          <w:lang w:val="es-ES"/>
        </w:rPr>
        <w:t xml:space="preserve"> I</w:t>
      </w:r>
    </w:p>
    <w:p w:rsidR="00855A78" w:rsidRPr="002F7233" w:rsidRDefault="002F7233" w:rsidP="00490BF5">
      <w:pPr>
        <w:pStyle w:val="Heading1"/>
        <w:keepNext w:val="0"/>
        <w:suppressLineNumbers/>
        <w:suppressAutoHyphens/>
        <w:kinsoku w:val="0"/>
        <w:overflowPunct w:val="0"/>
        <w:autoSpaceDE w:val="0"/>
        <w:autoSpaceDN w:val="0"/>
        <w:adjustRightInd w:val="0"/>
        <w:snapToGrid w:val="0"/>
        <w:spacing w:before="120"/>
        <w:rPr>
          <w:snapToGrid w:val="0"/>
          <w:kern w:val="22"/>
          <w:szCs w:val="22"/>
          <w:lang w:val="es-ES"/>
        </w:rPr>
      </w:pPr>
      <w:r w:rsidRPr="002F7233">
        <w:rPr>
          <w:snapToGrid w:val="0"/>
          <w:kern w:val="22"/>
          <w:szCs w:val="22"/>
          <w:lang w:val="es-ES"/>
        </w:rPr>
        <w:t>METAS PARA LA MOVILIZACIÓN DE RECURSOS</w:t>
      </w:r>
    </w:p>
    <w:p w:rsidR="00855A78" w:rsidRPr="002F7233" w:rsidRDefault="006E604B" w:rsidP="00490BF5">
      <w:pPr>
        <w:suppressLineNumbers/>
        <w:suppressAutoHyphens/>
        <w:kinsoku w:val="0"/>
        <w:overflowPunct w:val="0"/>
        <w:autoSpaceDE w:val="0"/>
        <w:autoSpaceDN w:val="0"/>
        <w:adjustRightInd w:val="0"/>
        <w:snapToGrid w:val="0"/>
        <w:spacing w:after="120"/>
        <w:rPr>
          <w:snapToGrid w:val="0"/>
          <w:kern w:val="22"/>
          <w:szCs w:val="22"/>
          <w:lang w:val="es-ES"/>
        </w:rPr>
      </w:pPr>
      <w:r w:rsidRPr="002F7233">
        <w:rPr>
          <w:snapToGrid w:val="0"/>
          <w:kern w:val="22"/>
          <w:szCs w:val="22"/>
          <w:lang w:val="es-ES"/>
        </w:rPr>
        <w:t>1.</w:t>
      </w:r>
      <w:r w:rsidRPr="002F7233">
        <w:rPr>
          <w:snapToGrid w:val="0"/>
          <w:kern w:val="22"/>
          <w:szCs w:val="22"/>
          <w:lang w:val="es-ES"/>
        </w:rPr>
        <w:tab/>
      </w:r>
      <w:r w:rsidR="002F7233" w:rsidRPr="002F7233">
        <w:rPr>
          <w:snapToGrid w:val="0"/>
          <w:kern w:val="22"/>
          <w:szCs w:val="22"/>
          <w:lang w:val="es-ES"/>
        </w:rPr>
        <w:t>En el párrafo 1 de la decisión</w:t>
      </w:r>
      <w:r w:rsidR="00855A78" w:rsidRPr="002F7233">
        <w:rPr>
          <w:snapToGrid w:val="0"/>
          <w:kern w:val="22"/>
          <w:szCs w:val="22"/>
          <w:lang w:val="es-ES"/>
        </w:rPr>
        <w:t xml:space="preserve"> </w:t>
      </w:r>
      <w:hyperlink r:id="rId22" w:history="1">
        <w:r w:rsidR="00855A78" w:rsidRPr="002F7233">
          <w:rPr>
            <w:rStyle w:val="Hyperlink"/>
            <w:snapToGrid w:val="0"/>
            <w:kern w:val="22"/>
            <w:sz w:val="22"/>
            <w:szCs w:val="22"/>
            <w:lang w:val="es-ES"/>
          </w:rPr>
          <w:t>XII/3</w:t>
        </w:r>
      </w:hyperlink>
      <w:r w:rsidRPr="002F7233">
        <w:rPr>
          <w:snapToGrid w:val="0"/>
          <w:kern w:val="22"/>
          <w:szCs w:val="22"/>
          <w:lang w:val="es-ES"/>
        </w:rPr>
        <w:t xml:space="preserve">, </w:t>
      </w:r>
      <w:r w:rsidR="002F7233" w:rsidRPr="002F7233">
        <w:rPr>
          <w:snapToGrid w:val="0"/>
          <w:kern w:val="22"/>
          <w:szCs w:val="22"/>
          <w:lang w:val="es-ES"/>
        </w:rPr>
        <w:t>la Conferencia de las Partes</w:t>
      </w:r>
      <w:r w:rsidR="00855A78" w:rsidRPr="002F7233">
        <w:rPr>
          <w:snapToGrid w:val="0"/>
          <w:kern w:val="22"/>
          <w:szCs w:val="22"/>
          <w:lang w:val="es-ES"/>
        </w:rPr>
        <w:t xml:space="preserve"> </w:t>
      </w:r>
      <w:r w:rsidR="002F7233" w:rsidRPr="002F7233">
        <w:rPr>
          <w:snapToGrid w:val="0"/>
          <w:kern w:val="22"/>
          <w:szCs w:val="22"/>
          <w:lang w:val="es-ES"/>
        </w:rPr>
        <w:t xml:space="preserve">reafirmó su compromiso </w:t>
      </w:r>
      <w:r w:rsidR="002F7233" w:rsidRPr="00077FFB">
        <w:rPr>
          <w:kern w:val="20"/>
          <w:lang w:val="es-ES_tradnl"/>
        </w:rPr>
        <w:t>con un aumento sustancial global de la financiación total relacionada con la diversidad biológica para la aplicación del Plan Estratégico para la Diversidad Biológica 2011-2020 proveniente de una variedad de fuente</w:t>
      </w:r>
      <w:r w:rsidR="002F7233">
        <w:rPr>
          <w:kern w:val="20"/>
          <w:lang w:val="es-ES_tradnl"/>
        </w:rPr>
        <w:t>s</w:t>
      </w:r>
      <w:r w:rsidR="00855A78" w:rsidRPr="002F7233">
        <w:rPr>
          <w:snapToGrid w:val="0"/>
          <w:kern w:val="22"/>
          <w:szCs w:val="22"/>
          <w:lang w:val="es-ES"/>
        </w:rPr>
        <w:t xml:space="preserve">, </w:t>
      </w:r>
      <w:r w:rsidR="002F7233">
        <w:rPr>
          <w:snapToGrid w:val="0"/>
          <w:kern w:val="22"/>
          <w:szCs w:val="22"/>
          <w:lang w:val="es-ES"/>
        </w:rPr>
        <w:t>y</w:t>
      </w:r>
      <w:r w:rsidR="00855A78" w:rsidRPr="002F7233">
        <w:rPr>
          <w:snapToGrid w:val="0"/>
          <w:kern w:val="22"/>
          <w:szCs w:val="22"/>
          <w:lang w:val="es-ES"/>
        </w:rPr>
        <w:t xml:space="preserve"> adopt</w:t>
      </w:r>
      <w:r w:rsidR="002F7233">
        <w:rPr>
          <w:snapToGrid w:val="0"/>
          <w:kern w:val="22"/>
          <w:szCs w:val="22"/>
          <w:lang w:val="es-ES"/>
        </w:rPr>
        <w:t>ó</w:t>
      </w:r>
      <w:r w:rsidR="00855A78" w:rsidRPr="002F7233">
        <w:rPr>
          <w:snapToGrid w:val="0"/>
          <w:kern w:val="22"/>
          <w:szCs w:val="22"/>
          <w:lang w:val="es-ES"/>
        </w:rPr>
        <w:t xml:space="preserve"> </w:t>
      </w:r>
      <w:r w:rsidR="002F7233" w:rsidRPr="00077FFB">
        <w:rPr>
          <w:kern w:val="20"/>
          <w:lang w:val="es-ES_tradnl"/>
        </w:rPr>
        <w:t>las metas siguientes para la movilización de recursos, en el marco de la Meta 2</w:t>
      </w:r>
      <w:r w:rsidR="002F7233">
        <w:rPr>
          <w:kern w:val="20"/>
          <w:lang w:val="es-ES_tradnl"/>
        </w:rPr>
        <w:t>0 de Aichi del Plan Estratégico</w:t>
      </w:r>
      <w:r w:rsidR="002F7233" w:rsidRPr="00077FFB">
        <w:rPr>
          <w:kern w:val="20"/>
          <w:lang w:val="es-ES_tradnl"/>
        </w:rPr>
        <w:t>, de la siguiente manera</w:t>
      </w:r>
      <w:r w:rsidR="00855A78" w:rsidRPr="002F7233">
        <w:rPr>
          <w:snapToGrid w:val="0"/>
          <w:kern w:val="22"/>
          <w:szCs w:val="22"/>
          <w:lang w:val="es-ES"/>
        </w:rPr>
        <w:t>:</w:t>
      </w:r>
    </w:p>
    <w:p w:rsidR="00855A78" w:rsidRPr="002F7233" w:rsidRDefault="002F7233"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es-ES"/>
        </w:rPr>
      </w:pPr>
      <w:r w:rsidRPr="00077FFB">
        <w:rPr>
          <w:kern w:val="20"/>
          <w:szCs w:val="24"/>
          <w:lang w:val="es-ES_tradnl"/>
        </w:rPr>
        <w:t>Duplicar los flujos totales de recursos financieros internacionales relacionados con la diversidad biológica hacia los países en desarrollo, en particular los países menos adelantados y los pequeños Estados insulares en desarrollo, así como los países con economías en transición, utilizando una financiación media anual para la diversidad biológica durante los años 2006-2010 como referencia, antes de 2015 y por lo menos mantener ese nivel hasta 2020, de conformidad con el artículo 20 del Convenio, para contribuir al logro de los tres objetivos del Convenio, por ejemplo a través de la priorización de la diversidad biológica impulsada por los países en los planes de desarrollo de los países beneficiarios</w:t>
      </w:r>
      <w:r w:rsidR="00855A78" w:rsidRPr="002F7233">
        <w:rPr>
          <w:rFonts w:cs="Times New Roman"/>
          <w:kern w:val="22"/>
          <w:szCs w:val="22"/>
          <w:lang w:val="es-ES"/>
        </w:rPr>
        <w:t>;</w:t>
      </w:r>
    </w:p>
    <w:p w:rsidR="00855A78" w:rsidRPr="00471237" w:rsidRDefault="00471237"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es-ES"/>
        </w:rPr>
      </w:pPr>
      <w:r w:rsidRPr="00077FFB">
        <w:rPr>
          <w:kern w:val="20"/>
          <w:szCs w:val="24"/>
          <w:lang w:val="es-ES_tradnl"/>
        </w:rPr>
        <w:t>Procurar que, para 2015, el 100%</w:t>
      </w:r>
      <w:r>
        <w:rPr>
          <w:kern w:val="20"/>
          <w:szCs w:val="24"/>
          <w:lang w:val="es-ES_tradnl"/>
        </w:rPr>
        <w:t xml:space="preserve"> de las Partes</w:t>
      </w:r>
      <w:r w:rsidRPr="00077FFB">
        <w:rPr>
          <w:kern w:val="20"/>
          <w:szCs w:val="24"/>
          <w:lang w:val="es-ES_tradnl"/>
        </w:rPr>
        <w:t>, y en todo caso por lo menos un 75%, de las Partes hayan incluido a la diversidad biológica en sus prioridades o planes de desarrollo nacionales y que hayan, por lo tanto, adoptado las disposiciones financieras nacionales apropiadas</w:t>
      </w:r>
      <w:r w:rsidR="00855A78" w:rsidRPr="00471237">
        <w:rPr>
          <w:rFonts w:cs="Times New Roman"/>
          <w:kern w:val="22"/>
          <w:szCs w:val="22"/>
          <w:lang w:val="es-ES"/>
        </w:rPr>
        <w:t>;</w:t>
      </w:r>
    </w:p>
    <w:p w:rsidR="00855A78" w:rsidRPr="00471237" w:rsidRDefault="00471237"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es-ES"/>
        </w:rPr>
      </w:pPr>
      <w:r w:rsidRPr="00077FFB">
        <w:rPr>
          <w:kern w:val="20"/>
          <w:szCs w:val="24"/>
          <w:lang w:val="es-ES_tradnl"/>
        </w:rPr>
        <w:t>Procurar que, para 2015, el 100% de las Partes, y en todo caso por lo menos un 75%, de las Partes que cuenten con recursos financieros adecuados, haya informado sobre gastos nacionales en diversidad biológica y necesidades, déficits y prioridades de financiación, con el fin de mejorar la solidez de la base de referencia</w:t>
      </w:r>
      <w:r w:rsidR="00855A78" w:rsidRPr="00471237">
        <w:rPr>
          <w:rFonts w:cs="Times New Roman"/>
          <w:kern w:val="22"/>
          <w:szCs w:val="22"/>
          <w:lang w:val="es-ES"/>
        </w:rPr>
        <w:t>;</w:t>
      </w:r>
    </w:p>
    <w:p w:rsidR="00855A78" w:rsidRPr="00471237" w:rsidRDefault="00471237"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es-ES"/>
        </w:rPr>
      </w:pPr>
      <w:r w:rsidRPr="00077FFB">
        <w:rPr>
          <w:kern w:val="20"/>
          <w:szCs w:val="24"/>
          <w:lang w:val="es-ES_tradnl"/>
        </w:rPr>
        <w:t>Procurar que, para 2015, el 100% de las Partes, y en todo caso por lo menos un 75% de las Partes que cuenten con recursos financieros adecuados, haya diseñado planes financieros nacionales para la diversidad biológica, y que el 30% de esas Partes haya estimado y/o evaluado los valores intrínsecos, ecológicos, genéticos, soci</w:t>
      </w:r>
      <w:r>
        <w:rPr>
          <w:kern w:val="20"/>
          <w:szCs w:val="24"/>
          <w:lang w:val="es-ES_tradnl"/>
        </w:rPr>
        <w:t>oeconómicos</w:t>
      </w:r>
      <w:r w:rsidRPr="00077FFB">
        <w:rPr>
          <w:kern w:val="20"/>
          <w:szCs w:val="24"/>
          <w:lang w:val="es-ES_tradnl"/>
        </w:rPr>
        <w:t>, científicos, educativos, culturales, recreativos y estéticos de la diversidad biológica y sus componentes</w:t>
      </w:r>
      <w:r w:rsidR="00855A78" w:rsidRPr="00471237">
        <w:rPr>
          <w:rFonts w:cs="Times New Roman"/>
          <w:kern w:val="22"/>
          <w:szCs w:val="22"/>
          <w:lang w:val="es-ES"/>
        </w:rPr>
        <w:t>;</w:t>
      </w:r>
    </w:p>
    <w:p w:rsidR="00855A78" w:rsidRPr="00471237" w:rsidRDefault="00471237" w:rsidP="00490BF5">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es-ES"/>
        </w:rPr>
      </w:pPr>
      <w:r w:rsidRPr="00077FFB">
        <w:rPr>
          <w:kern w:val="20"/>
          <w:szCs w:val="24"/>
          <w:lang w:val="es-ES_tradnl"/>
        </w:rPr>
        <w:t>Movilizar recursos financieros nacionales de todas las fuentes para reducir la brecha entre las necesidades identificadas y los recursos disponibles en el plano nacional, a fin de que para 2020 se apliquen de manera efectiva las estrategias y planes de acción nacionales en materia de biodiversidad de las Partes, conforme al artículo 20</w:t>
      </w:r>
      <w:r w:rsidR="00855A78" w:rsidRPr="00471237">
        <w:rPr>
          <w:rFonts w:cs="Times New Roman"/>
          <w:kern w:val="22"/>
          <w:szCs w:val="22"/>
          <w:lang w:val="es-ES"/>
        </w:rPr>
        <w:t>;</w:t>
      </w:r>
    </w:p>
    <w:p w:rsidR="00855A78" w:rsidRPr="00471237" w:rsidRDefault="006E604B" w:rsidP="00490BF5">
      <w:pPr>
        <w:suppressLineNumbers/>
        <w:suppressAutoHyphens/>
        <w:kinsoku w:val="0"/>
        <w:overflowPunct w:val="0"/>
        <w:autoSpaceDE w:val="0"/>
        <w:autoSpaceDN w:val="0"/>
        <w:adjustRightInd w:val="0"/>
        <w:snapToGrid w:val="0"/>
        <w:spacing w:after="120"/>
        <w:rPr>
          <w:snapToGrid w:val="0"/>
          <w:kern w:val="22"/>
          <w:szCs w:val="22"/>
          <w:lang w:val="es-ES"/>
        </w:rPr>
      </w:pPr>
      <w:r w:rsidRPr="00471237">
        <w:rPr>
          <w:snapToGrid w:val="0"/>
          <w:kern w:val="22"/>
          <w:szCs w:val="22"/>
          <w:lang w:val="es-ES"/>
        </w:rPr>
        <w:t>2.</w:t>
      </w:r>
      <w:r w:rsidRPr="00471237">
        <w:rPr>
          <w:snapToGrid w:val="0"/>
          <w:kern w:val="22"/>
          <w:szCs w:val="22"/>
          <w:lang w:val="es-ES"/>
        </w:rPr>
        <w:tab/>
      </w:r>
      <w:r w:rsidR="00471237" w:rsidRPr="00471237">
        <w:rPr>
          <w:snapToGrid w:val="0"/>
          <w:kern w:val="22"/>
          <w:szCs w:val="22"/>
          <w:lang w:val="es-ES"/>
        </w:rPr>
        <w:t>En el párrafo</w:t>
      </w:r>
      <w:r w:rsidR="00855A78" w:rsidRPr="00471237">
        <w:rPr>
          <w:snapToGrid w:val="0"/>
          <w:kern w:val="22"/>
          <w:szCs w:val="22"/>
          <w:lang w:val="es-ES"/>
        </w:rPr>
        <w:t xml:space="preserve"> 2 </w:t>
      </w:r>
      <w:r w:rsidR="00471237" w:rsidRPr="00471237">
        <w:rPr>
          <w:snapToGrid w:val="0"/>
          <w:kern w:val="22"/>
          <w:szCs w:val="22"/>
          <w:lang w:val="es-ES"/>
        </w:rPr>
        <w:t>de la misma decisión, la Conferencia de las Partes</w:t>
      </w:r>
      <w:r w:rsidR="00855A78" w:rsidRPr="00471237">
        <w:rPr>
          <w:snapToGrid w:val="0"/>
          <w:kern w:val="22"/>
          <w:szCs w:val="22"/>
          <w:lang w:val="es-ES"/>
        </w:rPr>
        <w:t>, rec</w:t>
      </w:r>
      <w:r w:rsidR="00471237" w:rsidRPr="00471237">
        <w:rPr>
          <w:snapToGrid w:val="0"/>
          <w:kern w:val="22"/>
          <w:szCs w:val="22"/>
          <w:lang w:val="es-ES"/>
        </w:rPr>
        <w:t>ordando el artículo</w:t>
      </w:r>
      <w:r w:rsidR="00855A78" w:rsidRPr="00471237">
        <w:rPr>
          <w:snapToGrid w:val="0"/>
          <w:kern w:val="22"/>
          <w:szCs w:val="22"/>
          <w:lang w:val="es-ES"/>
        </w:rPr>
        <w:t xml:space="preserve"> 20 </w:t>
      </w:r>
      <w:r w:rsidR="00471237" w:rsidRPr="00471237">
        <w:rPr>
          <w:snapToGrid w:val="0"/>
          <w:kern w:val="22"/>
          <w:szCs w:val="22"/>
          <w:lang w:val="es-ES"/>
        </w:rPr>
        <w:t xml:space="preserve">del Convenio, decidió </w:t>
      </w:r>
      <w:r w:rsidR="00994F25">
        <w:rPr>
          <w:kern w:val="20"/>
          <w:lang w:val="es-ES"/>
        </w:rPr>
        <w:t>que se considerase que las metas de los apartados a) a e) anteriores se apoyan mutuamente</w:t>
      </w:r>
      <w:r w:rsidR="00994F25">
        <w:rPr>
          <w:snapToGrid w:val="0"/>
          <w:kern w:val="22"/>
          <w:szCs w:val="22"/>
          <w:lang w:val="es-ES"/>
        </w:rPr>
        <w:t xml:space="preserve"> y, en el párrafo 4, instaba </w:t>
      </w:r>
      <w:r w:rsidR="00994F25">
        <w:rPr>
          <w:kern w:val="20"/>
          <w:lang w:val="es-ES"/>
        </w:rPr>
        <w:t>a las Partes y otros Gobiernos a que, con el apoyo de organizaciones internacionales y regionales, desarrollasen sus estrategias nacionales de movilización de recursos o planes financieros de conformidad con las necesidades y prioridades identificadas, utilizando las metas para la movilización de recursos como un marco flexible</w:t>
      </w:r>
      <w:r w:rsidR="00855A78" w:rsidRPr="00471237">
        <w:rPr>
          <w:snapToGrid w:val="0"/>
          <w:kern w:val="22"/>
          <w:szCs w:val="22"/>
          <w:lang w:val="es-ES"/>
        </w:rPr>
        <w:t>.</w:t>
      </w:r>
    </w:p>
    <w:p w:rsidR="00855A78" w:rsidRPr="00471237" w:rsidRDefault="00855A78" w:rsidP="00490BF5">
      <w:pPr>
        <w:suppressLineNumbers/>
        <w:suppressAutoHyphens/>
        <w:kinsoku w:val="0"/>
        <w:overflowPunct w:val="0"/>
        <w:autoSpaceDE w:val="0"/>
        <w:autoSpaceDN w:val="0"/>
        <w:adjustRightInd w:val="0"/>
        <w:snapToGrid w:val="0"/>
        <w:spacing w:after="120"/>
        <w:rPr>
          <w:snapToGrid w:val="0"/>
          <w:kern w:val="22"/>
          <w:szCs w:val="22"/>
          <w:lang w:val="es-ES"/>
        </w:rPr>
      </w:pPr>
    </w:p>
    <w:p w:rsidR="00795DD1" w:rsidRPr="00471237" w:rsidRDefault="00795DD1" w:rsidP="00490BF5">
      <w:pPr>
        <w:suppressLineNumbers/>
        <w:suppressAutoHyphens/>
        <w:kinsoku w:val="0"/>
        <w:overflowPunct w:val="0"/>
        <w:autoSpaceDE w:val="0"/>
        <w:autoSpaceDN w:val="0"/>
        <w:adjustRightInd w:val="0"/>
        <w:snapToGrid w:val="0"/>
        <w:spacing w:after="120"/>
        <w:rPr>
          <w:snapToGrid w:val="0"/>
          <w:kern w:val="22"/>
          <w:szCs w:val="22"/>
          <w:lang w:val="es-ES"/>
        </w:rPr>
        <w:sectPr w:rsidR="00795DD1" w:rsidRPr="00471237" w:rsidSect="00490BF5">
          <w:pgSz w:w="12240" w:h="15840" w:code="1"/>
          <w:pgMar w:top="1134" w:right="1440" w:bottom="1140" w:left="1440" w:header="454" w:footer="720" w:gutter="0"/>
          <w:cols w:space="720"/>
          <w:docGrid w:linePitch="299"/>
        </w:sectPr>
      </w:pPr>
    </w:p>
    <w:p w:rsidR="006E604B" w:rsidRPr="00471237" w:rsidRDefault="006E604B" w:rsidP="00490BF5">
      <w:pPr>
        <w:pStyle w:val="Heading1"/>
        <w:keepNext w:val="0"/>
        <w:suppressLineNumbers/>
        <w:suppressAutoHyphens/>
        <w:kinsoku w:val="0"/>
        <w:overflowPunct w:val="0"/>
        <w:autoSpaceDE w:val="0"/>
        <w:autoSpaceDN w:val="0"/>
        <w:adjustRightInd w:val="0"/>
        <w:snapToGrid w:val="0"/>
        <w:rPr>
          <w:snapToGrid w:val="0"/>
          <w:kern w:val="22"/>
          <w:szCs w:val="22"/>
          <w:lang w:val="es-ES"/>
        </w:rPr>
      </w:pPr>
      <w:r w:rsidRPr="00471237">
        <w:rPr>
          <w:snapToGrid w:val="0"/>
          <w:kern w:val="22"/>
          <w:szCs w:val="22"/>
          <w:lang w:val="es-ES"/>
        </w:rPr>
        <w:br w:type="page"/>
      </w:r>
    </w:p>
    <w:p w:rsidR="004A2D2F" w:rsidRPr="00471237"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lang w:val="es-ES"/>
        </w:rPr>
        <w:sectPr w:rsidR="004A2D2F" w:rsidRPr="00471237" w:rsidSect="006E604B">
          <w:type w:val="continuous"/>
          <w:pgSz w:w="12240" w:h="15840" w:code="1"/>
          <w:pgMar w:top="1134" w:right="1440" w:bottom="1140" w:left="1440" w:header="454" w:footer="720" w:gutter="0"/>
          <w:cols w:num="3" w:space="720"/>
          <w:docGrid w:linePitch="299"/>
        </w:sectPr>
      </w:pPr>
    </w:p>
    <w:p w:rsidR="00855A78" w:rsidRPr="000A2496"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lang w:val="fr-CA"/>
        </w:rPr>
      </w:pPr>
      <w:r w:rsidRPr="000A2496">
        <w:rPr>
          <w:b w:val="0"/>
          <w:i/>
          <w:snapToGrid w:val="0"/>
          <w:kern w:val="22"/>
          <w:szCs w:val="22"/>
          <w:lang w:val="fr-CA"/>
        </w:rPr>
        <w:lastRenderedPageBreak/>
        <w:t>A</w:t>
      </w:r>
      <w:r w:rsidR="00994F25" w:rsidRPr="000A2496">
        <w:rPr>
          <w:b w:val="0"/>
          <w:i/>
          <w:caps w:val="0"/>
          <w:snapToGrid w:val="0"/>
          <w:kern w:val="22"/>
          <w:szCs w:val="22"/>
          <w:lang w:val="fr-CA"/>
        </w:rPr>
        <w:t>nexo</w:t>
      </w:r>
      <w:r w:rsidRPr="000A2496">
        <w:rPr>
          <w:b w:val="0"/>
          <w:i/>
          <w:snapToGrid w:val="0"/>
          <w:kern w:val="22"/>
          <w:szCs w:val="22"/>
          <w:lang w:val="fr-CA"/>
        </w:rPr>
        <w:t xml:space="preserve"> II</w:t>
      </w:r>
    </w:p>
    <w:p w:rsidR="004A2D2F" w:rsidRPr="00994F25" w:rsidRDefault="00994F25" w:rsidP="00490BF5">
      <w:pPr>
        <w:pStyle w:val="Heading1"/>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lang w:val="es-ES"/>
        </w:rPr>
        <w:sectPr w:rsidR="004A2D2F" w:rsidRPr="00994F25" w:rsidSect="00490BF5">
          <w:type w:val="continuous"/>
          <w:pgSz w:w="12240" w:h="15840" w:code="1"/>
          <w:pgMar w:top="1134" w:right="1440" w:bottom="1140" w:left="1440" w:header="454" w:footer="720" w:gutter="0"/>
          <w:cols w:space="720"/>
          <w:docGrid w:linePitch="299"/>
        </w:sectPr>
      </w:pPr>
      <w:r w:rsidRPr="00994F25">
        <w:rPr>
          <w:rFonts w:ascii="Times New Roman Bold" w:hAnsi="Times New Roman Bold" w:cs="Times New Roman Bold"/>
          <w:bCs/>
          <w:snapToGrid w:val="0"/>
          <w:kern w:val="22"/>
          <w:szCs w:val="22"/>
          <w:lang w:val="es-ES"/>
        </w:rPr>
        <w:t xml:space="preserve">LISTA CONSOLIDADA DE LAS PARTES QUE PRESENTARON INFORMACIÓN A TRAVÉS DEL </w:t>
      </w:r>
      <w:r w:rsidRPr="00F600E5">
        <w:rPr>
          <w:kern w:val="22"/>
          <w:szCs w:val="22"/>
          <w:lang w:val="es-ES_tradnl"/>
        </w:rPr>
        <w:t>marco de presentación de informes financieros</w:t>
      </w:r>
    </w:p>
    <w:p w:rsidR="004A2D2F" w:rsidRPr="00994F25" w:rsidRDefault="004A2D2F" w:rsidP="00490BF5">
      <w:pPr>
        <w:suppressLineNumbers/>
        <w:suppressAutoHyphens/>
        <w:kinsoku w:val="0"/>
        <w:overflowPunct w:val="0"/>
        <w:autoSpaceDE w:val="0"/>
        <w:autoSpaceDN w:val="0"/>
        <w:adjustRightInd w:val="0"/>
        <w:snapToGrid w:val="0"/>
        <w:rPr>
          <w:snapToGrid w:val="0"/>
          <w:kern w:val="22"/>
          <w:szCs w:val="22"/>
          <w:lang w:val="es-ES"/>
        </w:rPr>
        <w:sectPr w:rsidR="004A2D2F" w:rsidRPr="00994F25" w:rsidSect="006E604B">
          <w:type w:val="continuous"/>
          <w:pgSz w:w="12240" w:h="15840" w:code="1"/>
          <w:pgMar w:top="1134" w:right="1440" w:bottom="1140" w:left="1440" w:header="454" w:footer="720" w:gutter="0"/>
          <w:cols w:num="3" w:space="720"/>
          <w:docGrid w:linePitch="299"/>
        </w:sectPr>
      </w:pPr>
    </w:p>
    <w:p w:rsidR="006E604B" w:rsidRPr="00994F25" w:rsidRDefault="006E604B" w:rsidP="00490BF5">
      <w:pPr>
        <w:suppressLineNumbers/>
        <w:suppressAutoHyphens/>
        <w:kinsoku w:val="0"/>
        <w:overflowPunct w:val="0"/>
        <w:autoSpaceDE w:val="0"/>
        <w:autoSpaceDN w:val="0"/>
        <w:adjustRightInd w:val="0"/>
        <w:snapToGrid w:val="0"/>
        <w:rPr>
          <w:snapToGrid w:val="0"/>
          <w:kern w:val="22"/>
          <w:szCs w:val="22"/>
          <w:lang w:val="es-ES"/>
        </w:rPr>
      </w:pP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Alemania</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Austria</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w:t>
      </w:r>
      <w:r w:rsidR="004C29A8">
        <w:rPr>
          <w:snapToGrid w:val="0"/>
          <w:kern w:val="22"/>
          <w:szCs w:val="22"/>
        </w:rPr>
        <w:t>arbados</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Bolivia-Herzegovina</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w:t>
      </w:r>
      <w:r w:rsidR="004C29A8">
        <w:rPr>
          <w:snapToGrid w:val="0"/>
          <w:kern w:val="22"/>
          <w:szCs w:val="22"/>
        </w:rPr>
        <w:t xml:space="preserve">osnia-Herzegovina </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w:t>
      </w:r>
      <w:r w:rsidR="004C29A8">
        <w:rPr>
          <w:snapToGrid w:val="0"/>
          <w:kern w:val="22"/>
          <w:szCs w:val="22"/>
        </w:rPr>
        <w:t xml:space="preserve">ulgaria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B</w:t>
      </w:r>
      <w:r w:rsidRPr="00490BF5">
        <w:rPr>
          <w:snapToGrid w:val="0"/>
          <w:kern w:val="22"/>
          <w:szCs w:val="22"/>
        </w:rPr>
        <w:t>u</w:t>
      </w:r>
      <w:r>
        <w:rPr>
          <w:snapToGrid w:val="0"/>
          <w:kern w:val="22"/>
          <w:szCs w:val="22"/>
        </w:rPr>
        <w:t>rkina Faso</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Bur</w:t>
      </w:r>
      <w:r>
        <w:rPr>
          <w:snapToGrid w:val="0"/>
          <w:kern w:val="22"/>
          <w:szCs w:val="22"/>
        </w:rPr>
        <w:t>undi</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Bu</w:t>
      </w:r>
      <w:r>
        <w:rPr>
          <w:snapToGrid w:val="0"/>
          <w:kern w:val="22"/>
          <w:szCs w:val="22"/>
        </w:rPr>
        <w:t>tán</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Canad</w:t>
      </w:r>
      <w:r>
        <w:rPr>
          <w:snapToGrid w:val="0"/>
          <w:kern w:val="22"/>
          <w:szCs w:val="22"/>
        </w:rPr>
        <w:t>á</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Ch</w:t>
      </w:r>
      <w:r>
        <w:rPr>
          <w:snapToGrid w:val="0"/>
          <w:kern w:val="22"/>
          <w:szCs w:val="22"/>
        </w:rPr>
        <w:t>equia</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Chi</w:t>
      </w:r>
      <w:r>
        <w:rPr>
          <w:snapToGrid w:val="0"/>
          <w:kern w:val="22"/>
          <w:szCs w:val="22"/>
        </w:rPr>
        <w:t>le</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w:t>
      </w:r>
      <w:r>
        <w:rPr>
          <w:snapToGrid w:val="0"/>
          <w:kern w:val="22"/>
          <w:szCs w:val="22"/>
        </w:rPr>
        <w:t>hina</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Co</w:t>
      </w:r>
      <w:r>
        <w:rPr>
          <w:snapToGrid w:val="0"/>
          <w:kern w:val="22"/>
          <w:szCs w:val="22"/>
        </w:rPr>
        <w:t>lombia</w:t>
      </w:r>
      <w:r w:rsidRPr="00490BF5">
        <w:rPr>
          <w:snapToGrid w:val="0"/>
          <w:kern w:val="22"/>
          <w:szCs w:val="22"/>
        </w:rPr>
        <w:t xml:space="preserve"> </w:t>
      </w:r>
    </w:p>
    <w:p w:rsidR="00855A78" w:rsidRPr="004C29A8"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4C29A8">
        <w:rPr>
          <w:snapToGrid w:val="0"/>
          <w:kern w:val="22"/>
          <w:szCs w:val="22"/>
          <w:lang w:val="es-ES"/>
        </w:rPr>
        <w:t xml:space="preserve">Costa de Marfil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C29A8">
        <w:rPr>
          <w:snapToGrid w:val="0"/>
          <w:kern w:val="22"/>
          <w:szCs w:val="22"/>
          <w:lang w:val="es-ES"/>
        </w:rPr>
        <w:t>Costa Rica</w:t>
      </w:r>
      <w:r w:rsidRPr="00490BF5">
        <w:rPr>
          <w:snapToGrid w:val="0"/>
          <w:kern w:val="22"/>
          <w:szCs w:val="22"/>
        </w:rPr>
        <w:t xml:space="preserve"> </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C</w:t>
      </w:r>
      <w:r>
        <w:rPr>
          <w:snapToGrid w:val="0"/>
          <w:kern w:val="22"/>
          <w:szCs w:val="22"/>
        </w:rPr>
        <w:t>roacia</w:t>
      </w:r>
      <w:r w:rsidRPr="00490BF5">
        <w:rPr>
          <w:snapToGrid w:val="0"/>
          <w:kern w:val="22"/>
          <w:szCs w:val="22"/>
        </w:rPr>
        <w:t xml:space="preserve"> </w:t>
      </w:r>
    </w:p>
    <w:p w:rsidR="00855A78" w:rsidRPr="00696CB4"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696CB4">
        <w:rPr>
          <w:snapToGrid w:val="0"/>
          <w:kern w:val="22"/>
          <w:szCs w:val="22"/>
        </w:rPr>
        <w:t xml:space="preserve">Cuba </w:t>
      </w:r>
    </w:p>
    <w:p w:rsidR="00855A78" w:rsidRPr="00696CB4" w:rsidRDefault="004C29A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696CB4">
        <w:rPr>
          <w:snapToGrid w:val="0"/>
          <w:kern w:val="22"/>
          <w:szCs w:val="22"/>
        </w:rPr>
        <w:t xml:space="preserve">Dinamarca </w:t>
      </w:r>
    </w:p>
    <w:p w:rsidR="00855A78" w:rsidRPr="00696CB4" w:rsidRDefault="00696CB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696CB4">
        <w:rPr>
          <w:snapToGrid w:val="0"/>
          <w:kern w:val="22"/>
          <w:szCs w:val="22"/>
        </w:rPr>
        <w:t>Ecuador</w:t>
      </w:r>
    </w:p>
    <w:p w:rsidR="00855A78" w:rsidRPr="00490BF5" w:rsidRDefault="00696CB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Eg</w:t>
      </w:r>
      <w:r>
        <w:rPr>
          <w:snapToGrid w:val="0"/>
          <w:kern w:val="22"/>
          <w:szCs w:val="22"/>
        </w:rPr>
        <w:t>ipto</w:t>
      </w:r>
      <w:r w:rsidR="004C29A8" w:rsidRPr="00490BF5">
        <w:rPr>
          <w:snapToGrid w:val="0"/>
          <w:kern w:val="22"/>
          <w:szCs w:val="22"/>
        </w:rPr>
        <w:t xml:space="preserve"> </w:t>
      </w:r>
    </w:p>
    <w:p w:rsidR="00855A78" w:rsidRPr="00490BF5" w:rsidRDefault="00696CB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Eritrea</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Eslovaquia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Eslovenia </w:t>
      </w:r>
      <w:r w:rsidR="004C29A8" w:rsidRPr="00490BF5">
        <w:rPr>
          <w:snapToGrid w:val="0"/>
          <w:kern w:val="22"/>
          <w:szCs w:val="22"/>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España </w:t>
      </w:r>
      <w:r w:rsidR="004C29A8" w:rsidRPr="00490BF5">
        <w:rPr>
          <w:snapToGrid w:val="0"/>
          <w:kern w:val="22"/>
          <w:szCs w:val="22"/>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Estonia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Etiopía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Filipinas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Finlandia</w:t>
      </w:r>
      <w:r w:rsidR="004C29A8" w:rsidRPr="00490BF5">
        <w:rPr>
          <w:snapToGrid w:val="0"/>
          <w:kern w:val="22"/>
          <w:szCs w:val="22"/>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Francia</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Georgia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Grecia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Guinea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 xml:space="preserve">Hungría </w:t>
      </w:r>
    </w:p>
    <w:p w:rsidR="00855A78" w:rsidRPr="00696CB4"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India</w:t>
      </w:r>
      <w:r w:rsidRPr="00696CB4">
        <w:rPr>
          <w:snapToGrid w:val="0"/>
          <w:kern w:val="22"/>
          <w:szCs w:val="22"/>
          <w:lang w:val="es-ES"/>
        </w:rPr>
        <w:t xml:space="preserve">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696CB4">
        <w:rPr>
          <w:snapToGrid w:val="0"/>
          <w:kern w:val="22"/>
          <w:szCs w:val="22"/>
          <w:lang w:val="es-ES"/>
        </w:rPr>
        <w:t>Irán (República Islámica de)</w:t>
      </w:r>
      <w:r w:rsidR="00696CB4" w:rsidRPr="000C0EE0">
        <w:rPr>
          <w:snapToGrid w:val="0"/>
          <w:kern w:val="22"/>
          <w:szCs w:val="22"/>
          <w:lang w:val="es-ES"/>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lang w:val="es-ES"/>
        </w:rPr>
        <w:t xml:space="preserve">Japón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lang w:val="es-ES"/>
        </w:rPr>
        <w:t>Kuwait</w:t>
      </w:r>
      <w:r>
        <w:rPr>
          <w:snapToGrid w:val="0"/>
          <w:kern w:val="22"/>
          <w:szCs w:val="22"/>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Letonia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Líbano</w:t>
      </w:r>
      <w:r w:rsidRPr="00490BF5">
        <w:rPr>
          <w:snapToGrid w:val="0"/>
          <w:kern w:val="22"/>
          <w:szCs w:val="22"/>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L</w:t>
      </w:r>
      <w:r>
        <w:rPr>
          <w:snapToGrid w:val="0"/>
          <w:kern w:val="22"/>
          <w:szCs w:val="22"/>
        </w:rPr>
        <w:t xml:space="preserve">uxemburgo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Madagascar</w:t>
      </w:r>
      <w:r w:rsidR="00696CB4" w:rsidRPr="00490BF5">
        <w:rPr>
          <w:snapToGrid w:val="0"/>
          <w:kern w:val="22"/>
          <w:szCs w:val="22"/>
        </w:rPr>
        <w:t xml:space="preserve"> </w:t>
      </w:r>
    </w:p>
    <w:p w:rsidR="008256D9"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Malawi </w:t>
      </w:r>
    </w:p>
    <w:p w:rsidR="008256D9"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Maldivas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Malta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Marruecos </w:t>
      </w:r>
    </w:p>
    <w:p w:rsidR="00855A78" w:rsidRPr="00696CB4"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 xml:space="preserve">Mauritania </w:t>
      </w:r>
    </w:p>
    <w:p w:rsidR="00855A78" w:rsidRPr="00696CB4"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México</w:t>
      </w:r>
      <w:r w:rsidRPr="00696CB4">
        <w:rPr>
          <w:snapToGrid w:val="0"/>
          <w:kern w:val="22"/>
          <w:szCs w:val="22"/>
          <w:lang w:val="es-ES"/>
        </w:rPr>
        <w:t xml:space="preserve">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696CB4">
        <w:rPr>
          <w:snapToGrid w:val="0"/>
          <w:kern w:val="22"/>
          <w:szCs w:val="22"/>
          <w:lang w:val="es-ES"/>
        </w:rPr>
        <w:t>M</w:t>
      </w:r>
      <w:r>
        <w:rPr>
          <w:snapToGrid w:val="0"/>
          <w:kern w:val="22"/>
          <w:szCs w:val="22"/>
          <w:lang w:val="es-ES"/>
        </w:rPr>
        <w:t>icronesia (Estados Federados de)</w:t>
      </w:r>
      <w:r w:rsidR="00696CB4" w:rsidRPr="000C0EE0">
        <w:rPr>
          <w:snapToGrid w:val="0"/>
          <w:kern w:val="22"/>
          <w:szCs w:val="22"/>
          <w:lang w:val="es-ES"/>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lang w:val="es-ES"/>
        </w:rPr>
        <w:t xml:space="preserve">Mozambique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lang w:val="es-ES"/>
        </w:rPr>
        <w:t>Myanmar</w:t>
      </w:r>
      <w:r>
        <w:rPr>
          <w:snapToGrid w:val="0"/>
          <w:kern w:val="22"/>
          <w:szCs w:val="22"/>
        </w:rPr>
        <w:t xml:space="preserve">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 xml:space="preserve">Niue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 xml:space="preserve">Noruega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 xml:space="preserve">Nueva Zelanda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0C0EE0">
        <w:rPr>
          <w:snapToGrid w:val="0"/>
          <w:kern w:val="22"/>
          <w:szCs w:val="22"/>
          <w:lang w:val="es-ES"/>
        </w:rPr>
        <w:t xml:space="preserve">Países Bajos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0C0EE0">
        <w:rPr>
          <w:snapToGrid w:val="0"/>
          <w:kern w:val="22"/>
          <w:szCs w:val="22"/>
          <w:lang w:val="es-ES"/>
        </w:rPr>
        <w:t>Panamá</w:t>
      </w:r>
      <w:r>
        <w:rPr>
          <w:snapToGrid w:val="0"/>
          <w:kern w:val="22"/>
          <w:szCs w:val="22"/>
        </w:rPr>
        <w:t xml:space="preserve"> </w:t>
      </w:r>
    </w:p>
    <w:p w:rsidR="00855A78" w:rsidRPr="00696CB4"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 xml:space="preserve">Perú </w:t>
      </w:r>
    </w:p>
    <w:p w:rsidR="00855A78" w:rsidRPr="00696CB4"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Polonia</w:t>
      </w:r>
      <w:r w:rsidRPr="00696CB4">
        <w:rPr>
          <w:snapToGrid w:val="0"/>
          <w:kern w:val="22"/>
          <w:szCs w:val="22"/>
          <w:lang w:val="es-ES"/>
        </w:rPr>
        <w:t xml:space="preserve"> </w:t>
      </w:r>
    </w:p>
    <w:p w:rsidR="00855A78" w:rsidRPr="00696CB4"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696CB4">
        <w:rPr>
          <w:snapToGrid w:val="0"/>
          <w:kern w:val="22"/>
          <w:szCs w:val="22"/>
          <w:lang w:val="es-ES"/>
        </w:rPr>
        <w:t>Reino Unido de Gran Bretaña e Irlanda del Norte</w:t>
      </w:r>
      <w:r>
        <w:rPr>
          <w:snapToGrid w:val="0"/>
          <w:kern w:val="22"/>
          <w:szCs w:val="22"/>
          <w:lang w:val="es-ES"/>
        </w:rPr>
        <w:t xml:space="preserve">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Pr>
          <w:snapToGrid w:val="0"/>
          <w:kern w:val="22"/>
          <w:szCs w:val="22"/>
          <w:lang w:val="es-ES"/>
        </w:rPr>
        <w:t xml:space="preserve">República Democrática del Congo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Pr>
          <w:snapToGrid w:val="0"/>
          <w:kern w:val="22"/>
          <w:szCs w:val="22"/>
          <w:lang w:val="es-ES"/>
        </w:rPr>
        <w:t>República de Corea</w:t>
      </w:r>
      <w:r w:rsidRPr="000C0EE0">
        <w:rPr>
          <w:snapToGrid w:val="0"/>
          <w:kern w:val="22"/>
          <w:szCs w:val="22"/>
          <w:lang w:val="es-ES"/>
        </w:rPr>
        <w:t xml:space="preserve"> </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es-ES"/>
        </w:rPr>
      </w:pPr>
      <w:r w:rsidRPr="000C0EE0">
        <w:rPr>
          <w:snapToGrid w:val="0"/>
          <w:kern w:val="22"/>
          <w:szCs w:val="22"/>
          <w:lang w:val="es-ES"/>
        </w:rPr>
        <w:t xml:space="preserve">República de Moldavia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0C0EE0">
        <w:rPr>
          <w:snapToGrid w:val="0"/>
          <w:kern w:val="22"/>
          <w:szCs w:val="22"/>
          <w:lang w:val="es-ES"/>
        </w:rPr>
        <w:t xml:space="preserve">Ruanda </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Serbia</w:t>
      </w:r>
    </w:p>
    <w:p w:rsidR="00855A78" w:rsidRPr="00490BF5"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Pr>
          <w:snapToGrid w:val="0"/>
          <w:kern w:val="22"/>
          <w:szCs w:val="22"/>
        </w:rPr>
        <w:t>Sudáfrica</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w:t>
      </w:r>
      <w:r w:rsidR="000C0EE0">
        <w:rPr>
          <w:snapToGrid w:val="0"/>
          <w:kern w:val="22"/>
          <w:szCs w:val="22"/>
        </w:rPr>
        <w:t>udán</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Sud</w:t>
      </w:r>
      <w:r w:rsidR="000C0EE0">
        <w:rPr>
          <w:snapToGrid w:val="0"/>
          <w:kern w:val="22"/>
          <w:szCs w:val="22"/>
        </w:rPr>
        <w:t>án del Sur</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Surinam</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w:t>
      </w:r>
      <w:r w:rsidR="000C0EE0">
        <w:rPr>
          <w:snapToGrid w:val="0"/>
          <w:kern w:val="22"/>
          <w:szCs w:val="22"/>
        </w:rPr>
        <w:t>u</w:t>
      </w:r>
      <w:r w:rsidRPr="00490BF5">
        <w:rPr>
          <w:snapToGrid w:val="0"/>
          <w:kern w:val="22"/>
          <w:szCs w:val="22"/>
        </w:rPr>
        <w:t>aziland</w:t>
      </w:r>
      <w:r w:rsidR="000C0EE0">
        <w:rPr>
          <w:snapToGrid w:val="0"/>
          <w:kern w:val="22"/>
          <w:szCs w:val="22"/>
        </w:rPr>
        <w:t>ia</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w:t>
      </w:r>
      <w:r w:rsidR="000C0EE0">
        <w:rPr>
          <w:snapToGrid w:val="0"/>
          <w:kern w:val="22"/>
          <w:szCs w:val="22"/>
        </w:rPr>
        <w:t>uecia</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S</w:t>
      </w:r>
      <w:r w:rsidR="000C0EE0">
        <w:rPr>
          <w:snapToGrid w:val="0"/>
          <w:kern w:val="22"/>
          <w:szCs w:val="22"/>
        </w:rPr>
        <w:t>uiza</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sidRPr="00490BF5">
        <w:rPr>
          <w:snapToGrid w:val="0"/>
          <w:kern w:val="22"/>
          <w:szCs w:val="22"/>
        </w:rPr>
        <w:t>T</w:t>
      </w:r>
      <w:r w:rsidR="000C0EE0">
        <w:rPr>
          <w:snapToGrid w:val="0"/>
          <w:kern w:val="22"/>
          <w:szCs w:val="22"/>
        </w:rPr>
        <w:t>únez</w:t>
      </w:r>
    </w:p>
    <w:p w:rsidR="00855A78" w:rsidRPr="000C0EE0" w:rsidRDefault="00855A7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sidRPr="000C0EE0">
        <w:rPr>
          <w:snapToGrid w:val="0"/>
          <w:kern w:val="22"/>
          <w:szCs w:val="22"/>
        </w:rPr>
        <w:t>Uganda</w:t>
      </w:r>
    </w:p>
    <w:p w:rsidR="00855A78" w:rsidRPr="000C0EE0" w:rsidRDefault="000C0EE0"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0C0EE0">
        <w:rPr>
          <w:snapToGrid w:val="0"/>
          <w:kern w:val="22"/>
          <w:szCs w:val="22"/>
        </w:rPr>
        <w:t>Unión Europea</w:t>
      </w:r>
    </w:p>
    <w:p w:rsidR="00855A78" w:rsidRPr="00490BF5" w:rsidRDefault="004C29A8"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rPr>
      </w:pPr>
      <w:r>
        <w:rPr>
          <w:snapToGrid w:val="0"/>
          <w:kern w:val="22"/>
          <w:szCs w:val="22"/>
        </w:rPr>
        <w:t>U</w:t>
      </w:r>
      <w:r w:rsidR="000C0EE0">
        <w:rPr>
          <w:snapToGrid w:val="0"/>
          <w:kern w:val="22"/>
          <w:szCs w:val="22"/>
        </w:rPr>
        <w:t>ruguay</w:t>
      </w:r>
    </w:p>
    <w:p w:rsidR="00855A78" w:rsidRPr="00490BF5" w:rsidRDefault="00855A78"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rPr>
      </w:pPr>
      <w:r w:rsidRPr="00490BF5">
        <w:rPr>
          <w:snapToGrid w:val="0"/>
          <w:kern w:val="22"/>
          <w:szCs w:val="22"/>
        </w:rPr>
        <w:t>Venezuela</w:t>
      </w:r>
      <w:r w:rsidR="003221AC" w:rsidRPr="00490BF5">
        <w:rPr>
          <w:snapToGrid w:val="0"/>
          <w:kern w:val="22"/>
          <w:szCs w:val="22"/>
        </w:rPr>
        <w:t xml:space="preserve"> (</w:t>
      </w:r>
      <w:r w:rsidR="000C0EE0">
        <w:rPr>
          <w:snapToGrid w:val="0"/>
          <w:kern w:val="22"/>
          <w:szCs w:val="22"/>
        </w:rPr>
        <w:t>República Bolivariana de</w:t>
      </w:r>
      <w:r w:rsidR="003221AC" w:rsidRPr="00490BF5">
        <w:rPr>
          <w:snapToGrid w:val="0"/>
          <w:kern w:val="22"/>
          <w:szCs w:val="22"/>
        </w:rPr>
        <w:t>)</w:t>
      </w:r>
    </w:p>
    <w:p w:rsidR="004A2D2F" w:rsidRPr="00490BF5"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rPr>
        <w:sectPr w:rsidR="004A2D2F" w:rsidRPr="00490BF5" w:rsidSect="00490BF5">
          <w:type w:val="continuous"/>
          <w:pgSz w:w="12240" w:h="15840" w:code="1"/>
          <w:pgMar w:top="1134" w:right="1440" w:bottom="1140" w:left="1440" w:header="454" w:footer="720" w:gutter="0"/>
          <w:cols w:num="3" w:space="720"/>
          <w:titlePg/>
          <w:docGrid w:linePitch="299"/>
        </w:sectPr>
      </w:pPr>
    </w:p>
    <w:p w:rsidR="00855A78" w:rsidRPr="00490BF5"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rPr>
      </w:pPr>
      <w:r w:rsidRPr="00490BF5">
        <w:rPr>
          <w:b w:val="0"/>
          <w:i/>
          <w:snapToGrid w:val="0"/>
          <w:kern w:val="22"/>
          <w:szCs w:val="22"/>
        </w:rPr>
        <w:lastRenderedPageBreak/>
        <w:t>A</w:t>
      </w:r>
      <w:r w:rsidR="006E604B" w:rsidRPr="00490BF5">
        <w:rPr>
          <w:b w:val="0"/>
          <w:i/>
          <w:caps w:val="0"/>
          <w:snapToGrid w:val="0"/>
          <w:kern w:val="22"/>
          <w:szCs w:val="22"/>
        </w:rPr>
        <w:t>n</w:t>
      </w:r>
      <w:r w:rsidR="000C0EE0">
        <w:rPr>
          <w:b w:val="0"/>
          <w:i/>
          <w:caps w:val="0"/>
          <w:snapToGrid w:val="0"/>
          <w:kern w:val="22"/>
          <w:szCs w:val="22"/>
        </w:rPr>
        <w:t>exo</w:t>
      </w:r>
      <w:r w:rsidRPr="00490BF5">
        <w:rPr>
          <w:b w:val="0"/>
          <w:i/>
          <w:snapToGrid w:val="0"/>
          <w:kern w:val="22"/>
          <w:szCs w:val="22"/>
        </w:rPr>
        <w:t xml:space="preserve"> III</w:t>
      </w:r>
    </w:p>
    <w:p w:rsidR="00855A78" w:rsidRPr="002F218F" w:rsidRDefault="00855A78" w:rsidP="00490BF5">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lang w:val="es-ES"/>
        </w:rPr>
      </w:pPr>
      <w:r w:rsidRPr="002F218F">
        <w:rPr>
          <w:snapToGrid w:val="0"/>
          <w:kern w:val="22"/>
          <w:szCs w:val="22"/>
          <w:lang w:val="es-ES"/>
        </w:rPr>
        <w:t>Progres</w:t>
      </w:r>
      <w:r w:rsidR="002F218F" w:rsidRPr="002F218F">
        <w:rPr>
          <w:snapToGrid w:val="0"/>
          <w:kern w:val="22"/>
          <w:szCs w:val="22"/>
          <w:lang w:val="es-ES"/>
        </w:rPr>
        <w:t xml:space="preserve">OS DE LOS PAÍSES DE </w:t>
      </w:r>
      <w:r w:rsidRPr="002F218F">
        <w:rPr>
          <w:snapToGrid w:val="0"/>
          <w:kern w:val="22"/>
          <w:szCs w:val="22"/>
          <w:lang w:val="es-ES"/>
        </w:rPr>
        <w:t>BIOFIN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6"/>
        <w:gridCol w:w="1259"/>
        <w:gridCol w:w="1383"/>
        <w:gridCol w:w="1440"/>
        <w:gridCol w:w="1350"/>
        <w:gridCol w:w="1350"/>
        <w:gridCol w:w="1260"/>
      </w:tblGrid>
      <w:tr w:rsidR="007E5F44" w:rsidRPr="000D1E7C" w:rsidTr="00490BF5">
        <w:trPr>
          <w:jc w:val="center"/>
        </w:trPr>
        <w:tc>
          <w:tcPr>
            <w:tcW w:w="1606" w:type="dxa"/>
            <w:tcMar>
              <w:top w:w="43" w:type="dxa"/>
              <w:left w:w="43" w:type="dxa"/>
              <w:bottom w:w="43" w:type="dxa"/>
              <w:right w:w="43" w:type="dxa"/>
            </w:tcMar>
            <w:vAlign w:val="center"/>
            <w:hideMark/>
          </w:tcPr>
          <w:p w:rsidR="00855A78" w:rsidRPr="00490BF5" w:rsidRDefault="002F218F" w:rsidP="002F218F">
            <w:pPr>
              <w:suppressLineNumbers/>
              <w:suppressAutoHyphens/>
              <w:kinsoku w:val="0"/>
              <w:overflowPunct w:val="0"/>
              <w:autoSpaceDE w:val="0"/>
              <w:autoSpaceDN w:val="0"/>
              <w:adjustRightInd w:val="0"/>
              <w:snapToGrid w:val="0"/>
              <w:jc w:val="left"/>
              <w:rPr>
                <w:rFonts w:eastAsia="Calibri"/>
                <w:bCs/>
                <w:i/>
                <w:iCs/>
                <w:snapToGrid w:val="0"/>
                <w:kern w:val="22"/>
                <w:szCs w:val="22"/>
              </w:rPr>
            </w:pPr>
            <w:r>
              <w:rPr>
                <w:bCs/>
                <w:i/>
                <w:iCs/>
                <w:snapToGrid w:val="0"/>
                <w:kern w:val="22"/>
                <w:szCs w:val="22"/>
              </w:rPr>
              <w:t>País BIOFI</w:t>
            </w:r>
            <w:r w:rsidR="00855A78" w:rsidRPr="00490BF5">
              <w:rPr>
                <w:bCs/>
                <w:i/>
                <w:iCs/>
                <w:snapToGrid w:val="0"/>
                <w:kern w:val="22"/>
                <w:szCs w:val="22"/>
              </w:rPr>
              <w:t>N</w:t>
            </w:r>
          </w:p>
        </w:tc>
        <w:tc>
          <w:tcPr>
            <w:tcW w:w="1259" w:type="dxa"/>
            <w:tcMar>
              <w:top w:w="43" w:type="dxa"/>
              <w:left w:w="43" w:type="dxa"/>
              <w:bottom w:w="43" w:type="dxa"/>
              <w:right w:w="43" w:type="dxa"/>
            </w:tcMar>
            <w:vAlign w:val="center"/>
            <w:hideMark/>
          </w:tcPr>
          <w:p w:rsidR="00855A78" w:rsidRPr="00490BF5" w:rsidRDefault="002F218F" w:rsidP="002F218F">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kern w:val="22"/>
                <w:szCs w:val="22"/>
              </w:rPr>
              <w:t>Fase preliminar</w:t>
            </w:r>
          </w:p>
        </w:tc>
        <w:tc>
          <w:tcPr>
            <w:tcW w:w="1383" w:type="dxa"/>
            <w:tcMar>
              <w:top w:w="43" w:type="dxa"/>
              <w:left w:w="43" w:type="dxa"/>
              <w:bottom w:w="43" w:type="dxa"/>
              <w:right w:w="43" w:type="dxa"/>
            </w:tcMar>
            <w:vAlign w:val="center"/>
            <w:hideMark/>
          </w:tcPr>
          <w:p w:rsidR="00855A78" w:rsidRPr="00490BF5" w:rsidRDefault="002F218F" w:rsidP="002F218F">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kern w:val="22"/>
                <w:szCs w:val="22"/>
              </w:rPr>
              <w:t>Revisión institucional</w:t>
            </w:r>
          </w:p>
        </w:tc>
        <w:tc>
          <w:tcPr>
            <w:tcW w:w="1440" w:type="dxa"/>
            <w:tcMar>
              <w:top w:w="43" w:type="dxa"/>
              <w:left w:w="43" w:type="dxa"/>
              <w:bottom w:w="43" w:type="dxa"/>
              <w:right w:w="43" w:type="dxa"/>
            </w:tcMar>
            <w:vAlign w:val="center"/>
            <w:hideMark/>
          </w:tcPr>
          <w:p w:rsidR="00855A78" w:rsidRPr="00490BF5" w:rsidRDefault="007E5F44"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kern w:val="22"/>
                <w:szCs w:val="22"/>
              </w:rPr>
              <w:t>Revisión del gasto</w:t>
            </w:r>
          </w:p>
        </w:tc>
        <w:tc>
          <w:tcPr>
            <w:tcW w:w="1350" w:type="dxa"/>
            <w:tcMar>
              <w:top w:w="43" w:type="dxa"/>
              <w:left w:w="43" w:type="dxa"/>
              <w:bottom w:w="43" w:type="dxa"/>
              <w:right w:w="43" w:type="dxa"/>
            </w:tcMar>
            <w:vAlign w:val="center"/>
            <w:hideMark/>
          </w:tcPr>
          <w:p w:rsidR="00855A78" w:rsidRPr="007E5F44" w:rsidRDefault="007E5F44"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lang w:val="es-ES"/>
              </w:rPr>
            </w:pPr>
            <w:r w:rsidRPr="007E5F44">
              <w:rPr>
                <w:bCs/>
                <w:i/>
                <w:iCs/>
                <w:snapToGrid w:val="0"/>
                <w:kern w:val="22"/>
                <w:szCs w:val="22"/>
                <w:lang w:val="es-ES"/>
              </w:rPr>
              <w:t>Necesidades y carencias de financiaci</w:t>
            </w:r>
            <w:r>
              <w:rPr>
                <w:bCs/>
                <w:i/>
                <w:iCs/>
                <w:snapToGrid w:val="0"/>
                <w:kern w:val="22"/>
                <w:szCs w:val="22"/>
                <w:lang w:val="es-ES"/>
              </w:rPr>
              <w:t>ón</w:t>
            </w:r>
          </w:p>
        </w:tc>
        <w:tc>
          <w:tcPr>
            <w:tcW w:w="1350" w:type="dxa"/>
            <w:tcMar>
              <w:top w:w="43" w:type="dxa"/>
              <w:left w:w="43" w:type="dxa"/>
              <w:bottom w:w="43" w:type="dxa"/>
              <w:right w:w="43" w:type="dxa"/>
            </w:tcMar>
            <w:vAlign w:val="center"/>
            <w:hideMark/>
          </w:tcPr>
          <w:p w:rsidR="00855A78" w:rsidRPr="00490BF5" w:rsidRDefault="007E5F44"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rPr>
            </w:pPr>
            <w:r>
              <w:rPr>
                <w:bCs/>
                <w:i/>
                <w:iCs/>
                <w:snapToGrid w:val="0"/>
                <w:kern w:val="22"/>
                <w:szCs w:val="22"/>
              </w:rPr>
              <w:t>Planes financieros</w:t>
            </w:r>
          </w:p>
        </w:tc>
        <w:tc>
          <w:tcPr>
            <w:tcW w:w="1260" w:type="dxa"/>
            <w:shd w:val="clear" w:color="auto" w:fill="FFFFFF"/>
            <w:tcMar>
              <w:top w:w="43" w:type="dxa"/>
              <w:left w:w="43" w:type="dxa"/>
              <w:bottom w:w="43" w:type="dxa"/>
              <w:right w:w="43" w:type="dxa"/>
            </w:tcMar>
            <w:vAlign w:val="center"/>
          </w:tcPr>
          <w:p w:rsidR="00855A78" w:rsidRPr="007E5F44" w:rsidRDefault="007E5F44" w:rsidP="007E5F44">
            <w:pPr>
              <w:suppressLineNumbers/>
              <w:suppressAutoHyphens/>
              <w:kinsoku w:val="0"/>
              <w:overflowPunct w:val="0"/>
              <w:autoSpaceDE w:val="0"/>
              <w:autoSpaceDN w:val="0"/>
              <w:adjustRightInd w:val="0"/>
              <w:snapToGrid w:val="0"/>
              <w:jc w:val="center"/>
              <w:rPr>
                <w:bCs/>
                <w:i/>
                <w:iCs/>
                <w:snapToGrid w:val="0"/>
                <w:kern w:val="22"/>
                <w:szCs w:val="22"/>
                <w:lang w:val="es-ES"/>
              </w:rPr>
            </w:pPr>
            <w:r w:rsidRPr="007E5F44">
              <w:rPr>
                <w:bCs/>
                <w:i/>
                <w:iCs/>
                <w:snapToGrid w:val="0"/>
                <w:kern w:val="22"/>
                <w:szCs w:val="22"/>
                <w:lang w:val="es-ES"/>
              </w:rPr>
              <w:t xml:space="preserve">Presentación de informes financieros </w:t>
            </w:r>
            <w:r w:rsidR="00855A78" w:rsidRPr="007E5F44">
              <w:rPr>
                <w:bCs/>
                <w:i/>
                <w:iCs/>
                <w:snapToGrid w:val="0"/>
                <w:kern w:val="22"/>
                <w:szCs w:val="22"/>
                <w:lang w:val="es-ES"/>
              </w:rPr>
              <w:t>C</w:t>
            </w:r>
            <w:r w:rsidRPr="007E5F44">
              <w:rPr>
                <w:bCs/>
                <w:i/>
                <w:iCs/>
                <w:snapToGrid w:val="0"/>
                <w:kern w:val="22"/>
                <w:szCs w:val="22"/>
                <w:lang w:val="es-ES"/>
              </w:rPr>
              <w:t>D</w:t>
            </w:r>
            <w:r w:rsidR="00855A78" w:rsidRPr="007E5F44">
              <w:rPr>
                <w:bCs/>
                <w:i/>
                <w:iCs/>
                <w:snapToGrid w:val="0"/>
                <w:kern w:val="22"/>
                <w:szCs w:val="22"/>
                <w:lang w:val="es-ES"/>
              </w:rPr>
              <w:t>B</w:t>
            </w:r>
          </w:p>
        </w:tc>
      </w:tr>
      <w:tr w:rsidR="007E5F44" w:rsidRPr="00490BF5" w:rsidTr="00490BF5">
        <w:trPr>
          <w:jc w:val="center"/>
        </w:trPr>
        <w:tc>
          <w:tcPr>
            <w:tcW w:w="1606" w:type="dxa"/>
            <w:tcMar>
              <w:top w:w="43" w:type="dxa"/>
              <w:left w:w="43" w:type="dxa"/>
              <w:bottom w:w="43" w:type="dxa"/>
              <w:right w:w="43" w:type="dxa"/>
            </w:tcMar>
            <w:hideMark/>
          </w:tcPr>
          <w:p w:rsidR="00855A78" w:rsidRPr="00490BF5" w:rsidRDefault="00855A78" w:rsidP="002F218F">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Beli</w:t>
            </w:r>
            <w:r w:rsidR="002F218F">
              <w:rPr>
                <w:snapToGrid w:val="0"/>
                <w:kern w:val="22"/>
                <w:szCs w:val="22"/>
              </w:rPr>
              <w:t>c</w:t>
            </w:r>
            <w:r w:rsidRPr="00490BF5">
              <w:rPr>
                <w:snapToGrid w:val="0"/>
                <w:kern w:val="22"/>
                <w:szCs w:val="22"/>
              </w:rPr>
              <w:t>e</w:t>
            </w:r>
          </w:p>
        </w:tc>
        <w:tc>
          <w:tcPr>
            <w:tcW w:w="1259" w:type="dxa"/>
            <w:shd w:val="pct5" w:color="auto" w:fill="auto"/>
            <w:tcMar>
              <w:top w:w="43" w:type="dxa"/>
              <w:left w:w="43" w:type="dxa"/>
              <w:bottom w:w="43" w:type="dxa"/>
              <w:right w:w="43" w:type="dxa"/>
            </w:tcMar>
            <w:hideMark/>
          </w:tcPr>
          <w:p w:rsidR="00855A78" w:rsidRPr="00490BF5" w:rsidRDefault="00855A78" w:rsidP="002F218F">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2F218F">
              <w:rPr>
                <w:snapToGrid w:val="0"/>
                <w:kern w:val="22"/>
                <w:szCs w:val="22"/>
              </w:rPr>
              <w:t>ada</w:t>
            </w:r>
          </w:p>
        </w:tc>
        <w:tc>
          <w:tcPr>
            <w:tcW w:w="1383" w:type="dxa"/>
            <w:tcMar>
              <w:top w:w="43" w:type="dxa"/>
              <w:left w:w="43" w:type="dxa"/>
              <w:bottom w:w="43" w:type="dxa"/>
              <w:right w:w="43" w:type="dxa"/>
            </w:tcMar>
            <w:hideMark/>
          </w:tcPr>
          <w:p w:rsidR="00855A78" w:rsidRPr="00490BF5" w:rsidRDefault="007E5F44"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440" w:type="dxa"/>
            <w:tcMar>
              <w:top w:w="43" w:type="dxa"/>
              <w:left w:w="43" w:type="dxa"/>
              <w:bottom w:w="43" w:type="dxa"/>
              <w:right w:w="43" w:type="dxa"/>
            </w:tcMar>
            <w:hideMark/>
          </w:tcPr>
          <w:p w:rsidR="00855A78" w:rsidRPr="00490BF5" w:rsidRDefault="007E5F44" w:rsidP="007E5F44">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855A78" w:rsidRPr="00490BF5" w:rsidRDefault="007E5F44" w:rsidP="007E5F44">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855A78" w:rsidRPr="00490BF5" w:rsidRDefault="007E5F44" w:rsidP="007E5F44">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855A78" w:rsidRPr="00490BF5" w:rsidRDefault="00855A78"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C55E16">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Bots</w:t>
            </w:r>
            <w:r>
              <w:rPr>
                <w:snapToGrid w:val="0"/>
                <w:kern w:val="22"/>
                <w:szCs w:val="22"/>
              </w:rPr>
              <w:t>u</w:t>
            </w:r>
            <w:r w:rsidRPr="00490BF5">
              <w:rPr>
                <w:snapToGrid w:val="0"/>
                <w:kern w:val="22"/>
                <w:szCs w:val="22"/>
              </w:rPr>
              <w:t>ana</w:t>
            </w:r>
          </w:p>
        </w:tc>
        <w:tc>
          <w:tcPr>
            <w:tcW w:w="1259" w:type="dxa"/>
            <w:shd w:val="pct5" w:color="auto" w:fill="auto"/>
            <w:tcMar>
              <w:top w:w="43" w:type="dxa"/>
              <w:left w:w="43" w:type="dxa"/>
              <w:bottom w:w="43" w:type="dxa"/>
              <w:right w:w="43" w:type="dxa"/>
            </w:tcMar>
            <w:hideMark/>
          </w:tcPr>
          <w:p w:rsidR="008E6462" w:rsidRPr="00490BF5" w:rsidRDefault="008E6462" w:rsidP="00C55E16">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Pr>
                <w:rFonts w:eastAsia="Calibri"/>
                <w:snapToGrid w:val="0"/>
                <w:kern w:val="22"/>
                <w:szCs w:val="22"/>
              </w:rPr>
              <w:t>Proyecto final</w:t>
            </w:r>
          </w:p>
        </w:tc>
        <w:tc>
          <w:tcPr>
            <w:tcW w:w="1440" w:type="dxa"/>
            <w:tcMar>
              <w:top w:w="43" w:type="dxa"/>
              <w:left w:w="43" w:type="dxa"/>
              <w:bottom w:w="43" w:type="dxa"/>
              <w:right w:w="43" w:type="dxa"/>
            </w:tcMar>
            <w:hideMark/>
          </w:tcPr>
          <w:p w:rsidR="008E6462" w:rsidRPr="00490BF5" w:rsidRDefault="008E6462" w:rsidP="00C55E16">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8E6462" w:rsidRPr="00490BF5" w:rsidRDefault="008E6462" w:rsidP="00C55E16">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8E6462" w:rsidRPr="00490BF5" w:rsidRDefault="008E6462" w:rsidP="00C55E16">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Pr="00490BF5">
              <w:rPr>
                <w:snapToGrid w:val="0"/>
                <w:kern w:val="22"/>
                <w:szCs w:val="22"/>
              </w:rPr>
              <w:t xml:space="preserve">n </w:t>
            </w:r>
            <w:r>
              <w:rPr>
                <w:snapToGrid w:val="0"/>
                <w:kern w:val="22"/>
                <w:szCs w:val="22"/>
              </w:rPr>
              <w:t>curso</w:t>
            </w:r>
          </w:p>
        </w:tc>
        <w:tc>
          <w:tcPr>
            <w:tcW w:w="1260" w:type="dxa"/>
            <w:shd w:val="clear" w:color="auto" w:fill="FFFFFF"/>
            <w:tcMar>
              <w:top w:w="43" w:type="dxa"/>
              <w:left w:w="43" w:type="dxa"/>
              <w:bottom w:w="43" w:type="dxa"/>
              <w:right w:w="43" w:type="dxa"/>
            </w:tcMar>
          </w:tcPr>
          <w:p w:rsidR="008E6462" w:rsidRPr="00490BF5" w:rsidRDefault="008E6462" w:rsidP="00C55E16">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8E646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Bra</w:t>
            </w:r>
            <w:r>
              <w:rPr>
                <w:snapToGrid w:val="0"/>
                <w:kern w:val="22"/>
                <w:szCs w:val="22"/>
              </w:rPr>
              <w:t>s</w:t>
            </w:r>
            <w:r w:rsidRPr="00490BF5">
              <w:rPr>
                <w:snapToGrid w:val="0"/>
                <w:kern w:val="22"/>
                <w:szCs w:val="22"/>
              </w:rPr>
              <w:t>il</w:t>
            </w:r>
          </w:p>
        </w:tc>
        <w:tc>
          <w:tcPr>
            <w:tcW w:w="1259" w:type="dxa"/>
            <w:shd w:val="pct5" w:color="auto" w:fill="auto"/>
            <w:tcMar>
              <w:top w:w="43" w:type="dxa"/>
              <w:left w:w="43" w:type="dxa"/>
              <w:bottom w:w="43" w:type="dxa"/>
              <w:right w:w="43" w:type="dxa"/>
            </w:tcMar>
            <w:hideMark/>
          </w:tcPr>
          <w:p w:rsidR="008E6462" w:rsidRPr="00490BF5" w:rsidRDefault="008E6462" w:rsidP="008E646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8E6462" w:rsidRPr="00490BF5" w:rsidRDefault="008E6462" w:rsidP="008E646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440" w:type="dxa"/>
            <w:tcMar>
              <w:top w:w="43" w:type="dxa"/>
              <w:left w:w="43" w:type="dxa"/>
              <w:bottom w:w="43" w:type="dxa"/>
              <w:right w:w="43" w:type="dxa"/>
            </w:tcMar>
            <w:hideMark/>
          </w:tcPr>
          <w:p w:rsidR="008E6462" w:rsidRPr="00490BF5" w:rsidRDefault="008E6462" w:rsidP="008E646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Pr="00490BF5">
              <w:rPr>
                <w:snapToGrid w:val="0"/>
                <w:kern w:val="22"/>
                <w:szCs w:val="22"/>
              </w:rPr>
              <w:t xml:space="preserve">n </w:t>
            </w:r>
            <w:r>
              <w:rPr>
                <w:snapToGrid w:val="0"/>
                <w:kern w:val="22"/>
                <w:szCs w:val="22"/>
              </w:rPr>
              <w:t>curso</w:t>
            </w:r>
          </w:p>
        </w:tc>
        <w:tc>
          <w:tcPr>
            <w:tcW w:w="1350" w:type="dxa"/>
            <w:tcMar>
              <w:top w:w="43" w:type="dxa"/>
              <w:left w:w="43" w:type="dxa"/>
              <w:bottom w:w="43" w:type="dxa"/>
              <w:right w:w="43" w:type="dxa"/>
            </w:tcMar>
            <w:hideMark/>
          </w:tcPr>
          <w:p w:rsidR="008E6462" w:rsidRPr="00490BF5" w:rsidRDefault="008E6462" w:rsidP="008E646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8E6462" w:rsidRPr="00490BF5" w:rsidRDefault="008E6462" w:rsidP="008E646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8E6462" w:rsidRPr="00490BF5" w:rsidRDefault="008E6462" w:rsidP="00C55E16">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220282" w:rsidP="00C55E16">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Butá</w:t>
            </w:r>
            <w:r w:rsidR="008E6462" w:rsidRPr="00490BF5">
              <w:rPr>
                <w:snapToGrid w:val="0"/>
                <w:kern w:val="22"/>
                <w:szCs w:val="22"/>
              </w:rPr>
              <w:t>n</w:t>
            </w:r>
          </w:p>
        </w:tc>
        <w:tc>
          <w:tcPr>
            <w:tcW w:w="1259" w:type="dxa"/>
            <w:shd w:val="pct5" w:color="auto" w:fill="auto"/>
            <w:tcMar>
              <w:top w:w="43" w:type="dxa"/>
              <w:left w:w="43" w:type="dxa"/>
              <w:bottom w:w="43" w:type="dxa"/>
              <w:right w:w="43" w:type="dxa"/>
            </w:tcMar>
            <w:hideMark/>
          </w:tcPr>
          <w:p w:rsidR="008E6462" w:rsidRPr="00490BF5" w:rsidRDefault="008E6462" w:rsidP="00C55E16">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008E6462" w:rsidRPr="00490BF5">
              <w:rPr>
                <w:snapToGrid w:val="0"/>
                <w:kern w:val="22"/>
                <w:szCs w:val="22"/>
              </w:rPr>
              <w:t xml:space="preserve">n </w:t>
            </w:r>
            <w:r>
              <w:rPr>
                <w:snapToGrid w:val="0"/>
                <w:kern w:val="22"/>
                <w:szCs w:val="22"/>
              </w:rPr>
              <w:t>curso</w:t>
            </w:r>
          </w:p>
        </w:tc>
        <w:tc>
          <w:tcPr>
            <w:tcW w:w="1260" w:type="dxa"/>
            <w:shd w:val="clear" w:color="auto" w:fill="FFFFFF"/>
            <w:tcMar>
              <w:top w:w="43" w:type="dxa"/>
              <w:left w:w="43" w:type="dxa"/>
              <w:bottom w:w="43" w:type="dxa"/>
              <w:right w:w="43" w:type="dxa"/>
            </w:tcMar>
          </w:tcPr>
          <w:p w:rsidR="008E6462" w:rsidRPr="00490BF5" w:rsidRDefault="008E6462" w:rsidP="00C55E16">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Cambo</w:t>
            </w:r>
            <w:r w:rsidR="00220282">
              <w:rPr>
                <w:snapToGrid w:val="0"/>
                <w:kern w:val="22"/>
                <w:szCs w:val="22"/>
              </w:rPr>
              <w:t>ya</w:t>
            </w:r>
          </w:p>
        </w:tc>
        <w:tc>
          <w:tcPr>
            <w:tcW w:w="1259"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Iniciada</w:t>
            </w:r>
          </w:p>
        </w:tc>
        <w:tc>
          <w:tcPr>
            <w:tcW w:w="1383" w:type="dxa"/>
            <w:tcMar>
              <w:top w:w="43" w:type="dxa"/>
              <w:left w:w="43" w:type="dxa"/>
              <w:bottom w:w="43" w:type="dxa"/>
              <w:right w:w="43" w:type="dxa"/>
            </w:tcMar>
            <w:hideMark/>
          </w:tcPr>
          <w:p w:rsidR="008E646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A iniciarse</w:t>
            </w:r>
          </w:p>
        </w:tc>
        <w:tc>
          <w:tcPr>
            <w:tcW w:w="144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A iniciarse</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A iniciarse</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A iniciarse</w:t>
            </w:r>
          </w:p>
        </w:tc>
        <w:tc>
          <w:tcPr>
            <w:tcW w:w="1260" w:type="dxa"/>
            <w:shd w:val="clear" w:color="auto" w:fill="FFFFFF"/>
            <w:tcMar>
              <w:top w:w="43" w:type="dxa"/>
              <w:left w:w="43" w:type="dxa"/>
              <w:bottom w:w="43" w:type="dxa"/>
              <w:right w:w="43" w:type="dxa"/>
            </w:tcMar>
          </w:tcPr>
          <w:p w:rsidR="008E6462" w:rsidRPr="00490BF5" w:rsidRDefault="008E646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Chile</w:t>
            </w:r>
          </w:p>
        </w:tc>
        <w:tc>
          <w:tcPr>
            <w:tcW w:w="1259" w:type="dxa"/>
            <w:shd w:val="pct5" w:color="auto" w:fill="auto"/>
            <w:tcMar>
              <w:top w:w="43" w:type="dxa"/>
              <w:left w:w="43" w:type="dxa"/>
              <w:bottom w:w="43" w:type="dxa"/>
              <w:right w:w="43" w:type="dxa"/>
            </w:tcMar>
            <w:hideMark/>
          </w:tcPr>
          <w:p w:rsidR="008E6462" w:rsidRPr="00490BF5" w:rsidRDefault="008E646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220282">
              <w:rPr>
                <w:snapToGrid w:val="0"/>
                <w:kern w:val="22"/>
                <w:szCs w:val="22"/>
              </w:rPr>
              <w:t>ada</w:t>
            </w:r>
          </w:p>
        </w:tc>
        <w:tc>
          <w:tcPr>
            <w:tcW w:w="1383"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260" w:type="dxa"/>
            <w:shd w:val="clear" w:color="auto" w:fill="FFFFFF"/>
            <w:tcMar>
              <w:top w:w="43" w:type="dxa"/>
              <w:left w:w="43" w:type="dxa"/>
              <w:bottom w:w="43" w:type="dxa"/>
              <w:right w:w="43" w:type="dxa"/>
            </w:tcMar>
          </w:tcPr>
          <w:p w:rsidR="008E6462" w:rsidRPr="00490BF5" w:rsidRDefault="008E646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Colombia</w:t>
            </w:r>
          </w:p>
        </w:tc>
        <w:tc>
          <w:tcPr>
            <w:tcW w:w="1259" w:type="dxa"/>
            <w:shd w:val="pct5" w:color="auto" w:fill="auto"/>
            <w:tcMar>
              <w:top w:w="43" w:type="dxa"/>
              <w:left w:w="43" w:type="dxa"/>
              <w:bottom w:w="43" w:type="dxa"/>
              <w:right w:w="43" w:type="dxa"/>
            </w:tcMar>
            <w:hideMark/>
          </w:tcPr>
          <w:p w:rsidR="008E6462" w:rsidRPr="00490BF5" w:rsidRDefault="008E646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220282">
              <w:rPr>
                <w:snapToGrid w:val="0"/>
                <w:kern w:val="22"/>
                <w:szCs w:val="22"/>
              </w:rPr>
              <w:t>ada</w:t>
            </w:r>
          </w:p>
        </w:tc>
        <w:tc>
          <w:tcPr>
            <w:tcW w:w="1383"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260" w:type="dxa"/>
            <w:shd w:val="clear" w:color="auto" w:fill="FFFFFF"/>
            <w:tcMar>
              <w:top w:w="43" w:type="dxa"/>
              <w:left w:w="43" w:type="dxa"/>
              <w:bottom w:w="43" w:type="dxa"/>
              <w:right w:w="43" w:type="dxa"/>
            </w:tcMar>
          </w:tcPr>
          <w:p w:rsidR="008E6462" w:rsidRPr="00490BF5" w:rsidRDefault="008E646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Costa Rica</w:t>
            </w:r>
          </w:p>
        </w:tc>
        <w:tc>
          <w:tcPr>
            <w:tcW w:w="1259" w:type="dxa"/>
            <w:shd w:val="pct5" w:color="auto" w:fill="auto"/>
            <w:tcMar>
              <w:top w:w="43" w:type="dxa"/>
              <w:left w:w="43" w:type="dxa"/>
              <w:bottom w:w="43" w:type="dxa"/>
              <w:right w:w="43" w:type="dxa"/>
            </w:tcMar>
            <w:hideMark/>
          </w:tcPr>
          <w:p w:rsidR="008E6462" w:rsidRPr="00490BF5" w:rsidRDefault="008E646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220282">
              <w:rPr>
                <w:snapToGrid w:val="0"/>
                <w:kern w:val="22"/>
                <w:szCs w:val="22"/>
              </w:rPr>
              <w:t>ada</w:t>
            </w:r>
          </w:p>
        </w:tc>
        <w:tc>
          <w:tcPr>
            <w:tcW w:w="1383"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260" w:type="dxa"/>
            <w:shd w:val="clear" w:color="auto" w:fill="FFFFFF"/>
            <w:tcMar>
              <w:top w:w="43" w:type="dxa"/>
              <w:left w:w="43" w:type="dxa"/>
              <w:bottom w:w="43" w:type="dxa"/>
              <w:right w:w="43" w:type="dxa"/>
            </w:tcMar>
          </w:tcPr>
          <w:p w:rsidR="008E6462" w:rsidRPr="00490BF5" w:rsidRDefault="008E646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Cuba</w:t>
            </w:r>
          </w:p>
        </w:tc>
        <w:tc>
          <w:tcPr>
            <w:tcW w:w="1259" w:type="dxa"/>
            <w:shd w:val="pct5" w:color="auto" w:fill="auto"/>
            <w:tcMar>
              <w:top w:w="43" w:type="dxa"/>
              <w:left w:w="43" w:type="dxa"/>
              <w:bottom w:w="43" w:type="dxa"/>
              <w:right w:w="43" w:type="dxa"/>
            </w:tcMar>
            <w:hideMark/>
          </w:tcPr>
          <w:p w:rsidR="008E6462" w:rsidRPr="00490BF5" w:rsidRDefault="008E646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220282">
              <w:rPr>
                <w:snapToGrid w:val="0"/>
                <w:kern w:val="22"/>
                <w:szCs w:val="22"/>
              </w:rPr>
              <w:t>ada</w:t>
            </w:r>
          </w:p>
        </w:tc>
        <w:tc>
          <w:tcPr>
            <w:tcW w:w="1383"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008E6462" w:rsidRPr="00490BF5">
              <w:rPr>
                <w:snapToGrid w:val="0"/>
                <w:kern w:val="22"/>
                <w:szCs w:val="22"/>
              </w:rPr>
              <w:t xml:space="preserve">n </w:t>
            </w:r>
            <w:r>
              <w:rPr>
                <w:snapToGrid w:val="0"/>
                <w:kern w:val="22"/>
                <w:szCs w:val="22"/>
              </w:rPr>
              <w:t>curso</w:t>
            </w:r>
          </w:p>
        </w:tc>
        <w:tc>
          <w:tcPr>
            <w:tcW w:w="144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008E6462" w:rsidRPr="00490BF5">
              <w:rPr>
                <w:snapToGrid w:val="0"/>
                <w:kern w:val="22"/>
                <w:szCs w:val="22"/>
              </w:rPr>
              <w:t xml:space="preserve">n </w:t>
            </w:r>
            <w:r>
              <w:rPr>
                <w:snapToGrid w:val="0"/>
                <w:kern w:val="22"/>
                <w:szCs w:val="22"/>
              </w:rPr>
              <w:t>curso</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008E6462" w:rsidRPr="00490BF5">
              <w:rPr>
                <w:snapToGrid w:val="0"/>
                <w:kern w:val="22"/>
                <w:szCs w:val="22"/>
              </w:rPr>
              <w:t xml:space="preserve">n </w:t>
            </w:r>
            <w:r>
              <w:rPr>
                <w:snapToGrid w:val="0"/>
                <w:kern w:val="22"/>
                <w:szCs w:val="22"/>
              </w:rPr>
              <w:t>curso</w:t>
            </w:r>
          </w:p>
        </w:tc>
        <w:tc>
          <w:tcPr>
            <w:tcW w:w="1350" w:type="dxa"/>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008E6462" w:rsidRPr="00490BF5">
              <w:rPr>
                <w:snapToGrid w:val="0"/>
                <w:kern w:val="22"/>
                <w:szCs w:val="22"/>
              </w:rPr>
              <w:t xml:space="preserve">n </w:t>
            </w:r>
            <w:r>
              <w:rPr>
                <w:snapToGrid w:val="0"/>
                <w:kern w:val="22"/>
                <w:szCs w:val="22"/>
              </w:rPr>
              <w:t>curso</w:t>
            </w:r>
          </w:p>
        </w:tc>
        <w:tc>
          <w:tcPr>
            <w:tcW w:w="1260" w:type="dxa"/>
            <w:shd w:val="clear" w:color="auto" w:fill="FFFFFF"/>
            <w:tcMar>
              <w:top w:w="43" w:type="dxa"/>
              <w:left w:w="43" w:type="dxa"/>
              <w:bottom w:w="43" w:type="dxa"/>
              <w:right w:w="43" w:type="dxa"/>
            </w:tcMar>
          </w:tcPr>
          <w:p w:rsidR="008E6462" w:rsidRPr="00490BF5" w:rsidRDefault="008E646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Ecuador</w:t>
            </w:r>
          </w:p>
        </w:tc>
        <w:tc>
          <w:tcPr>
            <w:tcW w:w="1259" w:type="dxa"/>
            <w:shd w:val="pct5" w:color="auto" w:fill="auto"/>
            <w:tcMar>
              <w:top w:w="43" w:type="dxa"/>
              <w:left w:w="43" w:type="dxa"/>
              <w:bottom w:w="43" w:type="dxa"/>
              <w:right w:w="43" w:type="dxa"/>
            </w:tcMar>
            <w:hideMark/>
          </w:tcPr>
          <w:p w:rsidR="008E6462" w:rsidRPr="00490BF5" w:rsidRDefault="008E646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220282">
              <w:rPr>
                <w:snapToGrid w:val="0"/>
                <w:kern w:val="22"/>
                <w:szCs w:val="22"/>
              </w:rPr>
              <w:t>ada</w:t>
            </w:r>
          </w:p>
        </w:tc>
        <w:tc>
          <w:tcPr>
            <w:tcW w:w="1383"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8E646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260" w:type="dxa"/>
            <w:shd w:val="clear" w:color="auto" w:fill="FFFFFF"/>
            <w:tcMar>
              <w:top w:w="43" w:type="dxa"/>
              <w:left w:w="43" w:type="dxa"/>
              <w:bottom w:w="43" w:type="dxa"/>
              <w:right w:w="43" w:type="dxa"/>
            </w:tcMar>
          </w:tcPr>
          <w:p w:rsidR="008E6462" w:rsidRPr="00490BF5" w:rsidRDefault="008E646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8E6462" w:rsidRPr="00490BF5" w:rsidTr="00490BF5">
        <w:trPr>
          <w:jc w:val="center"/>
        </w:trPr>
        <w:tc>
          <w:tcPr>
            <w:tcW w:w="1606"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Fiji</w:t>
            </w:r>
          </w:p>
        </w:tc>
        <w:tc>
          <w:tcPr>
            <w:tcW w:w="1259" w:type="dxa"/>
            <w:shd w:val="pct5" w:color="auto" w:fill="auto"/>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Finalized</w:t>
            </w:r>
          </w:p>
        </w:tc>
        <w:tc>
          <w:tcPr>
            <w:tcW w:w="1383" w:type="dxa"/>
            <w:shd w:val="pct5" w:color="auto" w:fill="auto"/>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440" w:type="dxa"/>
            <w:shd w:val="pct5" w:color="auto" w:fill="auto"/>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 report</w:t>
            </w:r>
          </w:p>
        </w:tc>
        <w:tc>
          <w:tcPr>
            <w:tcW w:w="1350" w:type="dxa"/>
            <w:tcMar>
              <w:top w:w="43" w:type="dxa"/>
              <w:left w:w="43" w:type="dxa"/>
              <w:bottom w:w="43" w:type="dxa"/>
              <w:right w:w="43" w:type="dxa"/>
            </w:tcMar>
            <w:hideMark/>
          </w:tcPr>
          <w:p w:rsidR="008E6462" w:rsidRPr="00490BF5" w:rsidRDefault="008E646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 progress</w:t>
            </w:r>
          </w:p>
        </w:tc>
        <w:tc>
          <w:tcPr>
            <w:tcW w:w="1350" w:type="dxa"/>
            <w:tcMar>
              <w:top w:w="43" w:type="dxa"/>
              <w:left w:w="43" w:type="dxa"/>
              <w:bottom w:w="43" w:type="dxa"/>
              <w:right w:w="43" w:type="dxa"/>
            </w:tcMar>
            <w:hideMark/>
          </w:tcPr>
          <w:p w:rsidR="008E6462" w:rsidRPr="00490BF5" w:rsidRDefault="009C6BD1" w:rsidP="009C6BD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8E6462" w:rsidRPr="00490BF5" w:rsidRDefault="008E646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snapToGrid w:val="0"/>
                <w:kern w:val="22"/>
                <w:szCs w:val="22"/>
              </w:rPr>
            </w:pPr>
            <w:r>
              <w:rPr>
                <w:snapToGrid w:val="0"/>
                <w:kern w:val="22"/>
                <w:szCs w:val="22"/>
              </w:rPr>
              <w:t>Filipinas</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w:t>
            </w:r>
            <w:r w:rsidRPr="00490BF5">
              <w:rPr>
                <w:snapToGrid w:val="0"/>
                <w:kern w:val="22"/>
                <w:szCs w:val="22"/>
              </w:rPr>
              <w:t>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C55E16">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Georgia</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Pr="00490BF5">
              <w:rPr>
                <w:snapToGrid w:val="0"/>
                <w:kern w:val="22"/>
                <w:szCs w:val="22"/>
              </w:rPr>
              <w:t xml:space="preserve">n </w:t>
            </w:r>
            <w:r>
              <w:rPr>
                <w:snapToGrid w:val="0"/>
                <w:kern w:val="22"/>
                <w:szCs w:val="22"/>
              </w:rPr>
              <w:t>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Guatemala</w:t>
            </w:r>
          </w:p>
        </w:tc>
        <w:tc>
          <w:tcPr>
            <w:tcW w:w="1259" w:type="dxa"/>
            <w:shd w:val="pct5" w:color="auto" w:fill="auto"/>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Finaliza</w:t>
            </w:r>
            <w:r w:rsidRPr="00490BF5">
              <w:rPr>
                <w:snapToGrid w:val="0"/>
                <w:kern w:val="22"/>
                <w:szCs w:val="22"/>
              </w:rPr>
              <w:t>d</w:t>
            </w:r>
            <w:r>
              <w:rPr>
                <w:snapToGrid w:val="0"/>
                <w:kern w:val="22"/>
                <w:szCs w:val="22"/>
              </w:rPr>
              <w:t>a</w:t>
            </w:r>
          </w:p>
        </w:tc>
        <w:tc>
          <w:tcPr>
            <w:tcW w:w="1383"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India</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Pr="00490BF5">
              <w:rPr>
                <w:snapToGrid w:val="0"/>
                <w:kern w:val="22"/>
                <w:szCs w:val="22"/>
              </w:rPr>
              <w:t xml:space="preserve">n </w:t>
            </w:r>
            <w:r>
              <w:rPr>
                <w:snapToGrid w:val="0"/>
                <w:kern w:val="22"/>
                <w:szCs w:val="22"/>
              </w:rPr>
              <w:t>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Indonesia</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w:t>
            </w:r>
            <w:r w:rsidRPr="00490BF5">
              <w:rPr>
                <w:snapToGrid w:val="0"/>
                <w:kern w:val="22"/>
                <w:szCs w:val="22"/>
              </w:rPr>
              <w:t>n</w:t>
            </w:r>
            <w:r>
              <w:rPr>
                <w:snapToGrid w:val="0"/>
                <w:kern w:val="22"/>
                <w:szCs w:val="22"/>
              </w:rPr>
              <w:t xml:space="preserve">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Kaza</w:t>
            </w:r>
            <w:r>
              <w:rPr>
                <w:snapToGrid w:val="0"/>
                <w:kern w:val="22"/>
                <w:szCs w:val="22"/>
              </w:rPr>
              <w:t>jistán</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K</w:t>
            </w:r>
            <w:r>
              <w:rPr>
                <w:snapToGrid w:val="0"/>
                <w:kern w:val="22"/>
                <w:szCs w:val="22"/>
              </w:rPr>
              <w:t>i</w:t>
            </w:r>
            <w:r w:rsidRPr="00490BF5">
              <w:rPr>
                <w:snapToGrid w:val="0"/>
                <w:kern w:val="22"/>
                <w:szCs w:val="22"/>
              </w:rPr>
              <w:t>rg</w:t>
            </w:r>
            <w:r>
              <w:rPr>
                <w:snapToGrid w:val="0"/>
                <w:kern w:val="22"/>
                <w:szCs w:val="22"/>
              </w:rPr>
              <w:t>uistán</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Malasia</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w:t>
            </w:r>
            <w:r>
              <w:rPr>
                <w:snapToGrid w:val="0"/>
                <w:kern w:val="22"/>
                <w:szCs w:val="22"/>
              </w:rPr>
              <w:t>é</w:t>
            </w:r>
            <w:r w:rsidRPr="00490BF5">
              <w:rPr>
                <w:snapToGrid w:val="0"/>
                <w:kern w:val="22"/>
                <w:szCs w:val="22"/>
              </w:rPr>
              <w:t>xico</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Mongolia</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Mozambique</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Per</w:t>
            </w:r>
            <w:r>
              <w:rPr>
                <w:snapToGrid w:val="0"/>
                <w:kern w:val="22"/>
                <w:szCs w:val="22"/>
              </w:rPr>
              <w:t>ú</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R</w:t>
            </w:r>
            <w:r>
              <w:rPr>
                <w:snapToGrid w:val="0"/>
                <w:kern w:val="22"/>
                <w:szCs w:val="22"/>
              </w:rPr>
              <w:t>u</w:t>
            </w:r>
            <w:r w:rsidRPr="00490BF5">
              <w:rPr>
                <w:snapToGrid w:val="0"/>
                <w:kern w:val="22"/>
                <w:szCs w:val="22"/>
              </w:rPr>
              <w:t>anda</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Seychelles</w:t>
            </w:r>
          </w:p>
        </w:tc>
        <w:tc>
          <w:tcPr>
            <w:tcW w:w="1259"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shd w:val="pct5" w:color="auto" w:fill="auto"/>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220282" w:rsidP="00220282">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S</w:t>
            </w:r>
            <w:r w:rsidR="008B7EB1">
              <w:rPr>
                <w:snapToGrid w:val="0"/>
                <w:kern w:val="22"/>
                <w:szCs w:val="22"/>
              </w:rPr>
              <w:t>ri Lanka</w:t>
            </w:r>
          </w:p>
        </w:tc>
        <w:tc>
          <w:tcPr>
            <w:tcW w:w="1259" w:type="dxa"/>
            <w:shd w:val="pct5" w:color="auto" w:fill="auto"/>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8B7EB1">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S</w:t>
            </w:r>
            <w:r w:rsidR="008B7EB1">
              <w:rPr>
                <w:snapToGrid w:val="0"/>
                <w:kern w:val="22"/>
                <w:szCs w:val="22"/>
              </w:rPr>
              <w:t>udáfrica</w:t>
            </w:r>
          </w:p>
        </w:tc>
        <w:tc>
          <w:tcPr>
            <w:tcW w:w="1259" w:type="dxa"/>
            <w:shd w:val="pct5" w:color="auto" w:fill="auto"/>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8B7EB1">
              <w:rPr>
                <w:snapToGrid w:val="0"/>
                <w:kern w:val="22"/>
                <w:szCs w:val="22"/>
              </w:rPr>
              <w:t>ada</w:t>
            </w:r>
          </w:p>
        </w:tc>
        <w:tc>
          <w:tcPr>
            <w:tcW w:w="1383"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w:t>
            </w:r>
            <w:r w:rsidR="008B7EB1">
              <w:rPr>
                <w:snapToGrid w:val="0"/>
                <w:kern w:val="22"/>
                <w:szCs w:val="22"/>
              </w:rPr>
              <w:t>nforme final</w:t>
            </w:r>
          </w:p>
        </w:tc>
        <w:tc>
          <w:tcPr>
            <w:tcW w:w="1350" w:type="dxa"/>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w:t>
            </w:r>
            <w:r w:rsidR="008B7EB1">
              <w:rPr>
                <w:snapToGrid w:val="0"/>
                <w:kern w:val="22"/>
                <w:szCs w:val="22"/>
              </w:rPr>
              <w:t>forme final</w:t>
            </w:r>
          </w:p>
        </w:tc>
        <w:tc>
          <w:tcPr>
            <w:tcW w:w="1350" w:type="dxa"/>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In</w:t>
            </w:r>
            <w:r w:rsidR="008B7EB1">
              <w:rPr>
                <w:snapToGrid w:val="0"/>
                <w:kern w:val="22"/>
                <w:szCs w:val="22"/>
              </w:rPr>
              <w:t>forme final</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Tailand</w:t>
            </w:r>
            <w:r w:rsidR="008B7EB1">
              <w:rPr>
                <w:snapToGrid w:val="0"/>
                <w:kern w:val="22"/>
                <w:szCs w:val="22"/>
              </w:rPr>
              <w:t>ia</w:t>
            </w:r>
          </w:p>
        </w:tc>
        <w:tc>
          <w:tcPr>
            <w:tcW w:w="1259" w:type="dxa"/>
            <w:shd w:val="pct5" w:color="auto" w:fill="auto"/>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8B7EB1">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Uganda</w:t>
            </w:r>
          </w:p>
        </w:tc>
        <w:tc>
          <w:tcPr>
            <w:tcW w:w="1259" w:type="dxa"/>
            <w:shd w:val="pct5" w:color="auto" w:fill="auto"/>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8B7EB1">
              <w:rPr>
                <w:snapToGrid w:val="0"/>
                <w:kern w:val="22"/>
                <w:szCs w:val="22"/>
              </w:rPr>
              <w:t>ada</w:t>
            </w:r>
          </w:p>
        </w:tc>
        <w:tc>
          <w:tcPr>
            <w:tcW w:w="1383"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440" w:type="dxa"/>
            <w:shd w:val="pct5" w:color="auto" w:fill="auto"/>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Informe final</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50"/>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Viet</w:t>
            </w:r>
            <w:r w:rsidR="008B7EB1">
              <w:rPr>
                <w:snapToGrid w:val="0"/>
                <w:kern w:val="22"/>
                <w:szCs w:val="22"/>
              </w:rPr>
              <w:t>n</w:t>
            </w:r>
            <w:r w:rsidRPr="00490BF5">
              <w:rPr>
                <w:snapToGrid w:val="0"/>
                <w:kern w:val="22"/>
                <w:szCs w:val="22"/>
              </w:rPr>
              <w:t>am</w:t>
            </w:r>
          </w:p>
        </w:tc>
        <w:tc>
          <w:tcPr>
            <w:tcW w:w="1259" w:type="dxa"/>
            <w:shd w:val="pct5" w:color="auto" w:fill="auto"/>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8B7EB1">
              <w:rPr>
                <w:snapToGrid w:val="0"/>
                <w:kern w:val="22"/>
                <w:szCs w:val="22"/>
              </w:rPr>
              <w:t>ada</w:t>
            </w:r>
          </w:p>
        </w:tc>
        <w:tc>
          <w:tcPr>
            <w:tcW w:w="1383"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r w:rsidR="00220282" w:rsidRPr="00490BF5" w:rsidTr="00490BF5">
        <w:trPr>
          <w:jc w:val="center"/>
        </w:trPr>
        <w:tc>
          <w:tcPr>
            <w:tcW w:w="1606" w:type="dxa"/>
            <w:tcMar>
              <w:top w:w="43" w:type="dxa"/>
              <w:left w:w="43" w:type="dxa"/>
              <w:bottom w:w="43" w:type="dxa"/>
              <w:right w:w="43" w:type="dxa"/>
            </w:tcMar>
            <w:hideMark/>
          </w:tcPr>
          <w:p w:rsidR="00220282" w:rsidRPr="00490BF5" w:rsidRDefault="00220282" w:rsidP="00490BF5">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Zambia</w:t>
            </w:r>
          </w:p>
        </w:tc>
        <w:tc>
          <w:tcPr>
            <w:tcW w:w="1259" w:type="dxa"/>
            <w:shd w:val="pct5" w:color="auto" w:fill="auto"/>
            <w:tcMar>
              <w:top w:w="43" w:type="dxa"/>
              <w:left w:w="43" w:type="dxa"/>
              <w:bottom w:w="43" w:type="dxa"/>
              <w:right w:w="43" w:type="dxa"/>
            </w:tcMar>
            <w:hideMark/>
          </w:tcPr>
          <w:p w:rsidR="00220282" w:rsidRPr="00490BF5" w:rsidRDefault="00220282" w:rsidP="008B7EB1">
            <w:pPr>
              <w:suppressLineNumbers/>
              <w:suppressAutoHyphens/>
              <w:kinsoku w:val="0"/>
              <w:overflowPunct w:val="0"/>
              <w:autoSpaceDE w:val="0"/>
              <w:autoSpaceDN w:val="0"/>
              <w:adjustRightInd w:val="0"/>
              <w:snapToGrid w:val="0"/>
              <w:rPr>
                <w:rFonts w:eastAsia="Calibri"/>
                <w:snapToGrid w:val="0"/>
                <w:kern w:val="22"/>
                <w:szCs w:val="22"/>
              </w:rPr>
            </w:pPr>
            <w:r w:rsidRPr="00490BF5">
              <w:rPr>
                <w:snapToGrid w:val="0"/>
                <w:kern w:val="22"/>
                <w:szCs w:val="22"/>
              </w:rPr>
              <w:t>Finaliz</w:t>
            </w:r>
            <w:r w:rsidR="008B7EB1">
              <w:rPr>
                <w:snapToGrid w:val="0"/>
                <w:kern w:val="22"/>
                <w:szCs w:val="22"/>
              </w:rPr>
              <w:t>ada</w:t>
            </w:r>
          </w:p>
        </w:tc>
        <w:tc>
          <w:tcPr>
            <w:tcW w:w="1383"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44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Proyecto final</w:t>
            </w:r>
          </w:p>
        </w:tc>
        <w:tc>
          <w:tcPr>
            <w:tcW w:w="1350" w:type="dxa"/>
            <w:tcMar>
              <w:top w:w="43" w:type="dxa"/>
              <w:left w:w="43" w:type="dxa"/>
              <w:bottom w:w="43" w:type="dxa"/>
              <w:right w:w="43" w:type="dxa"/>
            </w:tcMar>
            <w:hideMark/>
          </w:tcPr>
          <w:p w:rsidR="00220282" w:rsidRPr="00490BF5" w:rsidRDefault="008B7EB1" w:rsidP="008B7EB1">
            <w:pPr>
              <w:suppressLineNumbers/>
              <w:suppressAutoHyphens/>
              <w:kinsoku w:val="0"/>
              <w:overflowPunct w:val="0"/>
              <w:autoSpaceDE w:val="0"/>
              <w:autoSpaceDN w:val="0"/>
              <w:adjustRightInd w:val="0"/>
              <w:snapToGrid w:val="0"/>
              <w:rPr>
                <w:rFonts w:eastAsia="Calibri"/>
                <w:snapToGrid w:val="0"/>
                <w:kern w:val="22"/>
                <w:szCs w:val="22"/>
              </w:rPr>
            </w:pPr>
            <w:r>
              <w:rPr>
                <w:snapToGrid w:val="0"/>
                <w:kern w:val="22"/>
                <w:szCs w:val="22"/>
              </w:rPr>
              <w:t>En curso</w:t>
            </w:r>
          </w:p>
        </w:tc>
        <w:tc>
          <w:tcPr>
            <w:tcW w:w="1260" w:type="dxa"/>
            <w:shd w:val="clear" w:color="auto" w:fill="FFFFFF"/>
            <w:tcMar>
              <w:top w:w="43" w:type="dxa"/>
              <w:left w:w="43" w:type="dxa"/>
              <w:bottom w:w="43" w:type="dxa"/>
              <w:right w:w="43" w:type="dxa"/>
            </w:tcMar>
          </w:tcPr>
          <w:p w:rsidR="00220282" w:rsidRPr="00490BF5" w:rsidRDefault="00220282" w:rsidP="00490BF5">
            <w:pPr>
              <w:suppressLineNumbers/>
              <w:suppressAutoHyphens/>
              <w:kinsoku w:val="0"/>
              <w:overflowPunct w:val="0"/>
              <w:autoSpaceDE w:val="0"/>
              <w:autoSpaceDN w:val="0"/>
              <w:adjustRightInd w:val="0"/>
              <w:snapToGrid w:val="0"/>
              <w:jc w:val="center"/>
              <w:rPr>
                <w:snapToGrid w:val="0"/>
                <w:kern w:val="22"/>
                <w:szCs w:val="22"/>
              </w:rPr>
            </w:pPr>
            <w:r w:rsidRPr="00490BF5">
              <w:rPr>
                <w:snapToGrid w:val="0"/>
                <w:kern w:val="22"/>
                <w:szCs w:val="22"/>
              </w:rPr>
              <w:sym w:font="Wingdings 2" w:char="F04F"/>
            </w:r>
          </w:p>
        </w:tc>
      </w:tr>
    </w:tbl>
    <w:p w:rsidR="00795DD1" w:rsidRPr="00490BF5" w:rsidRDefault="00795DD1" w:rsidP="00490BF5">
      <w:pPr>
        <w:jc w:val="left"/>
        <w:rPr>
          <w:snapToGrid w:val="0"/>
          <w:kern w:val="22"/>
          <w:szCs w:val="22"/>
        </w:rPr>
      </w:pPr>
    </w:p>
    <w:p w:rsidR="00227B47" w:rsidRPr="00490BF5" w:rsidRDefault="00227B47" w:rsidP="00490BF5">
      <w:pPr>
        <w:jc w:val="left"/>
        <w:rPr>
          <w:snapToGrid w:val="0"/>
          <w:kern w:val="22"/>
          <w:szCs w:val="22"/>
        </w:rPr>
      </w:pPr>
    </w:p>
    <w:p w:rsidR="00227B47" w:rsidRPr="00490BF5" w:rsidRDefault="00227B47" w:rsidP="00490BF5">
      <w:pPr>
        <w:jc w:val="left"/>
        <w:rPr>
          <w:snapToGrid w:val="0"/>
          <w:kern w:val="22"/>
          <w:szCs w:val="22"/>
        </w:rPr>
      </w:pPr>
    </w:p>
    <w:p w:rsidR="00227B47" w:rsidRPr="00490BF5" w:rsidRDefault="00227B47" w:rsidP="00490BF5">
      <w:pPr>
        <w:jc w:val="left"/>
        <w:rPr>
          <w:b/>
          <w:caps/>
          <w:snapToGrid w:val="0"/>
          <w:kern w:val="22"/>
          <w:szCs w:val="22"/>
        </w:rPr>
        <w:sectPr w:rsidR="00227B47" w:rsidRPr="00490BF5" w:rsidSect="00227B47">
          <w:pgSz w:w="12240" w:h="15840" w:code="1"/>
          <w:pgMar w:top="1138" w:right="1440" w:bottom="1138" w:left="1440" w:header="461" w:footer="720" w:gutter="0"/>
          <w:cols w:space="720"/>
          <w:docGrid w:linePitch="299"/>
        </w:sectPr>
      </w:pPr>
    </w:p>
    <w:p w:rsidR="0002739A" w:rsidRPr="00D37B68" w:rsidRDefault="0002739A" w:rsidP="00490BF5">
      <w:pPr>
        <w:jc w:val="center"/>
        <w:rPr>
          <w:bCs/>
          <w:i/>
          <w:iCs/>
          <w:snapToGrid w:val="0"/>
          <w:kern w:val="22"/>
          <w:szCs w:val="22"/>
          <w:lang w:val="es-ES"/>
        </w:rPr>
      </w:pPr>
      <w:r w:rsidRPr="00D37B68">
        <w:rPr>
          <w:bCs/>
          <w:i/>
          <w:iCs/>
          <w:snapToGrid w:val="0"/>
          <w:kern w:val="22"/>
          <w:szCs w:val="22"/>
          <w:lang w:val="es-ES"/>
        </w:rPr>
        <w:lastRenderedPageBreak/>
        <w:t>An</w:t>
      </w:r>
      <w:r w:rsidR="008B7EB1" w:rsidRPr="00D37B68">
        <w:rPr>
          <w:bCs/>
          <w:i/>
          <w:iCs/>
          <w:snapToGrid w:val="0"/>
          <w:kern w:val="22"/>
          <w:szCs w:val="22"/>
          <w:lang w:val="es-ES"/>
        </w:rPr>
        <w:t>exo</w:t>
      </w:r>
      <w:r w:rsidRPr="00D37B68">
        <w:rPr>
          <w:bCs/>
          <w:i/>
          <w:iCs/>
          <w:snapToGrid w:val="0"/>
          <w:kern w:val="22"/>
          <w:szCs w:val="22"/>
          <w:lang w:val="es-ES"/>
        </w:rPr>
        <w:t xml:space="preserve"> IV</w:t>
      </w:r>
    </w:p>
    <w:p w:rsidR="00384F6F" w:rsidRPr="00D37B68" w:rsidRDefault="00CB008B" w:rsidP="00E22473">
      <w:pPr>
        <w:spacing w:before="120"/>
        <w:jc w:val="center"/>
        <w:rPr>
          <w:b/>
          <w:snapToGrid w:val="0"/>
          <w:kern w:val="22"/>
          <w:szCs w:val="22"/>
          <w:lang w:val="es-ES"/>
        </w:rPr>
      </w:pPr>
      <w:r w:rsidRPr="00D37B68">
        <w:rPr>
          <w:b/>
          <w:snapToGrid w:val="0"/>
          <w:kern w:val="22"/>
          <w:szCs w:val="22"/>
          <w:lang w:val="es-ES"/>
        </w:rPr>
        <w:t>CO</w:t>
      </w:r>
      <w:r w:rsidR="00D37B68" w:rsidRPr="00D37B68">
        <w:rPr>
          <w:b/>
          <w:snapToGrid w:val="0"/>
          <w:kern w:val="22"/>
          <w:szCs w:val="22"/>
          <w:lang w:val="es-ES"/>
        </w:rPr>
        <w:t xml:space="preserve">CIENTES POR PAÍSES </w:t>
      </w:r>
      <w:r w:rsidRPr="00D37B68">
        <w:rPr>
          <w:b/>
          <w:snapToGrid w:val="0"/>
          <w:kern w:val="22"/>
          <w:szCs w:val="22"/>
          <w:lang w:val="es-ES"/>
        </w:rPr>
        <w:t>(</w:t>
      </w:r>
      <w:r w:rsidR="00D37B68" w:rsidRPr="00D37B68">
        <w:rPr>
          <w:b/>
          <w:snapToGrid w:val="0"/>
          <w:kern w:val="22"/>
          <w:szCs w:val="22"/>
          <w:lang w:val="es-ES"/>
        </w:rPr>
        <w:t xml:space="preserve">FLUJOS INTERNACIONALES ANUALES COMUNICADOS DIVIDIDOS POR </w:t>
      </w:r>
      <w:r w:rsidR="00D37B68">
        <w:rPr>
          <w:b/>
          <w:snapToGrid w:val="0"/>
          <w:kern w:val="22"/>
          <w:szCs w:val="22"/>
          <w:lang w:val="es-ES"/>
        </w:rPr>
        <w:t>LA REFERENCIA COMUNICADA</w:t>
      </w:r>
      <w:r w:rsidRPr="00D37B68">
        <w:rPr>
          <w:b/>
          <w:snapToGrid w:val="0"/>
          <w:kern w:val="22"/>
          <w:szCs w:val="22"/>
          <w:lang w:val="es-ES"/>
        </w:rPr>
        <w:t>)</w:t>
      </w:r>
    </w:p>
    <w:p w:rsidR="00384F6F" w:rsidRPr="00D37B68" w:rsidRDefault="00384F6F">
      <w:pPr>
        <w:rPr>
          <w:bCs/>
          <w:snapToGrid w:val="0"/>
          <w:kern w:val="22"/>
          <w:szCs w:val="22"/>
          <w:lang w:val="es-ES"/>
        </w:rPr>
      </w:pPr>
    </w:p>
    <w:tbl>
      <w:tblPr>
        <w:tblpPr w:leftFromText="180" w:rightFromText="180" w:vertAnchor="text" w:tblpXSpec="center" w:tblpY="1"/>
        <w:tblOverlap w:val="never"/>
        <w:tblW w:w="5339" w:type="pct"/>
        <w:jc w:val="center"/>
        <w:tblLayout w:type="fixed"/>
        <w:tblLook w:val="04A0" w:firstRow="1" w:lastRow="0" w:firstColumn="1" w:lastColumn="0" w:noHBand="0" w:noVBand="1"/>
      </w:tblPr>
      <w:tblGrid>
        <w:gridCol w:w="1358"/>
        <w:gridCol w:w="1122"/>
        <w:gridCol w:w="1122"/>
        <w:gridCol w:w="1122"/>
        <w:gridCol w:w="1122"/>
        <w:gridCol w:w="1122"/>
        <w:gridCol w:w="1122"/>
        <w:gridCol w:w="1122"/>
        <w:gridCol w:w="1122"/>
      </w:tblGrid>
      <w:tr w:rsidR="00384F6F" w:rsidRPr="009B4266" w:rsidTr="00E22473">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F6F" w:rsidRPr="00616006" w:rsidRDefault="006B3BB9" w:rsidP="006B3BB9">
            <w:pPr>
              <w:suppressLineNumbers/>
              <w:suppressAutoHyphens/>
              <w:kinsoku w:val="0"/>
              <w:overflowPunct w:val="0"/>
              <w:autoSpaceDE w:val="0"/>
              <w:autoSpaceDN w:val="0"/>
              <w:adjustRightInd w:val="0"/>
              <w:snapToGrid w:val="0"/>
              <w:jc w:val="center"/>
              <w:rPr>
                <w:bCs/>
                <w:i/>
                <w:iCs/>
                <w:snapToGrid w:val="0"/>
                <w:kern w:val="22"/>
                <w:szCs w:val="22"/>
              </w:rPr>
            </w:pPr>
            <w:r>
              <w:rPr>
                <w:bCs/>
                <w:i/>
                <w:iCs/>
                <w:snapToGrid w:val="0"/>
                <w:kern w:val="22"/>
                <w:szCs w:val="22"/>
              </w:rPr>
              <w:t>Países que presentan informes</w:t>
            </w:r>
          </w:p>
        </w:tc>
        <w:tc>
          <w:tcPr>
            <w:tcW w:w="1122" w:type="dxa"/>
            <w:tcBorders>
              <w:top w:val="single" w:sz="4" w:space="0" w:color="auto"/>
              <w:left w:val="nil"/>
              <w:bottom w:val="single" w:sz="4" w:space="0" w:color="auto"/>
              <w:right w:val="single" w:sz="4" w:space="0" w:color="auto"/>
            </w:tcBorders>
            <w:shd w:val="clear" w:color="000000" w:fill="auto"/>
          </w:tcPr>
          <w:p w:rsidR="00384F6F" w:rsidRPr="006B3BB9" w:rsidRDefault="006B3BB9" w:rsidP="009B4266">
            <w:pPr>
              <w:suppressLineNumbers/>
              <w:suppressAutoHyphens/>
              <w:kinsoku w:val="0"/>
              <w:overflowPunct w:val="0"/>
              <w:autoSpaceDE w:val="0"/>
              <w:autoSpaceDN w:val="0"/>
              <w:adjustRightInd w:val="0"/>
              <w:snapToGrid w:val="0"/>
              <w:jc w:val="center"/>
              <w:rPr>
                <w:bCs/>
                <w:i/>
                <w:iCs/>
                <w:snapToGrid w:val="0"/>
                <w:spacing w:val="-18"/>
                <w:kern w:val="22"/>
                <w:szCs w:val="22"/>
                <w:lang w:val="es-ES"/>
              </w:rPr>
            </w:pPr>
            <w:r w:rsidRPr="006B3BB9">
              <w:rPr>
                <w:bCs/>
                <w:i/>
                <w:iCs/>
                <w:snapToGrid w:val="0"/>
                <w:spacing w:val="-18"/>
                <w:kern w:val="22"/>
                <w:szCs w:val="22"/>
                <w:lang w:val="es-ES"/>
              </w:rPr>
              <w:t>Referencia comunicada</w:t>
            </w:r>
            <w:r w:rsidR="00384F6F" w:rsidRPr="006B3BB9">
              <w:rPr>
                <w:bCs/>
                <w:i/>
                <w:iCs/>
                <w:snapToGrid w:val="0"/>
                <w:spacing w:val="-18"/>
                <w:kern w:val="22"/>
                <w:szCs w:val="22"/>
                <w:lang w:val="es-ES"/>
              </w:rPr>
              <w:t>(</w:t>
            </w:r>
            <w:r w:rsidRPr="006B3BB9">
              <w:rPr>
                <w:bCs/>
                <w:i/>
                <w:iCs/>
                <w:snapToGrid w:val="0"/>
                <w:spacing w:val="-18"/>
                <w:kern w:val="22"/>
                <w:szCs w:val="22"/>
                <w:lang w:val="es-ES"/>
              </w:rPr>
              <w:t xml:space="preserve"> USD</w:t>
            </w:r>
            <w:r w:rsidR="009B4266">
              <w:rPr>
                <w:bCs/>
                <w:i/>
                <w:iCs/>
                <w:snapToGrid w:val="0"/>
                <w:spacing w:val="-18"/>
                <w:kern w:val="22"/>
                <w:szCs w:val="22"/>
                <w:lang w:val="es-ES"/>
              </w:rPr>
              <w:t>, miles</w:t>
            </w:r>
            <w:r>
              <w:rPr>
                <w:bCs/>
                <w:i/>
                <w:iCs/>
                <w:snapToGrid w:val="0"/>
                <w:spacing w:val="-18"/>
                <w:kern w:val="22"/>
                <w:szCs w:val="22"/>
                <w:lang w:val="es-ES"/>
              </w:rPr>
              <w:t>)</w:t>
            </w:r>
          </w:p>
        </w:tc>
        <w:tc>
          <w:tcPr>
            <w:tcW w:w="1122" w:type="dxa"/>
            <w:tcBorders>
              <w:top w:val="single" w:sz="4" w:space="0" w:color="auto"/>
              <w:left w:val="nil"/>
              <w:bottom w:val="single" w:sz="4" w:space="0" w:color="auto"/>
              <w:right w:val="single" w:sz="4" w:space="0" w:color="auto"/>
            </w:tcBorders>
            <w:shd w:val="clear" w:color="000000" w:fill="auto"/>
          </w:tcPr>
          <w:p w:rsidR="00384F6F" w:rsidRPr="009B4266" w:rsidRDefault="009B4266" w:rsidP="009B4266">
            <w:pPr>
              <w:suppressLineNumbers/>
              <w:suppressAutoHyphens/>
              <w:kinsoku w:val="0"/>
              <w:overflowPunct w:val="0"/>
              <w:autoSpaceDE w:val="0"/>
              <w:autoSpaceDN w:val="0"/>
              <w:adjustRightInd w:val="0"/>
              <w:snapToGrid w:val="0"/>
              <w:jc w:val="center"/>
              <w:rPr>
                <w:bCs/>
                <w:i/>
                <w:iCs/>
                <w:snapToGrid w:val="0"/>
                <w:spacing w:val="-18"/>
                <w:kern w:val="22"/>
                <w:szCs w:val="22"/>
                <w:lang w:val="es-ES"/>
              </w:rPr>
            </w:pPr>
            <w:r w:rsidRPr="009B4266">
              <w:rPr>
                <w:bCs/>
                <w:i/>
                <w:iCs/>
                <w:snapToGrid w:val="0"/>
                <w:spacing w:val="-18"/>
                <w:kern w:val="22"/>
                <w:szCs w:val="22"/>
                <w:lang w:val="es-ES"/>
              </w:rPr>
              <w:t>Último informe</w:t>
            </w:r>
            <w:r w:rsidR="00384F6F" w:rsidRPr="009B4266">
              <w:rPr>
                <w:bCs/>
                <w:i/>
                <w:iCs/>
                <w:snapToGrid w:val="0"/>
                <w:spacing w:val="-18"/>
                <w:kern w:val="22"/>
                <w:szCs w:val="22"/>
                <w:lang w:val="es-ES"/>
              </w:rPr>
              <w:t xml:space="preserve"> (</w:t>
            </w:r>
            <w:r w:rsidRPr="009B4266">
              <w:rPr>
                <w:bCs/>
                <w:i/>
                <w:iCs/>
                <w:snapToGrid w:val="0"/>
                <w:spacing w:val="-18"/>
                <w:kern w:val="22"/>
                <w:szCs w:val="22"/>
                <w:lang w:val="es-ES"/>
              </w:rPr>
              <w:t>USD actual, miles</w:t>
            </w:r>
            <w:r>
              <w:rPr>
                <w:bCs/>
                <w:i/>
                <w:iCs/>
                <w:snapToGrid w:val="0"/>
                <w:spacing w:val="-18"/>
                <w:kern w:val="22"/>
                <w:szCs w:val="22"/>
                <w:lang w:val="es-ES"/>
              </w:rPr>
              <w:t>)</w:t>
            </w:r>
          </w:p>
        </w:tc>
        <w:tc>
          <w:tcPr>
            <w:tcW w:w="1122" w:type="dxa"/>
            <w:tcBorders>
              <w:top w:val="single" w:sz="4" w:space="0" w:color="auto"/>
              <w:left w:val="nil"/>
              <w:bottom w:val="single" w:sz="4" w:space="0" w:color="auto"/>
              <w:right w:val="single" w:sz="4" w:space="0" w:color="auto"/>
            </w:tcBorders>
            <w:shd w:val="clear" w:color="000000" w:fill="auto"/>
          </w:tcPr>
          <w:p w:rsidR="00384F6F" w:rsidRPr="00616006" w:rsidRDefault="009B4266" w:rsidP="00C420BD">
            <w:pPr>
              <w:suppressLineNumbers/>
              <w:suppressAutoHyphens/>
              <w:kinsoku w:val="0"/>
              <w:overflowPunct w:val="0"/>
              <w:autoSpaceDE w:val="0"/>
              <w:autoSpaceDN w:val="0"/>
              <w:adjustRightInd w:val="0"/>
              <w:snapToGrid w:val="0"/>
              <w:jc w:val="center"/>
              <w:rPr>
                <w:bCs/>
                <w:i/>
                <w:iCs/>
                <w:snapToGrid w:val="0"/>
                <w:spacing w:val="-20"/>
                <w:kern w:val="22"/>
                <w:szCs w:val="22"/>
              </w:rPr>
            </w:pPr>
            <w:r>
              <w:rPr>
                <w:bCs/>
                <w:i/>
                <w:iCs/>
                <w:snapToGrid w:val="0"/>
                <w:spacing w:val="-20"/>
                <w:kern w:val="22"/>
                <w:szCs w:val="22"/>
              </w:rPr>
              <w:t>Cociente</w:t>
            </w:r>
          </w:p>
          <w:p w:rsidR="00384F6F" w:rsidRPr="00616006" w:rsidRDefault="00384F6F" w:rsidP="009B4266">
            <w:pPr>
              <w:suppressLineNumbers/>
              <w:suppressAutoHyphens/>
              <w:kinsoku w:val="0"/>
              <w:overflowPunct w:val="0"/>
              <w:autoSpaceDE w:val="0"/>
              <w:autoSpaceDN w:val="0"/>
              <w:adjustRightInd w:val="0"/>
              <w:snapToGrid w:val="0"/>
              <w:jc w:val="center"/>
              <w:rPr>
                <w:bCs/>
                <w:i/>
                <w:iCs/>
                <w:snapToGrid w:val="0"/>
                <w:spacing w:val="-20"/>
                <w:kern w:val="22"/>
                <w:szCs w:val="22"/>
              </w:rPr>
            </w:pPr>
            <w:r w:rsidRPr="00616006">
              <w:rPr>
                <w:bCs/>
                <w:i/>
                <w:iCs/>
                <w:snapToGrid w:val="0"/>
                <w:spacing w:val="-20"/>
                <w:kern w:val="22"/>
                <w:szCs w:val="22"/>
              </w:rPr>
              <w:t>(</w:t>
            </w:r>
            <w:r w:rsidR="009B4266">
              <w:rPr>
                <w:bCs/>
                <w:i/>
                <w:iCs/>
                <w:snapToGrid w:val="0"/>
                <w:spacing w:val="-20"/>
                <w:kern w:val="22"/>
                <w:szCs w:val="22"/>
              </w:rPr>
              <w:t>e</w:t>
            </w:r>
            <w:r w:rsidRPr="00616006">
              <w:rPr>
                <w:bCs/>
                <w:i/>
                <w:iCs/>
                <w:snapToGrid w:val="0"/>
                <w:spacing w:val="-20"/>
                <w:kern w:val="22"/>
                <w:szCs w:val="22"/>
              </w:rPr>
              <w:t>n US</w:t>
            </w:r>
            <w:r w:rsidR="009B4266">
              <w:rPr>
                <w:bCs/>
                <w:i/>
                <w:iCs/>
                <w:snapToGrid w:val="0"/>
                <w:spacing w:val="-20"/>
                <w:kern w:val="22"/>
                <w:szCs w:val="22"/>
              </w:rPr>
              <w:t>D</w:t>
            </w:r>
            <w:r w:rsidRPr="00616006">
              <w:rPr>
                <w:bCs/>
                <w:i/>
                <w:iCs/>
                <w:snapToGrid w:val="0"/>
                <w:spacing w:val="-20"/>
                <w:kern w:val="22"/>
                <w:szCs w:val="22"/>
              </w:rPr>
              <w:t>)</w:t>
            </w:r>
          </w:p>
        </w:tc>
        <w:tc>
          <w:tcPr>
            <w:tcW w:w="1122" w:type="dxa"/>
            <w:tcBorders>
              <w:top w:val="single" w:sz="4" w:space="0" w:color="auto"/>
              <w:left w:val="nil"/>
              <w:bottom w:val="single" w:sz="4" w:space="0" w:color="auto"/>
              <w:right w:val="single" w:sz="4" w:space="0" w:color="auto"/>
            </w:tcBorders>
            <w:shd w:val="clear" w:color="000000" w:fill="auto"/>
          </w:tcPr>
          <w:p w:rsidR="00384F6F" w:rsidRPr="009B4266" w:rsidRDefault="009B4266" w:rsidP="009B4266">
            <w:pPr>
              <w:suppressLineNumbers/>
              <w:suppressAutoHyphens/>
              <w:kinsoku w:val="0"/>
              <w:overflowPunct w:val="0"/>
              <w:autoSpaceDE w:val="0"/>
              <w:autoSpaceDN w:val="0"/>
              <w:adjustRightInd w:val="0"/>
              <w:snapToGrid w:val="0"/>
              <w:jc w:val="center"/>
              <w:rPr>
                <w:bCs/>
                <w:i/>
                <w:iCs/>
                <w:snapToGrid w:val="0"/>
                <w:spacing w:val="-18"/>
                <w:kern w:val="22"/>
                <w:szCs w:val="22"/>
                <w:lang w:val="es-ES"/>
              </w:rPr>
            </w:pPr>
            <w:r w:rsidRPr="009B4266">
              <w:rPr>
                <w:bCs/>
                <w:i/>
                <w:iCs/>
                <w:snapToGrid w:val="0"/>
                <w:spacing w:val="-18"/>
                <w:kern w:val="22"/>
                <w:szCs w:val="22"/>
                <w:lang w:val="es-ES"/>
              </w:rPr>
              <w:t>Referencia comunicada</w:t>
            </w:r>
            <w:r>
              <w:rPr>
                <w:bCs/>
                <w:i/>
                <w:iCs/>
                <w:snapToGrid w:val="0"/>
                <w:spacing w:val="-18"/>
                <w:kern w:val="22"/>
                <w:szCs w:val="22"/>
                <w:lang w:val="es-ES"/>
              </w:rPr>
              <w:t>(moneda comunicada</w:t>
            </w:r>
            <w:r w:rsidRPr="009B4266">
              <w:rPr>
                <w:bCs/>
                <w:i/>
                <w:iCs/>
                <w:snapToGrid w:val="0"/>
                <w:spacing w:val="-18"/>
                <w:kern w:val="22"/>
                <w:szCs w:val="22"/>
                <w:lang w:val="es-ES"/>
              </w:rPr>
              <w:t>, miles</w:t>
            </w:r>
            <w:r w:rsidR="00384F6F" w:rsidRPr="009B4266">
              <w:rPr>
                <w:bCs/>
                <w:i/>
                <w:iCs/>
                <w:snapToGrid w:val="0"/>
                <w:spacing w:val="-18"/>
                <w:kern w:val="22"/>
                <w:szCs w:val="22"/>
                <w:lang w:val="es-ES"/>
              </w:rPr>
              <w:t>)</w:t>
            </w:r>
          </w:p>
        </w:tc>
        <w:tc>
          <w:tcPr>
            <w:tcW w:w="1122" w:type="dxa"/>
            <w:tcBorders>
              <w:top w:val="single" w:sz="4" w:space="0" w:color="auto"/>
              <w:left w:val="nil"/>
              <w:bottom w:val="single" w:sz="4" w:space="0" w:color="auto"/>
              <w:right w:val="single" w:sz="4" w:space="0" w:color="auto"/>
            </w:tcBorders>
            <w:shd w:val="clear" w:color="000000" w:fill="auto"/>
          </w:tcPr>
          <w:p w:rsidR="00384F6F" w:rsidRPr="009B4266" w:rsidRDefault="009B4266" w:rsidP="009B4266">
            <w:pPr>
              <w:suppressLineNumbers/>
              <w:suppressAutoHyphens/>
              <w:kinsoku w:val="0"/>
              <w:overflowPunct w:val="0"/>
              <w:autoSpaceDE w:val="0"/>
              <w:autoSpaceDN w:val="0"/>
              <w:adjustRightInd w:val="0"/>
              <w:snapToGrid w:val="0"/>
              <w:jc w:val="center"/>
              <w:rPr>
                <w:bCs/>
                <w:i/>
                <w:iCs/>
                <w:snapToGrid w:val="0"/>
                <w:spacing w:val="-18"/>
                <w:kern w:val="22"/>
                <w:szCs w:val="22"/>
                <w:lang w:val="es-ES"/>
              </w:rPr>
            </w:pPr>
            <w:r w:rsidRPr="009B4266">
              <w:rPr>
                <w:bCs/>
                <w:i/>
                <w:iCs/>
                <w:snapToGrid w:val="0"/>
                <w:spacing w:val="-18"/>
                <w:kern w:val="22"/>
                <w:szCs w:val="22"/>
                <w:lang w:val="es-ES"/>
              </w:rPr>
              <w:t xml:space="preserve">Último informe </w:t>
            </w:r>
            <w:r w:rsidR="00384F6F" w:rsidRPr="009B4266">
              <w:rPr>
                <w:bCs/>
                <w:i/>
                <w:iCs/>
                <w:snapToGrid w:val="0"/>
                <w:spacing w:val="-18"/>
                <w:kern w:val="22"/>
                <w:szCs w:val="22"/>
                <w:lang w:val="es-ES"/>
              </w:rPr>
              <w:t>(</w:t>
            </w:r>
            <w:r>
              <w:rPr>
                <w:bCs/>
                <w:i/>
                <w:iCs/>
                <w:snapToGrid w:val="0"/>
                <w:spacing w:val="-18"/>
                <w:kern w:val="22"/>
                <w:szCs w:val="22"/>
                <w:lang w:val="es-ES"/>
              </w:rPr>
              <w:t>moneda comunicada</w:t>
            </w:r>
            <w:r w:rsidRPr="009B4266">
              <w:rPr>
                <w:bCs/>
                <w:i/>
                <w:iCs/>
                <w:snapToGrid w:val="0"/>
                <w:spacing w:val="-18"/>
                <w:kern w:val="22"/>
                <w:szCs w:val="22"/>
                <w:lang w:val="es-ES"/>
              </w:rPr>
              <w:t xml:space="preserve">, miles </w:t>
            </w:r>
            <w:r w:rsidR="00384F6F" w:rsidRPr="009B4266">
              <w:rPr>
                <w:bCs/>
                <w:i/>
                <w:iCs/>
                <w:snapToGrid w:val="0"/>
                <w:spacing w:val="-18"/>
                <w:kern w:val="22"/>
                <w:szCs w:val="22"/>
                <w:lang w:val="es-ES"/>
              </w:rPr>
              <w:t>)</w:t>
            </w:r>
          </w:p>
        </w:tc>
        <w:tc>
          <w:tcPr>
            <w:tcW w:w="1122" w:type="dxa"/>
            <w:tcBorders>
              <w:top w:val="single" w:sz="4" w:space="0" w:color="auto"/>
              <w:left w:val="nil"/>
              <w:bottom w:val="single" w:sz="4" w:space="0" w:color="auto"/>
              <w:right w:val="single" w:sz="4" w:space="0" w:color="auto"/>
            </w:tcBorders>
            <w:shd w:val="clear" w:color="000000" w:fill="auto"/>
          </w:tcPr>
          <w:p w:rsidR="00384F6F" w:rsidRPr="00616006" w:rsidRDefault="009B4266" w:rsidP="009B4266">
            <w:pPr>
              <w:suppressLineNumbers/>
              <w:suppressAutoHyphens/>
              <w:kinsoku w:val="0"/>
              <w:overflowPunct w:val="0"/>
              <w:autoSpaceDE w:val="0"/>
              <w:autoSpaceDN w:val="0"/>
              <w:adjustRightInd w:val="0"/>
              <w:snapToGrid w:val="0"/>
              <w:jc w:val="center"/>
              <w:rPr>
                <w:bCs/>
                <w:i/>
                <w:iCs/>
                <w:snapToGrid w:val="0"/>
                <w:spacing w:val="-18"/>
                <w:kern w:val="22"/>
                <w:szCs w:val="22"/>
              </w:rPr>
            </w:pPr>
            <w:r>
              <w:rPr>
                <w:bCs/>
                <w:i/>
                <w:iCs/>
                <w:snapToGrid w:val="0"/>
                <w:spacing w:val="-18"/>
                <w:kern w:val="22"/>
                <w:szCs w:val="22"/>
                <w:lang w:val="es-ES"/>
              </w:rPr>
              <w:t>Moneda comunicada</w:t>
            </w:r>
          </w:p>
        </w:tc>
        <w:tc>
          <w:tcPr>
            <w:tcW w:w="1122" w:type="dxa"/>
            <w:tcBorders>
              <w:top w:val="single" w:sz="4" w:space="0" w:color="auto"/>
              <w:left w:val="nil"/>
              <w:bottom w:val="single" w:sz="4" w:space="0" w:color="auto"/>
              <w:right w:val="single" w:sz="4" w:space="0" w:color="auto"/>
            </w:tcBorders>
            <w:shd w:val="clear" w:color="000000" w:fill="auto"/>
          </w:tcPr>
          <w:p w:rsidR="00384F6F" w:rsidRPr="009B4266" w:rsidRDefault="009B4266" w:rsidP="00C420BD">
            <w:pPr>
              <w:suppressLineNumbers/>
              <w:suppressAutoHyphens/>
              <w:kinsoku w:val="0"/>
              <w:overflowPunct w:val="0"/>
              <w:autoSpaceDE w:val="0"/>
              <w:autoSpaceDN w:val="0"/>
              <w:adjustRightInd w:val="0"/>
              <w:snapToGrid w:val="0"/>
              <w:jc w:val="center"/>
              <w:rPr>
                <w:bCs/>
                <w:i/>
                <w:iCs/>
                <w:snapToGrid w:val="0"/>
                <w:spacing w:val="-18"/>
                <w:kern w:val="22"/>
                <w:szCs w:val="22"/>
                <w:lang w:val="es-ES"/>
              </w:rPr>
            </w:pPr>
            <w:r w:rsidRPr="009B4266">
              <w:rPr>
                <w:bCs/>
                <w:i/>
                <w:iCs/>
                <w:snapToGrid w:val="0"/>
                <w:spacing w:val="-18"/>
                <w:kern w:val="22"/>
                <w:szCs w:val="22"/>
                <w:lang w:val="es-ES"/>
              </w:rPr>
              <w:t>Cociente</w:t>
            </w:r>
          </w:p>
          <w:p w:rsidR="00384F6F" w:rsidRPr="009B4266" w:rsidRDefault="00384F6F" w:rsidP="009B4266">
            <w:pPr>
              <w:suppressLineNumbers/>
              <w:suppressAutoHyphens/>
              <w:kinsoku w:val="0"/>
              <w:overflowPunct w:val="0"/>
              <w:autoSpaceDE w:val="0"/>
              <w:autoSpaceDN w:val="0"/>
              <w:adjustRightInd w:val="0"/>
              <w:snapToGrid w:val="0"/>
              <w:jc w:val="center"/>
              <w:rPr>
                <w:bCs/>
                <w:i/>
                <w:iCs/>
                <w:snapToGrid w:val="0"/>
                <w:spacing w:val="-18"/>
                <w:kern w:val="22"/>
                <w:szCs w:val="22"/>
                <w:lang w:val="es-ES"/>
              </w:rPr>
            </w:pPr>
            <w:r w:rsidRPr="009B4266">
              <w:rPr>
                <w:bCs/>
                <w:i/>
                <w:iCs/>
                <w:snapToGrid w:val="0"/>
                <w:spacing w:val="-18"/>
                <w:kern w:val="22"/>
                <w:szCs w:val="22"/>
                <w:lang w:val="es-ES"/>
              </w:rPr>
              <w:t>(</w:t>
            </w:r>
            <w:r w:rsidR="009B4266" w:rsidRPr="009B4266">
              <w:rPr>
                <w:bCs/>
                <w:i/>
                <w:iCs/>
                <w:snapToGrid w:val="0"/>
                <w:spacing w:val="-18"/>
                <w:kern w:val="22"/>
                <w:szCs w:val="22"/>
                <w:lang w:val="es-ES"/>
              </w:rPr>
              <w:t>e</w:t>
            </w:r>
            <w:r w:rsidRPr="009B4266">
              <w:rPr>
                <w:bCs/>
                <w:i/>
                <w:iCs/>
                <w:snapToGrid w:val="0"/>
                <w:spacing w:val="-18"/>
                <w:kern w:val="22"/>
                <w:szCs w:val="22"/>
                <w:lang w:val="es-ES"/>
              </w:rPr>
              <w:t>n</w:t>
            </w:r>
            <w:r w:rsidR="009B4266">
              <w:rPr>
                <w:bCs/>
                <w:i/>
                <w:iCs/>
                <w:snapToGrid w:val="0"/>
                <w:spacing w:val="-18"/>
                <w:kern w:val="22"/>
                <w:szCs w:val="22"/>
                <w:lang w:val="es-ES"/>
              </w:rPr>
              <w:t xml:space="preserve"> la moneda comunicada</w:t>
            </w:r>
            <w:r w:rsidRPr="009B4266">
              <w:rPr>
                <w:bCs/>
                <w:i/>
                <w:iCs/>
                <w:snapToGrid w:val="0"/>
                <w:spacing w:val="-18"/>
                <w:kern w:val="22"/>
                <w:szCs w:val="22"/>
                <w:lang w:val="es-ES"/>
              </w:rPr>
              <w:t>)</w:t>
            </w:r>
          </w:p>
        </w:tc>
        <w:tc>
          <w:tcPr>
            <w:tcW w:w="1122" w:type="dxa"/>
            <w:tcBorders>
              <w:top w:val="single" w:sz="4" w:space="0" w:color="auto"/>
              <w:left w:val="single" w:sz="4" w:space="0" w:color="auto"/>
              <w:bottom w:val="single" w:sz="4" w:space="0" w:color="auto"/>
              <w:right w:val="single" w:sz="4" w:space="0" w:color="auto"/>
            </w:tcBorders>
            <w:shd w:val="clear" w:color="000000" w:fill="auto"/>
          </w:tcPr>
          <w:p w:rsidR="00384F6F" w:rsidRPr="009B4266" w:rsidRDefault="009B4266" w:rsidP="009B4266">
            <w:pPr>
              <w:suppressLineNumbers/>
              <w:suppressAutoHyphens/>
              <w:kinsoku w:val="0"/>
              <w:overflowPunct w:val="0"/>
              <w:autoSpaceDE w:val="0"/>
              <w:autoSpaceDN w:val="0"/>
              <w:adjustRightInd w:val="0"/>
              <w:snapToGrid w:val="0"/>
              <w:jc w:val="center"/>
              <w:rPr>
                <w:bCs/>
                <w:i/>
                <w:iCs/>
                <w:snapToGrid w:val="0"/>
                <w:spacing w:val="-18"/>
                <w:kern w:val="22"/>
                <w:szCs w:val="22"/>
                <w:lang w:val="es-ES"/>
              </w:rPr>
            </w:pPr>
            <w:r w:rsidRPr="009B4266">
              <w:rPr>
                <w:bCs/>
                <w:i/>
                <w:iCs/>
                <w:snapToGrid w:val="0"/>
                <w:spacing w:val="-18"/>
                <w:kern w:val="22"/>
                <w:szCs w:val="22"/>
                <w:lang w:val="es-ES"/>
              </w:rPr>
              <w:t>Comunicado el año pasado</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Alemania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266 815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598 567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w:t>
            </w:r>
            <w:r>
              <w:rPr>
                <w:bCs/>
                <w:snapToGrid w:val="0"/>
                <w:color w:val="000000"/>
                <w:kern w:val="22"/>
                <w:sz w:val="20"/>
                <w:szCs w:val="20"/>
              </w:rPr>
              <w:t>,</w:t>
            </w:r>
            <w:r w:rsidRPr="00490BF5">
              <w:rPr>
                <w:bCs/>
                <w:snapToGrid w:val="0"/>
                <w:color w:val="000000"/>
                <w:kern w:val="22"/>
                <w:sz w:val="20"/>
                <w:szCs w:val="20"/>
              </w:rPr>
              <w:t>24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194 000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538 000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w:t>
            </w:r>
            <w:r>
              <w:rPr>
                <w:snapToGrid w:val="0"/>
                <w:color w:val="000000"/>
                <w:kern w:val="22"/>
                <w:sz w:val="20"/>
                <w:szCs w:val="20"/>
              </w:rPr>
              <w:t>,</w:t>
            </w:r>
            <w:r w:rsidRPr="00490BF5">
              <w:rPr>
                <w:snapToGrid w:val="0"/>
                <w:color w:val="000000"/>
                <w:kern w:val="22"/>
                <w:sz w:val="20"/>
                <w:szCs w:val="20"/>
              </w:rPr>
              <w:t>77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Austria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18 040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20 578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14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13 100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18 496</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41</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Bulgaria</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111 258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195 583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BGN</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Canad</w:t>
            </w:r>
            <w:r>
              <w:rPr>
                <w:snapToGrid w:val="0"/>
                <w:kern w:val="22"/>
                <w:sz w:val="20"/>
                <w:szCs w:val="20"/>
              </w:rPr>
              <w:t>á</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77 160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94 193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22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83 000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97 000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CAD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17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2013</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w:t>
            </w:r>
            <w:r>
              <w:rPr>
                <w:snapToGrid w:val="0"/>
                <w:kern w:val="22"/>
                <w:sz w:val="20"/>
                <w:szCs w:val="20"/>
              </w:rPr>
              <w:t>hequia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2858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2357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w:t>
            </w:r>
            <w:r>
              <w:rPr>
                <w:bCs/>
                <w:snapToGrid w:val="0"/>
                <w:color w:val="000000"/>
                <w:kern w:val="22"/>
                <w:sz w:val="20"/>
                <w:szCs w:val="20"/>
              </w:rPr>
              <w:t>,</w:t>
            </w:r>
            <w:r w:rsidRPr="00490BF5">
              <w:rPr>
                <w:bCs/>
                <w:snapToGrid w:val="0"/>
                <w:color w:val="000000"/>
                <w:kern w:val="22"/>
                <w:sz w:val="20"/>
                <w:szCs w:val="20"/>
              </w:rPr>
              <w:t>82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55 653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58 138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CZK</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04</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Chile</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China</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600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6500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w:t>
            </w:r>
            <w:r>
              <w:rPr>
                <w:bCs/>
                <w:snapToGrid w:val="0"/>
                <w:color w:val="000000"/>
                <w:kern w:val="22"/>
                <w:sz w:val="20"/>
                <w:szCs w:val="20"/>
              </w:rPr>
              <w:t>,</w:t>
            </w:r>
            <w:r w:rsidRPr="00490BF5">
              <w:rPr>
                <w:bCs/>
                <w:snapToGrid w:val="0"/>
                <w:color w:val="000000"/>
                <w:kern w:val="22"/>
                <w:sz w:val="20"/>
                <w:szCs w:val="20"/>
              </w:rPr>
              <w:t>83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600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6500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10</w:t>
            </w:r>
            <w:r>
              <w:rPr>
                <w:snapToGrid w:val="0"/>
                <w:color w:val="000000"/>
                <w:kern w:val="22"/>
                <w:sz w:val="20"/>
                <w:szCs w:val="20"/>
              </w:rPr>
              <w:t>,</w:t>
            </w:r>
            <w:r w:rsidRPr="00490BF5">
              <w:rPr>
                <w:snapToGrid w:val="0"/>
                <w:color w:val="000000"/>
                <w:kern w:val="22"/>
                <w:sz w:val="20"/>
                <w:szCs w:val="20"/>
              </w:rPr>
              <w:t>83</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Croa</w:t>
            </w:r>
            <w:r>
              <w:rPr>
                <w:snapToGrid w:val="0"/>
                <w:kern w:val="22"/>
                <w:sz w:val="20"/>
                <w:szCs w:val="20"/>
              </w:rPr>
              <w:t>c</w:t>
            </w:r>
            <w:r w:rsidRPr="00490BF5">
              <w:rPr>
                <w:snapToGrid w:val="0"/>
                <w:kern w:val="22"/>
                <w:sz w:val="20"/>
                <w:szCs w:val="20"/>
              </w:rPr>
              <w:t>ia</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86</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4</w:t>
            </w:r>
            <w:r>
              <w:rPr>
                <w:bCs/>
                <w:snapToGrid w:val="0"/>
                <w:color w:val="000000"/>
                <w:kern w:val="22"/>
                <w:sz w:val="20"/>
                <w:szCs w:val="20"/>
              </w:rPr>
              <w:t>,</w:t>
            </w:r>
            <w:r w:rsidRPr="00490BF5">
              <w:rPr>
                <w:bCs/>
                <w:snapToGrid w:val="0"/>
                <w:color w:val="000000"/>
                <w:kern w:val="22"/>
                <w:sz w:val="20"/>
                <w:szCs w:val="20"/>
              </w:rPr>
              <w:t>10</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15</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77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w:t>
            </w:r>
            <w:r>
              <w:rPr>
                <w:snapToGrid w:val="0"/>
                <w:color w:val="000000"/>
                <w:kern w:val="22"/>
                <w:sz w:val="20"/>
                <w:szCs w:val="20"/>
              </w:rPr>
              <w:t>,</w:t>
            </w:r>
            <w:r w:rsidRPr="00490BF5">
              <w:rPr>
                <w:snapToGrid w:val="0"/>
                <w:color w:val="000000"/>
                <w:kern w:val="22"/>
                <w:sz w:val="20"/>
                <w:szCs w:val="20"/>
              </w:rPr>
              <w:t>12</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D</w:t>
            </w:r>
            <w:r>
              <w:rPr>
                <w:snapToGrid w:val="0"/>
                <w:kern w:val="22"/>
                <w:sz w:val="20"/>
                <w:szCs w:val="20"/>
              </w:rPr>
              <w:t>inamarca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107 181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97 666</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w:t>
            </w:r>
            <w:r>
              <w:rPr>
                <w:bCs/>
                <w:snapToGrid w:val="0"/>
                <w:color w:val="000000"/>
                <w:kern w:val="22"/>
                <w:sz w:val="20"/>
                <w:szCs w:val="20"/>
              </w:rPr>
              <w:t>,</w:t>
            </w:r>
            <w:r w:rsidRPr="00490BF5">
              <w:rPr>
                <w:bCs/>
                <w:snapToGrid w:val="0"/>
                <w:color w:val="000000"/>
                <w:kern w:val="22"/>
                <w:sz w:val="20"/>
                <w:szCs w:val="20"/>
              </w:rPr>
              <w:t>91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588 000</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658 000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DKK</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12</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Eslovaquia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1515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1362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9B426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9B4266" w:rsidRPr="00490BF5" w:rsidRDefault="009B4266" w:rsidP="009B426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Es</w:t>
            </w:r>
            <w:r w:rsidRPr="00490BF5">
              <w:rPr>
                <w:snapToGrid w:val="0"/>
                <w:kern w:val="22"/>
                <w:sz w:val="20"/>
                <w:szCs w:val="20"/>
              </w:rPr>
              <w:t>lovenia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528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298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w:t>
            </w:r>
            <w:r>
              <w:rPr>
                <w:bCs/>
                <w:snapToGrid w:val="0"/>
                <w:color w:val="000000"/>
                <w:kern w:val="22"/>
                <w:sz w:val="20"/>
                <w:szCs w:val="20"/>
              </w:rPr>
              <w:t>,</w:t>
            </w:r>
            <w:r w:rsidRPr="00490BF5">
              <w:rPr>
                <w:bCs/>
                <w:snapToGrid w:val="0"/>
                <w:color w:val="000000"/>
                <w:kern w:val="22"/>
                <w:sz w:val="20"/>
                <w:szCs w:val="20"/>
              </w:rPr>
              <w:t>56</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383</w:t>
            </w:r>
          </w:p>
        </w:tc>
        <w:tc>
          <w:tcPr>
            <w:tcW w:w="1122" w:type="dxa"/>
            <w:tcBorders>
              <w:top w:val="single" w:sz="4" w:space="0" w:color="auto"/>
              <w:left w:val="nil"/>
              <w:bottom w:val="single" w:sz="4" w:space="0" w:color="auto"/>
              <w:right w:val="single" w:sz="4" w:space="0" w:color="auto"/>
            </w:tcBorders>
            <w:shd w:val="clear" w:color="auto" w:fill="FFFFFF"/>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268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w:t>
            </w:r>
            <w:r>
              <w:rPr>
                <w:snapToGrid w:val="0"/>
                <w:color w:val="000000"/>
                <w:kern w:val="22"/>
                <w:sz w:val="20"/>
                <w:szCs w:val="20"/>
              </w:rPr>
              <w:t>,</w:t>
            </w:r>
            <w:r w:rsidRPr="00490BF5">
              <w:rPr>
                <w:snapToGrid w:val="0"/>
                <w:color w:val="000000"/>
                <w:kern w:val="22"/>
                <w:sz w:val="20"/>
                <w:szCs w:val="20"/>
              </w:rPr>
              <w:t>70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9B4266" w:rsidRPr="00490BF5" w:rsidRDefault="009B4266" w:rsidP="009B4266">
            <w:pPr>
              <w:suppressLineNumbers/>
              <w:suppressAutoHyphens/>
              <w:kinsoku w:val="0"/>
              <w:overflowPunct w:val="0"/>
              <w:autoSpaceDE w:val="0"/>
              <w:autoSpaceDN w:val="0"/>
              <w:adjustRightInd w:val="0"/>
              <w:snapToGrid w:val="0"/>
              <w:jc w:val="right"/>
              <w:rPr>
                <w:snapToGrid w:val="0"/>
                <w:color w:val="000000"/>
                <w:kern w:val="22"/>
                <w:sz w:val="20"/>
                <w:szCs w:val="20"/>
              </w:rPr>
            </w:pP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España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69 409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28 020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w:t>
            </w:r>
            <w:r>
              <w:rPr>
                <w:bCs/>
                <w:snapToGrid w:val="0"/>
                <w:color w:val="000000"/>
                <w:kern w:val="22"/>
                <w:sz w:val="20"/>
                <w:szCs w:val="20"/>
              </w:rPr>
              <w:t>,</w:t>
            </w:r>
            <w:r w:rsidRPr="00490BF5">
              <w:rPr>
                <w:bCs/>
                <w:snapToGrid w:val="0"/>
                <w:color w:val="000000"/>
                <w:kern w:val="22"/>
                <w:sz w:val="20"/>
                <w:szCs w:val="20"/>
              </w:rPr>
              <w:t>40</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50 642</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25 184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w:t>
            </w:r>
            <w:r>
              <w:rPr>
                <w:snapToGrid w:val="0"/>
                <w:color w:val="000000"/>
                <w:kern w:val="22"/>
                <w:sz w:val="20"/>
                <w:szCs w:val="20"/>
              </w:rPr>
              <w:t>,</w:t>
            </w:r>
            <w:r w:rsidRPr="00490BF5">
              <w:rPr>
                <w:snapToGrid w:val="0"/>
                <w:color w:val="000000"/>
                <w:kern w:val="22"/>
                <w:sz w:val="20"/>
                <w:szCs w:val="20"/>
              </w:rPr>
              <w:t>50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Estonia</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359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18</w:t>
            </w:r>
            <w:r>
              <w:rPr>
                <w:bCs/>
                <w:snapToGrid w:val="0"/>
                <w:color w:val="000000"/>
                <w:kern w:val="22"/>
                <w:sz w:val="20"/>
                <w:szCs w:val="20"/>
              </w:rPr>
              <w:t>,</w:t>
            </w:r>
            <w:r w:rsidRPr="00490BF5">
              <w:rPr>
                <w:bCs/>
                <w:snapToGrid w:val="0"/>
                <w:color w:val="000000"/>
                <w:kern w:val="22"/>
                <w:sz w:val="20"/>
                <w:szCs w:val="20"/>
              </w:rPr>
              <w:t>89</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323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w:t>
            </w:r>
            <w:r>
              <w:rPr>
                <w:snapToGrid w:val="0"/>
                <w:color w:val="000000"/>
                <w:kern w:val="22"/>
                <w:sz w:val="20"/>
                <w:szCs w:val="20"/>
              </w:rPr>
              <w:t>,</w:t>
            </w:r>
            <w:r w:rsidRPr="00490BF5">
              <w:rPr>
                <w:snapToGrid w:val="0"/>
                <w:color w:val="000000"/>
                <w:kern w:val="22"/>
                <w:sz w:val="20"/>
                <w:szCs w:val="20"/>
              </w:rPr>
              <w:t>07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Finland</w:t>
            </w:r>
            <w:r>
              <w:rPr>
                <w:snapToGrid w:val="0"/>
                <w:kern w:val="22"/>
                <w:sz w:val="20"/>
                <w:szCs w:val="20"/>
              </w:rPr>
              <w:t>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19 945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26 200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31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14 598</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23 549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61</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Franc</w:t>
            </w:r>
            <w:r>
              <w:rPr>
                <w:snapToGrid w:val="0"/>
                <w:kern w:val="22"/>
                <w:sz w:val="20"/>
                <w:szCs w:val="20"/>
              </w:rPr>
              <w:t>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144 392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333 963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w:t>
            </w:r>
            <w:r>
              <w:rPr>
                <w:bCs/>
                <w:snapToGrid w:val="0"/>
                <w:color w:val="000000"/>
                <w:kern w:val="22"/>
                <w:sz w:val="20"/>
                <w:szCs w:val="20"/>
              </w:rPr>
              <w:t>,</w:t>
            </w:r>
            <w:r w:rsidRPr="00490BF5">
              <w:rPr>
                <w:bCs/>
                <w:snapToGrid w:val="0"/>
                <w:color w:val="000000"/>
                <w:kern w:val="22"/>
                <w:sz w:val="20"/>
                <w:szCs w:val="20"/>
              </w:rPr>
              <w:t>31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105 690</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300 170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w:t>
            </w:r>
            <w:r>
              <w:rPr>
                <w:snapToGrid w:val="0"/>
                <w:color w:val="000000"/>
                <w:kern w:val="22"/>
                <w:sz w:val="20"/>
                <w:szCs w:val="20"/>
              </w:rPr>
              <w:t>,</w:t>
            </w:r>
            <w:r w:rsidRPr="00490BF5">
              <w:rPr>
                <w:snapToGrid w:val="0"/>
                <w:color w:val="000000"/>
                <w:kern w:val="22"/>
                <w:sz w:val="20"/>
                <w:szCs w:val="20"/>
              </w:rPr>
              <w:t>84</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Gre</w:t>
            </w:r>
            <w:r>
              <w:rPr>
                <w:snapToGrid w:val="0"/>
                <w:kern w:val="22"/>
                <w:sz w:val="20"/>
                <w:szCs w:val="20"/>
              </w:rPr>
              <w:t>cia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3839</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289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w:t>
            </w:r>
            <w:r>
              <w:rPr>
                <w:bCs/>
                <w:snapToGrid w:val="0"/>
                <w:color w:val="000000"/>
                <w:kern w:val="22"/>
                <w:sz w:val="20"/>
                <w:szCs w:val="20"/>
              </w:rPr>
              <w:t>,</w:t>
            </w:r>
            <w:r w:rsidRPr="00490BF5">
              <w:rPr>
                <w:bCs/>
                <w:snapToGrid w:val="0"/>
                <w:color w:val="000000"/>
                <w:kern w:val="22"/>
                <w:sz w:val="20"/>
                <w:szCs w:val="20"/>
              </w:rPr>
              <w:t>08</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3839</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289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w:t>
            </w:r>
            <w:r>
              <w:rPr>
                <w:snapToGrid w:val="0"/>
                <w:color w:val="000000"/>
                <w:kern w:val="22"/>
                <w:sz w:val="20"/>
                <w:szCs w:val="20"/>
              </w:rPr>
              <w:t>,</w:t>
            </w:r>
            <w:r w:rsidRPr="00490BF5">
              <w:rPr>
                <w:snapToGrid w:val="0"/>
                <w:color w:val="000000"/>
                <w:kern w:val="22"/>
                <w:sz w:val="20"/>
                <w:szCs w:val="20"/>
              </w:rPr>
              <w:t>08</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Hung</w:t>
            </w:r>
            <w:r>
              <w:rPr>
                <w:snapToGrid w:val="0"/>
                <w:kern w:val="22"/>
                <w:sz w:val="20"/>
                <w:szCs w:val="20"/>
              </w:rPr>
              <w:t>ría</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1688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54</w:t>
            </w:r>
            <w:r>
              <w:rPr>
                <w:bCs/>
                <w:snapToGrid w:val="0"/>
                <w:color w:val="000000"/>
                <w:kern w:val="22"/>
                <w:sz w:val="20"/>
                <w:szCs w:val="20"/>
              </w:rPr>
              <w:t>,</w:t>
            </w:r>
            <w:r w:rsidRPr="00490BF5">
              <w:rPr>
                <w:bCs/>
                <w:snapToGrid w:val="0"/>
                <w:color w:val="000000"/>
                <w:kern w:val="22"/>
                <w:sz w:val="20"/>
                <w:szCs w:val="20"/>
              </w:rPr>
              <w:t>45</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5939</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392 588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HUF</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66</w:t>
            </w:r>
            <w:r>
              <w:rPr>
                <w:snapToGrid w:val="0"/>
                <w:color w:val="000000"/>
                <w:kern w:val="22"/>
                <w:sz w:val="20"/>
                <w:szCs w:val="20"/>
              </w:rPr>
              <w:t>,</w:t>
            </w:r>
            <w:r w:rsidRPr="00490BF5">
              <w:rPr>
                <w:snapToGrid w:val="0"/>
                <w:color w:val="000000"/>
                <w:kern w:val="22"/>
                <w:sz w:val="20"/>
                <w:szCs w:val="20"/>
              </w:rPr>
              <w:t>10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Jap</w:t>
            </w:r>
            <w:r>
              <w:rPr>
                <w:snapToGrid w:val="0"/>
                <w:kern w:val="22"/>
                <w:sz w:val="20"/>
                <w:szCs w:val="20"/>
              </w:rPr>
              <w:t>ó</w:t>
            </w:r>
            <w:r w:rsidRPr="00490BF5">
              <w:rPr>
                <w:snapToGrid w:val="0"/>
                <w:kern w:val="22"/>
                <w:sz w:val="20"/>
                <w:szCs w:val="20"/>
              </w:rPr>
              <w:t>n</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1 239 208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1 863 990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50</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1 239 208</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1 863 990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50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L</w:t>
            </w:r>
            <w:r>
              <w:rPr>
                <w:snapToGrid w:val="0"/>
                <w:kern w:val="22"/>
                <w:sz w:val="20"/>
                <w:szCs w:val="20"/>
              </w:rPr>
              <w:t>etonia</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222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4</w:t>
            </w:r>
            <w:r>
              <w:rPr>
                <w:bCs/>
                <w:snapToGrid w:val="0"/>
                <w:color w:val="000000"/>
                <w:kern w:val="22"/>
                <w:sz w:val="20"/>
                <w:szCs w:val="20"/>
              </w:rPr>
              <w:t>,</w:t>
            </w:r>
            <w:r w:rsidRPr="00490BF5">
              <w:rPr>
                <w:bCs/>
                <w:snapToGrid w:val="0"/>
                <w:color w:val="000000"/>
                <w:kern w:val="22"/>
                <w:sz w:val="20"/>
                <w:szCs w:val="20"/>
              </w:rPr>
              <w:t>11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39</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199</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5</w:t>
            </w:r>
            <w:r>
              <w:rPr>
                <w:snapToGrid w:val="0"/>
                <w:color w:val="000000"/>
                <w:kern w:val="22"/>
                <w:sz w:val="20"/>
                <w:szCs w:val="20"/>
              </w:rPr>
              <w:t>,</w:t>
            </w:r>
            <w:r w:rsidRPr="00490BF5">
              <w:rPr>
                <w:snapToGrid w:val="0"/>
                <w:color w:val="000000"/>
                <w:kern w:val="22"/>
                <w:sz w:val="20"/>
                <w:szCs w:val="20"/>
              </w:rPr>
              <w:t>14</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Luxemb</w:t>
            </w:r>
            <w:r w:rsidRPr="00490BF5">
              <w:rPr>
                <w:snapToGrid w:val="0"/>
                <w:kern w:val="22"/>
                <w:sz w:val="20"/>
                <w:szCs w:val="20"/>
              </w:rPr>
              <w:t>urg</w:t>
            </w:r>
            <w:r>
              <w:rPr>
                <w:snapToGrid w:val="0"/>
                <w:kern w:val="22"/>
                <w:sz w:val="20"/>
                <w:szCs w:val="20"/>
              </w:rPr>
              <w:t>o</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3348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9697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w:t>
            </w:r>
            <w:r>
              <w:rPr>
                <w:bCs/>
                <w:snapToGrid w:val="0"/>
                <w:color w:val="000000"/>
                <w:kern w:val="22"/>
                <w:sz w:val="20"/>
                <w:szCs w:val="20"/>
              </w:rPr>
              <w:t>,</w:t>
            </w:r>
            <w:r w:rsidRPr="00490BF5">
              <w:rPr>
                <w:bCs/>
                <w:snapToGrid w:val="0"/>
                <w:color w:val="000000"/>
                <w:kern w:val="22"/>
                <w:sz w:val="20"/>
                <w:szCs w:val="20"/>
              </w:rPr>
              <w:t>90</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2523</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8715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w:t>
            </w:r>
            <w:r>
              <w:rPr>
                <w:snapToGrid w:val="0"/>
                <w:color w:val="000000"/>
                <w:kern w:val="22"/>
                <w:sz w:val="20"/>
                <w:szCs w:val="20"/>
              </w:rPr>
              <w:t>,</w:t>
            </w:r>
            <w:r w:rsidRPr="00490BF5">
              <w:rPr>
                <w:snapToGrid w:val="0"/>
                <w:color w:val="000000"/>
                <w:kern w:val="22"/>
                <w:sz w:val="20"/>
                <w:szCs w:val="20"/>
              </w:rPr>
              <w:t>45</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Malta</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Nor</w:t>
            </w:r>
            <w:r>
              <w:rPr>
                <w:snapToGrid w:val="0"/>
                <w:kern w:val="22"/>
                <w:sz w:val="20"/>
                <w:szCs w:val="20"/>
              </w:rPr>
              <w:t>uega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117 863</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413 111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3</w:t>
            </w:r>
            <w:r>
              <w:rPr>
                <w:snapToGrid w:val="0"/>
                <w:kern w:val="22"/>
                <w:sz w:val="20"/>
                <w:szCs w:val="20"/>
              </w:rPr>
              <w:t>,</w:t>
            </w:r>
            <w:r w:rsidRPr="00490BF5">
              <w:rPr>
                <w:snapToGrid w:val="0"/>
                <w:kern w:val="22"/>
                <w:sz w:val="20"/>
                <w:szCs w:val="20"/>
              </w:rPr>
              <w:t>51</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kern w:val="22"/>
                <w:sz w:val="20"/>
                <w:szCs w:val="20"/>
              </w:rPr>
            </w:pPr>
            <w:r w:rsidRPr="00490BF5">
              <w:rPr>
                <w:bCs/>
                <w:snapToGrid w:val="0"/>
                <w:kern w:val="22"/>
                <w:sz w:val="20"/>
                <w:szCs w:val="20"/>
              </w:rPr>
              <w:t>714 976</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kern w:val="22"/>
                <w:sz w:val="20"/>
                <w:szCs w:val="20"/>
              </w:rPr>
            </w:pPr>
            <w:r w:rsidRPr="00490BF5">
              <w:rPr>
                <w:snapToGrid w:val="0"/>
                <w:kern w:val="22"/>
                <w:sz w:val="20"/>
                <w:szCs w:val="20"/>
              </w:rPr>
              <w:t>3 283 741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NOK</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4</w:t>
            </w:r>
            <w:r>
              <w:rPr>
                <w:snapToGrid w:val="0"/>
                <w:color w:val="000000"/>
                <w:kern w:val="22"/>
                <w:sz w:val="20"/>
                <w:szCs w:val="20"/>
              </w:rPr>
              <w:t>,</w:t>
            </w:r>
            <w:r w:rsidRPr="00490BF5">
              <w:rPr>
                <w:snapToGrid w:val="0"/>
                <w:color w:val="000000"/>
                <w:kern w:val="22"/>
                <w:sz w:val="20"/>
                <w:szCs w:val="20"/>
              </w:rPr>
              <w:t>59</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N</w:t>
            </w:r>
            <w:r>
              <w:rPr>
                <w:snapToGrid w:val="0"/>
                <w:kern w:val="22"/>
                <w:sz w:val="20"/>
                <w:szCs w:val="20"/>
              </w:rPr>
              <w:t>ueva</w:t>
            </w:r>
            <w:r w:rsidRPr="00490BF5">
              <w:rPr>
                <w:snapToGrid w:val="0"/>
                <w:kern w:val="22"/>
                <w:sz w:val="20"/>
                <w:szCs w:val="20"/>
              </w:rPr>
              <w:t xml:space="preserve"> Ze</w:t>
            </w:r>
            <w:r>
              <w:rPr>
                <w:snapToGrid w:val="0"/>
                <w:kern w:val="22"/>
                <w:sz w:val="20"/>
                <w:szCs w:val="20"/>
              </w:rPr>
              <w:t>landa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16 838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24 901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48</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24 257</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35 574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NZD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47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FFFFFF"/>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Países Bajos</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143 445</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82 388</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0</w:t>
            </w:r>
            <w:r>
              <w:rPr>
                <w:bCs/>
                <w:snapToGrid w:val="0"/>
                <w:color w:val="000000"/>
                <w:kern w:val="22"/>
                <w:sz w:val="20"/>
                <w:szCs w:val="20"/>
              </w:rPr>
              <w:t>,</w:t>
            </w:r>
            <w:r w:rsidRPr="00490BF5">
              <w:rPr>
                <w:bCs/>
                <w:snapToGrid w:val="0"/>
                <w:color w:val="000000"/>
                <w:kern w:val="22"/>
                <w:sz w:val="20"/>
                <w:szCs w:val="20"/>
              </w:rPr>
              <w:t>57</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106 000</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62 000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0</w:t>
            </w:r>
            <w:r>
              <w:rPr>
                <w:snapToGrid w:val="0"/>
                <w:color w:val="000000"/>
                <w:kern w:val="22"/>
                <w:sz w:val="20"/>
                <w:szCs w:val="20"/>
              </w:rPr>
              <w:t>,</w:t>
            </w:r>
            <w:r w:rsidRPr="00490BF5">
              <w:rPr>
                <w:snapToGrid w:val="0"/>
                <w:color w:val="000000"/>
                <w:kern w:val="22"/>
                <w:sz w:val="20"/>
                <w:szCs w:val="20"/>
              </w:rPr>
              <w:t>58</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Pol</w:t>
            </w:r>
            <w:r>
              <w:rPr>
                <w:snapToGrid w:val="0"/>
                <w:kern w:val="22"/>
                <w:sz w:val="20"/>
                <w:szCs w:val="20"/>
              </w:rPr>
              <w:t>onia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1497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2395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60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1497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2395</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60</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C55E16" w:rsidRDefault="00C55E16" w:rsidP="00C55E16">
            <w:pPr>
              <w:suppressLineNumbers/>
              <w:suppressAutoHyphens/>
              <w:kinsoku w:val="0"/>
              <w:overflowPunct w:val="0"/>
              <w:autoSpaceDE w:val="0"/>
              <w:autoSpaceDN w:val="0"/>
              <w:adjustRightInd w:val="0"/>
              <w:snapToGrid w:val="0"/>
              <w:jc w:val="left"/>
              <w:rPr>
                <w:snapToGrid w:val="0"/>
                <w:kern w:val="22"/>
                <w:sz w:val="20"/>
                <w:szCs w:val="20"/>
                <w:lang w:val="es-ES"/>
              </w:rPr>
            </w:pPr>
            <w:r w:rsidRPr="00C55E16">
              <w:rPr>
                <w:snapToGrid w:val="0"/>
                <w:kern w:val="22"/>
                <w:sz w:val="20"/>
                <w:szCs w:val="20"/>
                <w:lang w:val="es-ES"/>
              </w:rPr>
              <w:t>Reino Unido de Gran Bretaña e Irlanda del Norte</w:t>
            </w:r>
            <w:r w:rsidRPr="00C55E16">
              <w:rPr>
                <w:snapToGrid w:val="0"/>
                <w:kern w:val="22"/>
                <w:sz w:val="20"/>
                <w:szCs w:val="20"/>
                <w:vertAlign w:val="superscript"/>
                <w:lang w:val="es-ES"/>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133 867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297 978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w:t>
            </w:r>
            <w:r>
              <w:rPr>
                <w:bCs/>
                <w:snapToGrid w:val="0"/>
                <w:color w:val="000000"/>
                <w:kern w:val="22"/>
                <w:sz w:val="20"/>
                <w:szCs w:val="20"/>
              </w:rPr>
              <w:t>,</w:t>
            </w:r>
            <w:r w:rsidRPr="00490BF5">
              <w:rPr>
                <w:bCs/>
                <w:snapToGrid w:val="0"/>
                <w:color w:val="000000"/>
                <w:kern w:val="22"/>
                <w:sz w:val="20"/>
                <w:szCs w:val="20"/>
              </w:rPr>
              <w:t>23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78 000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181 000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GBP</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w:t>
            </w:r>
            <w:r>
              <w:rPr>
                <w:snapToGrid w:val="0"/>
                <w:color w:val="000000"/>
                <w:kern w:val="22"/>
                <w:sz w:val="20"/>
                <w:szCs w:val="20"/>
              </w:rPr>
              <w:t>,</w:t>
            </w:r>
            <w:r w:rsidRPr="00490BF5">
              <w:rPr>
                <w:snapToGrid w:val="0"/>
                <w:color w:val="000000"/>
                <w:kern w:val="22"/>
                <w:sz w:val="20"/>
                <w:szCs w:val="20"/>
              </w:rPr>
              <w:t>32</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Rep</w:t>
            </w:r>
            <w:r>
              <w:rPr>
                <w:snapToGrid w:val="0"/>
                <w:kern w:val="22"/>
                <w:sz w:val="20"/>
                <w:szCs w:val="20"/>
              </w:rPr>
              <w:t>ública de C</w:t>
            </w:r>
            <w:r w:rsidRPr="00490BF5">
              <w:rPr>
                <w:snapToGrid w:val="0"/>
                <w:kern w:val="22"/>
                <w:sz w:val="20"/>
                <w:szCs w:val="20"/>
              </w:rPr>
              <w:t>orea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13 283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19 504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47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13 283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19 504</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USD</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47</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2013</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Suecia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74 172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109 588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48</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534 597</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927 011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SEK</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73</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sidRPr="00490BF5">
              <w:rPr>
                <w:snapToGrid w:val="0"/>
                <w:kern w:val="22"/>
                <w:sz w:val="20"/>
                <w:szCs w:val="20"/>
              </w:rPr>
              <w:t>S</w:t>
            </w:r>
            <w:r>
              <w:rPr>
                <w:snapToGrid w:val="0"/>
                <w:kern w:val="22"/>
                <w:sz w:val="20"/>
                <w:szCs w:val="20"/>
              </w:rPr>
              <w:t>uiza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49 331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74 300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51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55 312</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68 070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CHF</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1</w:t>
            </w:r>
            <w:r>
              <w:rPr>
                <w:snapToGrid w:val="0"/>
                <w:color w:val="000000"/>
                <w:kern w:val="22"/>
                <w:sz w:val="20"/>
                <w:szCs w:val="20"/>
              </w:rPr>
              <w:t>,</w:t>
            </w:r>
            <w:r w:rsidRPr="00490BF5">
              <w:rPr>
                <w:snapToGrid w:val="0"/>
                <w:color w:val="000000"/>
                <w:kern w:val="22"/>
                <w:sz w:val="20"/>
                <w:szCs w:val="20"/>
              </w:rPr>
              <w:t>23</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2014</w:t>
            </w:r>
          </w:p>
        </w:tc>
      </w:tr>
      <w:tr w:rsidR="00C55E16" w:rsidRPr="00490BF5" w:rsidTr="00E22473">
        <w:trPr>
          <w:jc w:val="center"/>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55E16" w:rsidRPr="00490BF5" w:rsidRDefault="00C55E16" w:rsidP="00C55E16">
            <w:pPr>
              <w:suppressLineNumbers/>
              <w:suppressAutoHyphens/>
              <w:kinsoku w:val="0"/>
              <w:overflowPunct w:val="0"/>
              <w:autoSpaceDE w:val="0"/>
              <w:autoSpaceDN w:val="0"/>
              <w:adjustRightInd w:val="0"/>
              <w:snapToGrid w:val="0"/>
              <w:jc w:val="left"/>
              <w:rPr>
                <w:snapToGrid w:val="0"/>
                <w:kern w:val="22"/>
                <w:sz w:val="20"/>
                <w:szCs w:val="20"/>
              </w:rPr>
            </w:pPr>
            <w:r>
              <w:rPr>
                <w:snapToGrid w:val="0"/>
                <w:kern w:val="22"/>
                <w:sz w:val="20"/>
                <w:szCs w:val="20"/>
              </w:rPr>
              <w:t xml:space="preserve">Unión </w:t>
            </w:r>
            <w:r w:rsidRPr="00490BF5">
              <w:rPr>
                <w:snapToGrid w:val="0"/>
                <w:kern w:val="22"/>
                <w:sz w:val="20"/>
                <w:szCs w:val="20"/>
              </w:rPr>
              <w:t>Europea</w:t>
            </w:r>
            <w:r w:rsidRPr="00490BF5">
              <w:rPr>
                <w:snapToGrid w:val="0"/>
                <w:kern w:val="22"/>
                <w:sz w:val="20"/>
                <w:szCs w:val="20"/>
                <w:vertAlign w:val="superscript"/>
              </w:rPr>
              <w:t>*</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235 414</w:t>
            </w:r>
          </w:p>
        </w:tc>
        <w:tc>
          <w:tcPr>
            <w:tcW w:w="1122" w:type="dxa"/>
            <w:tcBorders>
              <w:top w:val="single" w:sz="4" w:space="0" w:color="auto"/>
              <w:left w:val="nil"/>
              <w:bottom w:val="single" w:sz="4" w:space="0" w:color="auto"/>
              <w:right w:val="single" w:sz="4" w:space="0" w:color="auto"/>
            </w:tcBorders>
            <w:shd w:val="clear" w:color="auto" w:fill="FFFFFF"/>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406 091</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w:t>
            </w:r>
            <w:r>
              <w:rPr>
                <w:bCs/>
                <w:snapToGrid w:val="0"/>
                <w:color w:val="000000"/>
                <w:kern w:val="22"/>
                <w:sz w:val="20"/>
                <w:szCs w:val="20"/>
              </w:rPr>
              <w:t>,</w:t>
            </w:r>
            <w:r w:rsidRPr="00490BF5">
              <w:rPr>
                <w:bCs/>
                <w:snapToGrid w:val="0"/>
                <w:color w:val="000000"/>
                <w:kern w:val="22"/>
                <w:sz w:val="20"/>
                <w:szCs w:val="20"/>
              </w:rPr>
              <w:t>73</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bCs/>
                <w:snapToGrid w:val="0"/>
                <w:color w:val="000000"/>
                <w:kern w:val="22"/>
                <w:sz w:val="20"/>
                <w:szCs w:val="20"/>
              </w:rPr>
            </w:pPr>
            <w:r w:rsidRPr="00490BF5">
              <w:rPr>
                <w:bCs/>
                <w:snapToGrid w:val="0"/>
                <w:color w:val="000000"/>
                <w:kern w:val="22"/>
                <w:sz w:val="20"/>
                <w:szCs w:val="20"/>
              </w:rPr>
              <w:t>173 000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365 000</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center"/>
              <w:rPr>
                <w:snapToGrid w:val="0"/>
                <w:color w:val="000000"/>
                <w:kern w:val="22"/>
                <w:sz w:val="20"/>
                <w:szCs w:val="20"/>
              </w:rPr>
            </w:pPr>
            <w:r w:rsidRPr="00490BF5">
              <w:rPr>
                <w:snapToGrid w:val="0"/>
                <w:color w:val="000000"/>
                <w:kern w:val="22"/>
                <w:sz w:val="20"/>
                <w:szCs w:val="20"/>
              </w:rPr>
              <w:t>EUR</w:t>
            </w:r>
          </w:p>
        </w:tc>
        <w:tc>
          <w:tcPr>
            <w:tcW w:w="1122" w:type="dxa"/>
            <w:tcBorders>
              <w:top w:val="single" w:sz="4" w:space="0" w:color="auto"/>
              <w:left w:val="nil"/>
              <w:bottom w:val="single" w:sz="4" w:space="0" w:color="auto"/>
              <w:right w:val="single" w:sz="4" w:space="0" w:color="auto"/>
            </w:tcBorders>
            <w:shd w:val="clear" w:color="000000" w:fill="auto"/>
            <w:vAlign w:val="bottom"/>
          </w:tcPr>
          <w:p w:rsidR="00C55E16" w:rsidRPr="00490BF5" w:rsidRDefault="00C55E16" w:rsidP="00B26EB8">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w:t>
            </w:r>
            <w:r w:rsidR="00B26EB8">
              <w:rPr>
                <w:snapToGrid w:val="0"/>
                <w:color w:val="000000"/>
                <w:kern w:val="22"/>
                <w:sz w:val="20"/>
                <w:szCs w:val="20"/>
              </w:rPr>
              <w:t>,</w:t>
            </w:r>
            <w:r w:rsidRPr="00490BF5">
              <w:rPr>
                <w:snapToGrid w:val="0"/>
                <w:color w:val="000000"/>
                <w:kern w:val="22"/>
                <w:sz w:val="20"/>
                <w:szCs w:val="20"/>
              </w:rPr>
              <w:t>11</w:t>
            </w:r>
          </w:p>
        </w:tc>
        <w:tc>
          <w:tcPr>
            <w:tcW w:w="1122" w:type="dxa"/>
            <w:tcBorders>
              <w:top w:val="single" w:sz="4" w:space="0" w:color="auto"/>
              <w:left w:val="single" w:sz="4" w:space="0" w:color="auto"/>
              <w:bottom w:val="single" w:sz="4" w:space="0" w:color="auto"/>
              <w:right w:val="single" w:sz="4" w:space="0" w:color="auto"/>
            </w:tcBorders>
            <w:shd w:val="clear" w:color="000000" w:fill="auto"/>
            <w:vAlign w:val="bottom"/>
          </w:tcPr>
          <w:p w:rsidR="00C55E16" w:rsidRPr="00490BF5" w:rsidRDefault="00C55E16" w:rsidP="00C55E16">
            <w:pPr>
              <w:suppressLineNumbers/>
              <w:suppressAutoHyphens/>
              <w:kinsoku w:val="0"/>
              <w:overflowPunct w:val="0"/>
              <w:autoSpaceDE w:val="0"/>
              <w:autoSpaceDN w:val="0"/>
              <w:adjustRightInd w:val="0"/>
              <w:snapToGrid w:val="0"/>
              <w:jc w:val="right"/>
              <w:rPr>
                <w:snapToGrid w:val="0"/>
                <w:color w:val="000000"/>
                <w:kern w:val="22"/>
                <w:sz w:val="20"/>
                <w:szCs w:val="20"/>
              </w:rPr>
            </w:pPr>
            <w:r w:rsidRPr="00490BF5">
              <w:rPr>
                <w:snapToGrid w:val="0"/>
                <w:color w:val="000000"/>
                <w:kern w:val="22"/>
                <w:sz w:val="20"/>
                <w:szCs w:val="20"/>
              </w:rPr>
              <w:t>2015</w:t>
            </w:r>
          </w:p>
        </w:tc>
      </w:tr>
      <w:tr w:rsidR="00C55E16" w:rsidRPr="000D1E7C" w:rsidTr="00E22473">
        <w:trPr>
          <w:jc w:val="center"/>
        </w:trPr>
        <w:tc>
          <w:tcPr>
            <w:tcW w:w="10334" w:type="dxa"/>
            <w:gridSpan w:val="9"/>
            <w:tcBorders>
              <w:top w:val="single" w:sz="4" w:space="0" w:color="auto"/>
              <w:left w:val="single" w:sz="4" w:space="0" w:color="auto"/>
              <w:bottom w:val="single" w:sz="4" w:space="0" w:color="auto"/>
              <w:right w:val="single" w:sz="4" w:space="0" w:color="auto"/>
            </w:tcBorders>
          </w:tcPr>
          <w:p w:rsidR="00C55E16" w:rsidRPr="00B26EB8" w:rsidRDefault="00B26EB8" w:rsidP="00C55E16">
            <w:pPr>
              <w:suppressLineNumbers/>
              <w:suppressAutoHyphens/>
              <w:kinsoku w:val="0"/>
              <w:overflowPunct w:val="0"/>
              <w:autoSpaceDE w:val="0"/>
              <w:autoSpaceDN w:val="0"/>
              <w:adjustRightInd w:val="0"/>
              <w:snapToGrid w:val="0"/>
              <w:jc w:val="left"/>
              <w:rPr>
                <w:snapToGrid w:val="0"/>
                <w:kern w:val="22"/>
                <w:sz w:val="18"/>
                <w:szCs w:val="18"/>
                <w:lang w:val="es-ES"/>
              </w:rPr>
            </w:pPr>
            <w:r w:rsidRPr="00B26EB8">
              <w:rPr>
                <w:i/>
                <w:snapToGrid w:val="0"/>
                <w:kern w:val="22"/>
                <w:sz w:val="18"/>
                <w:szCs w:val="18"/>
                <w:lang w:val="es-ES"/>
              </w:rPr>
              <w:t>Fuente</w:t>
            </w:r>
            <w:r w:rsidR="00C55E16" w:rsidRPr="00B26EB8">
              <w:rPr>
                <w:i/>
                <w:snapToGrid w:val="0"/>
                <w:kern w:val="22"/>
                <w:sz w:val="18"/>
                <w:szCs w:val="18"/>
                <w:lang w:val="es-ES"/>
              </w:rPr>
              <w:t>:</w:t>
            </w:r>
            <w:r w:rsidR="00C55E16" w:rsidRPr="00B26EB8">
              <w:rPr>
                <w:snapToGrid w:val="0"/>
                <w:kern w:val="22"/>
                <w:sz w:val="18"/>
                <w:szCs w:val="18"/>
                <w:lang w:val="es-ES"/>
              </w:rPr>
              <w:t xml:space="preserve"> </w:t>
            </w:r>
            <w:r w:rsidRPr="00B26EB8">
              <w:rPr>
                <w:snapToGrid w:val="0"/>
                <w:kern w:val="22"/>
                <w:sz w:val="18"/>
                <w:szCs w:val="18"/>
                <w:lang w:val="es-ES"/>
              </w:rPr>
              <w:t>Marcos de presentación de informes financieros; cálculos propios</w:t>
            </w:r>
            <w:r w:rsidR="00C55E16" w:rsidRPr="00B26EB8">
              <w:rPr>
                <w:snapToGrid w:val="0"/>
                <w:kern w:val="22"/>
                <w:sz w:val="18"/>
                <w:szCs w:val="18"/>
                <w:lang w:val="es-ES"/>
              </w:rPr>
              <w:t>.</w:t>
            </w:r>
          </w:p>
          <w:p w:rsidR="00C55E16" w:rsidRPr="00B26EB8" w:rsidRDefault="00C55E16" w:rsidP="00C55E16">
            <w:pPr>
              <w:suppressLineNumbers/>
              <w:suppressAutoHyphens/>
              <w:kinsoku w:val="0"/>
              <w:overflowPunct w:val="0"/>
              <w:autoSpaceDE w:val="0"/>
              <w:autoSpaceDN w:val="0"/>
              <w:adjustRightInd w:val="0"/>
              <w:snapToGrid w:val="0"/>
              <w:jc w:val="left"/>
              <w:rPr>
                <w:snapToGrid w:val="0"/>
                <w:kern w:val="22"/>
                <w:sz w:val="18"/>
                <w:szCs w:val="18"/>
                <w:lang w:val="es-ES"/>
              </w:rPr>
            </w:pPr>
            <w:r w:rsidRPr="00B26EB8">
              <w:rPr>
                <w:i/>
                <w:iCs/>
                <w:snapToGrid w:val="0"/>
                <w:kern w:val="22"/>
                <w:sz w:val="18"/>
                <w:szCs w:val="18"/>
                <w:lang w:val="es-ES"/>
              </w:rPr>
              <w:t>Not</w:t>
            </w:r>
            <w:r w:rsidR="00B26EB8" w:rsidRPr="00B26EB8">
              <w:rPr>
                <w:i/>
                <w:iCs/>
                <w:snapToGrid w:val="0"/>
                <w:kern w:val="22"/>
                <w:sz w:val="18"/>
                <w:szCs w:val="18"/>
                <w:lang w:val="es-ES"/>
              </w:rPr>
              <w:t>a</w:t>
            </w:r>
            <w:r w:rsidRPr="00B26EB8">
              <w:rPr>
                <w:i/>
                <w:iCs/>
                <w:snapToGrid w:val="0"/>
                <w:kern w:val="22"/>
                <w:sz w:val="18"/>
                <w:szCs w:val="18"/>
                <w:lang w:val="es-ES"/>
              </w:rPr>
              <w:t>s</w:t>
            </w:r>
            <w:r w:rsidRPr="00B26EB8">
              <w:rPr>
                <w:snapToGrid w:val="0"/>
                <w:kern w:val="22"/>
                <w:sz w:val="18"/>
                <w:szCs w:val="18"/>
                <w:lang w:val="es-ES"/>
              </w:rPr>
              <w:t>: Bas</w:t>
            </w:r>
            <w:r w:rsidR="00B26EB8" w:rsidRPr="00B26EB8">
              <w:rPr>
                <w:snapToGrid w:val="0"/>
                <w:kern w:val="22"/>
                <w:sz w:val="18"/>
                <w:szCs w:val="18"/>
                <w:lang w:val="es-ES"/>
              </w:rPr>
              <w:t>ados en las monedas segú</w:t>
            </w:r>
            <w:r w:rsidR="00B26EB8">
              <w:rPr>
                <w:snapToGrid w:val="0"/>
                <w:kern w:val="22"/>
                <w:sz w:val="18"/>
                <w:szCs w:val="18"/>
                <w:lang w:val="es-ES"/>
              </w:rPr>
              <w:t>n se ha informado</w:t>
            </w:r>
            <w:r w:rsidRPr="00B26EB8">
              <w:rPr>
                <w:snapToGrid w:val="0"/>
                <w:kern w:val="22"/>
                <w:sz w:val="18"/>
                <w:szCs w:val="18"/>
                <w:lang w:val="es-ES"/>
              </w:rPr>
              <w:t xml:space="preserve">, </w:t>
            </w:r>
            <w:r w:rsidR="00B26EB8">
              <w:rPr>
                <w:snapToGrid w:val="0"/>
                <w:kern w:val="22"/>
                <w:sz w:val="18"/>
                <w:szCs w:val="18"/>
                <w:lang w:val="es-ES"/>
              </w:rPr>
              <w:t>valores actuales</w:t>
            </w:r>
            <w:r w:rsidRPr="00B26EB8">
              <w:rPr>
                <w:snapToGrid w:val="0"/>
                <w:kern w:val="22"/>
                <w:sz w:val="18"/>
                <w:szCs w:val="18"/>
                <w:lang w:val="es-ES"/>
              </w:rPr>
              <w:t>. Bulgaria, Chile,</w:t>
            </w:r>
            <w:r w:rsidR="00B26EB8" w:rsidRPr="00B26EB8">
              <w:rPr>
                <w:snapToGrid w:val="0"/>
                <w:kern w:val="22"/>
                <w:sz w:val="18"/>
                <w:szCs w:val="18"/>
                <w:lang w:val="es-ES"/>
              </w:rPr>
              <w:t xml:space="preserve"> Eslovaquia, Eslovenia y</w:t>
            </w:r>
            <w:r w:rsidRPr="00B26EB8">
              <w:rPr>
                <w:snapToGrid w:val="0"/>
                <w:kern w:val="22"/>
                <w:sz w:val="18"/>
                <w:szCs w:val="18"/>
                <w:lang w:val="es-ES"/>
              </w:rPr>
              <w:t xml:space="preserve"> Malta </w:t>
            </w:r>
            <w:r w:rsidR="00B26EB8" w:rsidRPr="00B26EB8">
              <w:rPr>
                <w:snapToGrid w:val="0"/>
                <w:kern w:val="22"/>
                <w:sz w:val="18"/>
                <w:szCs w:val="18"/>
                <w:lang w:val="es-ES"/>
              </w:rPr>
              <w:t>presentaron datos de progresos, pero no datos de referencia</w:t>
            </w:r>
            <w:r w:rsidRPr="00B26EB8">
              <w:rPr>
                <w:snapToGrid w:val="0"/>
                <w:kern w:val="22"/>
                <w:sz w:val="18"/>
                <w:szCs w:val="18"/>
                <w:lang w:val="es-ES"/>
              </w:rPr>
              <w:t>.</w:t>
            </w:r>
          </w:p>
          <w:p w:rsidR="00C55E16" w:rsidRPr="00B26EB8" w:rsidRDefault="00C55E16" w:rsidP="00B26EB8">
            <w:pPr>
              <w:suppressLineNumbers/>
              <w:suppressAutoHyphens/>
              <w:kinsoku w:val="0"/>
              <w:overflowPunct w:val="0"/>
              <w:autoSpaceDE w:val="0"/>
              <w:autoSpaceDN w:val="0"/>
              <w:adjustRightInd w:val="0"/>
              <w:snapToGrid w:val="0"/>
              <w:jc w:val="left"/>
              <w:rPr>
                <w:i/>
                <w:snapToGrid w:val="0"/>
                <w:kern w:val="22"/>
                <w:sz w:val="20"/>
                <w:szCs w:val="20"/>
                <w:lang w:val="es-ES"/>
              </w:rPr>
            </w:pPr>
            <w:r w:rsidRPr="00B26EB8">
              <w:rPr>
                <w:snapToGrid w:val="0"/>
                <w:kern w:val="22"/>
                <w:sz w:val="18"/>
                <w:szCs w:val="18"/>
                <w:vertAlign w:val="superscript"/>
                <w:lang w:val="es-ES"/>
              </w:rPr>
              <w:t xml:space="preserve">* </w:t>
            </w:r>
            <w:r w:rsidR="00B26EB8" w:rsidRPr="00B26EB8">
              <w:rPr>
                <w:snapToGrid w:val="0"/>
                <w:kern w:val="22"/>
                <w:sz w:val="18"/>
                <w:szCs w:val="18"/>
                <w:lang w:val="es-ES"/>
              </w:rPr>
              <w:t>Miembros del CAD de la OCDE</w:t>
            </w:r>
            <w:r w:rsidRPr="00B26EB8">
              <w:rPr>
                <w:snapToGrid w:val="0"/>
                <w:kern w:val="22"/>
                <w:sz w:val="18"/>
                <w:szCs w:val="18"/>
                <w:lang w:val="es-ES"/>
              </w:rPr>
              <w:t xml:space="preserve">. </w:t>
            </w:r>
            <w:r w:rsidR="00B26EB8" w:rsidRPr="00B26EB8">
              <w:rPr>
                <w:snapToGrid w:val="0"/>
                <w:kern w:val="22"/>
                <w:sz w:val="18"/>
                <w:szCs w:val="18"/>
                <w:lang w:val="es-ES"/>
              </w:rPr>
              <w:t>Miembros del CAD, Partes en el Convenio que todav</w:t>
            </w:r>
            <w:r w:rsidR="00B26EB8">
              <w:rPr>
                <w:snapToGrid w:val="0"/>
                <w:kern w:val="22"/>
                <w:sz w:val="18"/>
                <w:szCs w:val="18"/>
                <w:lang w:val="es-ES"/>
              </w:rPr>
              <w:t>ía no presentaron informes son</w:t>
            </w:r>
            <w:r w:rsidRPr="00B26EB8">
              <w:rPr>
                <w:snapToGrid w:val="0"/>
                <w:kern w:val="22"/>
                <w:sz w:val="18"/>
                <w:szCs w:val="18"/>
                <w:lang w:val="es-ES"/>
              </w:rPr>
              <w:t>: Australia, B</w:t>
            </w:r>
            <w:r w:rsidR="00B26EB8">
              <w:rPr>
                <w:snapToGrid w:val="0"/>
                <w:kern w:val="22"/>
                <w:sz w:val="18"/>
                <w:szCs w:val="18"/>
                <w:lang w:val="es-ES"/>
              </w:rPr>
              <w:t>é</w:t>
            </w:r>
            <w:r w:rsidRPr="00B26EB8">
              <w:rPr>
                <w:snapToGrid w:val="0"/>
                <w:kern w:val="22"/>
                <w:sz w:val="18"/>
                <w:szCs w:val="18"/>
                <w:lang w:val="es-ES"/>
              </w:rPr>
              <w:t>lgi</w:t>
            </w:r>
            <w:r w:rsidR="00B26EB8">
              <w:rPr>
                <w:snapToGrid w:val="0"/>
                <w:kern w:val="22"/>
                <w:sz w:val="18"/>
                <w:szCs w:val="18"/>
                <w:lang w:val="es-ES"/>
              </w:rPr>
              <w:t>ca</w:t>
            </w:r>
            <w:r w:rsidRPr="00B26EB8">
              <w:rPr>
                <w:snapToGrid w:val="0"/>
                <w:kern w:val="22"/>
                <w:sz w:val="18"/>
                <w:szCs w:val="18"/>
                <w:lang w:val="es-ES"/>
              </w:rPr>
              <w:t>, I</w:t>
            </w:r>
            <w:r w:rsidR="00B26EB8">
              <w:rPr>
                <w:snapToGrid w:val="0"/>
                <w:kern w:val="22"/>
                <w:sz w:val="18"/>
                <w:szCs w:val="18"/>
                <w:lang w:val="es-ES"/>
              </w:rPr>
              <w:t xml:space="preserve">rlanda, Islandia, Italia y </w:t>
            </w:r>
            <w:r w:rsidRPr="00B26EB8">
              <w:rPr>
                <w:snapToGrid w:val="0"/>
                <w:kern w:val="22"/>
                <w:sz w:val="18"/>
                <w:szCs w:val="18"/>
                <w:lang w:val="es-ES"/>
              </w:rPr>
              <w:t>Portugal.</w:t>
            </w:r>
          </w:p>
        </w:tc>
      </w:tr>
    </w:tbl>
    <w:p w:rsidR="00B3369F" w:rsidRPr="00490BF5" w:rsidRDefault="006E604B" w:rsidP="00490BF5">
      <w:pPr>
        <w:suppressLineNumbers/>
        <w:suppressAutoHyphens/>
        <w:kinsoku w:val="0"/>
        <w:overflowPunct w:val="0"/>
        <w:autoSpaceDE w:val="0"/>
        <w:autoSpaceDN w:val="0"/>
        <w:adjustRightInd w:val="0"/>
        <w:snapToGrid w:val="0"/>
        <w:jc w:val="center"/>
        <w:rPr>
          <w:bCs/>
          <w:szCs w:val="22"/>
        </w:rPr>
      </w:pPr>
      <w:r w:rsidRPr="00490BF5">
        <w:rPr>
          <w:bCs/>
          <w:snapToGrid w:val="0"/>
          <w:kern w:val="22"/>
          <w:szCs w:val="22"/>
        </w:rPr>
        <w:t>__________</w:t>
      </w:r>
    </w:p>
    <w:sectPr w:rsidR="00B3369F" w:rsidRPr="00490BF5" w:rsidSect="00490BF5">
      <w:headerReference w:type="even" r:id="rId23"/>
      <w:headerReference w:type="default" r:id="rId24"/>
      <w:footerReference w:type="even" r:id="rId25"/>
      <w:pgSz w:w="12240" w:h="15840" w:code="1"/>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4FD" w:rsidRDefault="00AA44FD" w:rsidP="00CF1848">
      <w:r>
        <w:separator/>
      </w:r>
    </w:p>
  </w:endnote>
  <w:endnote w:type="continuationSeparator" w:id="0">
    <w:p w:rsidR="00AA44FD" w:rsidRDefault="00AA44F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D" w:rsidRDefault="00AA44FD" w:rsidP="000B2CC8">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D" w:rsidRDefault="00AA44FD" w:rsidP="000B2CC8">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7" w:rsidRDefault="00544F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D" w:rsidRDefault="00AA44FD" w:rsidP="006E604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4FD" w:rsidRDefault="00AA44FD" w:rsidP="00CF1848">
      <w:r>
        <w:separator/>
      </w:r>
    </w:p>
  </w:footnote>
  <w:footnote w:type="continuationSeparator" w:id="0">
    <w:p w:rsidR="00AA44FD" w:rsidRDefault="00AA44FD" w:rsidP="00CF1848">
      <w:r>
        <w:continuationSeparator/>
      </w:r>
    </w:p>
  </w:footnote>
  <w:footnote w:id="1">
    <w:p w:rsidR="00AA44FD" w:rsidRPr="00FE3976"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FE3976">
        <w:rPr>
          <w:rStyle w:val="FootnoteReference"/>
          <w:snapToGrid w:val="0"/>
          <w:kern w:val="18"/>
          <w:sz w:val="18"/>
          <w:szCs w:val="18"/>
          <w:lang w:val="es-ES"/>
        </w:rPr>
        <w:t>*</w:t>
      </w:r>
      <w:r w:rsidRPr="00FE3976">
        <w:rPr>
          <w:snapToGrid w:val="0"/>
          <w:kern w:val="18"/>
          <w:szCs w:val="18"/>
          <w:lang w:val="es-ES"/>
        </w:rPr>
        <w:t xml:space="preserve"> </w:t>
      </w:r>
      <w:hyperlink r:id="rId1" w:history="1">
        <w:r w:rsidRPr="00FE3976">
          <w:rPr>
            <w:rStyle w:val="Hyperlink"/>
            <w:snapToGrid w:val="0"/>
            <w:kern w:val="18"/>
            <w:szCs w:val="18"/>
            <w:lang w:val="es-ES"/>
          </w:rPr>
          <w:t>CBD/SBI/2/1</w:t>
        </w:r>
      </w:hyperlink>
      <w:r w:rsidRPr="00FE3976">
        <w:rPr>
          <w:snapToGrid w:val="0"/>
          <w:kern w:val="18"/>
          <w:szCs w:val="18"/>
          <w:lang w:val="es-ES"/>
        </w:rPr>
        <w:t>.</w:t>
      </w:r>
    </w:p>
  </w:footnote>
  <w:footnote w:id="2">
    <w:p w:rsidR="00AA44FD" w:rsidRPr="00FE3976"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E3976">
        <w:rPr>
          <w:snapToGrid w:val="0"/>
          <w:kern w:val="18"/>
          <w:szCs w:val="18"/>
          <w:lang w:val="es-ES"/>
        </w:rPr>
        <w:t xml:space="preserve"> Véase </w:t>
      </w:r>
      <w:hyperlink r:id="rId2" w:history="1">
        <w:r w:rsidRPr="00FE3976">
          <w:rPr>
            <w:rStyle w:val="Hyperlink"/>
            <w:snapToGrid w:val="0"/>
            <w:kern w:val="18"/>
            <w:szCs w:val="18"/>
            <w:lang w:val="es-ES"/>
          </w:rPr>
          <w:t>UNEP/CBD/COP/13/11/Rev.1</w:t>
        </w:r>
      </w:hyperlink>
      <w:r w:rsidRPr="00FE3976">
        <w:rPr>
          <w:snapToGrid w:val="0"/>
          <w:kern w:val="18"/>
          <w:szCs w:val="18"/>
          <w:lang w:val="es-ES"/>
        </w:rPr>
        <w:t>.</w:t>
      </w:r>
    </w:p>
  </w:footnote>
  <w:footnote w:id="3">
    <w:p w:rsidR="00AA44FD" w:rsidRPr="00FF343A"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F343A">
        <w:rPr>
          <w:snapToGrid w:val="0"/>
          <w:kern w:val="18"/>
          <w:szCs w:val="18"/>
          <w:lang w:val="es-ES"/>
        </w:rPr>
        <w:t xml:space="preserve"> Ayuda bilateral comprometida clasificada como “principal” </w:t>
      </w:r>
      <w:r>
        <w:rPr>
          <w:snapToGrid w:val="0"/>
          <w:kern w:val="18"/>
          <w:szCs w:val="18"/>
          <w:lang w:val="es-ES"/>
        </w:rPr>
        <w:t>en virtud de</w:t>
      </w:r>
      <w:r w:rsidRPr="00FF343A">
        <w:rPr>
          <w:snapToGrid w:val="0"/>
          <w:kern w:val="18"/>
          <w:szCs w:val="18"/>
          <w:lang w:val="es-ES"/>
        </w:rPr>
        <w:t>l sistema de los Marcadores de R</w:t>
      </w:r>
      <w:r>
        <w:rPr>
          <w:snapToGrid w:val="0"/>
          <w:kern w:val="18"/>
          <w:szCs w:val="18"/>
          <w:lang w:val="es-ES"/>
        </w:rPr>
        <w:t>ío del CAD de la OCDE</w:t>
      </w:r>
      <w:r w:rsidRPr="00FF343A">
        <w:rPr>
          <w:snapToGrid w:val="0"/>
          <w:kern w:val="18"/>
          <w:szCs w:val="18"/>
          <w:lang w:val="es-ES"/>
        </w:rPr>
        <w:t xml:space="preserve">. </w:t>
      </w:r>
    </w:p>
  </w:footnote>
  <w:footnote w:id="4">
    <w:p w:rsidR="00AA44FD" w:rsidRPr="00FF343A"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F343A">
        <w:rPr>
          <w:snapToGrid w:val="0"/>
          <w:kern w:val="18"/>
          <w:szCs w:val="18"/>
          <w:lang w:val="es-ES"/>
        </w:rPr>
        <w:t xml:space="preserve"> En el momento del informe elaborado para la 13ª reunión de la Conferencia de las Partes, 12 Partes hab</w:t>
      </w:r>
      <w:r>
        <w:rPr>
          <w:snapToGrid w:val="0"/>
          <w:kern w:val="18"/>
          <w:szCs w:val="18"/>
          <w:lang w:val="es-ES"/>
        </w:rPr>
        <w:t xml:space="preserve">ían comunicado datos de </w:t>
      </w:r>
      <w:r w:rsidRPr="00FF343A">
        <w:rPr>
          <w:snapToGrid w:val="0"/>
          <w:kern w:val="18"/>
          <w:szCs w:val="18"/>
          <w:lang w:val="es-ES"/>
        </w:rPr>
        <w:t>2015, represent</w:t>
      </w:r>
      <w:r>
        <w:rPr>
          <w:snapToGrid w:val="0"/>
          <w:kern w:val="18"/>
          <w:szCs w:val="18"/>
          <w:lang w:val="es-ES"/>
        </w:rPr>
        <w:t xml:space="preserve">ando el </w:t>
      </w:r>
      <w:r w:rsidRPr="00FF343A">
        <w:rPr>
          <w:snapToGrid w:val="0"/>
          <w:kern w:val="18"/>
          <w:szCs w:val="18"/>
          <w:lang w:val="es-ES"/>
        </w:rPr>
        <w:t>29 </w:t>
      </w:r>
      <w:r>
        <w:rPr>
          <w:snapToGrid w:val="0"/>
          <w:kern w:val="18"/>
          <w:szCs w:val="18"/>
          <w:lang w:val="es-ES"/>
        </w:rPr>
        <w:t xml:space="preserve">% de la base de referencia </w:t>
      </w:r>
      <w:r w:rsidRPr="00FF343A">
        <w:rPr>
          <w:snapToGrid w:val="0"/>
          <w:kern w:val="18"/>
          <w:szCs w:val="18"/>
          <w:lang w:val="es-ES"/>
        </w:rPr>
        <w:t>(</w:t>
      </w:r>
      <w:r>
        <w:rPr>
          <w:snapToGrid w:val="0"/>
          <w:kern w:val="18"/>
          <w:szCs w:val="18"/>
          <w:lang w:val="es-ES"/>
        </w:rPr>
        <w:t>véase</w:t>
      </w:r>
      <w:r w:rsidRPr="00FF343A">
        <w:rPr>
          <w:snapToGrid w:val="0"/>
          <w:kern w:val="18"/>
          <w:szCs w:val="18"/>
          <w:lang w:val="es-ES"/>
        </w:rPr>
        <w:t xml:space="preserve"> UNEP/CBD/COP/13/11/Rev.1).</w:t>
      </w:r>
    </w:p>
  </w:footnote>
  <w:footnote w:id="5">
    <w:p w:rsidR="00AA44FD" w:rsidRPr="00FF343A"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F343A">
        <w:rPr>
          <w:snapToGrid w:val="0"/>
          <w:kern w:val="18"/>
          <w:szCs w:val="18"/>
          <w:lang w:val="es-ES"/>
        </w:rPr>
        <w:t xml:space="preserve"> Financiación </w:t>
      </w:r>
      <w:r>
        <w:rPr>
          <w:snapToGrid w:val="0"/>
          <w:kern w:val="18"/>
          <w:szCs w:val="18"/>
          <w:lang w:val="es-ES"/>
        </w:rPr>
        <w:t>an</w:t>
      </w:r>
      <w:r w:rsidRPr="00FF343A">
        <w:rPr>
          <w:snapToGrid w:val="0"/>
          <w:kern w:val="18"/>
          <w:szCs w:val="18"/>
          <w:lang w:val="es-ES"/>
        </w:rPr>
        <w:t xml:space="preserve">ual proporcionada en un año en particular, dividida por la base de referencia. </w:t>
      </w:r>
      <w:r>
        <w:rPr>
          <w:snapToGrid w:val="0"/>
          <w:kern w:val="18"/>
          <w:szCs w:val="18"/>
          <w:lang w:val="es-ES"/>
        </w:rPr>
        <w:t xml:space="preserve">Un cociente de </w:t>
      </w:r>
      <w:r w:rsidRPr="00FF343A">
        <w:rPr>
          <w:snapToGrid w:val="0"/>
          <w:kern w:val="18"/>
          <w:szCs w:val="18"/>
          <w:lang w:val="es-ES"/>
        </w:rPr>
        <w:t xml:space="preserve">2,0 representa un aumento del 100 % o </w:t>
      </w:r>
      <w:r>
        <w:rPr>
          <w:snapToGrid w:val="0"/>
          <w:kern w:val="18"/>
          <w:szCs w:val="18"/>
          <w:lang w:val="es-ES"/>
        </w:rPr>
        <w:t>una multiplicación por dos del flujo de recursos</w:t>
      </w:r>
      <w:r w:rsidRPr="00FF343A">
        <w:rPr>
          <w:snapToGrid w:val="0"/>
          <w:kern w:val="18"/>
          <w:szCs w:val="18"/>
          <w:lang w:val="es-ES"/>
        </w:rPr>
        <w:t>.</w:t>
      </w:r>
    </w:p>
  </w:footnote>
  <w:footnote w:id="6">
    <w:p w:rsidR="00AA44FD" w:rsidRPr="00FE3976"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E3976">
        <w:rPr>
          <w:snapToGrid w:val="0"/>
          <w:kern w:val="18"/>
          <w:szCs w:val="18"/>
          <w:lang w:val="es-ES"/>
        </w:rPr>
        <w:t xml:space="preserve"> Véanse UNEP/CBD/SBI/1/7 y UNEP/CBD/COP/13/11/Rev.1.</w:t>
      </w:r>
    </w:p>
  </w:footnote>
  <w:footnote w:id="7">
    <w:p w:rsidR="00AA44FD" w:rsidRPr="00CB2FE7"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CB2FE7">
        <w:rPr>
          <w:snapToGrid w:val="0"/>
          <w:kern w:val="18"/>
          <w:szCs w:val="18"/>
          <w:lang w:val="es-ES"/>
        </w:rPr>
        <w:t xml:space="preserve"> Extraído</w:t>
      </w:r>
      <w:r>
        <w:rPr>
          <w:snapToGrid w:val="0"/>
          <w:kern w:val="18"/>
          <w:szCs w:val="18"/>
          <w:lang w:val="es-ES"/>
        </w:rPr>
        <w:t>s</w:t>
      </w:r>
      <w:r w:rsidRPr="00CB2FE7">
        <w:rPr>
          <w:snapToGrid w:val="0"/>
          <w:kern w:val="18"/>
          <w:szCs w:val="18"/>
          <w:lang w:val="es-ES"/>
        </w:rPr>
        <w:t xml:space="preserve"> de la base de datos en línea </w:t>
      </w:r>
      <w:r>
        <w:rPr>
          <w:i/>
          <w:iCs/>
          <w:snapToGrid w:val="0"/>
          <w:kern w:val="18"/>
          <w:szCs w:val="18"/>
          <w:lang w:val="es-ES"/>
        </w:rPr>
        <w:t>Perspectivas de la Economía Mundial</w:t>
      </w:r>
      <w:r w:rsidRPr="00CB2FE7">
        <w:rPr>
          <w:snapToGrid w:val="0"/>
          <w:kern w:val="18"/>
          <w:szCs w:val="18"/>
          <w:lang w:val="es-ES"/>
        </w:rPr>
        <w:t xml:space="preserve"> del Fondo Monetario Internacional, </w:t>
      </w:r>
      <w:r>
        <w:rPr>
          <w:snapToGrid w:val="0"/>
          <w:kern w:val="18"/>
          <w:szCs w:val="18"/>
          <w:lang w:val="es-ES"/>
        </w:rPr>
        <w:t xml:space="preserve">disponible en </w:t>
      </w:r>
      <w:hyperlink r:id="rId3" w:history="1">
        <w:r w:rsidRPr="00CB2FE7">
          <w:rPr>
            <w:rStyle w:val="Hyperlink"/>
            <w:snapToGrid w:val="0"/>
            <w:kern w:val="18"/>
            <w:szCs w:val="18"/>
            <w:lang w:val="es-ES"/>
          </w:rPr>
          <w:t>https://www.imf.org/external/pubs/ft/weo/2017/02/weodata/index.aspx</w:t>
        </w:r>
      </w:hyperlink>
    </w:p>
  </w:footnote>
  <w:footnote w:id="8">
    <w:p w:rsidR="00AA44FD" w:rsidRPr="006431C7"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6431C7">
        <w:rPr>
          <w:snapToGrid w:val="0"/>
          <w:kern w:val="18"/>
          <w:szCs w:val="18"/>
          <w:lang w:val="es-ES"/>
        </w:rPr>
        <w:t xml:space="preserve"> Accesible en línea en </w:t>
      </w:r>
      <w:hyperlink r:id="rId4" w:history="1">
        <w:r w:rsidRPr="006431C7">
          <w:rPr>
            <w:rStyle w:val="Hyperlink"/>
            <w:snapToGrid w:val="0"/>
            <w:kern w:val="18"/>
            <w:szCs w:val="18"/>
            <w:lang w:val="es-ES"/>
          </w:rPr>
          <w:t>http://stats.oecd.org</w:t>
        </w:r>
      </w:hyperlink>
      <w:r w:rsidRPr="006431C7">
        <w:rPr>
          <w:snapToGrid w:val="0"/>
          <w:kern w:val="18"/>
          <w:szCs w:val="18"/>
          <w:lang w:val="es-ES"/>
        </w:rPr>
        <w:t>.</w:t>
      </w:r>
    </w:p>
  </w:footnote>
  <w:footnote w:id="9">
    <w:p w:rsidR="00AA44FD" w:rsidRPr="006431C7"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6431C7">
        <w:rPr>
          <w:snapToGrid w:val="0"/>
          <w:kern w:val="18"/>
          <w:szCs w:val="18"/>
          <w:lang w:val="es-ES"/>
        </w:rPr>
        <w:t xml:space="preserve"> En 2015, los Estados Unidos duplicaron con creces su ayuda relacionada con la diversidad biológica clasificada como principal y casi duplic</w:t>
      </w:r>
      <w:r>
        <w:rPr>
          <w:snapToGrid w:val="0"/>
          <w:kern w:val="18"/>
          <w:szCs w:val="18"/>
          <w:lang w:val="es-ES"/>
        </w:rPr>
        <w:t>ó su ayuda relacionada con la diversidad biológica clasificada como significativa</w:t>
      </w:r>
      <w:r w:rsidRPr="006431C7">
        <w:rPr>
          <w:snapToGrid w:val="0"/>
          <w:kern w:val="18"/>
          <w:szCs w:val="18"/>
          <w:lang w:val="es-ES"/>
        </w:rPr>
        <w:t xml:space="preserve">, </w:t>
      </w:r>
      <w:r>
        <w:rPr>
          <w:snapToGrid w:val="0"/>
          <w:kern w:val="18"/>
          <w:szCs w:val="18"/>
          <w:lang w:val="es-ES"/>
        </w:rPr>
        <w:t>frente a la media</w:t>
      </w:r>
      <w:r w:rsidRPr="006431C7">
        <w:rPr>
          <w:snapToGrid w:val="0"/>
          <w:kern w:val="18"/>
          <w:szCs w:val="18"/>
          <w:lang w:val="es-ES"/>
        </w:rPr>
        <w:t xml:space="preserve"> </w:t>
      </w:r>
      <w:r>
        <w:rPr>
          <w:snapToGrid w:val="0"/>
          <w:kern w:val="18"/>
          <w:szCs w:val="18"/>
          <w:lang w:val="es-ES"/>
        </w:rPr>
        <w:t xml:space="preserve">de </w:t>
      </w:r>
      <w:r w:rsidRPr="006431C7">
        <w:rPr>
          <w:snapToGrid w:val="0"/>
          <w:kern w:val="18"/>
          <w:szCs w:val="18"/>
          <w:lang w:val="es-ES"/>
        </w:rPr>
        <w:t>2006-2010.</w:t>
      </w:r>
    </w:p>
  </w:footnote>
  <w:footnote w:id="10">
    <w:p w:rsidR="00AA44FD" w:rsidRPr="00196178" w:rsidRDefault="00AA44FD" w:rsidP="001E4F0A">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196178">
        <w:rPr>
          <w:snapToGrid w:val="0"/>
          <w:kern w:val="18"/>
          <w:szCs w:val="18"/>
          <w:lang w:val="es-ES"/>
        </w:rPr>
        <w:t xml:space="preserve"> Dinamarca revisó su metodología en el informe actualizado y pas</w:t>
      </w:r>
      <w:r>
        <w:rPr>
          <w:snapToGrid w:val="0"/>
          <w:kern w:val="18"/>
          <w:szCs w:val="18"/>
          <w:lang w:val="es-ES"/>
        </w:rPr>
        <w:t xml:space="preserve">ó del </w:t>
      </w:r>
      <w:r w:rsidRPr="00196178">
        <w:rPr>
          <w:snapToGrid w:val="0"/>
          <w:kern w:val="18"/>
          <w:szCs w:val="18"/>
          <w:lang w:val="es-ES"/>
        </w:rPr>
        <w:t>100 </w:t>
      </w:r>
      <w:r>
        <w:rPr>
          <w:snapToGrid w:val="0"/>
          <w:kern w:val="18"/>
          <w:szCs w:val="18"/>
          <w:lang w:val="es-ES"/>
        </w:rPr>
        <w:t xml:space="preserve">% al </w:t>
      </w:r>
      <w:r w:rsidRPr="00196178">
        <w:rPr>
          <w:snapToGrid w:val="0"/>
          <w:kern w:val="18"/>
          <w:szCs w:val="18"/>
          <w:lang w:val="es-ES"/>
        </w:rPr>
        <w:t>50 </w:t>
      </w:r>
      <w:r>
        <w:rPr>
          <w:snapToGrid w:val="0"/>
          <w:kern w:val="18"/>
          <w:szCs w:val="18"/>
          <w:lang w:val="es-ES"/>
        </w:rPr>
        <w:t>% en lo que respecta a significativo</w:t>
      </w:r>
      <w:r w:rsidRPr="00196178">
        <w:rPr>
          <w:snapToGrid w:val="0"/>
          <w:kern w:val="18"/>
          <w:szCs w:val="18"/>
          <w:lang w:val="es-ES"/>
        </w:rPr>
        <w:t>.</w:t>
      </w:r>
    </w:p>
  </w:footnote>
  <w:footnote w:id="11">
    <w:p w:rsidR="00AA44FD" w:rsidRPr="00176EF8"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176EF8">
        <w:rPr>
          <w:snapToGrid w:val="0"/>
          <w:kern w:val="18"/>
          <w:szCs w:val="18"/>
          <w:lang w:val="es-ES"/>
        </w:rPr>
        <w:t xml:space="preserve"> Véase CBD/SBI/2/2/Add.1 y ejemplos contenidos en el mismo.</w:t>
      </w:r>
    </w:p>
  </w:footnote>
  <w:footnote w:id="12">
    <w:p w:rsidR="00AA44FD" w:rsidRPr="00176EF8"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E3976">
        <w:rPr>
          <w:snapToGrid w:val="0"/>
          <w:kern w:val="18"/>
          <w:szCs w:val="18"/>
          <w:lang w:val="es-ES"/>
        </w:rPr>
        <w:t xml:space="preserve"> </w:t>
      </w:r>
      <w:r w:rsidRPr="00FE3976">
        <w:rPr>
          <w:i/>
          <w:snapToGrid w:val="0"/>
          <w:kern w:val="18"/>
          <w:szCs w:val="18"/>
          <w:lang w:val="es-ES"/>
        </w:rPr>
        <w:t>Ibidem</w:t>
      </w:r>
      <w:r w:rsidRPr="00FE3976">
        <w:rPr>
          <w:snapToGrid w:val="0"/>
          <w:kern w:val="18"/>
          <w:szCs w:val="18"/>
          <w:lang w:val="es-ES"/>
        </w:rPr>
        <w:t xml:space="preserve">. </w:t>
      </w:r>
      <w:r w:rsidRPr="00176EF8">
        <w:rPr>
          <w:snapToGrid w:val="0"/>
          <w:kern w:val="18"/>
          <w:szCs w:val="18"/>
          <w:lang w:val="es-ES"/>
        </w:rPr>
        <w:t xml:space="preserve">Véase también </w:t>
      </w:r>
      <w:hyperlink r:id="rId5" w:history="1">
        <w:r w:rsidRPr="00176EF8">
          <w:rPr>
            <w:rStyle w:val="Hyperlink"/>
            <w:snapToGrid w:val="0"/>
            <w:kern w:val="18"/>
            <w:szCs w:val="18"/>
            <w:lang w:val="es-ES"/>
          </w:rPr>
          <w:t>www.biodiversityfinance.net/finance-solutions</w:t>
        </w:r>
      </w:hyperlink>
    </w:p>
  </w:footnote>
  <w:footnote w:id="13">
    <w:p w:rsidR="00AA44FD" w:rsidRPr="00FE3976"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E3976">
        <w:rPr>
          <w:snapToGrid w:val="0"/>
          <w:kern w:val="18"/>
          <w:szCs w:val="18"/>
          <w:lang w:val="es-ES"/>
        </w:rPr>
        <w:t xml:space="preserve"> </w:t>
      </w:r>
      <w:hyperlink r:id="rId6" w:history="1">
        <w:r w:rsidRPr="00FE3976">
          <w:rPr>
            <w:rStyle w:val="Hyperlink"/>
            <w:snapToGrid w:val="0"/>
            <w:kern w:val="18"/>
            <w:szCs w:val="18"/>
            <w:lang w:val="es-ES"/>
          </w:rPr>
          <w:t>http://www.biodiversityfinance.net/finance-nature-global-conference</w:t>
        </w:r>
      </w:hyperlink>
    </w:p>
  </w:footnote>
  <w:footnote w:id="14">
    <w:p w:rsidR="00AA44FD" w:rsidRPr="00FE3976" w:rsidRDefault="00AA44FD" w:rsidP="00490BF5">
      <w:pPr>
        <w:pStyle w:val="FootnoteText"/>
        <w:kinsoku w:val="0"/>
        <w:overflowPunct w:val="0"/>
        <w:autoSpaceDE w:val="0"/>
        <w:autoSpaceDN w:val="0"/>
        <w:adjustRightInd w:val="0"/>
        <w:snapToGrid w:val="0"/>
        <w:ind w:firstLine="0"/>
        <w:jc w:val="left"/>
        <w:rPr>
          <w:snapToGrid w:val="0"/>
          <w:kern w:val="18"/>
          <w:szCs w:val="18"/>
          <w:lang w:val="es-ES"/>
        </w:rPr>
      </w:pPr>
      <w:r w:rsidRPr="00490BF5">
        <w:rPr>
          <w:rStyle w:val="FootnoteReference"/>
          <w:snapToGrid w:val="0"/>
          <w:kern w:val="18"/>
          <w:sz w:val="18"/>
          <w:szCs w:val="18"/>
        </w:rPr>
        <w:footnoteRef/>
      </w:r>
      <w:r w:rsidRPr="00FE3976">
        <w:rPr>
          <w:snapToGrid w:val="0"/>
          <w:kern w:val="18"/>
          <w:szCs w:val="18"/>
          <w:lang w:val="es-ES"/>
        </w:rPr>
        <w:t xml:space="preserve"> UNEP/CBD/COP/13/11/Rev.1.</w:t>
      </w:r>
    </w:p>
  </w:footnote>
  <w:footnote w:id="15">
    <w:p w:rsidR="00AA44FD" w:rsidRPr="003E5195" w:rsidRDefault="00AA44FD" w:rsidP="00490BF5">
      <w:pPr>
        <w:keepLines/>
        <w:kinsoku w:val="0"/>
        <w:overflowPunct w:val="0"/>
        <w:autoSpaceDE w:val="0"/>
        <w:autoSpaceDN w:val="0"/>
        <w:adjustRightInd w:val="0"/>
        <w:snapToGrid w:val="0"/>
        <w:spacing w:after="60"/>
        <w:jc w:val="left"/>
        <w:rPr>
          <w:snapToGrid w:val="0"/>
          <w:kern w:val="18"/>
          <w:sz w:val="18"/>
          <w:szCs w:val="18"/>
          <w:lang w:val="es-ES"/>
        </w:rPr>
      </w:pPr>
      <w:r w:rsidRPr="00490BF5">
        <w:rPr>
          <w:rStyle w:val="FootnoteReference"/>
          <w:snapToGrid w:val="0"/>
          <w:kern w:val="18"/>
          <w:sz w:val="18"/>
          <w:szCs w:val="18"/>
        </w:rPr>
        <w:footnoteRef/>
      </w:r>
      <w:r w:rsidRPr="00FE3976">
        <w:rPr>
          <w:snapToGrid w:val="0"/>
          <w:kern w:val="18"/>
          <w:sz w:val="18"/>
          <w:szCs w:val="18"/>
          <w:lang w:val="es-ES"/>
        </w:rPr>
        <w:t xml:space="preserve"> Véase</w:t>
      </w:r>
      <w:r w:rsidRPr="00FE3976">
        <w:rPr>
          <w:snapToGrid w:val="0"/>
          <w:color w:val="000000"/>
          <w:kern w:val="18"/>
          <w:sz w:val="18"/>
          <w:szCs w:val="18"/>
          <w:lang w:val="es-ES"/>
        </w:rPr>
        <w:t xml:space="preserve"> CBD/SBI/2/2/Add.1. </w:t>
      </w:r>
      <w:r w:rsidRPr="003E5195">
        <w:rPr>
          <w:snapToGrid w:val="0"/>
          <w:color w:val="000000"/>
          <w:kern w:val="18"/>
          <w:sz w:val="18"/>
          <w:szCs w:val="18"/>
          <w:lang w:val="es-ES"/>
        </w:rPr>
        <w:t>Las Partes son:</w:t>
      </w:r>
      <w:r w:rsidRPr="003E5195">
        <w:rPr>
          <w:snapToGrid w:val="0"/>
          <w:kern w:val="18"/>
          <w:sz w:val="18"/>
          <w:szCs w:val="18"/>
          <w:lang w:val="es-ES"/>
        </w:rPr>
        <w:t xml:space="preserve"> </w:t>
      </w:r>
      <w:r w:rsidRPr="003E5195">
        <w:rPr>
          <w:snapToGrid w:val="0"/>
          <w:color w:val="000000"/>
          <w:kern w:val="18"/>
          <w:sz w:val="18"/>
          <w:szCs w:val="18"/>
          <w:lang w:val="es-ES"/>
        </w:rPr>
        <w:t>Albania, Argelia, Bahréin, Bangladés, Benín, Botsuana, Brunéi Darussalam, Burkina Faso, Burundi, Bután, Chad, Costa Rica, Dominica, Egipto, Eritrea, España, Estonia, Filipinas, Finlandia, Ghana, Guatemala, Guinea-Bissau, Guinea, India, Jamaica, Kirguistán, Kiribati, Líbano, Liberia, Luxemburgo, Madagascar, Malawi, Maldivas, Mali, Mauricio, Mauritania, Mozambique, Namibia, Nepal, Nicaragua, Níger, Paraguay, República de Moldavia, Ruanda (partes de), Rumanía, San Cristóbal y Nieves, Santo Tomé y Príncipe, Senegal, Sierra Leona, Somalia, Sri Lanka, Suazilandia, Sudán, Surinam, Togo, Túnez, Uganda, Yemen y Zimbabue.</w:t>
      </w:r>
    </w:p>
  </w:footnote>
  <w:footnote w:id="16">
    <w:p w:rsidR="00AA44FD" w:rsidRPr="00490BF5" w:rsidRDefault="00AA44FD" w:rsidP="00490BF5">
      <w:pPr>
        <w:keepLines/>
        <w:kinsoku w:val="0"/>
        <w:overflowPunct w:val="0"/>
        <w:autoSpaceDE w:val="0"/>
        <w:autoSpaceDN w:val="0"/>
        <w:adjustRightInd w:val="0"/>
        <w:snapToGrid w:val="0"/>
        <w:spacing w:after="60"/>
        <w:jc w:val="left"/>
        <w:rPr>
          <w:snapToGrid w:val="0"/>
          <w:kern w:val="18"/>
          <w:sz w:val="18"/>
          <w:szCs w:val="18"/>
          <w:lang w:val="en-CA"/>
        </w:rPr>
      </w:pPr>
      <w:r w:rsidRPr="00490BF5">
        <w:rPr>
          <w:rStyle w:val="FootnoteReference"/>
          <w:snapToGrid w:val="0"/>
          <w:kern w:val="18"/>
          <w:sz w:val="18"/>
          <w:szCs w:val="18"/>
        </w:rPr>
        <w:footnoteRef/>
      </w:r>
      <w:r w:rsidRPr="00FE3976">
        <w:rPr>
          <w:snapToGrid w:val="0"/>
          <w:kern w:val="18"/>
          <w:sz w:val="18"/>
          <w:szCs w:val="18"/>
          <w:lang w:val="es-ES"/>
        </w:rPr>
        <w:t xml:space="preserve"> </w:t>
      </w:r>
      <w:r w:rsidRPr="00FE3976">
        <w:rPr>
          <w:snapToGrid w:val="0"/>
          <w:color w:val="000000"/>
          <w:kern w:val="18"/>
          <w:sz w:val="18"/>
          <w:szCs w:val="18"/>
          <w:lang w:val="es-ES"/>
        </w:rPr>
        <w:t>B</w:t>
      </w:r>
      <w:r w:rsidR="00CE5ADC">
        <w:rPr>
          <w:snapToGrid w:val="0"/>
          <w:color w:val="000000"/>
          <w:kern w:val="18"/>
          <w:sz w:val="18"/>
          <w:szCs w:val="18"/>
          <w:lang w:val="es-ES"/>
        </w:rPr>
        <w:t>élgica</w:t>
      </w:r>
      <w:r w:rsidRPr="00FE3976">
        <w:rPr>
          <w:snapToGrid w:val="0"/>
          <w:color w:val="000000"/>
          <w:kern w:val="18"/>
          <w:sz w:val="18"/>
          <w:szCs w:val="18"/>
          <w:lang w:val="es-ES"/>
        </w:rPr>
        <w:t>, Ben</w:t>
      </w:r>
      <w:r w:rsidR="00CE5ADC">
        <w:rPr>
          <w:snapToGrid w:val="0"/>
          <w:color w:val="000000"/>
          <w:kern w:val="18"/>
          <w:sz w:val="18"/>
          <w:szCs w:val="18"/>
          <w:lang w:val="es-ES"/>
        </w:rPr>
        <w:t>í</w:t>
      </w:r>
      <w:r w:rsidRPr="00FE3976">
        <w:rPr>
          <w:snapToGrid w:val="0"/>
          <w:color w:val="000000"/>
          <w:kern w:val="18"/>
          <w:sz w:val="18"/>
          <w:szCs w:val="18"/>
          <w:lang w:val="es-ES"/>
        </w:rPr>
        <w:t>n, Bosnia</w:t>
      </w:r>
      <w:r w:rsidR="00CE5ADC">
        <w:rPr>
          <w:snapToGrid w:val="0"/>
          <w:color w:val="000000"/>
          <w:kern w:val="18"/>
          <w:sz w:val="18"/>
          <w:szCs w:val="18"/>
          <w:lang w:val="es-ES"/>
        </w:rPr>
        <w:t>-</w:t>
      </w:r>
      <w:r w:rsidRPr="00FE3976">
        <w:rPr>
          <w:snapToGrid w:val="0"/>
          <w:color w:val="000000"/>
          <w:kern w:val="18"/>
          <w:sz w:val="18"/>
          <w:szCs w:val="18"/>
          <w:lang w:val="es-ES"/>
        </w:rPr>
        <w:t>Herzegovina, Bots</w:t>
      </w:r>
      <w:r w:rsidR="00CE5ADC">
        <w:rPr>
          <w:snapToGrid w:val="0"/>
          <w:color w:val="000000"/>
          <w:kern w:val="18"/>
          <w:sz w:val="18"/>
          <w:szCs w:val="18"/>
          <w:lang w:val="es-ES"/>
        </w:rPr>
        <w:t>u</w:t>
      </w:r>
      <w:r w:rsidRPr="00FE3976">
        <w:rPr>
          <w:snapToGrid w:val="0"/>
          <w:color w:val="000000"/>
          <w:kern w:val="18"/>
          <w:sz w:val="18"/>
          <w:szCs w:val="18"/>
          <w:lang w:val="es-ES"/>
        </w:rPr>
        <w:t>ana, Burundi, Comor</w:t>
      </w:r>
      <w:r w:rsidR="00CE5ADC">
        <w:rPr>
          <w:snapToGrid w:val="0"/>
          <w:color w:val="000000"/>
          <w:kern w:val="18"/>
          <w:sz w:val="18"/>
          <w:szCs w:val="18"/>
          <w:lang w:val="es-ES"/>
        </w:rPr>
        <w:t>as, Costa Rica, C</w:t>
      </w:r>
      <w:r w:rsidR="009C6BD1">
        <w:rPr>
          <w:snapToGrid w:val="0"/>
          <w:color w:val="000000"/>
          <w:kern w:val="18"/>
          <w:sz w:val="18"/>
          <w:szCs w:val="18"/>
          <w:lang w:val="es-ES"/>
        </w:rPr>
        <w:t>ôte  d’Ivoire</w:t>
      </w:r>
      <w:r w:rsidR="00CE5ADC">
        <w:rPr>
          <w:snapToGrid w:val="0"/>
          <w:color w:val="000000"/>
          <w:kern w:val="18"/>
          <w:sz w:val="18"/>
          <w:szCs w:val="18"/>
          <w:lang w:val="es-ES"/>
        </w:rPr>
        <w:t xml:space="preserve">, </w:t>
      </w:r>
      <w:r w:rsidRPr="00FE3976">
        <w:rPr>
          <w:snapToGrid w:val="0"/>
          <w:color w:val="000000"/>
          <w:kern w:val="18"/>
          <w:sz w:val="18"/>
          <w:szCs w:val="18"/>
          <w:lang w:val="es-ES"/>
        </w:rPr>
        <w:t>Guinea, Guyana, Liberia, Malawi, Maldiv</w:t>
      </w:r>
      <w:r w:rsidR="00CE5ADC">
        <w:rPr>
          <w:snapToGrid w:val="0"/>
          <w:color w:val="000000"/>
          <w:kern w:val="18"/>
          <w:sz w:val="18"/>
          <w:szCs w:val="18"/>
          <w:lang w:val="es-ES"/>
        </w:rPr>
        <w:t>a</w:t>
      </w:r>
      <w:r w:rsidRPr="00FE3976">
        <w:rPr>
          <w:snapToGrid w:val="0"/>
          <w:color w:val="000000"/>
          <w:kern w:val="18"/>
          <w:sz w:val="18"/>
          <w:szCs w:val="18"/>
          <w:lang w:val="es-ES"/>
        </w:rPr>
        <w:t xml:space="preserve">s, Mali, </w:t>
      </w:r>
      <w:r w:rsidR="00CE5ADC">
        <w:rPr>
          <w:snapToGrid w:val="0"/>
          <w:color w:val="000000"/>
          <w:kern w:val="18"/>
          <w:sz w:val="18"/>
          <w:szCs w:val="18"/>
          <w:lang w:val="es-ES"/>
        </w:rPr>
        <w:t xml:space="preserve">Marruecos, </w:t>
      </w:r>
      <w:r w:rsidRPr="00FE3976">
        <w:rPr>
          <w:snapToGrid w:val="0"/>
          <w:color w:val="000000"/>
          <w:kern w:val="18"/>
          <w:sz w:val="18"/>
          <w:szCs w:val="18"/>
          <w:lang w:val="es-ES"/>
        </w:rPr>
        <w:t xml:space="preserve">Mauritania, </w:t>
      </w:r>
      <w:r w:rsidR="00CE5ADC">
        <w:rPr>
          <w:snapToGrid w:val="0"/>
          <w:color w:val="000000"/>
          <w:kern w:val="18"/>
          <w:sz w:val="18"/>
          <w:szCs w:val="18"/>
          <w:lang w:val="es-ES"/>
        </w:rPr>
        <w:t>Níger,</w:t>
      </w:r>
      <w:r w:rsidRPr="00FE3976">
        <w:rPr>
          <w:snapToGrid w:val="0"/>
          <w:color w:val="000000"/>
          <w:kern w:val="18"/>
          <w:sz w:val="18"/>
          <w:szCs w:val="18"/>
          <w:lang w:val="es-ES"/>
        </w:rPr>
        <w:t xml:space="preserve"> Nigeria, Niue, </w:t>
      </w:r>
      <w:r w:rsidR="00CE5ADC">
        <w:rPr>
          <w:snapToGrid w:val="0"/>
          <w:color w:val="000000"/>
          <w:kern w:val="18"/>
          <w:sz w:val="18"/>
          <w:szCs w:val="18"/>
          <w:lang w:val="es-ES"/>
        </w:rPr>
        <w:t xml:space="preserve">República Democrática del Congo, </w:t>
      </w:r>
      <w:r w:rsidRPr="00FE3976">
        <w:rPr>
          <w:snapToGrid w:val="0"/>
          <w:color w:val="000000"/>
          <w:kern w:val="18"/>
          <w:sz w:val="18"/>
          <w:szCs w:val="18"/>
          <w:lang w:val="es-ES"/>
        </w:rPr>
        <w:t>R</w:t>
      </w:r>
      <w:r w:rsidR="00CE5ADC">
        <w:rPr>
          <w:snapToGrid w:val="0"/>
          <w:color w:val="000000"/>
          <w:kern w:val="18"/>
          <w:sz w:val="18"/>
          <w:szCs w:val="18"/>
          <w:lang w:val="es-ES"/>
        </w:rPr>
        <w:t>uand</w:t>
      </w:r>
      <w:r w:rsidRPr="00FE3976">
        <w:rPr>
          <w:snapToGrid w:val="0"/>
          <w:color w:val="000000"/>
          <w:kern w:val="18"/>
          <w:sz w:val="18"/>
          <w:szCs w:val="18"/>
          <w:lang w:val="es-ES"/>
        </w:rPr>
        <w:t>a, Timor</w:t>
      </w:r>
      <w:r w:rsidR="00CE5ADC">
        <w:rPr>
          <w:snapToGrid w:val="0"/>
          <w:color w:val="000000"/>
          <w:kern w:val="18"/>
          <w:sz w:val="18"/>
          <w:szCs w:val="18"/>
          <w:lang w:val="es-ES"/>
        </w:rPr>
        <w:t xml:space="preserve"> Oriental y Yemen</w:t>
      </w:r>
      <w:r w:rsidRPr="00FE3976">
        <w:rPr>
          <w:snapToGrid w:val="0"/>
          <w:color w:val="000000"/>
          <w:kern w:val="18"/>
          <w:sz w:val="18"/>
          <w:szCs w:val="18"/>
          <w:lang w:val="es-ES"/>
        </w:rPr>
        <w:t xml:space="preserve">. </w:t>
      </w:r>
      <w:r w:rsidR="00CE5ADC">
        <w:rPr>
          <w:snapToGrid w:val="0"/>
          <w:color w:val="000000"/>
          <w:kern w:val="18"/>
          <w:sz w:val="18"/>
          <w:szCs w:val="18"/>
          <w:lang w:val="es-ES"/>
        </w:rPr>
        <w:t>De esas Partes, 13 incl</w:t>
      </w:r>
      <w:r w:rsidR="009C6BD1">
        <w:rPr>
          <w:snapToGrid w:val="0"/>
          <w:color w:val="000000"/>
          <w:kern w:val="18"/>
          <w:sz w:val="18"/>
          <w:szCs w:val="18"/>
          <w:lang w:val="es-ES"/>
        </w:rPr>
        <w:t>uyeron</w:t>
      </w:r>
      <w:r w:rsidR="00CE5ADC">
        <w:rPr>
          <w:snapToGrid w:val="0"/>
          <w:color w:val="000000"/>
          <w:kern w:val="18"/>
          <w:sz w:val="18"/>
          <w:szCs w:val="18"/>
          <w:lang w:val="es-ES"/>
        </w:rPr>
        <w:t xml:space="preserve"> un cálculo de costes de sus planes de acción</w:t>
      </w:r>
      <w:r w:rsidRPr="000A2496">
        <w:rPr>
          <w:snapToGrid w:val="0"/>
          <w:kern w:val="18"/>
          <w:sz w:val="18"/>
          <w:szCs w:val="18"/>
          <w:lang w:val="fr-CA"/>
        </w:rPr>
        <w:t xml:space="preserve">. </w:t>
      </w:r>
      <w:r>
        <w:rPr>
          <w:snapToGrid w:val="0"/>
          <w:kern w:val="18"/>
          <w:sz w:val="18"/>
          <w:szCs w:val="18"/>
        </w:rPr>
        <w:t>(</w:t>
      </w:r>
      <w:r w:rsidR="00CE5ADC">
        <w:rPr>
          <w:snapToGrid w:val="0"/>
          <w:kern w:val="18"/>
          <w:sz w:val="18"/>
          <w:szCs w:val="18"/>
        </w:rPr>
        <w:t>Véase</w:t>
      </w:r>
      <w:r w:rsidRPr="00CB4C21">
        <w:rPr>
          <w:snapToGrid w:val="0"/>
          <w:color w:val="000000"/>
          <w:kern w:val="18"/>
          <w:sz w:val="18"/>
          <w:szCs w:val="18"/>
          <w:lang w:val="en-CA"/>
        </w:rPr>
        <w:t xml:space="preserve"> CBD/SBI/2/2/Add.1.</w:t>
      </w:r>
      <w:r>
        <w:rPr>
          <w:snapToGrid w:val="0"/>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D" w:rsidRDefault="00AA44FD" w:rsidP="00227B47">
    <w:pPr>
      <w:suppressLineNumbers/>
      <w:suppressAutoHyphens/>
      <w:kinsoku w:val="0"/>
      <w:overflowPunct w:val="0"/>
      <w:autoSpaceDE w:val="0"/>
      <w:autoSpaceDN w:val="0"/>
      <w:adjustRightInd w:val="0"/>
      <w:snapToGrid w:val="0"/>
      <w:jc w:val="left"/>
      <w:rPr>
        <w:noProof/>
        <w:snapToGrid w:val="0"/>
        <w:kern w:val="22"/>
        <w:szCs w:val="22"/>
      </w:rPr>
    </w:pPr>
    <w:r w:rsidRPr="00205909">
      <w:rPr>
        <w:noProof/>
        <w:snapToGrid w:val="0"/>
        <w:kern w:val="22"/>
        <w:szCs w:val="22"/>
      </w:rPr>
      <w:t>CBD/</w:t>
    </w:r>
    <w:r>
      <w:rPr>
        <w:noProof/>
        <w:snapToGrid w:val="0"/>
        <w:kern w:val="22"/>
        <w:szCs w:val="22"/>
      </w:rPr>
      <w:t>SBI</w:t>
    </w:r>
    <w:r w:rsidRPr="00205909">
      <w:rPr>
        <w:noProof/>
        <w:snapToGrid w:val="0"/>
        <w:kern w:val="22"/>
        <w:szCs w:val="22"/>
      </w:rPr>
      <w:t>/</w:t>
    </w:r>
    <w:r>
      <w:rPr>
        <w:noProof/>
        <w:snapToGrid w:val="0"/>
        <w:kern w:val="22"/>
        <w:szCs w:val="22"/>
      </w:rPr>
      <w:t>2</w:t>
    </w:r>
    <w:r w:rsidRPr="00205909">
      <w:rPr>
        <w:noProof/>
        <w:snapToGrid w:val="0"/>
        <w:kern w:val="22"/>
        <w:szCs w:val="22"/>
      </w:rPr>
      <w:t>/</w:t>
    </w:r>
    <w:r>
      <w:rPr>
        <w:noProof/>
        <w:snapToGrid w:val="0"/>
        <w:kern w:val="22"/>
        <w:szCs w:val="22"/>
      </w:rPr>
      <w:t>7/Add.1</w:t>
    </w:r>
  </w:p>
  <w:p w:rsidR="00AA44FD" w:rsidRDefault="00AA44FD"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r w:rsidRPr="001121F1">
      <w:rPr>
        <w:noProof/>
        <w:snapToGrid w:val="0"/>
        <w:kern w:val="22"/>
      </w:rPr>
      <w:t>P</w:t>
    </w:r>
    <w:r>
      <w:rPr>
        <w:noProof/>
        <w:snapToGrid w:val="0"/>
        <w:kern w:val="22"/>
      </w:rPr>
      <w:t>ágina</w:t>
    </w:r>
    <w:r w:rsidRPr="001121F1">
      <w:rPr>
        <w:noProof/>
        <w:snapToGrid w:val="0"/>
        <w:kern w:val="22"/>
      </w:rPr>
      <w:t xml:space="preserve"> </w:t>
    </w:r>
    <w:r w:rsidR="005901AE" w:rsidRPr="001121F1">
      <w:rPr>
        <w:noProof/>
        <w:snapToGrid w:val="0"/>
        <w:kern w:val="22"/>
      </w:rPr>
      <w:fldChar w:fldCharType="begin"/>
    </w:r>
    <w:r w:rsidRPr="001121F1">
      <w:rPr>
        <w:noProof/>
        <w:snapToGrid w:val="0"/>
        <w:kern w:val="22"/>
      </w:rPr>
      <w:instrText xml:space="preserve"> PAGE   \* MERGEFORMAT </w:instrText>
    </w:r>
    <w:r w:rsidR="005901AE" w:rsidRPr="001121F1">
      <w:rPr>
        <w:noProof/>
        <w:snapToGrid w:val="0"/>
        <w:kern w:val="22"/>
      </w:rPr>
      <w:fldChar w:fldCharType="separate"/>
    </w:r>
    <w:r w:rsidR="000D1E7C">
      <w:rPr>
        <w:noProof/>
        <w:snapToGrid w:val="0"/>
        <w:kern w:val="22"/>
      </w:rPr>
      <w:t>2</w:t>
    </w:r>
    <w:r w:rsidR="005901AE" w:rsidRPr="001121F1">
      <w:rPr>
        <w:noProof/>
        <w:snapToGrid w:val="0"/>
        <w:kern w:val="22"/>
      </w:rPr>
      <w:fldChar w:fldCharType="end"/>
    </w:r>
  </w:p>
  <w:p w:rsidR="00AA44FD" w:rsidRPr="001121F1" w:rsidRDefault="00AA44FD"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D" w:rsidRPr="00205909" w:rsidRDefault="00AA44FD" w:rsidP="00227B47">
    <w:pPr>
      <w:suppressLineNumbers/>
      <w:suppressAutoHyphens/>
      <w:kinsoku w:val="0"/>
      <w:overflowPunct w:val="0"/>
      <w:autoSpaceDE w:val="0"/>
      <w:autoSpaceDN w:val="0"/>
      <w:adjustRightInd w:val="0"/>
      <w:snapToGrid w:val="0"/>
      <w:jc w:val="right"/>
      <w:rPr>
        <w:noProof/>
        <w:snapToGrid w:val="0"/>
        <w:kern w:val="22"/>
        <w:szCs w:val="22"/>
      </w:rPr>
    </w:pPr>
    <w:r w:rsidRPr="00205909">
      <w:rPr>
        <w:noProof/>
        <w:snapToGrid w:val="0"/>
        <w:kern w:val="22"/>
        <w:szCs w:val="22"/>
      </w:rPr>
      <w:t>CBD/</w:t>
    </w:r>
    <w:r>
      <w:rPr>
        <w:noProof/>
        <w:snapToGrid w:val="0"/>
        <w:kern w:val="22"/>
        <w:szCs w:val="22"/>
      </w:rPr>
      <w:t>SBI</w:t>
    </w:r>
    <w:r w:rsidRPr="00205909">
      <w:rPr>
        <w:noProof/>
        <w:snapToGrid w:val="0"/>
        <w:kern w:val="22"/>
        <w:szCs w:val="22"/>
      </w:rPr>
      <w:t>/</w:t>
    </w:r>
    <w:r>
      <w:rPr>
        <w:noProof/>
        <w:snapToGrid w:val="0"/>
        <w:kern w:val="22"/>
        <w:szCs w:val="22"/>
      </w:rPr>
      <w:t>2/7/Add.1</w:t>
    </w:r>
  </w:p>
  <w:p w:rsidR="00AA44FD" w:rsidRPr="00EC739E" w:rsidRDefault="00AA44FD" w:rsidP="00227B47">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rPr>
    </w:pPr>
    <w:r w:rsidRPr="00EC739E">
      <w:rPr>
        <w:noProof/>
        <w:snapToGrid w:val="0"/>
        <w:kern w:val="22"/>
      </w:rPr>
      <w:t>P</w:t>
    </w:r>
    <w:r>
      <w:rPr>
        <w:noProof/>
        <w:snapToGrid w:val="0"/>
        <w:kern w:val="22"/>
      </w:rPr>
      <w:t>ágina</w:t>
    </w:r>
    <w:r w:rsidRPr="00EC739E">
      <w:rPr>
        <w:noProof/>
        <w:snapToGrid w:val="0"/>
        <w:kern w:val="22"/>
      </w:rPr>
      <w:t xml:space="preserve"> </w:t>
    </w:r>
    <w:r w:rsidR="005901AE" w:rsidRPr="00EC739E">
      <w:rPr>
        <w:noProof/>
        <w:snapToGrid w:val="0"/>
        <w:kern w:val="22"/>
      </w:rPr>
      <w:fldChar w:fldCharType="begin"/>
    </w:r>
    <w:r w:rsidRPr="00EC739E">
      <w:rPr>
        <w:noProof/>
        <w:snapToGrid w:val="0"/>
        <w:kern w:val="22"/>
      </w:rPr>
      <w:instrText xml:space="preserve"> PAGE   \* MERGEFORMAT </w:instrText>
    </w:r>
    <w:r w:rsidR="005901AE" w:rsidRPr="00EC739E">
      <w:rPr>
        <w:noProof/>
        <w:snapToGrid w:val="0"/>
        <w:kern w:val="22"/>
      </w:rPr>
      <w:fldChar w:fldCharType="separate"/>
    </w:r>
    <w:r w:rsidR="000D1E7C">
      <w:rPr>
        <w:noProof/>
        <w:snapToGrid w:val="0"/>
        <w:kern w:val="22"/>
      </w:rPr>
      <w:t>15</w:t>
    </w:r>
    <w:r w:rsidR="005901AE" w:rsidRPr="00EC739E">
      <w:rPr>
        <w:noProof/>
        <w:snapToGrid w:val="0"/>
        <w:kern w:val="22"/>
      </w:rPr>
      <w:fldChar w:fldCharType="end"/>
    </w:r>
  </w:p>
  <w:p w:rsidR="00AA44FD" w:rsidRPr="0097545A" w:rsidRDefault="00AA44FD" w:rsidP="00227B47">
    <w:pPr>
      <w:pStyle w:val="Header"/>
      <w:suppressLineNumbers/>
      <w:tabs>
        <w:tab w:val="clear" w:pos="4320"/>
        <w:tab w:val="clear" w:pos="8640"/>
      </w:tabs>
      <w:suppressAutoHyphens/>
      <w:kinsoku w:val="0"/>
      <w:overflowPunct w:val="0"/>
      <w:autoSpaceDE w:val="0"/>
      <w:autoSpaceDN w:val="0"/>
      <w:adjustRightInd w:val="0"/>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7" w:rsidRDefault="00544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7" w:rsidRDefault="00544F77" w:rsidP="00544F77">
    <w:pPr>
      <w:suppressLineNumbers/>
      <w:suppressAutoHyphens/>
      <w:kinsoku w:val="0"/>
      <w:overflowPunct w:val="0"/>
      <w:autoSpaceDE w:val="0"/>
      <w:autoSpaceDN w:val="0"/>
      <w:adjustRightInd w:val="0"/>
      <w:snapToGrid w:val="0"/>
      <w:jc w:val="left"/>
      <w:rPr>
        <w:noProof/>
        <w:snapToGrid w:val="0"/>
        <w:kern w:val="22"/>
        <w:szCs w:val="22"/>
      </w:rPr>
    </w:pPr>
    <w:r w:rsidRPr="00205909">
      <w:rPr>
        <w:noProof/>
        <w:snapToGrid w:val="0"/>
        <w:kern w:val="22"/>
        <w:szCs w:val="22"/>
      </w:rPr>
      <w:t>CBD/</w:t>
    </w:r>
    <w:r>
      <w:rPr>
        <w:noProof/>
        <w:snapToGrid w:val="0"/>
        <w:kern w:val="22"/>
        <w:szCs w:val="22"/>
      </w:rPr>
      <w:t>SBI</w:t>
    </w:r>
    <w:r w:rsidRPr="00205909">
      <w:rPr>
        <w:noProof/>
        <w:snapToGrid w:val="0"/>
        <w:kern w:val="22"/>
        <w:szCs w:val="22"/>
      </w:rPr>
      <w:t>/</w:t>
    </w:r>
    <w:r>
      <w:rPr>
        <w:noProof/>
        <w:snapToGrid w:val="0"/>
        <w:kern w:val="22"/>
        <w:szCs w:val="22"/>
      </w:rPr>
      <w:t>2/7/Add.1</w:t>
    </w:r>
  </w:p>
  <w:p w:rsidR="00544F77" w:rsidRPr="00544F77" w:rsidRDefault="00544F77" w:rsidP="00544F77">
    <w:pPr>
      <w:suppressLineNumbers/>
      <w:suppressAutoHyphens/>
      <w:kinsoku w:val="0"/>
      <w:overflowPunct w:val="0"/>
      <w:autoSpaceDE w:val="0"/>
      <w:autoSpaceDN w:val="0"/>
      <w:adjustRightInd w:val="0"/>
      <w:snapToGrid w:val="0"/>
      <w:jc w:val="left"/>
      <w:rPr>
        <w:noProof/>
        <w:snapToGrid w:val="0"/>
        <w:kern w:val="22"/>
        <w:szCs w:val="22"/>
      </w:rPr>
    </w:pPr>
    <w:r w:rsidRPr="00EC739E">
      <w:rPr>
        <w:noProof/>
        <w:snapToGrid w:val="0"/>
        <w:kern w:val="22"/>
      </w:rPr>
      <w:t>P</w:t>
    </w:r>
    <w:r>
      <w:rPr>
        <w:noProof/>
        <w:snapToGrid w:val="0"/>
        <w:kern w:val="22"/>
      </w:rPr>
      <w:t>ágina</w:t>
    </w:r>
    <w:r w:rsidRPr="00EC739E">
      <w:rPr>
        <w:noProof/>
        <w:snapToGrid w:val="0"/>
        <w:kern w:val="22"/>
      </w:rPr>
      <w:t xml:space="preserve"> </w:t>
    </w:r>
    <w:r w:rsidRPr="00EC739E">
      <w:rPr>
        <w:noProof/>
        <w:snapToGrid w:val="0"/>
        <w:kern w:val="22"/>
      </w:rPr>
      <w:fldChar w:fldCharType="begin"/>
    </w:r>
    <w:r w:rsidRPr="00EC739E">
      <w:rPr>
        <w:noProof/>
        <w:snapToGrid w:val="0"/>
        <w:kern w:val="22"/>
      </w:rPr>
      <w:instrText xml:space="preserve"> PAGE   \* MERGEFORMAT </w:instrText>
    </w:r>
    <w:r w:rsidRPr="00EC739E">
      <w:rPr>
        <w:noProof/>
        <w:snapToGrid w:val="0"/>
        <w:kern w:val="22"/>
      </w:rPr>
      <w:fldChar w:fldCharType="separate"/>
    </w:r>
    <w:r w:rsidR="000D1E7C">
      <w:rPr>
        <w:noProof/>
        <w:snapToGrid w:val="0"/>
        <w:kern w:val="22"/>
      </w:rPr>
      <w:t>16</w:t>
    </w:r>
    <w:r w:rsidRPr="00EC739E">
      <w:rPr>
        <w:noProof/>
        <w:snapToGrid w:val="0"/>
        <w:kern w:val="22"/>
      </w:rPr>
      <w:fldChar w:fldCharType="end"/>
    </w:r>
  </w:p>
  <w:p w:rsidR="00AA44FD" w:rsidRPr="00544F77" w:rsidRDefault="00AA44FD" w:rsidP="00544F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D" w:rsidRPr="0097545A" w:rsidRDefault="00AA44FD" w:rsidP="000B2C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1A2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4D2D"/>
    <w:multiLevelType w:val="hybridMultilevel"/>
    <w:tmpl w:val="242618B2"/>
    <w:lvl w:ilvl="0" w:tplc="42E24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BA0D40"/>
    <w:multiLevelType w:val="hybridMultilevel"/>
    <w:tmpl w:val="541E5E6A"/>
    <w:lvl w:ilvl="0" w:tplc="0409000F">
      <w:start w:val="1"/>
      <w:numFmt w:val="decimal"/>
      <w:lvlText w:val="%1."/>
      <w:lvlJc w:val="left"/>
      <w:pPr>
        <w:ind w:left="720" w:hanging="360"/>
      </w:pPr>
    </w:lvl>
    <w:lvl w:ilvl="1" w:tplc="0C0A0017">
      <w:start w:val="1"/>
      <w:numFmt w:val="lowerLetter"/>
      <w:lvlText w:val="%2)"/>
      <w:lvlJc w:val="left"/>
      <w:pPr>
        <w:ind w:left="1440" w:hanging="360"/>
      </w:pPr>
      <w:rPr>
        <w:rFonts w:hint="default"/>
        <w:lang w:val="es-E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06FB8"/>
    <w:multiLevelType w:val="hybridMultilevel"/>
    <w:tmpl w:val="7E4A4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02F3E"/>
    <w:multiLevelType w:val="hybridMultilevel"/>
    <w:tmpl w:val="31F27B6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0D3134EC"/>
    <w:multiLevelType w:val="hybridMultilevel"/>
    <w:tmpl w:val="21AC0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C053DC"/>
    <w:multiLevelType w:val="hybridMultilevel"/>
    <w:tmpl w:val="6D0CD306"/>
    <w:lvl w:ilvl="0" w:tplc="0C0A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E27066"/>
    <w:multiLevelType w:val="hybridMultilevel"/>
    <w:tmpl w:val="1D12A2C4"/>
    <w:lvl w:ilvl="0" w:tplc="F51A669E">
      <w:start w:val="3"/>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05D9C"/>
    <w:multiLevelType w:val="hybridMultilevel"/>
    <w:tmpl w:val="C402F2F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D4882"/>
    <w:multiLevelType w:val="hybridMultilevel"/>
    <w:tmpl w:val="F2E6E6D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5E503D2"/>
    <w:multiLevelType w:val="hybridMultilevel"/>
    <w:tmpl w:val="DD78D35A"/>
    <w:lvl w:ilvl="0" w:tplc="0409000F">
      <w:start w:val="1"/>
      <w:numFmt w:val="decimal"/>
      <w:lvlText w:val="%1."/>
      <w:lvlJc w:val="left"/>
      <w:pPr>
        <w:ind w:left="720" w:hanging="360"/>
      </w:pPr>
    </w:lvl>
    <w:lvl w:ilvl="1" w:tplc="0C0A0017">
      <w:start w:val="1"/>
      <w:numFmt w:val="lowerLetter"/>
      <w:lvlText w:val="%2)"/>
      <w:lvlJc w:val="left"/>
      <w:pPr>
        <w:ind w:left="1440" w:hanging="360"/>
      </w:pPr>
      <w:rPr>
        <w:rFonts w:hint="default"/>
        <w:lang w:val="es-E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D964A0"/>
    <w:multiLevelType w:val="hybridMultilevel"/>
    <w:tmpl w:val="101C7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45020C"/>
    <w:multiLevelType w:val="hybridMultilevel"/>
    <w:tmpl w:val="409C3080"/>
    <w:lvl w:ilvl="0" w:tplc="04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8BF3B90"/>
    <w:multiLevelType w:val="hybridMultilevel"/>
    <w:tmpl w:val="88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B0A303F"/>
    <w:multiLevelType w:val="hybridMultilevel"/>
    <w:tmpl w:val="1C80AE6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4" w15:restartNumberingAfterBreak="0">
    <w:nsid w:val="3EF63425"/>
    <w:multiLevelType w:val="hybridMultilevel"/>
    <w:tmpl w:val="CAEE9DD2"/>
    <w:lvl w:ilvl="0" w:tplc="0409000F">
      <w:start w:val="1"/>
      <w:numFmt w:val="decimal"/>
      <w:lvlText w:val="%1."/>
      <w:lvlJc w:val="left"/>
      <w:pPr>
        <w:ind w:left="720" w:hanging="360"/>
      </w:pPr>
    </w:lvl>
    <w:lvl w:ilvl="1" w:tplc="45C2876C">
      <w:start w:val="1"/>
      <w:numFmt w:val="lowerLetter"/>
      <w:lvlText w:val="%2)"/>
      <w:lvlJc w:val="left"/>
      <w:pPr>
        <w:ind w:left="1440" w:hanging="360"/>
      </w:pPr>
      <w:rPr>
        <w:rFonts w:hint="default"/>
        <w:b w:val="0"/>
        <w:color w:val="auto"/>
        <w:sz w:val="22"/>
        <w:szCs w:val="22"/>
        <w:lang w:val="es-E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CC7FBB"/>
    <w:multiLevelType w:val="hybridMultilevel"/>
    <w:tmpl w:val="ECE6F47A"/>
    <w:lvl w:ilvl="0" w:tplc="251A987C">
      <w:start w:val="1"/>
      <w:numFmt w:val="lowerLetter"/>
      <w:lvlText w:val="%1)"/>
      <w:lvlJc w:val="left"/>
      <w:pPr>
        <w:tabs>
          <w:tab w:val="num" w:pos="1080"/>
        </w:tabs>
        <w:ind w:left="1080" w:hanging="360"/>
      </w:pPr>
      <w:rPr>
        <w:rFonts w:hint="default"/>
        <w:b w:val="0"/>
        <w:i w:val="0"/>
        <w:lang w:val="es-E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5371F"/>
    <w:multiLevelType w:val="hybridMultilevel"/>
    <w:tmpl w:val="07BC2542"/>
    <w:lvl w:ilvl="0" w:tplc="0409000F">
      <w:start w:val="1"/>
      <w:numFmt w:val="decimal"/>
      <w:lvlText w:val="%1."/>
      <w:lvlJc w:val="left"/>
      <w:pPr>
        <w:ind w:left="720" w:hanging="360"/>
      </w:pPr>
    </w:lvl>
    <w:lvl w:ilvl="1" w:tplc="A752A678">
      <w:start w:val="1"/>
      <w:numFmt w:val="lowerLetter"/>
      <w:lvlText w:val="%2)"/>
      <w:lvlJc w:val="left"/>
      <w:pPr>
        <w:ind w:left="1440" w:hanging="360"/>
      </w:pPr>
      <w:rPr>
        <w:rFonts w:hint="default"/>
        <w:b w:val="0"/>
        <w:color w:val="auto"/>
        <w:sz w:val="22"/>
        <w:szCs w:val="22"/>
        <w:lang w:val="es-E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BB4010F"/>
    <w:multiLevelType w:val="hybridMultilevel"/>
    <w:tmpl w:val="0D2491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C7F589D"/>
    <w:multiLevelType w:val="hybridMultilevel"/>
    <w:tmpl w:val="AE8245DC"/>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D479BA"/>
    <w:multiLevelType w:val="hybridMultilevel"/>
    <w:tmpl w:val="5922C55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AC1F28"/>
    <w:multiLevelType w:val="hybridMultilevel"/>
    <w:tmpl w:val="D916BF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95096"/>
    <w:multiLevelType w:val="hybridMultilevel"/>
    <w:tmpl w:val="B55C20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0A4687"/>
    <w:multiLevelType w:val="hybridMultilevel"/>
    <w:tmpl w:val="EB56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66623"/>
    <w:multiLevelType w:val="hybridMultilevel"/>
    <w:tmpl w:val="58A07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15:restartNumberingAfterBreak="0">
    <w:nsid w:val="654F5AA8"/>
    <w:multiLevelType w:val="hybridMultilevel"/>
    <w:tmpl w:val="5CC68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74A512F"/>
    <w:multiLevelType w:val="hybridMultilevel"/>
    <w:tmpl w:val="74C2DA8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A32E99"/>
    <w:multiLevelType w:val="hybridMultilevel"/>
    <w:tmpl w:val="E4EA98C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1D5CC8"/>
    <w:multiLevelType w:val="hybridMultilevel"/>
    <w:tmpl w:val="7DE66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E7F5907"/>
    <w:multiLevelType w:val="hybridMultilevel"/>
    <w:tmpl w:val="56CADB4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3D20EE"/>
    <w:multiLevelType w:val="hybridMultilevel"/>
    <w:tmpl w:val="9F6A550C"/>
    <w:lvl w:ilvl="0" w:tplc="04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860CE6"/>
    <w:multiLevelType w:val="hybridMultilevel"/>
    <w:tmpl w:val="7F86BC3E"/>
    <w:lvl w:ilvl="0" w:tplc="04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8E42F6"/>
    <w:multiLevelType w:val="hybridMultilevel"/>
    <w:tmpl w:val="7012F9C4"/>
    <w:lvl w:ilvl="0" w:tplc="27D45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240CE"/>
    <w:multiLevelType w:val="multilevel"/>
    <w:tmpl w:val="5F0A65BC"/>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5"/>
  </w:num>
  <w:num w:numId="4">
    <w:abstractNumId w:val="31"/>
  </w:num>
  <w:num w:numId="5">
    <w:abstractNumId w:val="26"/>
  </w:num>
  <w:num w:numId="6">
    <w:abstractNumId w:val="5"/>
  </w:num>
  <w:num w:numId="7">
    <w:abstractNumId w:val="10"/>
  </w:num>
  <w:num w:numId="8">
    <w:abstractNumId w:val="25"/>
    <w:lvlOverride w:ilvl="0">
      <w:startOverride w:val="1"/>
    </w:lvlOverride>
  </w:num>
  <w:num w:numId="9">
    <w:abstractNumId w:val="47"/>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9"/>
  </w:num>
  <w:num w:numId="15">
    <w:abstractNumId w:val="35"/>
  </w:num>
  <w:num w:numId="16">
    <w:abstractNumId w:val="6"/>
  </w:num>
  <w:num w:numId="17">
    <w:abstractNumId w:val="51"/>
  </w:num>
  <w:num w:numId="18">
    <w:abstractNumId w:val="53"/>
  </w:num>
  <w:num w:numId="19">
    <w:abstractNumId w:val="18"/>
  </w:num>
  <w:num w:numId="20">
    <w:abstractNumId w:val="28"/>
  </w:num>
  <w:num w:numId="21">
    <w:abstractNumId w:val="7"/>
  </w:num>
  <w:num w:numId="22">
    <w:abstractNumId w:val="41"/>
  </w:num>
  <w:num w:numId="23">
    <w:abstractNumId w:val="33"/>
  </w:num>
  <w:num w:numId="24">
    <w:abstractNumId w:val="21"/>
  </w:num>
  <w:num w:numId="25">
    <w:abstractNumId w:val="23"/>
  </w:num>
  <w:num w:numId="26">
    <w:abstractNumId w:val="37"/>
  </w:num>
  <w:num w:numId="27">
    <w:abstractNumId w:val="15"/>
  </w:num>
  <w:num w:numId="28">
    <w:abstractNumId w:val="11"/>
  </w:num>
  <w:num w:numId="29">
    <w:abstractNumId w:val="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2"/>
  </w:num>
  <w:num w:numId="33">
    <w:abstractNumId w:val="16"/>
  </w:num>
  <w:num w:numId="34">
    <w:abstractNumId w:val="8"/>
  </w:num>
  <w:num w:numId="35">
    <w:abstractNumId w:val="45"/>
  </w:num>
  <w:num w:numId="36">
    <w:abstractNumId w:val="29"/>
  </w:num>
  <w:num w:numId="37">
    <w:abstractNumId w:val="36"/>
  </w:num>
  <w:num w:numId="38">
    <w:abstractNumId w:val="40"/>
  </w:num>
  <w:num w:numId="39">
    <w:abstractNumId w:val="3"/>
  </w:num>
  <w:num w:numId="40">
    <w:abstractNumId w:val="38"/>
  </w:num>
  <w:num w:numId="41">
    <w:abstractNumId w:val="20"/>
  </w:num>
  <w:num w:numId="42">
    <w:abstractNumId w:val="52"/>
  </w:num>
  <w:num w:numId="43">
    <w:abstractNumId w:val="50"/>
  </w:num>
  <w:num w:numId="44">
    <w:abstractNumId w:val="30"/>
  </w:num>
  <w:num w:numId="45">
    <w:abstractNumId w:val="44"/>
  </w:num>
  <w:num w:numId="46">
    <w:abstractNumId w:val="46"/>
  </w:num>
  <w:num w:numId="47">
    <w:abstractNumId w:val="43"/>
  </w:num>
  <w:num w:numId="48">
    <w:abstractNumId w:val="22"/>
  </w:num>
  <w:num w:numId="49">
    <w:abstractNumId w:val="12"/>
  </w:num>
  <w:num w:numId="50">
    <w:abstractNumId w:val="32"/>
  </w:num>
  <w:num w:numId="51">
    <w:abstractNumId w:val="4"/>
  </w:num>
  <w:num w:numId="52">
    <w:abstractNumId w:val="34"/>
  </w:num>
  <w:num w:numId="53">
    <w:abstractNumId w:val="1"/>
  </w:num>
  <w:num w:numId="54">
    <w:abstractNumId w:val="24"/>
  </w:num>
  <w:num w:numId="55">
    <w:abstractNumId w:val="14"/>
  </w:num>
  <w:num w:numId="56">
    <w:abstractNumId w:val="17"/>
  </w:num>
  <w:num w:numId="57">
    <w:abstractNumId w:val="49"/>
  </w:num>
  <w:num w:numId="58">
    <w:abstractNumId w:val="48"/>
  </w:num>
  <w:num w:numId="59">
    <w:abstractNumId w:val="9"/>
  </w:num>
  <w:num w:numId="60">
    <w:abstractNumId w:val="2"/>
  </w:num>
  <w:num w:numId="6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C9161D"/>
    <w:rsid w:val="00001585"/>
    <w:rsid w:val="00004713"/>
    <w:rsid w:val="00004A25"/>
    <w:rsid w:val="00005CEC"/>
    <w:rsid w:val="00006F45"/>
    <w:rsid w:val="0001037F"/>
    <w:rsid w:val="000123F0"/>
    <w:rsid w:val="0002456B"/>
    <w:rsid w:val="00025E31"/>
    <w:rsid w:val="0002739A"/>
    <w:rsid w:val="00066A54"/>
    <w:rsid w:val="00070ECB"/>
    <w:rsid w:val="00073086"/>
    <w:rsid w:val="00090901"/>
    <w:rsid w:val="000A04D6"/>
    <w:rsid w:val="000A2496"/>
    <w:rsid w:val="000A3426"/>
    <w:rsid w:val="000B19B8"/>
    <w:rsid w:val="000B2CC8"/>
    <w:rsid w:val="000C0EE0"/>
    <w:rsid w:val="000D1E7C"/>
    <w:rsid w:val="000D2895"/>
    <w:rsid w:val="000E2A3F"/>
    <w:rsid w:val="000E673A"/>
    <w:rsid w:val="000E6C2F"/>
    <w:rsid w:val="000F50BF"/>
    <w:rsid w:val="000F74F5"/>
    <w:rsid w:val="00101AA6"/>
    <w:rsid w:val="00105372"/>
    <w:rsid w:val="0010668C"/>
    <w:rsid w:val="001075F8"/>
    <w:rsid w:val="00116477"/>
    <w:rsid w:val="0012760C"/>
    <w:rsid w:val="00131E7A"/>
    <w:rsid w:val="001338AF"/>
    <w:rsid w:val="00137EBE"/>
    <w:rsid w:val="00141390"/>
    <w:rsid w:val="00141A7C"/>
    <w:rsid w:val="0014384C"/>
    <w:rsid w:val="0014446D"/>
    <w:rsid w:val="00152D00"/>
    <w:rsid w:val="0015355E"/>
    <w:rsid w:val="0015592C"/>
    <w:rsid w:val="001662BD"/>
    <w:rsid w:val="00166A19"/>
    <w:rsid w:val="00172AF6"/>
    <w:rsid w:val="00176CEE"/>
    <w:rsid w:val="00176EF8"/>
    <w:rsid w:val="001823FA"/>
    <w:rsid w:val="00183204"/>
    <w:rsid w:val="00186DD8"/>
    <w:rsid w:val="00187C8C"/>
    <w:rsid w:val="00196178"/>
    <w:rsid w:val="00197333"/>
    <w:rsid w:val="001A0B39"/>
    <w:rsid w:val="001A256D"/>
    <w:rsid w:val="001A3C49"/>
    <w:rsid w:val="001B4025"/>
    <w:rsid w:val="001B4915"/>
    <w:rsid w:val="001C2C98"/>
    <w:rsid w:val="001C2F9C"/>
    <w:rsid w:val="001C3702"/>
    <w:rsid w:val="001C5053"/>
    <w:rsid w:val="001D471C"/>
    <w:rsid w:val="001E44D7"/>
    <w:rsid w:val="001E4F0A"/>
    <w:rsid w:val="001F0F6E"/>
    <w:rsid w:val="00202616"/>
    <w:rsid w:val="00203E63"/>
    <w:rsid w:val="00204AC6"/>
    <w:rsid w:val="002108AE"/>
    <w:rsid w:val="00211BCD"/>
    <w:rsid w:val="00212214"/>
    <w:rsid w:val="00220282"/>
    <w:rsid w:val="002249B2"/>
    <w:rsid w:val="002254D0"/>
    <w:rsid w:val="00227B47"/>
    <w:rsid w:val="00236FE7"/>
    <w:rsid w:val="00244BC3"/>
    <w:rsid w:val="00250BA1"/>
    <w:rsid w:val="00252908"/>
    <w:rsid w:val="00256AF4"/>
    <w:rsid w:val="002604ED"/>
    <w:rsid w:val="00267803"/>
    <w:rsid w:val="00272CD8"/>
    <w:rsid w:val="00273163"/>
    <w:rsid w:val="00277A1F"/>
    <w:rsid w:val="00283324"/>
    <w:rsid w:val="00293506"/>
    <w:rsid w:val="00295986"/>
    <w:rsid w:val="00297D50"/>
    <w:rsid w:val="002A043C"/>
    <w:rsid w:val="002B4235"/>
    <w:rsid w:val="002B438B"/>
    <w:rsid w:val="002E0BDB"/>
    <w:rsid w:val="002E2B34"/>
    <w:rsid w:val="002F218F"/>
    <w:rsid w:val="002F2321"/>
    <w:rsid w:val="002F7233"/>
    <w:rsid w:val="002F759E"/>
    <w:rsid w:val="00307782"/>
    <w:rsid w:val="00311861"/>
    <w:rsid w:val="00311C50"/>
    <w:rsid w:val="003126EF"/>
    <w:rsid w:val="00313AAF"/>
    <w:rsid w:val="003201E8"/>
    <w:rsid w:val="003221AC"/>
    <w:rsid w:val="00322C3E"/>
    <w:rsid w:val="003424C1"/>
    <w:rsid w:val="00342911"/>
    <w:rsid w:val="003606D4"/>
    <w:rsid w:val="00364731"/>
    <w:rsid w:val="00372F74"/>
    <w:rsid w:val="0037498D"/>
    <w:rsid w:val="00380B58"/>
    <w:rsid w:val="00381C91"/>
    <w:rsid w:val="00384F6F"/>
    <w:rsid w:val="0038666F"/>
    <w:rsid w:val="00386C03"/>
    <w:rsid w:val="00386EB6"/>
    <w:rsid w:val="00394BF3"/>
    <w:rsid w:val="003A3814"/>
    <w:rsid w:val="003A75F7"/>
    <w:rsid w:val="003B4049"/>
    <w:rsid w:val="003B4ECE"/>
    <w:rsid w:val="003B50B8"/>
    <w:rsid w:val="003B6D91"/>
    <w:rsid w:val="003C092C"/>
    <w:rsid w:val="003C45FC"/>
    <w:rsid w:val="003C69DB"/>
    <w:rsid w:val="003D18B6"/>
    <w:rsid w:val="003E5195"/>
    <w:rsid w:val="003F1317"/>
    <w:rsid w:val="003F5E49"/>
    <w:rsid w:val="003F7224"/>
    <w:rsid w:val="00404320"/>
    <w:rsid w:val="0040452E"/>
    <w:rsid w:val="00411CED"/>
    <w:rsid w:val="00413650"/>
    <w:rsid w:val="00413A3A"/>
    <w:rsid w:val="00421394"/>
    <w:rsid w:val="00422E82"/>
    <w:rsid w:val="00425C34"/>
    <w:rsid w:val="00427D21"/>
    <w:rsid w:val="00434BFA"/>
    <w:rsid w:val="004366D9"/>
    <w:rsid w:val="00442524"/>
    <w:rsid w:val="00445B1B"/>
    <w:rsid w:val="00446EE2"/>
    <w:rsid w:val="00451DA9"/>
    <w:rsid w:val="0045382F"/>
    <w:rsid w:val="00453B41"/>
    <w:rsid w:val="004644C2"/>
    <w:rsid w:val="00467F9C"/>
    <w:rsid w:val="00471237"/>
    <w:rsid w:val="00471C1C"/>
    <w:rsid w:val="00475CF8"/>
    <w:rsid w:val="00477A49"/>
    <w:rsid w:val="00485C36"/>
    <w:rsid w:val="00490BF5"/>
    <w:rsid w:val="00497777"/>
    <w:rsid w:val="004A1AC3"/>
    <w:rsid w:val="004A2D2F"/>
    <w:rsid w:val="004C28A2"/>
    <w:rsid w:val="004C29A8"/>
    <w:rsid w:val="004C43D8"/>
    <w:rsid w:val="004C5469"/>
    <w:rsid w:val="004C5A1E"/>
    <w:rsid w:val="004C63E5"/>
    <w:rsid w:val="004D16B1"/>
    <w:rsid w:val="004D61AB"/>
    <w:rsid w:val="004E6B24"/>
    <w:rsid w:val="004F0161"/>
    <w:rsid w:val="00507B62"/>
    <w:rsid w:val="00510A50"/>
    <w:rsid w:val="00513A01"/>
    <w:rsid w:val="00521AEF"/>
    <w:rsid w:val="00531309"/>
    <w:rsid w:val="00531BDC"/>
    <w:rsid w:val="005322FD"/>
    <w:rsid w:val="00534681"/>
    <w:rsid w:val="00544F77"/>
    <w:rsid w:val="00545D3C"/>
    <w:rsid w:val="005504DD"/>
    <w:rsid w:val="00551166"/>
    <w:rsid w:val="00555B30"/>
    <w:rsid w:val="00570CEC"/>
    <w:rsid w:val="00580620"/>
    <w:rsid w:val="00581D98"/>
    <w:rsid w:val="00582004"/>
    <w:rsid w:val="00585436"/>
    <w:rsid w:val="005901AE"/>
    <w:rsid w:val="005A180A"/>
    <w:rsid w:val="005A4DED"/>
    <w:rsid w:val="005B219B"/>
    <w:rsid w:val="005B5422"/>
    <w:rsid w:val="005C0442"/>
    <w:rsid w:val="005D0834"/>
    <w:rsid w:val="005D623C"/>
    <w:rsid w:val="005D777B"/>
    <w:rsid w:val="005E5331"/>
    <w:rsid w:val="0060297F"/>
    <w:rsid w:val="00602AE7"/>
    <w:rsid w:val="00602F63"/>
    <w:rsid w:val="00607AAE"/>
    <w:rsid w:val="006122BA"/>
    <w:rsid w:val="00616006"/>
    <w:rsid w:val="00633939"/>
    <w:rsid w:val="00633E73"/>
    <w:rsid w:val="0063592E"/>
    <w:rsid w:val="006431C7"/>
    <w:rsid w:val="00643B72"/>
    <w:rsid w:val="00643B9C"/>
    <w:rsid w:val="0066672E"/>
    <w:rsid w:val="00666F07"/>
    <w:rsid w:val="0067018B"/>
    <w:rsid w:val="00672459"/>
    <w:rsid w:val="00685D99"/>
    <w:rsid w:val="00686EA3"/>
    <w:rsid w:val="0069084C"/>
    <w:rsid w:val="00693339"/>
    <w:rsid w:val="00695D5B"/>
    <w:rsid w:val="00696CB4"/>
    <w:rsid w:val="00697CFA"/>
    <w:rsid w:val="006A0651"/>
    <w:rsid w:val="006A2E7A"/>
    <w:rsid w:val="006A4DEB"/>
    <w:rsid w:val="006A56DB"/>
    <w:rsid w:val="006B2290"/>
    <w:rsid w:val="006B3BB9"/>
    <w:rsid w:val="006B4F09"/>
    <w:rsid w:val="006C0504"/>
    <w:rsid w:val="006C253F"/>
    <w:rsid w:val="006C526F"/>
    <w:rsid w:val="006C7A96"/>
    <w:rsid w:val="006D2756"/>
    <w:rsid w:val="006D6BB3"/>
    <w:rsid w:val="006E1F37"/>
    <w:rsid w:val="006E604B"/>
    <w:rsid w:val="006F0052"/>
    <w:rsid w:val="006F3E4D"/>
    <w:rsid w:val="006F601C"/>
    <w:rsid w:val="007018DD"/>
    <w:rsid w:val="00701A00"/>
    <w:rsid w:val="00701D1E"/>
    <w:rsid w:val="00705FC5"/>
    <w:rsid w:val="007070D8"/>
    <w:rsid w:val="0071362B"/>
    <w:rsid w:val="00714343"/>
    <w:rsid w:val="007165EF"/>
    <w:rsid w:val="00717D88"/>
    <w:rsid w:val="007220C0"/>
    <w:rsid w:val="00725E7B"/>
    <w:rsid w:val="007263E0"/>
    <w:rsid w:val="00733C17"/>
    <w:rsid w:val="00734B7E"/>
    <w:rsid w:val="00746C06"/>
    <w:rsid w:val="007572D1"/>
    <w:rsid w:val="00764D7A"/>
    <w:rsid w:val="00773AD6"/>
    <w:rsid w:val="007765CC"/>
    <w:rsid w:val="00781E8F"/>
    <w:rsid w:val="0078535F"/>
    <w:rsid w:val="0079417C"/>
    <w:rsid w:val="007942D3"/>
    <w:rsid w:val="00795DD1"/>
    <w:rsid w:val="00796636"/>
    <w:rsid w:val="007B248C"/>
    <w:rsid w:val="007B564E"/>
    <w:rsid w:val="007B6C09"/>
    <w:rsid w:val="007C1AC4"/>
    <w:rsid w:val="007C4C53"/>
    <w:rsid w:val="007C6316"/>
    <w:rsid w:val="007C731D"/>
    <w:rsid w:val="007D1E21"/>
    <w:rsid w:val="007D552D"/>
    <w:rsid w:val="007D5F0B"/>
    <w:rsid w:val="007E09DA"/>
    <w:rsid w:val="007E5F44"/>
    <w:rsid w:val="007F3AB8"/>
    <w:rsid w:val="007F6CCC"/>
    <w:rsid w:val="007F76A5"/>
    <w:rsid w:val="00802D41"/>
    <w:rsid w:val="00804E59"/>
    <w:rsid w:val="0081312F"/>
    <w:rsid w:val="00813797"/>
    <w:rsid w:val="008178B6"/>
    <w:rsid w:val="00822C47"/>
    <w:rsid w:val="008256D9"/>
    <w:rsid w:val="00825783"/>
    <w:rsid w:val="00825C28"/>
    <w:rsid w:val="008357F6"/>
    <w:rsid w:val="0084250B"/>
    <w:rsid w:val="008426CC"/>
    <w:rsid w:val="00842B4E"/>
    <w:rsid w:val="00842E81"/>
    <w:rsid w:val="00852052"/>
    <w:rsid w:val="00854C47"/>
    <w:rsid w:val="00855A78"/>
    <w:rsid w:val="00857A99"/>
    <w:rsid w:val="00860344"/>
    <w:rsid w:val="00865B74"/>
    <w:rsid w:val="00867675"/>
    <w:rsid w:val="00876FB9"/>
    <w:rsid w:val="00884C9A"/>
    <w:rsid w:val="008A6AB5"/>
    <w:rsid w:val="008B7EB1"/>
    <w:rsid w:val="008C10E0"/>
    <w:rsid w:val="008C20AD"/>
    <w:rsid w:val="008C3C9A"/>
    <w:rsid w:val="008C6B01"/>
    <w:rsid w:val="008C753F"/>
    <w:rsid w:val="008C757F"/>
    <w:rsid w:val="008D3231"/>
    <w:rsid w:val="008D520E"/>
    <w:rsid w:val="008E32D2"/>
    <w:rsid w:val="008E3C96"/>
    <w:rsid w:val="008E6462"/>
    <w:rsid w:val="008F0DA6"/>
    <w:rsid w:val="008F2D6F"/>
    <w:rsid w:val="00902CCF"/>
    <w:rsid w:val="00902EEC"/>
    <w:rsid w:val="00905502"/>
    <w:rsid w:val="00906AB6"/>
    <w:rsid w:val="00911DC7"/>
    <w:rsid w:val="00915F09"/>
    <w:rsid w:val="00921B38"/>
    <w:rsid w:val="00927E4F"/>
    <w:rsid w:val="00930BA1"/>
    <w:rsid w:val="0093169E"/>
    <w:rsid w:val="00931FB4"/>
    <w:rsid w:val="00937F36"/>
    <w:rsid w:val="009400A3"/>
    <w:rsid w:val="0094249D"/>
    <w:rsid w:val="00945C21"/>
    <w:rsid w:val="009505C9"/>
    <w:rsid w:val="00953218"/>
    <w:rsid w:val="009569B5"/>
    <w:rsid w:val="00960B03"/>
    <w:rsid w:val="00973309"/>
    <w:rsid w:val="00976A79"/>
    <w:rsid w:val="00981E09"/>
    <w:rsid w:val="0098644E"/>
    <w:rsid w:val="00994F25"/>
    <w:rsid w:val="0099620B"/>
    <w:rsid w:val="009A040E"/>
    <w:rsid w:val="009A168C"/>
    <w:rsid w:val="009A32E3"/>
    <w:rsid w:val="009A44DE"/>
    <w:rsid w:val="009B4266"/>
    <w:rsid w:val="009B4FDC"/>
    <w:rsid w:val="009B504A"/>
    <w:rsid w:val="009C0A8F"/>
    <w:rsid w:val="009C6BD1"/>
    <w:rsid w:val="009D531C"/>
    <w:rsid w:val="009E03A9"/>
    <w:rsid w:val="009E0E92"/>
    <w:rsid w:val="009E3060"/>
    <w:rsid w:val="009E52FF"/>
    <w:rsid w:val="00A026D3"/>
    <w:rsid w:val="00A06AB2"/>
    <w:rsid w:val="00A06B26"/>
    <w:rsid w:val="00A249FC"/>
    <w:rsid w:val="00A27AB9"/>
    <w:rsid w:val="00A355DF"/>
    <w:rsid w:val="00A41C31"/>
    <w:rsid w:val="00A4466B"/>
    <w:rsid w:val="00A44BC3"/>
    <w:rsid w:val="00A5733C"/>
    <w:rsid w:val="00A631E2"/>
    <w:rsid w:val="00A671C8"/>
    <w:rsid w:val="00A7724B"/>
    <w:rsid w:val="00A83BE2"/>
    <w:rsid w:val="00A926F6"/>
    <w:rsid w:val="00AA44FD"/>
    <w:rsid w:val="00AA6109"/>
    <w:rsid w:val="00AA6916"/>
    <w:rsid w:val="00AB18CD"/>
    <w:rsid w:val="00AB3696"/>
    <w:rsid w:val="00AB6A44"/>
    <w:rsid w:val="00AD391B"/>
    <w:rsid w:val="00AD3F09"/>
    <w:rsid w:val="00AE0C7A"/>
    <w:rsid w:val="00AE0E35"/>
    <w:rsid w:val="00AF1737"/>
    <w:rsid w:val="00AF7E4A"/>
    <w:rsid w:val="00B03F19"/>
    <w:rsid w:val="00B04164"/>
    <w:rsid w:val="00B042C0"/>
    <w:rsid w:val="00B066A8"/>
    <w:rsid w:val="00B21CBD"/>
    <w:rsid w:val="00B226C8"/>
    <w:rsid w:val="00B26EB8"/>
    <w:rsid w:val="00B32DCD"/>
    <w:rsid w:val="00B3369F"/>
    <w:rsid w:val="00B34BC8"/>
    <w:rsid w:val="00B35D62"/>
    <w:rsid w:val="00B37AF8"/>
    <w:rsid w:val="00B41CCC"/>
    <w:rsid w:val="00B478E6"/>
    <w:rsid w:val="00B54F05"/>
    <w:rsid w:val="00B60D68"/>
    <w:rsid w:val="00B66899"/>
    <w:rsid w:val="00B75451"/>
    <w:rsid w:val="00B924F5"/>
    <w:rsid w:val="00B93B61"/>
    <w:rsid w:val="00BA1282"/>
    <w:rsid w:val="00BA2125"/>
    <w:rsid w:val="00BA2D37"/>
    <w:rsid w:val="00BA69AB"/>
    <w:rsid w:val="00BB1D6F"/>
    <w:rsid w:val="00BB2C85"/>
    <w:rsid w:val="00BC1543"/>
    <w:rsid w:val="00BC50B6"/>
    <w:rsid w:val="00BC650F"/>
    <w:rsid w:val="00BE436D"/>
    <w:rsid w:val="00BF4519"/>
    <w:rsid w:val="00BF4795"/>
    <w:rsid w:val="00BF575A"/>
    <w:rsid w:val="00C11B1F"/>
    <w:rsid w:val="00C21972"/>
    <w:rsid w:val="00C24472"/>
    <w:rsid w:val="00C32285"/>
    <w:rsid w:val="00C420BD"/>
    <w:rsid w:val="00C435E4"/>
    <w:rsid w:val="00C443BD"/>
    <w:rsid w:val="00C55E16"/>
    <w:rsid w:val="00C62FDB"/>
    <w:rsid w:val="00C70274"/>
    <w:rsid w:val="00C7490A"/>
    <w:rsid w:val="00C778C9"/>
    <w:rsid w:val="00C80DDF"/>
    <w:rsid w:val="00C862ED"/>
    <w:rsid w:val="00C87CFB"/>
    <w:rsid w:val="00C9161D"/>
    <w:rsid w:val="00C91A08"/>
    <w:rsid w:val="00C92E48"/>
    <w:rsid w:val="00CA06D1"/>
    <w:rsid w:val="00CB008B"/>
    <w:rsid w:val="00CB2FE7"/>
    <w:rsid w:val="00CC693C"/>
    <w:rsid w:val="00CD1B81"/>
    <w:rsid w:val="00CD32DB"/>
    <w:rsid w:val="00CD5C7F"/>
    <w:rsid w:val="00CD6F21"/>
    <w:rsid w:val="00CD73FD"/>
    <w:rsid w:val="00CE1A84"/>
    <w:rsid w:val="00CE3B39"/>
    <w:rsid w:val="00CE3F21"/>
    <w:rsid w:val="00CE4171"/>
    <w:rsid w:val="00CE5ADC"/>
    <w:rsid w:val="00CE5FC2"/>
    <w:rsid w:val="00CF0C80"/>
    <w:rsid w:val="00CF0EDD"/>
    <w:rsid w:val="00CF1848"/>
    <w:rsid w:val="00CF2212"/>
    <w:rsid w:val="00CF7E85"/>
    <w:rsid w:val="00D0187E"/>
    <w:rsid w:val="00D11B4F"/>
    <w:rsid w:val="00D11B53"/>
    <w:rsid w:val="00D12044"/>
    <w:rsid w:val="00D163E0"/>
    <w:rsid w:val="00D2310C"/>
    <w:rsid w:val="00D35240"/>
    <w:rsid w:val="00D37B68"/>
    <w:rsid w:val="00D452A7"/>
    <w:rsid w:val="00D478B8"/>
    <w:rsid w:val="00D50EB4"/>
    <w:rsid w:val="00D51E3B"/>
    <w:rsid w:val="00D549C6"/>
    <w:rsid w:val="00D54A77"/>
    <w:rsid w:val="00D567B9"/>
    <w:rsid w:val="00D607F9"/>
    <w:rsid w:val="00D63E0E"/>
    <w:rsid w:val="00D70787"/>
    <w:rsid w:val="00D70BE0"/>
    <w:rsid w:val="00D76A18"/>
    <w:rsid w:val="00D85D63"/>
    <w:rsid w:val="00D878C3"/>
    <w:rsid w:val="00D903C0"/>
    <w:rsid w:val="00D964D8"/>
    <w:rsid w:val="00D97C34"/>
    <w:rsid w:val="00DB4C97"/>
    <w:rsid w:val="00DB7A50"/>
    <w:rsid w:val="00DC0E61"/>
    <w:rsid w:val="00DC332E"/>
    <w:rsid w:val="00DC5794"/>
    <w:rsid w:val="00DC724D"/>
    <w:rsid w:val="00DD118C"/>
    <w:rsid w:val="00DD607C"/>
    <w:rsid w:val="00DE318F"/>
    <w:rsid w:val="00DF113F"/>
    <w:rsid w:val="00DF1913"/>
    <w:rsid w:val="00E00338"/>
    <w:rsid w:val="00E0097D"/>
    <w:rsid w:val="00E01BD4"/>
    <w:rsid w:val="00E0326B"/>
    <w:rsid w:val="00E03CAB"/>
    <w:rsid w:val="00E10FC0"/>
    <w:rsid w:val="00E14896"/>
    <w:rsid w:val="00E16E93"/>
    <w:rsid w:val="00E22473"/>
    <w:rsid w:val="00E24278"/>
    <w:rsid w:val="00E24732"/>
    <w:rsid w:val="00E24B1F"/>
    <w:rsid w:val="00E2779C"/>
    <w:rsid w:val="00E30C71"/>
    <w:rsid w:val="00E41629"/>
    <w:rsid w:val="00E461D9"/>
    <w:rsid w:val="00E51911"/>
    <w:rsid w:val="00E66235"/>
    <w:rsid w:val="00E66909"/>
    <w:rsid w:val="00E76BE1"/>
    <w:rsid w:val="00E77C8F"/>
    <w:rsid w:val="00E77F6C"/>
    <w:rsid w:val="00E801D7"/>
    <w:rsid w:val="00E83C24"/>
    <w:rsid w:val="00E910EA"/>
    <w:rsid w:val="00E9318D"/>
    <w:rsid w:val="00E93C38"/>
    <w:rsid w:val="00EA2E0F"/>
    <w:rsid w:val="00EA492F"/>
    <w:rsid w:val="00EA6DBA"/>
    <w:rsid w:val="00EA784D"/>
    <w:rsid w:val="00EB0989"/>
    <w:rsid w:val="00EB3581"/>
    <w:rsid w:val="00EC1A88"/>
    <w:rsid w:val="00ED6C99"/>
    <w:rsid w:val="00EE745C"/>
    <w:rsid w:val="00EE7CF4"/>
    <w:rsid w:val="00EF45B2"/>
    <w:rsid w:val="00F036D5"/>
    <w:rsid w:val="00F0395B"/>
    <w:rsid w:val="00F0441F"/>
    <w:rsid w:val="00F0474D"/>
    <w:rsid w:val="00F07290"/>
    <w:rsid w:val="00F256F5"/>
    <w:rsid w:val="00F30F88"/>
    <w:rsid w:val="00F326CC"/>
    <w:rsid w:val="00F32ECA"/>
    <w:rsid w:val="00F4361B"/>
    <w:rsid w:val="00F4504F"/>
    <w:rsid w:val="00F47C0B"/>
    <w:rsid w:val="00F51EA3"/>
    <w:rsid w:val="00F76916"/>
    <w:rsid w:val="00F76EEA"/>
    <w:rsid w:val="00F83AB4"/>
    <w:rsid w:val="00F87C68"/>
    <w:rsid w:val="00F94774"/>
    <w:rsid w:val="00F9637C"/>
    <w:rsid w:val="00F96511"/>
    <w:rsid w:val="00FA3643"/>
    <w:rsid w:val="00FA4529"/>
    <w:rsid w:val="00FB0270"/>
    <w:rsid w:val="00FB4DC6"/>
    <w:rsid w:val="00FC39E4"/>
    <w:rsid w:val="00FC53DB"/>
    <w:rsid w:val="00FE0820"/>
    <w:rsid w:val="00FE3976"/>
    <w:rsid w:val="00FF343A"/>
    <w:rsid w:val="00FF546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5F5773"/>
  <w15:docId w15:val="{EF6B94D8-CA9A-49FE-991C-50A151E6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BodyText2">
    <w:name w:val="Body Text 2"/>
    <w:basedOn w:val="Normal"/>
    <w:link w:val="BodyText2Char"/>
    <w:rsid w:val="00855A78"/>
    <w:rPr>
      <w:rFonts w:eastAsia="MS Mincho" w:cs="Angsana New"/>
      <w:i/>
      <w:iCs/>
    </w:rPr>
  </w:style>
  <w:style w:type="character" w:customStyle="1" w:styleId="BodyText2Char">
    <w:name w:val="Body Text 2 Char"/>
    <w:basedOn w:val="DefaultParagraphFont"/>
    <w:link w:val="BodyText2"/>
    <w:rsid w:val="00855A78"/>
    <w:rPr>
      <w:rFonts w:ascii="Times New Roman" w:eastAsia="MS Mincho" w:hAnsi="Times New Roman" w:cs="Angsana New"/>
      <w:i/>
      <w:iCs/>
      <w:sz w:val="22"/>
      <w:lang w:val="en-GB"/>
    </w:rPr>
  </w:style>
  <w:style w:type="paragraph" w:styleId="BodyText3">
    <w:name w:val="Body Text 3"/>
    <w:basedOn w:val="Normal"/>
    <w:link w:val="BodyText3Char"/>
    <w:rsid w:val="00855A78"/>
    <w:pPr>
      <w:jc w:val="center"/>
    </w:pPr>
    <w:rPr>
      <w:rFonts w:eastAsia="MS Mincho" w:cs="Angsana New"/>
      <w:sz w:val="28"/>
    </w:rPr>
  </w:style>
  <w:style w:type="character" w:customStyle="1" w:styleId="BodyText3Char">
    <w:name w:val="Body Text 3 Char"/>
    <w:basedOn w:val="DefaultParagraphFont"/>
    <w:link w:val="BodyText3"/>
    <w:rsid w:val="00855A78"/>
    <w:rPr>
      <w:rFonts w:ascii="Times New Roman" w:eastAsia="MS Mincho" w:hAnsi="Times New Roman" w:cs="Angsana New"/>
      <w:sz w:val="28"/>
      <w:lang w:val="en-GB"/>
    </w:rPr>
  </w:style>
  <w:style w:type="paragraph" w:styleId="BodyTextIndent2">
    <w:name w:val="Body Text Indent 2"/>
    <w:basedOn w:val="Normal"/>
    <w:link w:val="BodyTextIndent2Char"/>
    <w:rsid w:val="00855A78"/>
    <w:pPr>
      <w:ind w:firstLine="720"/>
    </w:pPr>
    <w:rPr>
      <w:rFonts w:eastAsia="MS Mincho" w:cs="Angsana New"/>
    </w:rPr>
  </w:style>
  <w:style w:type="character" w:customStyle="1" w:styleId="BodyTextIndent2Char">
    <w:name w:val="Body Text Indent 2 Char"/>
    <w:basedOn w:val="DefaultParagraphFont"/>
    <w:link w:val="BodyTextIndent2"/>
    <w:rsid w:val="00855A78"/>
    <w:rPr>
      <w:rFonts w:ascii="Times New Roman" w:eastAsia="MS Mincho" w:hAnsi="Times New Roman" w:cs="Angsana New"/>
      <w:sz w:val="22"/>
      <w:lang w:val="en-GB"/>
    </w:rPr>
  </w:style>
  <w:style w:type="paragraph" w:styleId="BodyTextIndent3">
    <w:name w:val="Body Text Indent 3"/>
    <w:basedOn w:val="Normal"/>
    <w:link w:val="BodyTextIndent3Char"/>
    <w:rsid w:val="00855A7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855A78"/>
    <w:rPr>
      <w:rFonts w:ascii="Courier" w:eastAsia="MS Mincho" w:hAnsi="Courier" w:cs="Angsana New"/>
      <w:sz w:val="20"/>
      <w:lang w:val="en-GB"/>
    </w:rPr>
  </w:style>
  <w:style w:type="paragraph" w:customStyle="1" w:styleId="BodyText21">
    <w:name w:val="Body Text 21"/>
    <w:basedOn w:val="Normal"/>
    <w:rsid w:val="00855A78"/>
    <w:rPr>
      <w:rFonts w:eastAsia="MS Mincho" w:cs="Angsana New"/>
    </w:rPr>
  </w:style>
  <w:style w:type="paragraph" w:styleId="BlockText">
    <w:name w:val="Block Text"/>
    <w:basedOn w:val="Normal"/>
    <w:rsid w:val="00855A7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855A78"/>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855A7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855A78"/>
    <w:rPr>
      <w:rFonts w:ascii="Tahoma" w:eastAsia="MS Mincho" w:hAnsi="Tahoma" w:cs="Angsana New"/>
      <w:sz w:val="22"/>
      <w:shd w:val="clear" w:color="auto" w:fill="000080"/>
      <w:lang w:val="en-GB"/>
    </w:rPr>
  </w:style>
  <w:style w:type="paragraph" w:customStyle="1" w:styleId="para2">
    <w:name w:val="para2"/>
    <w:basedOn w:val="Normal"/>
    <w:rsid w:val="00855A78"/>
    <w:pPr>
      <w:numPr>
        <w:numId w:val="24"/>
      </w:numPr>
      <w:spacing w:before="120" w:after="120"/>
    </w:pPr>
    <w:rPr>
      <w:rFonts w:eastAsia="MS Mincho" w:cs="Angsana New"/>
      <w:szCs w:val="20"/>
    </w:rPr>
  </w:style>
  <w:style w:type="paragraph" w:customStyle="1" w:styleId="Heading2-center">
    <w:name w:val="Heading 2-center"/>
    <w:basedOn w:val="Heading2"/>
    <w:rsid w:val="00855A78"/>
    <w:rPr>
      <w:rFonts w:eastAsia="MS Mincho" w:cs="Angsana New"/>
    </w:rPr>
  </w:style>
  <w:style w:type="paragraph" w:styleId="PlainText">
    <w:name w:val="Plain Text"/>
    <w:basedOn w:val="Normal"/>
    <w:link w:val="PlainTextChar"/>
    <w:uiPriority w:val="99"/>
    <w:rsid w:val="00855A78"/>
    <w:rPr>
      <w:rFonts w:ascii="Courier New" w:eastAsia="MS Mincho" w:hAnsi="Courier New"/>
      <w:sz w:val="20"/>
    </w:rPr>
  </w:style>
  <w:style w:type="character" w:customStyle="1" w:styleId="PlainTextChar">
    <w:name w:val="Plain Text Char"/>
    <w:basedOn w:val="DefaultParagraphFont"/>
    <w:link w:val="PlainText"/>
    <w:uiPriority w:val="99"/>
    <w:rsid w:val="00855A78"/>
    <w:rPr>
      <w:rFonts w:ascii="Courier New" w:eastAsia="MS Mincho" w:hAnsi="Courier New" w:cs="Times New Roman"/>
      <w:sz w:val="20"/>
    </w:rPr>
  </w:style>
  <w:style w:type="paragraph" w:customStyle="1" w:styleId="xl24">
    <w:name w:val="xl24"/>
    <w:basedOn w:val="Normal"/>
    <w:rsid w:val="00855A78"/>
    <w:pPr>
      <w:spacing w:before="100" w:beforeAutospacing="1" w:after="100" w:afterAutospacing="1"/>
    </w:pPr>
    <w:rPr>
      <w:rFonts w:eastAsia="Arial Unicode MS" w:cs="Angsana New"/>
      <w:b/>
      <w:bCs/>
      <w:szCs w:val="22"/>
    </w:rPr>
  </w:style>
  <w:style w:type="paragraph" w:customStyle="1" w:styleId="xl25">
    <w:name w:val="xl25"/>
    <w:basedOn w:val="Normal"/>
    <w:rsid w:val="00855A78"/>
    <w:pPr>
      <w:spacing w:before="100" w:beforeAutospacing="1" w:after="100" w:afterAutospacing="1"/>
    </w:pPr>
    <w:rPr>
      <w:rFonts w:eastAsia="Arial Unicode MS" w:cs="Angsana New"/>
      <w:b/>
      <w:bCs/>
      <w:szCs w:val="22"/>
    </w:rPr>
  </w:style>
  <w:style w:type="paragraph" w:customStyle="1" w:styleId="xl26">
    <w:name w:val="xl26"/>
    <w:basedOn w:val="Normal"/>
    <w:rsid w:val="00855A78"/>
    <w:pPr>
      <w:spacing w:before="100" w:beforeAutospacing="1" w:after="100" w:afterAutospacing="1"/>
      <w:jc w:val="center"/>
    </w:pPr>
    <w:rPr>
      <w:rFonts w:eastAsia="Arial Unicode MS" w:cs="Angsana New"/>
      <w:b/>
      <w:bCs/>
      <w:szCs w:val="22"/>
    </w:rPr>
  </w:style>
  <w:style w:type="paragraph" w:customStyle="1" w:styleId="xl27">
    <w:name w:val="xl27"/>
    <w:basedOn w:val="Normal"/>
    <w:rsid w:val="00855A7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855A7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855A7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855A7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855A7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855A7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855A7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855A7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855A7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855A7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855A7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855A7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855A78"/>
    <w:pPr>
      <w:spacing w:before="100" w:beforeAutospacing="1" w:after="100" w:afterAutospacing="1"/>
      <w:textAlignment w:val="top"/>
    </w:pPr>
    <w:rPr>
      <w:rFonts w:eastAsia="Arial Unicode MS" w:cs="Angsana New"/>
      <w:szCs w:val="22"/>
    </w:rPr>
  </w:style>
  <w:style w:type="paragraph" w:customStyle="1" w:styleId="xl42">
    <w:name w:val="xl42"/>
    <w:basedOn w:val="Normal"/>
    <w:rsid w:val="00855A78"/>
    <w:pPr>
      <w:spacing w:before="100" w:beforeAutospacing="1" w:after="100" w:afterAutospacing="1"/>
      <w:jc w:val="center"/>
    </w:pPr>
    <w:rPr>
      <w:rFonts w:eastAsia="Arial Unicode MS" w:cs="Angsana New"/>
      <w:szCs w:val="22"/>
    </w:rPr>
  </w:style>
  <w:style w:type="paragraph" w:customStyle="1" w:styleId="xl43">
    <w:name w:val="xl43"/>
    <w:basedOn w:val="Normal"/>
    <w:rsid w:val="00855A7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855A7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855A7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855A7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855A7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855A7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855A7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855A7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855A7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855A7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855A78"/>
    <w:pPr>
      <w:spacing w:before="100" w:beforeAutospacing="1" w:after="100" w:afterAutospacing="1"/>
    </w:pPr>
    <w:rPr>
      <w:rFonts w:eastAsia="Arial Unicode MS" w:cs="Angsana New"/>
      <w:szCs w:val="22"/>
    </w:rPr>
  </w:style>
  <w:style w:type="paragraph" w:customStyle="1" w:styleId="xl57">
    <w:name w:val="xl57"/>
    <w:basedOn w:val="Normal"/>
    <w:rsid w:val="00855A7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855A7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855A7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855A7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855A7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855A7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855A7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855A7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855A7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855A7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855A7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855A78"/>
    <w:pPr>
      <w:widowControl w:val="0"/>
      <w:tabs>
        <w:tab w:val="left" w:pos="720"/>
      </w:tabs>
      <w:spacing w:before="120" w:after="120"/>
    </w:pPr>
    <w:rPr>
      <w:rFonts w:eastAsia="MS Mincho" w:cs="Angsana New"/>
    </w:rPr>
  </w:style>
  <w:style w:type="paragraph" w:styleId="NormalWeb">
    <w:name w:val="Normal (Web)"/>
    <w:basedOn w:val="Normal"/>
    <w:uiPriority w:val="99"/>
    <w:rsid w:val="00855A7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855A7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855A78"/>
    <w:rPr>
      <w:b/>
      <w:bCs/>
    </w:rPr>
  </w:style>
  <w:style w:type="paragraph" w:customStyle="1" w:styleId="Para10">
    <w:name w:val="Para 1"/>
    <w:basedOn w:val="BodyText"/>
    <w:rsid w:val="00855A78"/>
    <w:pPr>
      <w:ind w:firstLine="0"/>
    </w:pPr>
    <w:rPr>
      <w:rFonts w:eastAsia="MS Mincho" w:cs="Angsana New"/>
      <w:bCs/>
      <w:iCs w:val="0"/>
      <w:szCs w:val="22"/>
    </w:rPr>
  </w:style>
  <w:style w:type="paragraph" w:customStyle="1" w:styleId="Style1">
    <w:name w:val="Style1"/>
    <w:basedOn w:val="Para10"/>
    <w:rsid w:val="00855A78"/>
    <w:pPr>
      <w:numPr>
        <w:ilvl w:val="1"/>
        <w:numId w:val="20"/>
      </w:numPr>
      <w:tabs>
        <w:tab w:val="clear" w:pos="1800"/>
        <w:tab w:val="num" w:pos="360"/>
      </w:tabs>
    </w:pPr>
  </w:style>
  <w:style w:type="paragraph" w:customStyle="1" w:styleId="aident">
    <w:name w:val="(a) ident"/>
    <w:basedOn w:val="Normal"/>
    <w:rsid w:val="00855A7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855A78"/>
    <w:pPr>
      <w:numPr>
        <w:numId w:val="25"/>
      </w:numPr>
      <w:spacing w:before="0" w:line="240" w:lineRule="exact"/>
    </w:pPr>
    <w:rPr>
      <w:rFonts w:eastAsia="MS Mincho" w:cs="Angsana New"/>
      <w:snapToGrid/>
      <w:szCs w:val="20"/>
      <w:lang w:val="en-US"/>
    </w:rPr>
  </w:style>
  <w:style w:type="paragraph" w:customStyle="1" w:styleId="Document1">
    <w:name w:val="Document 1"/>
    <w:basedOn w:val="Normal"/>
    <w:next w:val="Normal"/>
    <w:rsid w:val="00855A7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855A7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855A7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855A7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855A7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855A7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85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855A78"/>
    <w:rPr>
      <w:rFonts w:ascii="Courier New" w:eastAsia="MS Mincho" w:hAnsi="Courier New" w:cs="Courier New"/>
      <w:sz w:val="20"/>
      <w:lang w:val="en-GB"/>
    </w:rPr>
  </w:style>
  <w:style w:type="paragraph" w:customStyle="1" w:styleId="Para1alternative">
    <w:name w:val="Para1 (alternative)"/>
    <w:basedOn w:val="Normal"/>
    <w:rsid w:val="00855A78"/>
    <w:pPr>
      <w:numPr>
        <w:numId w:val="21"/>
      </w:numPr>
      <w:spacing w:before="120" w:after="120"/>
    </w:pPr>
    <w:rPr>
      <w:rFonts w:eastAsia="MS Mincho" w:cs="Angsana New"/>
      <w:snapToGrid w:val="0"/>
      <w:szCs w:val="18"/>
    </w:rPr>
  </w:style>
  <w:style w:type="paragraph" w:customStyle="1" w:styleId="MainParanoChapter">
    <w:name w:val="Main Para no Chapter #"/>
    <w:basedOn w:val="Normal"/>
    <w:rsid w:val="00855A7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855A78"/>
    <w:rPr>
      <w:rFonts w:ascii="Arial" w:hAnsi="Arial" w:cs="Arial" w:hint="default"/>
      <w:b w:val="0"/>
      <w:bCs w:val="0"/>
      <w:color w:val="000000"/>
      <w:sz w:val="24"/>
      <w:szCs w:val="24"/>
    </w:rPr>
  </w:style>
  <w:style w:type="character" w:customStyle="1" w:styleId="BodyText2CharCharChar">
    <w:name w:val="Body Text 2 Char Char Char"/>
    <w:rsid w:val="00855A7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855A78"/>
    <w:rPr>
      <w:sz w:val="22"/>
      <w:lang w:val="en-US" w:eastAsia="en-US" w:bidi="ar-SA"/>
    </w:rPr>
  </w:style>
  <w:style w:type="paragraph" w:customStyle="1" w:styleId="StylePara1Firstline127cm">
    <w:name w:val="Style Para1 + First line:  1.27 cm"/>
    <w:basedOn w:val="Para1"/>
    <w:rsid w:val="00855A7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855A78"/>
    <w:pPr>
      <w:spacing w:before="120" w:after="120"/>
      <w:jc w:val="center"/>
    </w:pPr>
    <w:rPr>
      <w:rFonts w:eastAsia="MS Mincho" w:cs="Angsana New"/>
      <w:i/>
    </w:rPr>
  </w:style>
  <w:style w:type="character" w:styleId="Emphasis">
    <w:name w:val="Emphasis"/>
    <w:uiPriority w:val="20"/>
    <w:qFormat/>
    <w:rsid w:val="00855A78"/>
    <w:rPr>
      <w:i/>
      <w:iCs/>
    </w:rPr>
  </w:style>
  <w:style w:type="character" w:customStyle="1" w:styleId="BlockTextChar">
    <w:name w:val="Block Text Char"/>
    <w:rsid w:val="00855A78"/>
    <w:rPr>
      <w:sz w:val="24"/>
      <w:szCs w:val="24"/>
      <w:lang w:val="en-US" w:eastAsia="en-US" w:bidi="ar-SA"/>
    </w:rPr>
  </w:style>
  <w:style w:type="paragraph" w:customStyle="1" w:styleId="bodytext210">
    <w:name w:val="bodytext21"/>
    <w:basedOn w:val="Normal"/>
    <w:rsid w:val="00855A7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855A78"/>
    <w:rPr>
      <w:sz w:val="22"/>
      <w:lang w:val="en-US" w:eastAsia="en-US" w:bidi="ar-SA"/>
    </w:rPr>
  </w:style>
  <w:style w:type="paragraph" w:styleId="CommentSubject">
    <w:name w:val="annotation subject"/>
    <w:basedOn w:val="CommentText"/>
    <w:next w:val="CommentText"/>
    <w:link w:val="CommentSubjectChar"/>
    <w:semiHidden/>
    <w:rsid w:val="00855A7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855A78"/>
    <w:rPr>
      <w:rFonts w:ascii="Times New Roman" w:eastAsia="MS Mincho" w:hAnsi="Times New Roman" w:cs="Angsana New"/>
      <w:b/>
      <w:bCs/>
      <w:sz w:val="20"/>
      <w:lang w:val="en-GB"/>
    </w:rPr>
  </w:style>
  <w:style w:type="character" w:customStyle="1" w:styleId="MathieuRgnier">
    <w:name w:val="Mathieu Régnier"/>
    <w:semiHidden/>
    <w:rsid w:val="00855A78"/>
    <w:rPr>
      <w:rFonts w:ascii="Arial" w:hAnsi="Arial" w:cs="Arial"/>
      <w:color w:val="auto"/>
      <w:sz w:val="20"/>
      <w:szCs w:val="20"/>
    </w:rPr>
  </w:style>
  <w:style w:type="paragraph" w:customStyle="1" w:styleId="bodytextnoindent">
    <w:name w:val="body text (no indent)"/>
    <w:basedOn w:val="Normal"/>
    <w:rsid w:val="00855A7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855A78"/>
    <w:rPr>
      <w:rFonts w:eastAsia="MS Mincho" w:cs="Angsana New"/>
      <w:i/>
      <w:iCs w:val="0"/>
    </w:rPr>
  </w:style>
  <w:style w:type="paragraph" w:customStyle="1" w:styleId="boxbody">
    <w:name w:val="boxbody"/>
    <w:basedOn w:val="Normal"/>
    <w:rsid w:val="00855A7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855A78"/>
    <w:pPr>
      <w:tabs>
        <w:tab w:val="clear" w:pos="720"/>
        <w:tab w:val="left" w:pos="900"/>
      </w:tabs>
    </w:pPr>
    <w:rPr>
      <w:rFonts w:eastAsia="Batang"/>
      <w:b w:val="0"/>
      <w:bCs w:val="0"/>
      <w:szCs w:val="20"/>
    </w:rPr>
  </w:style>
  <w:style w:type="paragraph" w:customStyle="1" w:styleId="Heading2noletter">
    <w:name w:val="Heading 2 (no letter)"/>
    <w:basedOn w:val="Heading2"/>
    <w:rsid w:val="00855A78"/>
    <w:pPr>
      <w:tabs>
        <w:tab w:val="clear" w:pos="720"/>
      </w:tabs>
    </w:pPr>
    <w:rPr>
      <w:rFonts w:eastAsia="MS Mincho"/>
    </w:rPr>
  </w:style>
  <w:style w:type="character" w:customStyle="1" w:styleId="Heading2CharChar">
    <w:name w:val="Heading 2 Char Char"/>
    <w:rsid w:val="00855A78"/>
    <w:rPr>
      <w:rFonts w:ascii="Arial" w:hAnsi="Arial" w:cs="Arial"/>
      <w:b/>
      <w:bCs/>
      <w:i/>
      <w:iCs/>
      <w:noProof w:val="0"/>
      <w:sz w:val="28"/>
      <w:szCs w:val="28"/>
      <w:lang w:val="en-US" w:eastAsia="en-US" w:bidi="ar-SA"/>
    </w:rPr>
  </w:style>
  <w:style w:type="paragraph" w:customStyle="1" w:styleId="Heading-plain0">
    <w:name w:val="Heading-plain"/>
    <w:basedOn w:val="Normal"/>
    <w:rsid w:val="00855A78"/>
    <w:pPr>
      <w:spacing w:before="120" w:after="120"/>
      <w:jc w:val="center"/>
      <w:outlineLvl w:val="0"/>
    </w:pPr>
    <w:rPr>
      <w:rFonts w:eastAsia="MS Mincho" w:cs="Angsana New"/>
      <w:i/>
      <w:szCs w:val="20"/>
    </w:rPr>
  </w:style>
  <w:style w:type="paragraph" w:customStyle="1" w:styleId="Heading-plainbold">
    <w:name w:val="Heading-plain bold"/>
    <w:basedOn w:val="BodyText"/>
    <w:rsid w:val="00855A78"/>
    <w:pPr>
      <w:ind w:firstLine="0"/>
      <w:jc w:val="center"/>
    </w:pPr>
    <w:rPr>
      <w:rFonts w:eastAsia="MS Mincho" w:cs="Angsana New"/>
      <w:b/>
      <w:bCs/>
      <w:i/>
      <w:iCs w:val="0"/>
    </w:rPr>
  </w:style>
  <w:style w:type="paragraph" w:customStyle="1" w:styleId="Heading-plainitalic">
    <w:name w:val="Heading-plain italic"/>
    <w:basedOn w:val="Heading-plainbold"/>
    <w:rsid w:val="00855A78"/>
    <w:rPr>
      <w:b w:val="0"/>
      <w:bCs w:val="0"/>
    </w:rPr>
  </w:style>
  <w:style w:type="character" w:customStyle="1" w:styleId="Para1Char0">
    <w:name w:val="Para 1 Char"/>
    <w:rsid w:val="00855A78"/>
    <w:rPr>
      <w:rFonts w:eastAsia="MS Mincho"/>
      <w:bCs/>
      <w:iCs/>
      <w:sz w:val="22"/>
      <w:szCs w:val="22"/>
      <w:lang w:val="en-GB" w:eastAsia="en-US" w:bidi="ar-SA"/>
    </w:rPr>
  </w:style>
  <w:style w:type="paragraph" w:customStyle="1" w:styleId="Para2rev">
    <w:name w:val="Para 2 (rev)"/>
    <w:basedOn w:val="Normal"/>
    <w:rsid w:val="00855A78"/>
    <w:pPr>
      <w:tabs>
        <w:tab w:val="num" w:pos="720"/>
      </w:tabs>
      <w:spacing w:after="120"/>
      <w:ind w:left="720" w:hanging="360"/>
    </w:pPr>
    <w:rPr>
      <w:rFonts w:eastAsia="MS Mincho" w:cs="Angsana New"/>
    </w:rPr>
  </w:style>
  <w:style w:type="paragraph" w:customStyle="1" w:styleId="Paraofficial">
    <w:name w:val="Para official"/>
    <w:basedOn w:val="Normal"/>
    <w:rsid w:val="00855A78"/>
    <w:pPr>
      <w:framePr w:hSpace="187" w:vSpace="187" w:wrap="notBeside" w:vAnchor="text" w:hAnchor="text" w:y="1"/>
      <w:numPr>
        <w:numId w:val="22"/>
      </w:numPr>
      <w:spacing w:before="240" w:after="240"/>
      <w:jc w:val="left"/>
    </w:pPr>
    <w:rPr>
      <w:rFonts w:eastAsia="MS Mincho" w:cs="Angsana New"/>
      <w:szCs w:val="20"/>
    </w:rPr>
  </w:style>
  <w:style w:type="paragraph" w:customStyle="1" w:styleId="Para1-Annex">
    <w:name w:val="Para1-Annex"/>
    <w:basedOn w:val="Normal"/>
    <w:rsid w:val="00855A78"/>
    <w:pPr>
      <w:numPr>
        <w:numId w:val="23"/>
      </w:numPr>
      <w:spacing w:after="120"/>
    </w:pPr>
    <w:rPr>
      <w:rFonts w:eastAsia="MS Mincho"/>
      <w:szCs w:val="22"/>
      <w:lang w:val="en-US"/>
    </w:rPr>
  </w:style>
  <w:style w:type="paragraph" w:customStyle="1" w:styleId="Para40">
    <w:name w:val="Para4"/>
    <w:basedOn w:val="Para3"/>
    <w:rsid w:val="00855A7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855A7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855A78"/>
    <w:rPr>
      <w:rFonts w:cs="Angsana New"/>
      <w:iCs/>
      <w:snapToGrid w:val="0"/>
      <w:color w:val="000000"/>
      <w:sz w:val="22"/>
      <w:szCs w:val="22"/>
      <w:lang w:val="en-US" w:eastAsia="en-US" w:bidi="ar-SA"/>
    </w:rPr>
  </w:style>
  <w:style w:type="numbering" w:styleId="111111">
    <w:name w:val="Outline List 2"/>
    <w:basedOn w:val="NoList"/>
    <w:rsid w:val="00855A78"/>
    <w:pPr>
      <w:numPr>
        <w:numId w:val="26"/>
      </w:numPr>
    </w:pPr>
  </w:style>
  <w:style w:type="numbering" w:customStyle="1" w:styleId="Style2">
    <w:name w:val="Style2"/>
    <w:rsid w:val="00855A78"/>
    <w:pPr>
      <w:numPr>
        <w:numId w:val="27"/>
      </w:numPr>
    </w:pPr>
  </w:style>
  <w:style w:type="character" w:customStyle="1" w:styleId="Heading1longmultilineChar">
    <w:name w:val="Heading 1 (long multiline) Char"/>
    <w:link w:val="Heading1longmultiline"/>
    <w:rsid w:val="00855A7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855A78"/>
    <w:pPr>
      <w:ind w:left="720"/>
    </w:pPr>
    <w:rPr>
      <w:rFonts w:eastAsia="MS Mincho" w:cs="Angsana New"/>
    </w:rPr>
  </w:style>
  <w:style w:type="paragraph" w:customStyle="1" w:styleId="Default">
    <w:name w:val="Default"/>
    <w:basedOn w:val="Normal"/>
    <w:rsid w:val="00855A78"/>
    <w:pPr>
      <w:autoSpaceDE w:val="0"/>
      <w:autoSpaceDN w:val="0"/>
      <w:jc w:val="left"/>
    </w:pPr>
    <w:rPr>
      <w:rFonts w:eastAsia="Calibri"/>
      <w:color w:val="000000"/>
      <w:sz w:val="24"/>
      <w:lang w:val="en-US"/>
    </w:rPr>
  </w:style>
  <w:style w:type="character" w:customStyle="1" w:styleId="apple-style-span">
    <w:name w:val="apple-style-span"/>
    <w:rsid w:val="00855A78"/>
  </w:style>
  <w:style w:type="paragraph" w:customStyle="1" w:styleId="SubtleEmphasis1">
    <w:name w:val="Subtle Emphasis1"/>
    <w:basedOn w:val="Normal"/>
    <w:uiPriority w:val="34"/>
    <w:qFormat/>
    <w:rsid w:val="00855A7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855A78"/>
    <w:rPr>
      <w:rFonts w:ascii="Times New Roman Bold" w:eastAsia="MS Mincho" w:hAnsi="Times New Roman Bold"/>
      <w:b/>
      <w:bCs/>
      <w:i w:val="0"/>
      <w:iCs w:val="0"/>
      <w:caps/>
    </w:rPr>
  </w:style>
  <w:style w:type="paragraph" w:customStyle="1" w:styleId="LightList-Accent61">
    <w:name w:val="Light List - Accent 61"/>
    <w:uiPriority w:val="1"/>
    <w:qFormat/>
    <w:rsid w:val="00855A78"/>
    <w:rPr>
      <w:rFonts w:ascii="Calibri" w:eastAsia="MS Mincho" w:hAnsi="Calibri" w:cs="Times New Roman"/>
      <w:sz w:val="22"/>
      <w:szCs w:val="22"/>
      <w:lang w:val="en-US"/>
    </w:rPr>
  </w:style>
  <w:style w:type="paragraph" w:customStyle="1" w:styleId="Paraa">
    <w:name w:val="Para (a)"/>
    <w:basedOn w:val="Normal"/>
    <w:rsid w:val="0085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855A78"/>
    <w:rPr>
      <w:kern w:val="20"/>
      <w:sz w:val="22"/>
      <w:u w:val="none"/>
      <w:vertAlign w:val="superscript"/>
    </w:rPr>
  </w:style>
  <w:style w:type="character" w:customStyle="1" w:styleId="s13">
    <w:name w:val="s13"/>
    <w:rsid w:val="00855A78"/>
  </w:style>
  <w:style w:type="paragraph" w:customStyle="1" w:styleId="ColorfulGrid-Accent61">
    <w:name w:val="Colorful Grid - Accent 61"/>
    <w:hidden/>
    <w:uiPriority w:val="99"/>
    <w:semiHidden/>
    <w:rsid w:val="00855A78"/>
    <w:rPr>
      <w:rFonts w:ascii="Times New Roman" w:eastAsia="MS Mincho" w:hAnsi="Times New Roman" w:cs="Angsana New"/>
      <w:sz w:val="22"/>
      <w:lang w:val="en-GB"/>
    </w:rPr>
  </w:style>
  <w:style w:type="paragraph" w:customStyle="1" w:styleId="MediumShading2-Accent61">
    <w:name w:val="Medium Shading 2 - Accent 61"/>
    <w:hidden/>
    <w:uiPriority w:val="99"/>
    <w:semiHidden/>
    <w:rsid w:val="00855A78"/>
    <w:rPr>
      <w:rFonts w:ascii="Times New Roman" w:eastAsia="MS Mincho" w:hAnsi="Times New Roman" w:cs="Angsana New"/>
      <w:sz w:val="22"/>
      <w:lang w:val="en-GB"/>
    </w:rPr>
  </w:style>
  <w:style w:type="paragraph" w:customStyle="1" w:styleId="MediumList1-Accent61">
    <w:name w:val="Medium List 1 - Accent 61"/>
    <w:basedOn w:val="Normal"/>
    <w:uiPriority w:val="34"/>
    <w:qFormat/>
    <w:rsid w:val="00855A78"/>
    <w:pPr>
      <w:ind w:left="720"/>
    </w:pPr>
    <w:rPr>
      <w:rFonts w:eastAsia="MS Mincho" w:cs="Angsana New"/>
    </w:rPr>
  </w:style>
  <w:style w:type="paragraph" w:customStyle="1" w:styleId="MediumGrid1-Accent21">
    <w:name w:val="Medium Grid 1 - Accent 21"/>
    <w:basedOn w:val="Normal"/>
    <w:uiPriority w:val="34"/>
    <w:qFormat/>
    <w:rsid w:val="00855A78"/>
    <w:pPr>
      <w:ind w:left="720"/>
    </w:pPr>
    <w:rPr>
      <w:rFonts w:eastAsia="MS Mincho" w:cs="Angsana New"/>
    </w:rPr>
  </w:style>
  <w:style w:type="paragraph" w:styleId="Revision">
    <w:name w:val="Revision"/>
    <w:hidden/>
    <w:uiPriority w:val="99"/>
    <w:semiHidden/>
    <w:rsid w:val="00855A78"/>
    <w:rPr>
      <w:rFonts w:ascii="Times New Roman" w:eastAsia="MS Mincho" w:hAnsi="Times New Roman" w:cs="Angsana New"/>
      <w:sz w:val="22"/>
      <w:lang w:val="en-GB"/>
    </w:rPr>
  </w:style>
  <w:style w:type="character" w:customStyle="1" w:styleId="UnresolvedMention1">
    <w:name w:val="Unresolved Mention1"/>
    <w:basedOn w:val="DefaultParagraphFont"/>
    <w:uiPriority w:val="99"/>
    <w:semiHidden/>
    <w:unhideWhenUsed/>
    <w:rsid w:val="004A1AC3"/>
    <w:rPr>
      <w:color w:val="808080"/>
      <w:shd w:val="clear" w:color="auto" w:fill="E6E6E6"/>
    </w:rPr>
  </w:style>
  <w:style w:type="character" w:customStyle="1" w:styleId="apple-converted-space">
    <w:name w:val="apple-converted-space"/>
    <w:basedOn w:val="DefaultParagraphFont"/>
    <w:rsid w:val="0051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043">
      <w:bodyDiv w:val="1"/>
      <w:marLeft w:val="0"/>
      <w:marRight w:val="0"/>
      <w:marTop w:val="0"/>
      <w:marBottom w:val="0"/>
      <w:divBdr>
        <w:top w:val="none" w:sz="0" w:space="0" w:color="auto"/>
        <w:left w:val="none" w:sz="0" w:space="0" w:color="auto"/>
        <w:bottom w:val="none" w:sz="0" w:space="0" w:color="auto"/>
        <w:right w:val="none" w:sz="0" w:space="0" w:color="auto"/>
      </w:divBdr>
    </w:div>
    <w:div w:id="35551189">
      <w:bodyDiv w:val="1"/>
      <w:marLeft w:val="0"/>
      <w:marRight w:val="0"/>
      <w:marTop w:val="0"/>
      <w:marBottom w:val="0"/>
      <w:divBdr>
        <w:top w:val="none" w:sz="0" w:space="0" w:color="auto"/>
        <w:left w:val="none" w:sz="0" w:space="0" w:color="auto"/>
        <w:bottom w:val="none" w:sz="0" w:space="0" w:color="auto"/>
        <w:right w:val="none" w:sz="0" w:space="0" w:color="auto"/>
      </w:divBdr>
    </w:div>
    <w:div w:id="116144043">
      <w:bodyDiv w:val="1"/>
      <w:marLeft w:val="0"/>
      <w:marRight w:val="0"/>
      <w:marTop w:val="0"/>
      <w:marBottom w:val="0"/>
      <w:divBdr>
        <w:top w:val="none" w:sz="0" w:space="0" w:color="auto"/>
        <w:left w:val="none" w:sz="0" w:space="0" w:color="auto"/>
        <w:bottom w:val="none" w:sz="0" w:space="0" w:color="auto"/>
        <w:right w:val="none" w:sz="0" w:space="0" w:color="auto"/>
      </w:divBdr>
    </w:div>
    <w:div w:id="182059048">
      <w:bodyDiv w:val="1"/>
      <w:marLeft w:val="0"/>
      <w:marRight w:val="0"/>
      <w:marTop w:val="0"/>
      <w:marBottom w:val="0"/>
      <w:divBdr>
        <w:top w:val="none" w:sz="0" w:space="0" w:color="auto"/>
        <w:left w:val="none" w:sz="0" w:space="0" w:color="auto"/>
        <w:bottom w:val="none" w:sz="0" w:space="0" w:color="auto"/>
        <w:right w:val="none" w:sz="0" w:space="0" w:color="auto"/>
      </w:divBdr>
    </w:div>
    <w:div w:id="185753032">
      <w:bodyDiv w:val="1"/>
      <w:marLeft w:val="0"/>
      <w:marRight w:val="0"/>
      <w:marTop w:val="0"/>
      <w:marBottom w:val="0"/>
      <w:divBdr>
        <w:top w:val="none" w:sz="0" w:space="0" w:color="auto"/>
        <w:left w:val="none" w:sz="0" w:space="0" w:color="auto"/>
        <w:bottom w:val="none" w:sz="0" w:space="0" w:color="auto"/>
        <w:right w:val="none" w:sz="0" w:space="0" w:color="auto"/>
      </w:divBdr>
    </w:div>
    <w:div w:id="243028141">
      <w:bodyDiv w:val="1"/>
      <w:marLeft w:val="0"/>
      <w:marRight w:val="0"/>
      <w:marTop w:val="0"/>
      <w:marBottom w:val="0"/>
      <w:divBdr>
        <w:top w:val="none" w:sz="0" w:space="0" w:color="auto"/>
        <w:left w:val="none" w:sz="0" w:space="0" w:color="auto"/>
        <w:bottom w:val="none" w:sz="0" w:space="0" w:color="auto"/>
        <w:right w:val="none" w:sz="0" w:space="0" w:color="auto"/>
      </w:divBdr>
    </w:div>
    <w:div w:id="279529041">
      <w:bodyDiv w:val="1"/>
      <w:marLeft w:val="0"/>
      <w:marRight w:val="0"/>
      <w:marTop w:val="0"/>
      <w:marBottom w:val="0"/>
      <w:divBdr>
        <w:top w:val="none" w:sz="0" w:space="0" w:color="auto"/>
        <w:left w:val="none" w:sz="0" w:space="0" w:color="auto"/>
        <w:bottom w:val="none" w:sz="0" w:space="0" w:color="auto"/>
        <w:right w:val="none" w:sz="0" w:space="0" w:color="auto"/>
      </w:divBdr>
    </w:div>
    <w:div w:id="323971920">
      <w:bodyDiv w:val="1"/>
      <w:marLeft w:val="0"/>
      <w:marRight w:val="0"/>
      <w:marTop w:val="0"/>
      <w:marBottom w:val="0"/>
      <w:divBdr>
        <w:top w:val="none" w:sz="0" w:space="0" w:color="auto"/>
        <w:left w:val="none" w:sz="0" w:space="0" w:color="auto"/>
        <w:bottom w:val="none" w:sz="0" w:space="0" w:color="auto"/>
        <w:right w:val="none" w:sz="0" w:space="0" w:color="auto"/>
      </w:divBdr>
    </w:div>
    <w:div w:id="379406569">
      <w:bodyDiv w:val="1"/>
      <w:marLeft w:val="0"/>
      <w:marRight w:val="0"/>
      <w:marTop w:val="0"/>
      <w:marBottom w:val="0"/>
      <w:divBdr>
        <w:top w:val="none" w:sz="0" w:space="0" w:color="auto"/>
        <w:left w:val="none" w:sz="0" w:space="0" w:color="auto"/>
        <w:bottom w:val="none" w:sz="0" w:space="0" w:color="auto"/>
        <w:right w:val="none" w:sz="0" w:space="0" w:color="auto"/>
      </w:divBdr>
    </w:div>
    <w:div w:id="659576902">
      <w:bodyDiv w:val="1"/>
      <w:marLeft w:val="0"/>
      <w:marRight w:val="0"/>
      <w:marTop w:val="0"/>
      <w:marBottom w:val="0"/>
      <w:divBdr>
        <w:top w:val="none" w:sz="0" w:space="0" w:color="auto"/>
        <w:left w:val="none" w:sz="0" w:space="0" w:color="auto"/>
        <w:bottom w:val="none" w:sz="0" w:space="0" w:color="auto"/>
        <w:right w:val="none" w:sz="0" w:space="0" w:color="auto"/>
      </w:divBdr>
    </w:div>
    <w:div w:id="692728347">
      <w:bodyDiv w:val="1"/>
      <w:marLeft w:val="0"/>
      <w:marRight w:val="0"/>
      <w:marTop w:val="0"/>
      <w:marBottom w:val="0"/>
      <w:divBdr>
        <w:top w:val="none" w:sz="0" w:space="0" w:color="auto"/>
        <w:left w:val="none" w:sz="0" w:space="0" w:color="auto"/>
        <w:bottom w:val="none" w:sz="0" w:space="0" w:color="auto"/>
        <w:right w:val="none" w:sz="0" w:space="0" w:color="auto"/>
      </w:divBdr>
    </w:div>
    <w:div w:id="740175062">
      <w:bodyDiv w:val="1"/>
      <w:marLeft w:val="0"/>
      <w:marRight w:val="0"/>
      <w:marTop w:val="0"/>
      <w:marBottom w:val="0"/>
      <w:divBdr>
        <w:top w:val="none" w:sz="0" w:space="0" w:color="auto"/>
        <w:left w:val="none" w:sz="0" w:space="0" w:color="auto"/>
        <w:bottom w:val="none" w:sz="0" w:space="0" w:color="auto"/>
        <w:right w:val="none" w:sz="0" w:space="0" w:color="auto"/>
      </w:divBdr>
    </w:div>
    <w:div w:id="766775960">
      <w:bodyDiv w:val="1"/>
      <w:marLeft w:val="0"/>
      <w:marRight w:val="0"/>
      <w:marTop w:val="0"/>
      <w:marBottom w:val="0"/>
      <w:divBdr>
        <w:top w:val="none" w:sz="0" w:space="0" w:color="auto"/>
        <w:left w:val="none" w:sz="0" w:space="0" w:color="auto"/>
        <w:bottom w:val="none" w:sz="0" w:space="0" w:color="auto"/>
        <w:right w:val="none" w:sz="0" w:space="0" w:color="auto"/>
      </w:divBdr>
    </w:div>
    <w:div w:id="870454007">
      <w:bodyDiv w:val="1"/>
      <w:marLeft w:val="0"/>
      <w:marRight w:val="0"/>
      <w:marTop w:val="0"/>
      <w:marBottom w:val="0"/>
      <w:divBdr>
        <w:top w:val="none" w:sz="0" w:space="0" w:color="auto"/>
        <w:left w:val="none" w:sz="0" w:space="0" w:color="auto"/>
        <w:bottom w:val="none" w:sz="0" w:space="0" w:color="auto"/>
        <w:right w:val="none" w:sz="0" w:space="0" w:color="auto"/>
      </w:divBdr>
    </w:div>
    <w:div w:id="913703325">
      <w:bodyDiv w:val="1"/>
      <w:marLeft w:val="0"/>
      <w:marRight w:val="0"/>
      <w:marTop w:val="0"/>
      <w:marBottom w:val="0"/>
      <w:divBdr>
        <w:top w:val="none" w:sz="0" w:space="0" w:color="auto"/>
        <w:left w:val="none" w:sz="0" w:space="0" w:color="auto"/>
        <w:bottom w:val="none" w:sz="0" w:space="0" w:color="auto"/>
        <w:right w:val="none" w:sz="0" w:space="0" w:color="auto"/>
      </w:divBdr>
    </w:div>
    <w:div w:id="967586129">
      <w:bodyDiv w:val="1"/>
      <w:marLeft w:val="0"/>
      <w:marRight w:val="0"/>
      <w:marTop w:val="0"/>
      <w:marBottom w:val="0"/>
      <w:divBdr>
        <w:top w:val="none" w:sz="0" w:space="0" w:color="auto"/>
        <w:left w:val="none" w:sz="0" w:space="0" w:color="auto"/>
        <w:bottom w:val="none" w:sz="0" w:space="0" w:color="auto"/>
        <w:right w:val="none" w:sz="0" w:space="0" w:color="auto"/>
      </w:divBdr>
    </w:div>
    <w:div w:id="1086920516">
      <w:bodyDiv w:val="1"/>
      <w:marLeft w:val="0"/>
      <w:marRight w:val="0"/>
      <w:marTop w:val="0"/>
      <w:marBottom w:val="0"/>
      <w:divBdr>
        <w:top w:val="none" w:sz="0" w:space="0" w:color="auto"/>
        <w:left w:val="none" w:sz="0" w:space="0" w:color="auto"/>
        <w:bottom w:val="none" w:sz="0" w:space="0" w:color="auto"/>
        <w:right w:val="none" w:sz="0" w:space="0" w:color="auto"/>
      </w:divBdr>
    </w:div>
    <w:div w:id="1186015178">
      <w:bodyDiv w:val="1"/>
      <w:marLeft w:val="0"/>
      <w:marRight w:val="0"/>
      <w:marTop w:val="0"/>
      <w:marBottom w:val="0"/>
      <w:divBdr>
        <w:top w:val="none" w:sz="0" w:space="0" w:color="auto"/>
        <w:left w:val="none" w:sz="0" w:space="0" w:color="auto"/>
        <w:bottom w:val="none" w:sz="0" w:space="0" w:color="auto"/>
        <w:right w:val="none" w:sz="0" w:space="0" w:color="auto"/>
      </w:divBdr>
    </w:div>
    <w:div w:id="1279676885">
      <w:bodyDiv w:val="1"/>
      <w:marLeft w:val="0"/>
      <w:marRight w:val="0"/>
      <w:marTop w:val="0"/>
      <w:marBottom w:val="0"/>
      <w:divBdr>
        <w:top w:val="none" w:sz="0" w:space="0" w:color="auto"/>
        <w:left w:val="none" w:sz="0" w:space="0" w:color="auto"/>
        <w:bottom w:val="none" w:sz="0" w:space="0" w:color="auto"/>
        <w:right w:val="none" w:sz="0" w:space="0" w:color="auto"/>
      </w:divBdr>
    </w:div>
    <w:div w:id="1318992638">
      <w:bodyDiv w:val="1"/>
      <w:marLeft w:val="0"/>
      <w:marRight w:val="0"/>
      <w:marTop w:val="0"/>
      <w:marBottom w:val="0"/>
      <w:divBdr>
        <w:top w:val="none" w:sz="0" w:space="0" w:color="auto"/>
        <w:left w:val="none" w:sz="0" w:space="0" w:color="auto"/>
        <w:bottom w:val="none" w:sz="0" w:space="0" w:color="auto"/>
        <w:right w:val="none" w:sz="0" w:space="0" w:color="auto"/>
      </w:divBdr>
    </w:div>
    <w:div w:id="1374304078">
      <w:bodyDiv w:val="1"/>
      <w:marLeft w:val="0"/>
      <w:marRight w:val="0"/>
      <w:marTop w:val="0"/>
      <w:marBottom w:val="0"/>
      <w:divBdr>
        <w:top w:val="none" w:sz="0" w:space="0" w:color="auto"/>
        <w:left w:val="none" w:sz="0" w:space="0" w:color="auto"/>
        <w:bottom w:val="none" w:sz="0" w:space="0" w:color="auto"/>
        <w:right w:val="none" w:sz="0" w:space="0" w:color="auto"/>
      </w:divBdr>
    </w:div>
    <w:div w:id="1378898341">
      <w:bodyDiv w:val="1"/>
      <w:marLeft w:val="0"/>
      <w:marRight w:val="0"/>
      <w:marTop w:val="0"/>
      <w:marBottom w:val="0"/>
      <w:divBdr>
        <w:top w:val="none" w:sz="0" w:space="0" w:color="auto"/>
        <w:left w:val="none" w:sz="0" w:space="0" w:color="auto"/>
        <w:bottom w:val="none" w:sz="0" w:space="0" w:color="auto"/>
        <w:right w:val="none" w:sz="0" w:space="0" w:color="auto"/>
      </w:divBdr>
    </w:div>
    <w:div w:id="1461726005">
      <w:bodyDiv w:val="1"/>
      <w:marLeft w:val="0"/>
      <w:marRight w:val="0"/>
      <w:marTop w:val="0"/>
      <w:marBottom w:val="0"/>
      <w:divBdr>
        <w:top w:val="none" w:sz="0" w:space="0" w:color="auto"/>
        <w:left w:val="none" w:sz="0" w:space="0" w:color="auto"/>
        <w:bottom w:val="none" w:sz="0" w:space="0" w:color="auto"/>
        <w:right w:val="none" w:sz="0" w:space="0" w:color="auto"/>
      </w:divBdr>
    </w:div>
    <w:div w:id="1583374636">
      <w:bodyDiv w:val="1"/>
      <w:marLeft w:val="0"/>
      <w:marRight w:val="0"/>
      <w:marTop w:val="0"/>
      <w:marBottom w:val="0"/>
      <w:divBdr>
        <w:top w:val="none" w:sz="0" w:space="0" w:color="auto"/>
        <w:left w:val="none" w:sz="0" w:space="0" w:color="auto"/>
        <w:bottom w:val="none" w:sz="0" w:space="0" w:color="auto"/>
        <w:right w:val="none" w:sz="0" w:space="0" w:color="auto"/>
      </w:divBdr>
    </w:div>
    <w:div w:id="1623462448">
      <w:bodyDiv w:val="1"/>
      <w:marLeft w:val="0"/>
      <w:marRight w:val="0"/>
      <w:marTop w:val="0"/>
      <w:marBottom w:val="0"/>
      <w:divBdr>
        <w:top w:val="none" w:sz="0" w:space="0" w:color="auto"/>
        <w:left w:val="none" w:sz="0" w:space="0" w:color="auto"/>
        <w:bottom w:val="none" w:sz="0" w:space="0" w:color="auto"/>
        <w:right w:val="none" w:sz="0" w:space="0" w:color="auto"/>
      </w:divBdr>
    </w:div>
    <w:div w:id="1693072979">
      <w:bodyDiv w:val="1"/>
      <w:marLeft w:val="0"/>
      <w:marRight w:val="0"/>
      <w:marTop w:val="0"/>
      <w:marBottom w:val="0"/>
      <w:divBdr>
        <w:top w:val="none" w:sz="0" w:space="0" w:color="auto"/>
        <w:left w:val="none" w:sz="0" w:space="0" w:color="auto"/>
        <w:bottom w:val="none" w:sz="0" w:space="0" w:color="auto"/>
        <w:right w:val="none" w:sz="0" w:space="0" w:color="auto"/>
      </w:divBdr>
    </w:div>
    <w:div w:id="1717241356">
      <w:bodyDiv w:val="1"/>
      <w:marLeft w:val="0"/>
      <w:marRight w:val="0"/>
      <w:marTop w:val="0"/>
      <w:marBottom w:val="0"/>
      <w:divBdr>
        <w:top w:val="none" w:sz="0" w:space="0" w:color="auto"/>
        <w:left w:val="none" w:sz="0" w:space="0" w:color="auto"/>
        <w:bottom w:val="none" w:sz="0" w:space="0" w:color="auto"/>
        <w:right w:val="none" w:sz="0" w:space="0" w:color="auto"/>
      </w:divBdr>
    </w:div>
    <w:div w:id="1720781195">
      <w:bodyDiv w:val="1"/>
      <w:marLeft w:val="0"/>
      <w:marRight w:val="0"/>
      <w:marTop w:val="0"/>
      <w:marBottom w:val="0"/>
      <w:divBdr>
        <w:top w:val="none" w:sz="0" w:space="0" w:color="auto"/>
        <w:left w:val="none" w:sz="0" w:space="0" w:color="auto"/>
        <w:bottom w:val="none" w:sz="0" w:space="0" w:color="auto"/>
        <w:right w:val="none" w:sz="0" w:space="0" w:color="auto"/>
      </w:divBdr>
    </w:div>
    <w:div w:id="1757556502">
      <w:bodyDiv w:val="1"/>
      <w:marLeft w:val="0"/>
      <w:marRight w:val="0"/>
      <w:marTop w:val="0"/>
      <w:marBottom w:val="0"/>
      <w:divBdr>
        <w:top w:val="none" w:sz="0" w:space="0" w:color="auto"/>
        <w:left w:val="none" w:sz="0" w:space="0" w:color="auto"/>
        <w:bottom w:val="none" w:sz="0" w:space="0" w:color="auto"/>
        <w:right w:val="none" w:sz="0" w:space="0" w:color="auto"/>
      </w:divBdr>
    </w:div>
    <w:div w:id="1789082052">
      <w:bodyDiv w:val="1"/>
      <w:marLeft w:val="0"/>
      <w:marRight w:val="0"/>
      <w:marTop w:val="0"/>
      <w:marBottom w:val="0"/>
      <w:divBdr>
        <w:top w:val="none" w:sz="0" w:space="0" w:color="auto"/>
        <w:left w:val="none" w:sz="0" w:space="0" w:color="auto"/>
        <w:bottom w:val="none" w:sz="0" w:space="0" w:color="auto"/>
        <w:right w:val="none" w:sz="0" w:space="0" w:color="auto"/>
      </w:divBdr>
    </w:div>
    <w:div w:id="1908685605">
      <w:bodyDiv w:val="1"/>
      <w:marLeft w:val="0"/>
      <w:marRight w:val="0"/>
      <w:marTop w:val="0"/>
      <w:marBottom w:val="0"/>
      <w:divBdr>
        <w:top w:val="none" w:sz="0" w:space="0" w:color="auto"/>
        <w:left w:val="none" w:sz="0" w:space="0" w:color="auto"/>
        <w:bottom w:val="none" w:sz="0" w:space="0" w:color="auto"/>
        <w:right w:val="none" w:sz="0" w:space="0" w:color="auto"/>
      </w:divBdr>
    </w:div>
    <w:div w:id="1911964121">
      <w:bodyDiv w:val="1"/>
      <w:marLeft w:val="0"/>
      <w:marRight w:val="0"/>
      <w:marTop w:val="0"/>
      <w:marBottom w:val="0"/>
      <w:divBdr>
        <w:top w:val="none" w:sz="0" w:space="0" w:color="auto"/>
        <w:left w:val="none" w:sz="0" w:space="0" w:color="auto"/>
        <w:bottom w:val="none" w:sz="0" w:space="0" w:color="auto"/>
        <w:right w:val="none" w:sz="0" w:space="0" w:color="auto"/>
      </w:divBdr>
    </w:div>
    <w:div w:id="1989702904">
      <w:bodyDiv w:val="1"/>
      <w:marLeft w:val="0"/>
      <w:marRight w:val="0"/>
      <w:marTop w:val="0"/>
      <w:marBottom w:val="0"/>
      <w:divBdr>
        <w:top w:val="none" w:sz="0" w:space="0" w:color="auto"/>
        <w:left w:val="none" w:sz="0" w:space="0" w:color="auto"/>
        <w:bottom w:val="none" w:sz="0" w:space="0" w:color="auto"/>
        <w:right w:val="none" w:sz="0" w:space="0" w:color="auto"/>
      </w:divBdr>
    </w:div>
    <w:div w:id="2069569628">
      <w:bodyDiv w:val="1"/>
      <w:marLeft w:val="0"/>
      <w:marRight w:val="0"/>
      <w:marTop w:val="0"/>
      <w:marBottom w:val="0"/>
      <w:divBdr>
        <w:top w:val="none" w:sz="0" w:space="0" w:color="auto"/>
        <w:left w:val="none" w:sz="0" w:space="0" w:color="auto"/>
        <w:bottom w:val="none" w:sz="0" w:space="0" w:color="auto"/>
        <w:right w:val="none" w:sz="0" w:space="0" w:color="auto"/>
      </w:divBdr>
    </w:div>
    <w:div w:id="2091389051">
      <w:bodyDiv w:val="1"/>
      <w:marLeft w:val="0"/>
      <w:marRight w:val="0"/>
      <w:marTop w:val="0"/>
      <w:marBottom w:val="0"/>
      <w:divBdr>
        <w:top w:val="none" w:sz="0" w:space="0" w:color="auto"/>
        <w:left w:val="none" w:sz="0" w:space="0" w:color="auto"/>
        <w:bottom w:val="none" w:sz="0" w:space="0" w:color="auto"/>
        <w:right w:val="none" w:sz="0" w:space="0" w:color="auto"/>
      </w:divBdr>
    </w:div>
    <w:div w:id="2094083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c/fcae/4aa8/dd3362074b26490c60880abd/sbi-02-02-add1-en.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bd.int/doc/decisions/cop-13/cop-13-dec-20-es.pdf"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chm.cbd.int/search/financial-analyzer"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chm.cbd.int/search/financial-analyzer" TargetMode="External"/><Relationship Id="rId22" Type="http://schemas.openxmlformats.org/officeDocument/2006/relationships/hyperlink" Target="https://www.cbd.int/doc/decisions/cop-12/cop-12-dec-03-es.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weo/2017/02/weodata/index.aspx" TargetMode="External"/><Relationship Id="rId2" Type="http://schemas.openxmlformats.org/officeDocument/2006/relationships/hyperlink" Target="https://www.cbd.int/doc/meetings/cop/cop-13/official/cop-13-11-rev1-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biodiversityfinance.net/finance-nature-global-conference" TargetMode="External"/><Relationship Id="rId5" Type="http://schemas.openxmlformats.org/officeDocument/2006/relationships/hyperlink" Target="http://www.biodiversityfinance.net/finance-solutions" TargetMode="External"/><Relationship Id="rId4" Type="http://schemas.openxmlformats.org/officeDocument/2006/relationships/hyperlink" Target="http://stats.oec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50840"/>
    <w:rsid w:val="002A64D0"/>
    <w:rsid w:val="003D294E"/>
    <w:rsid w:val="004E0FA5"/>
    <w:rsid w:val="00500A2B"/>
    <w:rsid w:val="0058288D"/>
    <w:rsid w:val="005E4AB2"/>
    <w:rsid w:val="006221CF"/>
    <w:rsid w:val="006801B3"/>
    <w:rsid w:val="006E3C0C"/>
    <w:rsid w:val="00810A55"/>
    <w:rsid w:val="008821B1"/>
    <w:rsid w:val="008A48F5"/>
    <w:rsid w:val="008C6619"/>
    <w:rsid w:val="008D420E"/>
    <w:rsid w:val="0098642F"/>
    <w:rsid w:val="009B500C"/>
    <w:rsid w:val="00AA72C9"/>
    <w:rsid w:val="00B6620D"/>
    <w:rsid w:val="00C4675D"/>
    <w:rsid w:val="00D6368F"/>
    <w:rsid w:val="00DD74DE"/>
    <w:rsid w:val="00E24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8F5"/>
    <w:rPr>
      <w:color w:val="808080"/>
    </w:rPr>
  </w:style>
  <w:style w:type="paragraph" w:customStyle="1" w:styleId="B3D8104214564783AE3253AD62ABBD48">
    <w:name w:val="B3D8104214564783AE3253AD62ABBD48"/>
    <w:rsid w:val="008A48F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mayo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BC7098-9F73-4584-AE0E-85273586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7670</Words>
  <Characters>43722</Characters>
  <Application>Microsoft Office Word</Application>
  <DocSecurity>0</DocSecurity>
  <Lines>364</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BALANCE Y ANÁLISIS ACTUALIZADO DE LA INFORMACIÓN PROPORCIONADA a través del marco de presentación de informes financieros</vt:lpstr>
      <vt:lpstr>Stocktake and updated analysis of information provided through the financial reporting framework</vt:lpstr>
    </vt:vector>
  </TitlesOfParts>
  <Company>SCBD</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Y ANÁLISIS ACTUALIZADO DE LA INFORMACIÓN PROPORCIONADA a través del marco de presentación de informes financieros</dc:title>
  <dc:subject>CBD/SBI/2/7/Add.1</dc:subject>
  <dc:creator>SCBD</dc:creator>
  <cp:lastModifiedBy>Tatiana Zavarzina</cp:lastModifiedBy>
  <cp:revision>6</cp:revision>
  <cp:lastPrinted>2018-06-07T19:08:00Z</cp:lastPrinted>
  <dcterms:created xsi:type="dcterms:W3CDTF">2018-06-13T21:36:00Z</dcterms:created>
  <dcterms:modified xsi:type="dcterms:W3CDTF">2018-06-15T20:58:00Z</dcterms:modified>
  <cp:contentStatus>GENERAL</cp:contentStatus>
</cp:coreProperties>
</file>