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450AA1" w:rsidTr="00CF1848">
        <w:trPr>
          <w:trHeight w:val="709"/>
        </w:trPr>
        <w:tc>
          <w:tcPr>
            <w:tcW w:w="976" w:type="dxa"/>
            <w:tcBorders>
              <w:bottom w:val="single" w:sz="12" w:space="0" w:color="auto"/>
            </w:tcBorders>
          </w:tcPr>
          <w:p w:rsidR="00C9161D" w:rsidRPr="00450AA1" w:rsidRDefault="00C9161D" w:rsidP="00A567F3">
            <w:pPr>
              <w:kinsoku w:val="0"/>
              <w:overflowPunct w:val="0"/>
              <w:autoSpaceDE w:val="0"/>
              <w:autoSpaceDN w:val="0"/>
              <w:snapToGrid w:val="0"/>
              <w:rPr>
                <w:kern w:val="22"/>
              </w:rPr>
            </w:pPr>
            <w:bookmarkStart w:id="0" w:name="_Hlk505247837"/>
            <w:bookmarkStart w:id="1" w:name="_GoBack"/>
            <w:bookmarkEnd w:id="1"/>
            <w:r w:rsidRPr="00450AA1">
              <w:rPr>
                <w:noProof/>
                <w:kern w:val="22"/>
                <w:lang w:eastAsia="zh-CN"/>
              </w:rPr>
              <w:drawing>
                <wp:inline distT="0" distB="0" distL="0" distR="0" wp14:anchorId="772EB2F3" wp14:editId="55941E7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450AA1" w:rsidRDefault="00C9161D" w:rsidP="00A567F3">
            <w:pPr>
              <w:kinsoku w:val="0"/>
              <w:overflowPunct w:val="0"/>
              <w:autoSpaceDE w:val="0"/>
              <w:autoSpaceDN w:val="0"/>
              <w:snapToGrid w:val="0"/>
              <w:rPr>
                <w:kern w:val="22"/>
              </w:rPr>
            </w:pPr>
            <w:r w:rsidRPr="00450AA1">
              <w:rPr>
                <w:noProof/>
                <w:kern w:val="22"/>
                <w:lang w:eastAsia="zh-CN"/>
              </w:rPr>
              <w:drawing>
                <wp:inline distT="0" distB="0" distL="0" distR="0" wp14:anchorId="2E60D328" wp14:editId="539173E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450AA1" w:rsidRDefault="00C9161D" w:rsidP="00A567F3">
            <w:pPr>
              <w:kinsoku w:val="0"/>
              <w:overflowPunct w:val="0"/>
              <w:autoSpaceDE w:val="0"/>
              <w:autoSpaceDN w:val="0"/>
              <w:snapToGrid w:val="0"/>
              <w:jc w:val="right"/>
              <w:rPr>
                <w:rFonts w:ascii="Arial" w:hAnsi="Arial" w:cs="Arial"/>
                <w:b/>
                <w:kern w:val="22"/>
                <w:sz w:val="32"/>
                <w:szCs w:val="32"/>
              </w:rPr>
            </w:pPr>
            <w:r w:rsidRPr="00450AA1">
              <w:rPr>
                <w:rFonts w:ascii="Arial" w:hAnsi="Arial" w:cs="Arial"/>
                <w:b/>
                <w:kern w:val="22"/>
                <w:sz w:val="32"/>
                <w:szCs w:val="32"/>
              </w:rPr>
              <w:t>CBD</w:t>
            </w:r>
          </w:p>
        </w:tc>
      </w:tr>
      <w:bookmarkEnd w:id="0"/>
      <w:tr w:rsidR="00C9161D" w:rsidRPr="00450AA1" w:rsidTr="00CF1848">
        <w:tc>
          <w:tcPr>
            <w:tcW w:w="6117" w:type="dxa"/>
            <w:gridSpan w:val="2"/>
            <w:tcBorders>
              <w:top w:val="single" w:sz="12" w:space="0" w:color="auto"/>
              <w:bottom w:val="single" w:sz="36" w:space="0" w:color="auto"/>
            </w:tcBorders>
            <w:vAlign w:val="center"/>
          </w:tcPr>
          <w:p w:rsidR="00C9161D" w:rsidRPr="00450AA1" w:rsidRDefault="00C9161D" w:rsidP="00A567F3">
            <w:pPr>
              <w:kinsoku w:val="0"/>
              <w:overflowPunct w:val="0"/>
              <w:autoSpaceDE w:val="0"/>
              <w:autoSpaceDN w:val="0"/>
              <w:snapToGrid w:val="0"/>
              <w:rPr>
                <w:kern w:val="22"/>
              </w:rPr>
            </w:pPr>
            <w:r w:rsidRPr="00450AA1">
              <w:rPr>
                <w:noProof/>
                <w:kern w:val="22"/>
                <w:lang w:eastAsia="zh-CN"/>
              </w:rPr>
              <w:drawing>
                <wp:inline distT="0" distB="0" distL="0" distR="0" wp14:anchorId="0E1864F9" wp14:editId="58E6683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A5B18" w:rsidRDefault="00C9161D" w:rsidP="00A567F3">
            <w:pPr>
              <w:kinsoku w:val="0"/>
              <w:overflowPunct w:val="0"/>
              <w:autoSpaceDE w:val="0"/>
              <w:autoSpaceDN w:val="0"/>
              <w:snapToGrid w:val="0"/>
              <w:ind w:left="1215"/>
              <w:rPr>
                <w:kern w:val="22"/>
                <w:szCs w:val="22"/>
              </w:rPr>
            </w:pPr>
            <w:r w:rsidRPr="00CA5B18">
              <w:rPr>
                <w:kern w:val="22"/>
                <w:szCs w:val="22"/>
              </w:rPr>
              <w:t>Distr.</w:t>
            </w:r>
          </w:p>
          <w:p w:rsidR="00C9161D" w:rsidRPr="00CA5B18" w:rsidRDefault="00A567F3" w:rsidP="00A567F3">
            <w:pPr>
              <w:kinsoku w:val="0"/>
              <w:overflowPunct w:val="0"/>
              <w:autoSpaceDE w:val="0"/>
              <w:autoSpaceDN w:val="0"/>
              <w:snapToGrid w:val="0"/>
              <w:ind w:left="1215"/>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A567F3">
                  <w:rPr>
                    <w:kern w:val="22"/>
                    <w:szCs w:val="22"/>
                  </w:rPr>
                  <w:t>GENERAL</w:t>
                </w:r>
              </w:sdtContent>
            </w:sdt>
          </w:p>
          <w:p w:rsidR="00C9161D" w:rsidRPr="00CA5B18" w:rsidRDefault="00C9161D" w:rsidP="00A567F3">
            <w:pPr>
              <w:kinsoku w:val="0"/>
              <w:overflowPunct w:val="0"/>
              <w:autoSpaceDE w:val="0"/>
              <w:autoSpaceDN w:val="0"/>
              <w:snapToGrid w:val="0"/>
              <w:ind w:left="1215"/>
              <w:rPr>
                <w:kern w:val="22"/>
                <w:szCs w:val="22"/>
              </w:rPr>
            </w:pPr>
          </w:p>
          <w:p w:rsidR="00C9161D" w:rsidRPr="00CA5B18" w:rsidRDefault="00A567F3" w:rsidP="00A567F3">
            <w:pPr>
              <w:kinsoku w:val="0"/>
              <w:overflowPunct w:val="0"/>
              <w:autoSpaceDE w:val="0"/>
              <w:autoSpaceDN w:val="0"/>
              <w:snapToGrid w:val="0"/>
              <w:ind w:left="1215"/>
              <w:rPr>
                <w:kern w:val="22"/>
                <w:szCs w:val="22"/>
              </w:rPr>
            </w:pPr>
            <w:sdt>
              <w:sdtPr>
                <w:rPr>
                  <w:bCs/>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B57F5" w:rsidRPr="00A567F3">
                  <w:rPr>
                    <w:bCs/>
                    <w:kern w:val="22"/>
                    <w:szCs w:val="22"/>
                  </w:rPr>
                  <w:t>CBD/ABS/CB-IAC/2018/1/3</w:t>
                </w:r>
              </w:sdtContent>
            </w:sdt>
          </w:p>
          <w:p w:rsidR="00C9161D" w:rsidRPr="00CA5B18" w:rsidRDefault="00A567F3" w:rsidP="00A567F3">
            <w:pPr>
              <w:kinsoku w:val="0"/>
              <w:overflowPunct w:val="0"/>
              <w:autoSpaceDE w:val="0"/>
              <w:autoSpaceDN w:val="0"/>
              <w:snapToGrid w:val="0"/>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2-20T00:00:00Z">
                  <w:dateFormat w:val="d MMMM yyyy"/>
                  <w:lid w:val="en-US"/>
                  <w:storeMappedDataAs w:val="dateTime"/>
                  <w:calendar w:val="gregorian"/>
                </w:date>
              </w:sdtPr>
              <w:sdtEndPr/>
              <w:sdtContent>
                <w:r w:rsidR="001B57F5" w:rsidRPr="00CA5B18">
                  <w:rPr>
                    <w:kern w:val="22"/>
                    <w:szCs w:val="22"/>
                  </w:rPr>
                  <w:t>20 February 2018</w:t>
                </w:r>
              </w:sdtContent>
            </w:sdt>
          </w:p>
          <w:p w:rsidR="00C9161D" w:rsidRPr="00CA5B18" w:rsidRDefault="00C9161D" w:rsidP="00A567F3">
            <w:pPr>
              <w:kinsoku w:val="0"/>
              <w:overflowPunct w:val="0"/>
              <w:autoSpaceDE w:val="0"/>
              <w:autoSpaceDN w:val="0"/>
              <w:snapToGrid w:val="0"/>
              <w:ind w:left="1215"/>
              <w:rPr>
                <w:kern w:val="22"/>
                <w:szCs w:val="22"/>
              </w:rPr>
            </w:pPr>
          </w:p>
          <w:p w:rsidR="00C9161D" w:rsidRPr="00CA5B18" w:rsidRDefault="00C9161D" w:rsidP="00A567F3">
            <w:pPr>
              <w:kinsoku w:val="0"/>
              <w:overflowPunct w:val="0"/>
              <w:autoSpaceDE w:val="0"/>
              <w:autoSpaceDN w:val="0"/>
              <w:snapToGrid w:val="0"/>
              <w:ind w:left="1215"/>
              <w:rPr>
                <w:kern w:val="22"/>
                <w:szCs w:val="22"/>
              </w:rPr>
            </w:pPr>
            <w:r w:rsidRPr="00CA5B18">
              <w:rPr>
                <w:kern w:val="22"/>
                <w:szCs w:val="22"/>
              </w:rPr>
              <w:t>ENGLISH</w:t>
            </w:r>
            <w:r w:rsidR="00172AF6" w:rsidRPr="00CA5B18">
              <w:rPr>
                <w:kern w:val="22"/>
                <w:szCs w:val="22"/>
              </w:rPr>
              <w:t xml:space="preserve"> ONLY</w:t>
            </w:r>
          </w:p>
          <w:p w:rsidR="00C9161D" w:rsidRPr="00A567F3" w:rsidRDefault="00C9161D" w:rsidP="00A567F3">
            <w:pPr>
              <w:kinsoku w:val="0"/>
              <w:overflowPunct w:val="0"/>
              <w:autoSpaceDE w:val="0"/>
              <w:autoSpaceDN w:val="0"/>
              <w:snapToGrid w:val="0"/>
              <w:rPr>
                <w:kern w:val="22"/>
                <w:szCs w:val="22"/>
              </w:rPr>
            </w:pPr>
          </w:p>
        </w:tc>
      </w:tr>
    </w:tbl>
    <w:p w:rsidR="00DE6386" w:rsidRPr="00A567F3" w:rsidRDefault="00DE6386" w:rsidP="00A567F3">
      <w:pPr>
        <w:kinsoku w:val="0"/>
        <w:overflowPunct w:val="0"/>
        <w:autoSpaceDE w:val="0"/>
        <w:autoSpaceDN w:val="0"/>
        <w:snapToGrid w:val="0"/>
        <w:ind w:left="142" w:right="5493" w:hanging="142"/>
        <w:jc w:val="left"/>
        <w:rPr>
          <w:rFonts w:eastAsia="Malgun Gothic"/>
          <w:snapToGrid w:val="0"/>
          <w:kern w:val="22"/>
          <w:szCs w:val="22"/>
        </w:rPr>
      </w:pPr>
      <w:r w:rsidRPr="00A567F3">
        <w:rPr>
          <w:rFonts w:eastAsia="Malgun Gothic"/>
          <w:snapToGrid w:val="0"/>
          <w:kern w:val="22"/>
          <w:szCs w:val="22"/>
        </w:rPr>
        <w:t>INFORMAL ADVISORY COMMITTEE ON CAPACITY</w:t>
      </w:r>
      <w:r w:rsidRPr="00A567F3">
        <w:rPr>
          <w:rFonts w:eastAsia="Malgun Gothic"/>
          <w:snapToGrid w:val="0"/>
          <w:kern w:val="22"/>
          <w:szCs w:val="22"/>
        </w:rPr>
        <w:noBreakHyphen/>
        <w:t>BUILDING FOR THE IMPLEMENTATION OF THE NAGOYA PROTOCOL</w:t>
      </w:r>
    </w:p>
    <w:p w:rsidR="00DE6386" w:rsidRPr="00A567F3" w:rsidRDefault="00DE6386" w:rsidP="00A567F3">
      <w:pPr>
        <w:kinsoku w:val="0"/>
        <w:overflowPunct w:val="0"/>
        <w:autoSpaceDE w:val="0"/>
        <w:autoSpaceDN w:val="0"/>
        <w:snapToGrid w:val="0"/>
        <w:ind w:left="142" w:right="3691" w:hanging="142"/>
        <w:jc w:val="left"/>
        <w:rPr>
          <w:rFonts w:eastAsia="Malgun Gothic"/>
          <w:snapToGrid w:val="0"/>
          <w:kern w:val="22"/>
          <w:szCs w:val="22"/>
        </w:rPr>
      </w:pPr>
      <w:r w:rsidRPr="00A567F3">
        <w:rPr>
          <w:rFonts w:eastAsia="Malgun Gothic"/>
          <w:snapToGrid w:val="0"/>
          <w:kern w:val="22"/>
          <w:szCs w:val="22"/>
        </w:rPr>
        <w:t>Third meeting</w:t>
      </w:r>
    </w:p>
    <w:p w:rsidR="00DE6386" w:rsidRPr="00A567F3" w:rsidRDefault="00DE6386" w:rsidP="00A567F3">
      <w:pPr>
        <w:kinsoku w:val="0"/>
        <w:overflowPunct w:val="0"/>
        <w:autoSpaceDE w:val="0"/>
        <w:autoSpaceDN w:val="0"/>
        <w:snapToGrid w:val="0"/>
        <w:ind w:left="142" w:right="3691" w:hanging="142"/>
        <w:jc w:val="left"/>
        <w:rPr>
          <w:rFonts w:eastAsia="Malgun Gothic"/>
          <w:snapToGrid w:val="0"/>
          <w:kern w:val="22"/>
          <w:szCs w:val="22"/>
        </w:rPr>
      </w:pPr>
      <w:r w:rsidRPr="00A567F3">
        <w:rPr>
          <w:rFonts w:eastAsia="Malgun Gothic"/>
          <w:snapToGrid w:val="0"/>
          <w:kern w:val="22"/>
          <w:szCs w:val="22"/>
        </w:rPr>
        <w:t>Montreal, Canada, 20-22 March 2018</w:t>
      </w:r>
    </w:p>
    <w:p w:rsidR="00C9161D" w:rsidRPr="00CA5B18" w:rsidRDefault="00DE6386" w:rsidP="00A567F3">
      <w:pPr>
        <w:pStyle w:val="Cornernotation"/>
        <w:kinsoku w:val="0"/>
        <w:overflowPunct w:val="0"/>
        <w:autoSpaceDE w:val="0"/>
        <w:autoSpaceDN w:val="0"/>
        <w:snapToGrid w:val="0"/>
        <w:ind w:left="142" w:right="3548" w:hanging="142"/>
        <w:rPr>
          <w:kern w:val="22"/>
          <w:szCs w:val="22"/>
        </w:rPr>
      </w:pPr>
      <w:r w:rsidRPr="00A567F3">
        <w:rPr>
          <w:rFonts w:eastAsia="MS Mincho"/>
          <w:snapToGrid w:val="0"/>
          <w:kern w:val="22"/>
          <w:szCs w:val="22"/>
        </w:rPr>
        <w:t>Item 4 of the provisional agenda</w:t>
      </w:r>
      <w:r w:rsidRPr="00A567F3">
        <w:rPr>
          <w:rFonts w:eastAsia="MS Mincho"/>
          <w:snapToGrid w:val="0"/>
          <w:kern w:val="22"/>
          <w:szCs w:val="22"/>
          <w:vertAlign w:val="superscript"/>
        </w:rPr>
        <w:footnoteReference w:customMarkFollows="1" w:id="1"/>
        <w:t>*</w:t>
      </w:r>
    </w:p>
    <w:p w:rsidR="00D406B3" w:rsidRPr="00A567F3" w:rsidRDefault="00A567F3" w:rsidP="00A567F3">
      <w:pPr>
        <w:kinsoku w:val="0"/>
        <w:overflowPunct w:val="0"/>
        <w:autoSpaceDE w:val="0"/>
        <w:autoSpaceDN w:val="0"/>
        <w:snapToGrid w:val="0"/>
        <w:spacing w:before="120" w:after="240"/>
        <w:ind w:left="284" w:right="248"/>
        <w:jc w:val="center"/>
        <w:rPr>
          <w:b/>
          <w:caps/>
          <w:kern w:val="22"/>
          <w:szCs w:val="22"/>
        </w:rPr>
      </w:pPr>
      <w:sdt>
        <w:sdtPr>
          <w:rP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C4ADE" w:rsidRPr="00A567F3">
            <w:rPr>
              <w:b/>
              <w:caps/>
              <w:kern w:val="22"/>
              <w:szCs w:val="22"/>
            </w:rPr>
            <w:t>Elements for the evaluation of the strategic framework for capacity</w:t>
          </w:r>
          <w:r w:rsidR="00EC4ADE" w:rsidRPr="00A567F3">
            <w:rPr>
              <w:b/>
              <w:caps/>
              <w:kern w:val="22"/>
              <w:szCs w:val="22"/>
            </w:rPr>
            <w:noBreakHyphen/>
            <w:t>building and development to support the effective implementation of the Nagoya Protocol on Access and Benefit</w:t>
          </w:r>
          <w:r w:rsidR="00EC4ADE" w:rsidRPr="00A567F3">
            <w:rPr>
              <w:b/>
              <w:caps/>
              <w:kern w:val="22"/>
              <w:szCs w:val="22"/>
            </w:rPr>
            <w:noBreakHyphen/>
            <w:t>sharing</w:t>
          </w:r>
        </w:sdtContent>
      </w:sdt>
      <w:r w:rsidR="00105372" w:rsidRPr="00A567F3">
        <w:rPr>
          <w:b/>
          <w:caps/>
          <w:kern w:val="22"/>
          <w:szCs w:val="22"/>
        </w:rPr>
        <w:t xml:space="preserve"> </w:t>
      </w:r>
    </w:p>
    <w:p w:rsidR="00D406B3" w:rsidRPr="00A567F3" w:rsidRDefault="00D406B3" w:rsidP="00A567F3">
      <w:pPr>
        <w:kinsoku w:val="0"/>
        <w:overflowPunct w:val="0"/>
        <w:autoSpaceDE w:val="0"/>
        <w:autoSpaceDN w:val="0"/>
        <w:snapToGrid w:val="0"/>
        <w:jc w:val="center"/>
        <w:rPr>
          <w:i/>
          <w:kern w:val="22"/>
          <w:szCs w:val="22"/>
        </w:rPr>
      </w:pPr>
      <w:r w:rsidRPr="00A567F3">
        <w:rPr>
          <w:i/>
          <w:kern w:val="22"/>
          <w:szCs w:val="22"/>
        </w:rPr>
        <w:t>Note by the Executive Secretary</w:t>
      </w:r>
    </w:p>
    <w:p w:rsidR="00D406B3" w:rsidRPr="00CA5B18" w:rsidRDefault="00D406B3" w:rsidP="00A567F3">
      <w:pPr>
        <w:pStyle w:val="Heading1"/>
        <w:pBdr>
          <w:top w:val="nil"/>
          <w:left w:val="nil"/>
          <w:bottom w:val="nil"/>
          <w:right w:val="nil"/>
          <w:between w:val="nil"/>
          <w:bar w:val="nil"/>
        </w:pBdr>
        <w:tabs>
          <w:tab w:val="clear" w:pos="720"/>
        </w:tabs>
        <w:kinsoku w:val="0"/>
        <w:overflowPunct w:val="0"/>
        <w:autoSpaceDE w:val="0"/>
        <w:autoSpaceDN w:val="0"/>
        <w:snapToGrid w:val="0"/>
        <w:spacing w:before="120"/>
        <w:rPr>
          <w:rFonts w:eastAsia="Arial Unicode MS"/>
          <w:bCs/>
          <w:snapToGrid w:val="0"/>
          <w:color w:val="000000"/>
          <w:kern w:val="22"/>
          <w:szCs w:val="22"/>
          <w:u w:color="000000"/>
          <w:bdr w:val="nil"/>
        </w:rPr>
      </w:pPr>
      <w:r w:rsidRPr="00CA5B18">
        <w:rPr>
          <w:rFonts w:eastAsia="Arial Unicode MS"/>
          <w:bCs/>
          <w:snapToGrid w:val="0"/>
          <w:color w:val="000000"/>
          <w:kern w:val="22"/>
          <w:szCs w:val="22"/>
          <w:u w:color="000000"/>
          <w:bdr w:val="nil"/>
        </w:rPr>
        <w:t>Introduction</w:t>
      </w:r>
    </w:p>
    <w:p w:rsidR="00D406B3" w:rsidRPr="00CA5B18"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A567F3">
        <w:rPr>
          <w:kern w:val="22"/>
          <w:szCs w:val="22"/>
        </w:rPr>
        <w:t>At its first meeting, the Conference of the Parties serving as the meeting of the Parties to the Nagoya Protocol</w:t>
      </w:r>
      <w:r w:rsidR="00FB4E80" w:rsidRPr="00A567F3">
        <w:rPr>
          <w:kern w:val="22"/>
          <w:szCs w:val="22"/>
        </w:rPr>
        <w:t xml:space="preserve"> </w:t>
      </w:r>
      <w:r w:rsidRPr="00A567F3">
        <w:rPr>
          <w:kern w:val="22"/>
          <w:szCs w:val="22"/>
        </w:rPr>
        <w:t xml:space="preserve">adopted a strategic framework for capacity-building and development to support the </w:t>
      </w:r>
      <w:proofErr w:type="gramStart"/>
      <w:r w:rsidRPr="00A567F3">
        <w:rPr>
          <w:kern w:val="22"/>
          <w:szCs w:val="22"/>
        </w:rPr>
        <w:t>implementation</w:t>
      </w:r>
      <w:proofErr w:type="gramEnd"/>
      <w:r w:rsidRPr="00A567F3">
        <w:rPr>
          <w:kern w:val="22"/>
          <w:szCs w:val="22"/>
        </w:rPr>
        <w:t xml:space="preserve"> of the Nagoya Protocol (</w:t>
      </w:r>
      <w:hyperlink r:id="rId13" w:history="1">
        <w:r w:rsidRPr="00A567F3">
          <w:rPr>
            <w:rStyle w:val="Hyperlink"/>
            <w:sz w:val="22"/>
          </w:rPr>
          <w:t>decision NP-1/8</w:t>
        </w:r>
      </w:hyperlink>
      <w:r w:rsidRPr="00CA5B18">
        <w:rPr>
          <w:kern w:val="22"/>
          <w:szCs w:val="22"/>
        </w:rPr>
        <w:t>, annex I) and established an informal advisory committee on capacity-building to provide advice to the Executive Secretary on matters of relevance to the assessment of the effectiveness of the strategic framework (decision NP-1/8, para.</w:t>
      </w:r>
      <w:r w:rsidR="00E275F6">
        <w:rPr>
          <w:kern w:val="22"/>
          <w:szCs w:val="22"/>
        </w:rPr>
        <w:t> </w:t>
      </w:r>
      <w:r w:rsidRPr="00CA5B18">
        <w:rPr>
          <w:kern w:val="22"/>
          <w:szCs w:val="22"/>
        </w:rPr>
        <w:t>2).</w:t>
      </w:r>
    </w:p>
    <w:p w:rsidR="00D406B3" w:rsidRPr="00CA5B18"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CA5B18">
        <w:rPr>
          <w:kern w:val="22"/>
          <w:szCs w:val="22"/>
        </w:rPr>
        <w:t xml:space="preserve">In paragraph 10(f) of the same decision, the Executive Secretary </w:t>
      </w:r>
      <w:r w:rsidR="003C7202">
        <w:rPr>
          <w:kern w:val="22"/>
          <w:szCs w:val="22"/>
        </w:rPr>
        <w:t>was</w:t>
      </w:r>
      <w:r w:rsidR="003C7202" w:rsidRPr="00CA5B18">
        <w:rPr>
          <w:kern w:val="22"/>
          <w:szCs w:val="22"/>
        </w:rPr>
        <w:t xml:space="preserve"> </w:t>
      </w:r>
      <w:r w:rsidRPr="00CA5B18">
        <w:rPr>
          <w:kern w:val="22"/>
          <w:szCs w:val="22"/>
        </w:rPr>
        <w:t>requested to prepare an evaluation of the strategic framework in 2019 and submit the evaluation report for consideration by the meeting of the Parties to the Nagoya Protocol in 2020 to facilitate the review and possible revision of the strategic framework in conjunction with the review of the Strategic Plan for Biodiversity 2011-2020.</w:t>
      </w:r>
    </w:p>
    <w:p w:rsidR="00D406B3" w:rsidRPr="00A567F3"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CA5B18">
        <w:rPr>
          <w:kern w:val="22"/>
          <w:szCs w:val="22"/>
        </w:rPr>
        <w:t>Furthermore, at its second meeting</w:t>
      </w:r>
      <w:r w:rsidRPr="00A567F3">
        <w:rPr>
          <w:kern w:val="22"/>
          <w:szCs w:val="22"/>
        </w:rPr>
        <w:t xml:space="preserve">, the Conference of </w:t>
      </w:r>
      <w:r w:rsidR="003C7202">
        <w:rPr>
          <w:kern w:val="22"/>
          <w:szCs w:val="22"/>
        </w:rPr>
        <w:t xml:space="preserve">the </w:t>
      </w:r>
      <w:r w:rsidRPr="00CA5B18">
        <w:rPr>
          <w:kern w:val="22"/>
          <w:szCs w:val="22"/>
        </w:rPr>
        <w:t xml:space="preserve">Parties serving as the meeting of the Parties to the Nagoya Protocol requested the Executive Secretary, in consultation with the </w:t>
      </w:r>
      <w:r w:rsidR="00E275F6">
        <w:rPr>
          <w:kern w:val="22"/>
          <w:szCs w:val="22"/>
        </w:rPr>
        <w:t>I</w:t>
      </w:r>
      <w:r w:rsidRPr="00A567F3">
        <w:rPr>
          <w:kern w:val="22"/>
          <w:szCs w:val="22"/>
        </w:rPr>
        <w:t xml:space="preserve">nformal </w:t>
      </w:r>
      <w:r w:rsidR="00E275F6">
        <w:rPr>
          <w:kern w:val="22"/>
          <w:szCs w:val="22"/>
        </w:rPr>
        <w:t>A</w:t>
      </w:r>
      <w:r w:rsidRPr="00A567F3">
        <w:rPr>
          <w:kern w:val="22"/>
          <w:szCs w:val="22"/>
        </w:rPr>
        <w:t xml:space="preserve">dvisory </w:t>
      </w:r>
      <w:r w:rsidR="00E275F6">
        <w:rPr>
          <w:kern w:val="22"/>
          <w:szCs w:val="22"/>
        </w:rPr>
        <w:t>C</w:t>
      </w:r>
      <w:r w:rsidRPr="00A567F3">
        <w:rPr>
          <w:kern w:val="22"/>
          <w:szCs w:val="22"/>
        </w:rPr>
        <w:t>ommittee, to prepare during the intersessional period elements for the evaluation of the strategic framework, in accordance with decision NP-1/8, paragraph 10(f), for consideration by the Conference of the Parties serving as the meeting of the Parties to the Nagoya Protocol at its third meeting</w:t>
      </w:r>
      <w:r w:rsidR="00E275F6">
        <w:rPr>
          <w:kern w:val="22"/>
          <w:szCs w:val="22"/>
        </w:rPr>
        <w:t xml:space="preserve"> </w:t>
      </w:r>
      <w:r w:rsidR="00E275F6" w:rsidRPr="00DF7ADC">
        <w:rPr>
          <w:kern w:val="22"/>
          <w:szCs w:val="22"/>
        </w:rPr>
        <w:t>(</w:t>
      </w:r>
      <w:hyperlink r:id="rId14" w:history="1">
        <w:r w:rsidR="00E275F6" w:rsidRPr="00E275F6">
          <w:rPr>
            <w:rStyle w:val="Hyperlink"/>
            <w:kern w:val="22"/>
            <w:sz w:val="22"/>
            <w:szCs w:val="22"/>
          </w:rPr>
          <w:t>decision NP-2/8</w:t>
        </w:r>
      </w:hyperlink>
      <w:r w:rsidR="00E275F6" w:rsidRPr="00DF7ADC">
        <w:rPr>
          <w:kern w:val="22"/>
          <w:szCs w:val="22"/>
        </w:rPr>
        <w:t>, para.</w:t>
      </w:r>
      <w:r w:rsidR="00E275F6">
        <w:rPr>
          <w:kern w:val="22"/>
          <w:szCs w:val="22"/>
        </w:rPr>
        <w:t> </w:t>
      </w:r>
      <w:r w:rsidR="00E275F6" w:rsidRPr="00DF7ADC">
        <w:rPr>
          <w:kern w:val="22"/>
          <w:szCs w:val="22"/>
        </w:rPr>
        <w:t>10)</w:t>
      </w:r>
      <w:r w:rsidRPr="00A567F3">
        <w:rPr>
          <w:kern w:val="22"/>
          <w:szCs w:val="22"/>
        </w:rPr>
        <w:t>.</w:t>
      </w:r>
    </w:p>
    <w:p w:rsidR="00D406B3" w:rsidRPr="00A567F3"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A567F3">
        <w:rPr>
          <w:kern w:val="22"/>
          <w:szCs w:val="22"/>
        </w:rPr>
        <w:t>In addition, at its thirteenth meeting (</w:t>
      </w:r>
      <w:hyperlink r:id="rId15" w:history="1">
        <w:r w:rsidRPr="00A567F3">
          <w:rPr>
            <w:rStyle w:val="Hyperlink"/>
            <w:sz w:val="22"/>
            <w:szCs w:val="22"/>
          </w:rPr>
          <w:t>decision XIII/23</w:t>
        </w:r>
      </w:hyperlink>
      <w:r w:rsidRPr="00A567F3">
        <w:rPr>
          <w:kern w:val="22"/>
          <w:szCs w:val="22"/>
        </w:rPr>
        <w:t xml:space="preserve">), the Conference of </w:t>
      </w:r>
      <w:r w:rsidR="00ED5E50" w:rsidRPr="00A567F3">
        <w:rPr>
          <w:kern w:val="22"/>
          <w:szCs w:val="22"/>
        </w:rPr>
        <w:t xml:space="preserve">the </w:t>
      </w:r>
      <w:r w:rsidRPr="00A567F3">
        <w:rPr>
          <w:kern w:val="22"/>
          <w:szCs w:val="22"/>
        </w:rPr>
        <w:t>Parties requested the Executive Secretary to initiate the process for preparing a long-term strategic framework for capacity</w:t>
      </w:r>
      <w:r w:rsidR="00ED5E50" w:rsidRPr="00A567F3">
        <w:rPr>
          <w:kern w:val="22"/>
          <w:szCs w:val="22"/>
        </w:rPr>
        <w:noBreakHyphen/>
      </w:r>
      <w:r w:rsidRPr="00A567F3">
        <w:rPr>
          <w:kern w:val="22"/>
          <w:szCs w:val="22"/>
        </w:rPr>
        <w:t>building beyond 2020, ensuring its alignment with the follow-up to the Strategic Plan for Biodiversity 2011-2020 and the work of the Protocols, and ensuring its coordination with the time table for the development of this framework, with a view to the timely identification of the priority capacity-building actions, for consideration by the Subsidiary Body on Implementation at its third meeting and for subsequent consideration by the Conference of the Parties at its fifteenth meeting.</w:t>
      </w:r>
    </w:p>
    <w:p w:rsidR="00D406B3" w:rsidRPr="00A567F3"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A567F3">
        <w:rPr>
          <w:kern w:val="22"/>
          <w:szCs w:val="22"/>
        </w:rPr>
        <w:t xml:space="preserve">The present document provides suggestions on elements for consideration and advice by the Informal Advisory Committee regarding the evaluation of the </w:t>
      </w:r>
      <w:r w:rsidR="0073426B" w:rsidRPr="00A567F3">
        <w:rPr>
          <w:kern w:val="22"/>
          <w:szCs w:val="22"/>
        </w:rPr>
        <w:t>s</w:t>
      </w:r>
      <w:r w:rsidRPr="00A567F3">
        <w:rPr>
          <w:kern w:val="22"/>
          <w:szCs w:val="22"/>
        </w:rPr>
        <w:t xml:space="preserve">trategic </w:t>
      </w:r>
      <w:r w:rsidR="0073426B" w:rsidRPr="00A567F3">
        <w:rPr>
          <w:kern w:val="22"/>
          <w:szCs w:val="22"/>
        </w:rPr>
        <w:t>f</w:t>
      </w:r>
      <w:r w:rsidRPr="00A567F3">
        <w:rPr>
          <w:kern w:val="22"/>
          <w:szCs w:val="22"/>
        </w:rPr>
        <w:t>ramework for capacity-building and development to support the implementation of the Nagoya Protocol.</w:t>
      </w:r>
    </w:p>
    <w:p w:rsidR="00D406B3" w:rsidRPr="00A567F3" w:rsidRDefault="00743F07" w:rsidP="00A567F3">
      <w:pPr>
        <w:pStyle w:val="Heading1"/>
        <w:kinsoku w:val="0"/>
        <w:overflowPunct w:val="0"/>
        <w:autoSpaceDE w:val="0"/>
        <w:autoSpaceDN w:val="0"/>
        <w:snapToGrid w:val="0"/>
        <w:rPr>
          <w:rFonts w:ascii="Times New Roman Bold" w:hAnsi="Times New Roman Bold" w:cs="Times New Roman Bold"/>
          <w:bCs/>
          <w:kern w:val="22"/>
          <w:szCs w:val="22"/>
        </w:rPr>
      </w:pPr>
      <w:r w:rsidRPr="00A567F3">
        <w:rPr>
          <w:rFonts w:ascii="Times New Roman Bold" w:hAnsi="Times New Roman Bold" w:cs="Times New Roman Bold"/>
          <w:bCs/>
          <w:kern w:val="22"/>
          <w:szCs w:val="22"/>
        </w:rPr>
        <w:lastRenderedPageBreak/>
        <w:t>Proposal of key elements for the evaluation</w:t>
      </w:r>
    </w:p>
    <w:p w:rsidR="00D406B3" w:rsidRPr="00A567F3"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A567F3">
        <w:rPr>
          <w:kern w:val="22"/>
          <w:szCs w:val="22"/>
        </w:rPr>
        <w:t xml:space="preserve">In paragraph 10 of decision NP-2/8, the </w:t>
      </w:r>
      <w:r w:rsidR="00AF22FE" w:rsidRPr="00A567F3">
        <w:rPr>
          <w:kern w:val="22"/>
          <w:szCs w:val="22"/>
        </w:rPr>
        <w:t>Conference of the Parties serving as the meeting of the Parties to the Protocol</w:t>
      </w:r>
      <w:r w:rsidRPr="00A567F3">
        <w:rPr>
          <w:kern w:val="22"/>
          <w:szCs w:val="22"/>
        </w:rPr>
        <w:t xml:space="preserve"> essentially called for the elaboration of draft terms of reference to guide the </w:t>
      </w:r>
      <w:r w:rsidR="000B47F6" w:rsidRPr="00A567F3">
        <w:rPr>
          <w:kern w:val="22"/>
          <w:szCs w:val="22"/>
        </w:rPr>
        <w:t>s</w:t>
      </w:r>
      <w:r w:rsidRPr="00A567F3">
        <w:rPr>
          <w:kern w:val="22"/>
          <w:szCs w:val="22"/>
        </w:rPr>
        <w:t xml:space="preserve">trategic </w:t>
      </w:r>
      <w:r w:rsidR="000B47F6" w:rsidRPr="00A567F3">
        <w:rPr>
          <w:kern w:val="22"/>
          <w:szCs w:val="22"/>
        </w:rPr>
        <w:t>f</w:t>
      </w:r>
      <w:r w:rsidRPr="00A567F3">
        <w:rPr>
          <w:kern w:val="22"/>
          <w:szCs w:val="22"/>
        </w:rPr>
        <w:t>ramework evaluation exercise. In response to this request, the following elements are proposed for the evaluation. They cover the objectives, scope, the methodology and the sources of information to be used in the evaluation.</w:t>
      </w:r>
    </w:p>
    <w:p w:rsidR="00D406B3" w:rsidRPr="00A567F3" w:rsidRDefault="00D406B3" w:rsidP="00A567F3">
      <w:pPr>
        <w:kinsoku w:val="0"/>
        <w:overflowPunct w:val="0"/>
        <w:autoSpaceDE w:val="0"/>
        <w:autoSpaceDN w:val="0"/>
        <w:snapToGrid w:val="0"/>
        <w:jc w:val="center"/>
        <w:rPr>
          <w:b/>
          <w:kern w:val="22"/>
          <w:szCs w:val="22"/>
        </w:rPr>
      </w:pPr>
      <w:r w:rsidRPr="00A567F3">
        <w:rPr>
          <w:b/>
          <w:kern w:val="22"/>
          <w:szCs w:val="22"/>
        </w:rPr>
        <w:t>A.</w:t>
      </w:r>
      <w:r w:rsidR="00DE6386" w:rsidRPr="00A567F3">
        <w:rPr>
          <w:b/>
          <w:kern w:val="22"/>
          <w:szCs w:val="22"/>
        </w:rPr>
        <w:tab/>
      </w:r>
      <w:r w:rsidRPr="00A567F3">
        <w:rPr>
          <w:b/>
          <w:kern w:val="22"/>
          <w:szCs w:val="22"/>
        </w:rPr>
        <w:t>Scope and objectives of the evaluation</w:t>
      </w:r>
    </w:p>
    <w:p w:rsidR="00D406B3" w:rsidRPr="00CA5B18"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A567F3">
        <w:rPr>
          <w:kern w:val="22"/>
          <w:szCs w:val="22"/>
        </w:rPr>
        <w:t xml:space="preserve">It is proposed that the exercise focus on evaluating the relevance and effectiveness of the </w:t>
      </w:r>
      <w:r w:rsidR="000B47F6" w:rsidRPr="00A567F3">
        <w:rPr>
          <w:kern w:val="22"/>
          <w:szCs w:val="22"/>
        </w:rPr>
        <w:t>s</w:t>
      </w:r>
      <w:r w:rsidRPr="00A567F3">
        <w:rPr>
          <w:kern w:val="22"/>
          <w:szCs w:val="22"/>
        </w:rPr>
        <w:t xml:space="preserve">trategic </w:t>
      </w:r>
      <w:r w:rsidR="000B47F6" w:rsidRPr="00A567F3">
        <w:rPr>
          <w:kern w:val="22"/>
          <w:szCs w:val="22"/>
        </w:rPr>
        <w:t>f</w:t>
      </w:r>
      <w:r w:rsidRPr="00A567F3">
        <w:rPr>
          <w:kern w:val="22"/>
          <w:szCs w:val="22"/>
        </w:rPr>
        <w:t xml:space="preserve">ramework in guiding the capacity-building and development efforts during the short and medium term (2014-2020) and offering recommendations that could be useful for the possible revision of the </w:t>
      </w:r>
      <w:r w:rsidR="000B47F6" w:rsidRPr="00A567F3">
        <w:rPr>
          <w:kern w:val="22"/>
          <w:szCs w:val="22"/>
        </w:rPr>
        <w:t>s</w:t>
      </w:r>
      <w:r w:rsidRPr="00A567F3">
        <w:rPr>
          <w:kern w:val="22"/>
          <w:szCs w:val="22"/>
        </w:rPr>
        <w:t xml:space="preserve">trategic </w:t>
      </w:r>
      <w:r w:rsidR="000B47F6" w:rsidRPr="00CA5B18">
        <w:rPr>
          <w:kern w:val="22"/>
          <w:szCs w:val="22"/>
        </w:rPr>
        <w:t>f</w:t>
      </w:r>
      <w:r w:rsidRPr="00CA5B18">
        <w:rPr>
          <w:kern w:val="22"/>
          <w:szCs w:val="22"/>
        </w:rPr>
        <w:t>ramework beyond 2020. In other words, the main focus of the evaluation will be to assess the contribution of the Strategic Framework in helping foster a strategic, coherent and coordinated approach to capacity-building and development for the effective implementation of the Nagoya Protocol.</w:t>
      </w:r>
    </w:p>
    <w:p w:rsidR="00D406B3" w:rsidRPr="00A567F3"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CA5B18">
        <w:rPr>
          <w:kern w:val="22"/>
          <w:szCs w:val="22"/>
        </w:rPr>
        <w:t>Specifically, the objectives of the evaluation will be threefold:</w:t>
      </w:r>
    </w:p>
    <w:p w:rsidR="00D406B3" w:rsidRPr="00A567F3" w:rsidRDefault="00D406B3" w:rsidP="00A567F3">
      <w:pPr>
        <w:numPr>
          <w:ilvl w:val="0"/>
          <w:numId w:val="22"/>
        </w:numPr>
        <w:kinsoku w:val="0"/>
        <w:overflowPunct w:val="0"/>
        <w:autoSpaceDE w:val="0"/>
        <w:autoSpaceDN w:val="0"/>
        <w:snapToGrid w:val="0"/>
        <w:spacing w:after="120"/>
        <w:ind w:left="0" w:firstLine="720"/>
        <w:rPr>
          <w:kern w:val="22"/>
          <w:szCs w:val="22"/>
        </w:rPr>
      </w:pPr>
      <w:r w:rsidRPr="00A567F3">
        <w:rPr>
          <w:kern w:val="22"/>
          <w:szCs w:val="22"/>
        </w:rPr>
        <w:t xml:space="preserve">To take stock and review progress made with the implementation of the </w:t>
      </w:r>
      <w:r w:rsidR="00EA44BD" w:rsidRPr="00A567F3">
        <w:rPr>
          <w:kern w:val="22"/>
          <w:szCs w:val="22"/>
        </w:rPr>
        <w:t>s</w:t>
      </w:r>
      <w:r w:rsidRPr="00A567F3">
        <w:rPr>
          <w:kern w:val="22"/>
          <w:szCs w:val="22"/>
        </w:rPr>
        <w:t xml:space="preserve">trategic </w:t>
      </w:r>
      <w:r w:rsidR="00EA44BD" w:rsidRPr="00A567F3">
        <w:rPr>
          <w:kern w:val="22"/>
          <w:szCs w:val="22"/>
        </w:rPr>
        <w:t>f</w:t>
      </w:r>
      <w:r w:rsidRPr="00A567F3">
        <w:rPr>
          <w:kern w:val="22"/>
          <w:szCs w:val="22"/>
        </w:rPr>
        <w:t xml:space="preserve">ramework, including the main achievements, limitations and lessons learned since its adoption in 2014; </w:t>
      </w:r>
    </w:p>
    <w:p w:rsidR="00D406B3" w:rsidRPr="00A567F3" w:rsidRDefault="00D406B3" w:rsidP="00A567F3">
      <w:pPr>
        <w:numPr>
          <w:ilvl w:val="0"/>
          <w:numId w:val="22"/>
        </w:numPr>
        <w:kinsoku w:val="0"/>
        <w:overflowPunct w:val="0"/>
        <w:autoSpaceDE w:val="0"/>
        <w:autoSpaceDN w:val="0"/>
        <w:snapToGrid w:val="0"/>
        <w:spacing w:after="120"/>
        <w:ind w:left="0" w:firstLine="720"/>
        <w:rPr>
          <w:kern w:val="22"/>
          <w:szCs w:val="22"/>
        </w:rPr>
      </w:pPr>
      <w:r w:rsidRPr="00A567F3">
        <w:rPr>
          <w:kern w:val="22"/>
          <w:szCs w:val="22"/>
        </w:rPr>
        <w:t xml:space="preserve">To review the relevance and effectiveness of the </w:t>
      </w:r>
      <w:r w:rsidR="00EA44BD" w:rsidRPr="00A567F3">
        <w:rPr>
          <w:kern w:val="22"/>
          <w:szCs w:val="22"/>
        </w:rPr>
        <w:t>s</w:t>
      </w:r>
      <w:r w:rsidRPr="00A567F3">
        <w:rPr>
          <w:kern w:val="22"/>
          <w:szCs w:val="22"/>
        </w:rPr>
        <w:t xml:space="preserve">trategic </w:t>
      </w:r>
      <w:r w:rsidR="00EA44BD" w:rsidRPr="00A567F3">
        <w:rPr>
          <w:kern w:val="22"/>
          <w:szCs w:val="22"/>
        </w:rPr>
        <w:t>f</w:t>
      </w:r>
      <w:r w:rsidRPr="00A567F3">
        <w:rPr>
          <w:kern w:val="22"/>
          <w:szCs w:val="22"/>
        </w:rPr>
        <w:t>ramework in guiding and facilitating capacity-building efforts while fostering coordination and cooperation in the short and medium term;</w:t>
      </w:r>
    </w:p>
    <w:p w:rsidR="00D406B3" w:rsidRPr="00A567F3" w:rsidRDefault="00D406B3" w:rsidP="00A567F3">
      <w:pPr>
        <w:numPr>
          <w:ilvl w:val="0"/>
          <w:numId w:val="22"/>
        </w:numPr>
        <w:kinsoku w:val="0"/>
        <w:overflowPunct w:val="0"/>
        <w:autoSpaceDE w:val="0"/>
        <w:autoSpaceDN w:val="0"/>
        <w:snapToGrid w:val="0"/>
        <w:spacing w:after="120"/>
        <w:ind w:left="0" w:firstLine="720"/>
        <w:rPr>
          <w:kern w:val="22"/>
          <w:szCs w:val="22"/>
        </w:rPr>
      </w:pPr>
      <w:r w:rsidRPr="00A567F3">
        <w:rPr>
          <w:kern w:val="22"/>
          <w:szCs w:val="22"/>
        </w:rPr>
        <w:t>To propose options for enhanced implementation of capacity-building and make recommendations that could be taken into consideration for the preparation of the long-term strategic framework for capacity-building and development beyond 2020.</w:t>
      </w:r>
    </w:p>
    <w:p w:rsidR="00D406B3" w:rsidRPr="00A567F3" w:rsidRDefault="00D406B3" w:rsidP="00A567F3">
      <w:pPr>
        <w:kinsoku w:val="0"/>
        <w:overflowPunct w:val="0"/>
        <w:autoSpaceDE w:val="0"/>
        <w:autoSpaceDN w:val="0"/>
        <w:snapToGrid w:val="0"/>
        <w:jc w:val="center"/>
        <w:rPr>
          <w:b/>
          <w:kern w:val="22"/>
          <w:szCs w:val="22"/>
        </w:rPr>
      </w:pPr>
      <w:r w:rsidRPr="00A567F3">
        <w:rPr>
          <w:b/>
          <w:kern w:val="22"/>
          <w:szCs w:val="22"/>
        </w:rPr>
        <w:t>B.</w:t>
      </w:r>
      <w:r w:rsidR="00DE6386" w:rsidRPr="00A567F3">
        <w:rPr>
          <w:b/>
          <w:kern w:val="22"/>
          <w:szCs w:val="22"/>
        </w:rPr>
        <w:tab/>
      </w:r>
      <w:r w:rsidRPr="00A567F3">
        <w:rPr>
          <w:b/>
          <w:kern w:val="22"/>
          <w:szCs w:val="22"/>
        </w:rPr>
        <w:t>Methodology and sources of information</w:t>
      </w:r>
    </w:p>
    <w:p w:rsidR="00D406B3" w:rsidRPr="00CA5B18"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A567F3">
        <w:rPr>
          <w:kern w:val="22"/>
          <w:szCs w:val="22"/>
        </w:rPr>
        <w:t>The Secretariat will be responsible for carrying out the evaluation in 2019 with inputs from Parties, international organizations and other relevant stakeholders. Three main data collection methods will be used</w:t>
      </w:r>
      <w:r w:rsidR="0031564B">
        <w:rPr>
          <w:kern w:val="22"/>
          <w:szCs w:val="22"/>
        </w:rPr>
        <w:t>:</w:t>
      </w:r>
      <w:r w:rsidRPr="00CA5B18">
        <w:rPr>
          <w:kern w:val="22"/>
          <w:szCs w:val="22"/>
        </w:rPr>
        <w:t xml:space="preserve"> </w:t>
      </w:r>
      <w:r w:rsidR="00AF22FE" w:rsidRPr="00CA5B18">
        <w:rPr>
          <w:kern w:val="22"/>
          <w:szCs w:val="22"/>
        </w:rPr>
        <w:t>(a) </w:t>
      </w:r>
      <w:r w:rsidRPr="00CA5B18">
        <w:rPr>
          <w:kern w:val="22"/>
          <w:szCs w:val="22"/>
        </w:rPr>
        <w:t>documentation review</w:t>
      </w:r>
      <w:r w:rsidR="0031564B">
        <w:rPr>
          <w:kern w:val="22"/>
          <w:szCs w:val="22"/>
        </w:rPr>
        <w:t>;</w:t>
      </w:r>
      <w:r w:rsidRPr="00CA5B18">
        <w:rPr>
          <w:kern w:val="22"/>
          <w:szCs w:val="22"/>
        </w:rPr>
        <w:t xml:space="preserve"> </w:t>
      </w:r>
      <w:r w:rsidR="00AF22FE" w:rsidRPr="00CA5B18">
        <w:rPr>
          <w:kern w:val="22"/>
          <w:szCs w:val="22"/>
        </w:rPr>
        <w:t>(b) </w:t>
      </w:r>
      <w:r w:rsidRPr="00CA5B18">
        <w:rPr>
          <w:kern w:val="22"/>
          <w:szCs w:val="22"/>
        </w:rPr>
        <w:t>an online survey</w:t>
      </w:r>
      <w:r w:rsidR="0031564B">
        <w:rPr>
          <w:kern w:val="22"/>
          <w:szCs w:val="22"/>
        </w:rPr>
        <w:t>;</w:t>
      </w:r>
      <w:r w:rsidRPr="00CA5B18">
        <w:rPr>
          <w:kern w:val="22"/>
          <w:szCs w:val="22"/>
        </w:rPr>
        <w:t xml:space="preserve"> and </w:t>
      </w:r>
      <w:r w:rsidR="00AF22FE" w:rsidRPr="00CA5B18">
        <w:rPr>
          <w:kern w:val="22"/>
          <w:szCs w:val="22"/>
        </w:rPr>
        <w:t>(c) </w:t>
      </w:r>
      <w:r w:rsidRPr="00CA5B18">
        <w:rPr>
          <w:kern w:val="22"/>
          <w:szCs w:val="22"/>
        </w:rPr>
        <w:t>interviews with key organi</w:t>
      </w:r>
      <w:r w:rsidR="001B57F5" w:rsidRPr="00CA5B18">
        <w:rPr>
          <w:kern w:val="22"/>
          <w:szCs w:val="22"/>
        </w:rPr>
        <w:t>z</w:t>
      </w:r>
      <w:r w:rsidRPr="00CA5B18">
        <w:rPr>
          <w:kern w:val="22"/>
          <w:szCs w:val="22"/>
        </w:rPr>
        <w:t>ations working on capacity</w:t>
      </w:r>
      <w:r w:rsidR="001B57F5" w:rsidRPr="00CA5B18">
        <w:rPr>
          <w:kern w:val="22"/>
          <w:szCs w:val="22"/>
        </w:rPr>
        <w:noBreakHyphen/>
      </w:r>
      <w:r w:rsidRPr="00CA5B18">
        <w:rPr>
          <w:kern w:val="22"/>
          <w:szCs w:val="22"/>
        </w:rPr>
        <w:t>building and development.</w:t>
      </w:r>
    </w:p>
    <w:p w:rsidR="00D406B3" w:rsidRPr="00A567F3"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CA5B18">
        <w:rPr>
          <w:kern w:val="22"/>
          <w:szCs w:val="22"/>
        </w:rPr>
        <w:t xml:space="preserve">To guide the review, the following set of questions and </w:t>
      </w:r>
      <w:proofErr w:type="spellStart"/>
      <w:r w:rsidRPr="00A567F3">
        <w:rPr>
          <w:kern w:val="22"/>
          <w:szCs w:val="22"/>
        </w:rPr>
        <w:t>subquestions</w:t>
      </w:r>
      <w:proofErr w:type="spellEnd"/>
      <w:r w:rsidRPr="00A567F3">
        <w:rPr>
          <w:kern w:val="22"/>
          <w:szCs w:val="22"/>
        </w:rPr>
        <w:t xml:space="preserve"> is proposed:</w:t>
      </w:r>
    </w:p>
    <w:p w:rsidR="00D406B3" w:rsidRPr="00A567F3" w:rsidRDefault="00D406B3" w:rsidP="00A567F3">
      <w:pPr>
        <w:kinsoku w:val="0"/>
        <w:overflowPunct w:val="0"/>
        <w:autoSpaceDE w:val="0"/>
        <w:autoSpaceDN w:val="0"/>
        <w:snapToGrid w:val="0"/>
        <w:spacing w:after="120"/>
        <w:ind w:firstLine="720"/>
        <w:rPr>
          <w:bCs/>
          <w:kern w:val="22"/>
          <w:szCs w:val="22"/>
        </w:rPr>
      </w:pPr>
      <w:r w:rsidRPr="00A567F3">
        <w:rPr>
          <w:bCs/>
          <w:kern w:val="22"/>
          <w:szCs w:val="22"/>
        </w:rPr>
        <w:t>(a)</w:t>
      </w:r>
      <w:r w:rsidR="0099130C" w:rsidRPr="00A567F3">
        <w:rPr>
          <w:bCs/>
          <w:kern w:val="22"/>
          <w:szCs w:val="22"/>
        </w:rPr>
        <w:tab/>
      </w:r>
      <w:r w:rsidRPr="00A567F3">
        <w:rPr>
          <w:bCs/>
          <w:kern w:val="22"/>
          <w:szCs w:val="22"/>
        </w:rPr>
        <w:t xml:space="preserve">What progress has been made in the implementation of the </w:t>
      </w:r>
      <w:r w:rsidR="0027585A" w:rsidRPr="00A567F3">
        <w:rPr>
          <w:bCs/>
          <w:kern w:val="22"/>
          <w:szCs w:val="22"/>
        </w:rPr>
        <w:t>s</w:t>
      </w:r>
      <w:r w:rsidRPr="00A567F3">
        <w:rPr>
          <w:bCs/>
          <w:kern w:val="22"/>
          <w:szCs w:val="22"/>
        </w:rPr>
        <w:t xml:space="preserve">trategic </w:t>
      </w:r>
      <w:r w:rsidR="0027585A" w:rsidRPr="00A567F3">
        <w:rPr>
          <w:bCs/>
          <w:kern w:val="22"/>
          <w:szCs w:val="22"/>
        </w:rPr>
        <w:t>f</w:t>
      </w:r>
      <w:r w:rsidRPr="00A567F3">
        <w:rPr>
          <w:bCs/>
          <w:kern w:val="22"/>
          <w:szCs w:val="22"/>
        </w:rPr>
        <w:t>ramework?</w:t>
      </w:r>
    </w:p>
    <w:p w:rsidR="00D406B3" w:rsidRPr="00A567F3" w:rsidRDefault="00D406B3" w:rsidP="00A567F3">
      <w:pPr>
        <w:pStyle w:val="ListParagraph"/>
        <w:numPr>
          <w:ilvl w:val="0"/>
          <w:numId w:val="25"/>
        </w:numPr>
        <w:kinsoku w:val="0"/>
        <w:overflowPunct w:val="0"/>
        <w:autoSpaceDE w:val="0"/>
        <w:autoSpaceDN w:val="0"/>
        <w:snapToGrid w:val="0"/>
        <w:spacing w:after="120"/>
        <w:ind w:left="1800"/>
        <w:contextualSpacing w:val="0"/>
        <w:rPr>
          <w:kern w:val="22"/>
          <w:szCs w:val="22"/>
        </w:rPr>
      </w:pPr>
      <w:r w:rsidRPr="00A567F3">
        <w:rPr>
          <w:kern w:val="22"/>
          <w:szCs w:val="22"/>
        </w:rPr>
        <w:t xml:space="preserve">What have been the main achievements relating to the implementation of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ramework?</w:t>
      </w:r>
    </w:p>
    <w:p w:rsidR="00D406B3" w:rsidRPr="00A567F3" w:rsidRDefault="00D406B3" w:rsidP="00A567F3">
      <w:pPr>
        <w:pStyle w:val="ListParagraph"/>
        <w:numPr>
          <w:ilvl w:val="0"/>
          <w:numId w:val="25"/>
        </w:numPr>
        <w:kinsoku w:val="0"/>
        <w:overflowPunct w:val="0"/>
        <w:autoSpaceDE w:val="0"/>
        <w:autoSpaceDN w:val="0"/>
        <w:snapToGrid w:val="0"/>
        <w:spacing w:after="120"/>
        <w:ind w:left="1800"/>
        <w:contextualSpacing w:val="0"/>
        <w:rPr>
          <w:kern w:val="22"/>
          <w:szCs w:val="22"/>
        </w:rPr>
      </w:pPr>
      <w:r w:rsidRPr="00A567F3">
        <w:rPr>
          <w:kern w:val="22"/>
          <w:szCs w:val="22"/>
        </w:rPr>
        <w:t>What progress has been made in strengthening capacities in the five key areas</w:t>
      </w:r>
      <w:r w:rsidRPr="00A567F3">
        <w:rPr>
          <w:rStyle w:val="FootnoteReference"/>
          <w:kern w:val="22"/>
          <w:sz w:val="22"/>
          <w:szCs w:val="22"/>
          <w:u w:val="none"/>
          <w:vertAlign w:val="superscript"/>
        </w:rPr>
        <w:footnoteReference w:id="2"/>
      </w:r>
      <w:r w:rsidRPr="00A567F3">
        <w:rPr>
          <w:kern w:val="22"/>
          <w:szCs w:val="22"/>
        </w:rPr>
        <w:t xml:space="preserve"> identified by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ramework?</w:t>
      </w:r>
    </w:p>
    <w:p w:rsidR="00D406B3" w:rsidRPr="00A567F3" w:rsidRDefault="00D406B3" w:rsidP="00A567F3">
      <w:pPr>
        <w:pStyle w:val="ListParagraph"/>
        <w:numPr>
          <w:ilvl w:val="0"/>
          <w:numId w:val="25"/>
        </w:numPr>
        <w:kinsoku w:val="0"/>
        <w:overflowPunct w:val="0"/>
        <w:autoSpaceDE w:val="0"/>
        <w:autoSpaceDN w:val="0"/>
        <w:snapToGrid w:val="0"/>
        <w:spacing w:after="120"/>
        <w:ind w:left="1800"/>
        <w:contextualSpacing w:val="0"/>
        <w:rPr>
          <w:kern w:val="22"/>
          <w:szCs w:val="22"/>
        </w:rPr>
      </w:pPr>
      <w:r w:rsidRPr="00A567F3">
        <w:rPr>
          <w:kern w:val="22"/>
          <w:szCs w:val="22"/>
        </w:rPr>
        <w:t xml:space="preserve">Are there any gaps (thematic and/or geographic) in the implementation of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ramework?</w:t>
      </w:r>
    </w:p>
    <w:p w:rsidR="00D406B3" w:rsidRPr="00A567F3" w:rsidRDefault="00D406B3" w:rsidP="00A567F3">
      <w:pPr>
        <w:pStyle w:val="ListParagraph"/>
        <w:numPr>
          <w:ilvl w:val="0"/>
          <w:numId w:val="25"/>
        </w:numPr>
        <w:kinsoku w:val="0"/>
        <w:overflowPunct w:val="0"/>
        <w:autoSpaceDE w:val="0"/>
        <w:autoSpaceDN w:val="0"/>
        <w:snapToGrid w:val="0"/>
        <w:spacing w:after="120"/>
        <w:ind w:left="1800"/>
        <w:contextualSpacing w:val="0"/>
        <w:rPr>
          <w:kern w:val="22"/>
          <w:szCs w:val="22"/>
        </w:rPr>
      </w:pPr>
      <w:r w:rsidRPr="00A567F3">
        <w:rPr>
          <w:kern w:val="22"/>
          <w:szCs w:val="22"/>
        </w:rPr>
        <w:t>What have been the main challenges/obstacles?</w:t>
      </w:r>
    </w:p>
    <w:p w:rsidR="00D406B3" w:rsidRPr="00A567F3" w:rsidRDefault="00D406B3" w:rsidP="00A567F3">
      <w:pPr>
        <w:pStyle w:val="ListParagraph"/>
        <w:numPr>
          <w:ilvl w:val="0"/>
          <w:numId w:val="25"/>
        </w:numPr>
        <w:kinsoku w:val="0"/>
        <w:overflowPunct w:val="0"/>
        <w:autoSpaceDE w:val="0"/>
        <w:autoSpaceDN w:val="0"/>
        <w:snapToGrid w:val="0"/>
        <w:spacing w:after="120"/>
        <w:ind w:left="1800"/>
        <w:contextualSpacing w:val="0"/>
        <w:rPr>
          <w:kern w:val="22"/>
          <w:szCs w:val="22"/>
        </w:rPr>
      </w:pPr>
      <w:r w:rsidRPr="00A567F3">
        <w:rPr>
          <w:kern w:val="22"/>
          <w:szCs w:val="22"/>
        </w:rPr>
        <w:t>What have been the most successful approaches and lessons arising from the capacity</w:t>
      </w:r>
      <w:r w:rsidR="00FB4E80" w:rsidRPr="00A567F3">
        <w:rPr>
          <w:kern w:val="22"/>
          <w:szCs w:val="22"/>
        </w:rPr>
        <w:noBreakHyphen/>
      </w:r>
      <w:r w:rsidRPr="00A567F3">
        <w:rPr>
          <w:kern w:val="22"/>
          <w:szCs w:val="22"/>
        </w:rPr>
        <w:t>building initiatives?</w:t>
      </w:r>
    </w:p>
    <w:p w:rsidR="00D406B3" w:rsidRPr="00A567F3" w:rsidRDefault="00D406B3" w:rsidP="00A567F3">
      <w:pPr>
        <w:kinsoku w:val="0"/>
        <w:overflowPunct w:val="0"/>
        <w:autoSpaceDE w:val="0"/>
        <w:autoSpaceDN w:val="0"/>
        <w:snapToGrid w:val="0"/>
        <w:spacing w:after="120"/>
        <w:ind w:firstLine="720"/>
        <w:rPr>
          <w:bCs/>
          <w:kern w:val="22"/>
          <w:szCs w:val="22"/>
        </w:rPr>
      </w:pPr>
      <w:r w:rsidRPr="00A567F3">
        <w:rPr>
          <w:bCs/>
          <w:kern w:val="22"/>
          <w:szCs w:val="22"/>
        </w:rPr>
        <w:t>(b)</w:t>
      </w:r>
      <w:r w:rsidR="0099130C" w:rsidRPr="00A567F3">
        <w:rPr>
          <w:bCs/>
          <w:kern w:val="22"/>
          <w:szCs w:val="22"/>
        </w:rPr>
        <w:tab/>
      </w:r>
      <w:r w:rsidRPr="00A567F3">
        <w:rPr>
          <w:bCs/>
          <w:kern w:val="22"/>
          <w:szCs w:val="22"/>
        </w:rPr>
        <w:t xml:space="preserve">To what extent has the </w:t>
      </w:r>
      <w:r w:rsidR="0027585A" w:rsidRPr="00A567F3">
        <w:rPr>
          <w:bCs/>
          <w:kern w:val="22"/>
          <w:szCs w:val="22"/>
        </w:rPr>
        <w:t>s</w:t>
      </w:r>
      <w:r w:rsidRPr="00A567F3">
        <w:rPr>
          <w:bCs/>
          <w:kern w:val="22"/>
          <w:szCs w:val="22"/>
        </w:rPr>
        <w:t xml:space="preserve">trategic </w:t>
      </w:r>
      <w:r w:rsidR="0027585A" w:rsidRPr="00A567F3">
        <w:rPr>
          <w:bCs/>
          <w:kern w:val="22"/>
          <w:szCs w:val="22"/>
        </w:rPr>
        <w:t>f</w:t>
      </w:r>
      <w:r w:rsidRPr="00A567F3">
        <w:rPr>
          <w:bCs/>
          <w:kern w:val="22"/>
          <w:szCs w:val="22"/>
        </w:rPr>
        <w:t>ramework been effective in fostering a systematic, coherent and coordinated approach to capacity-building and development?</w:t>
      </w:r>
    </w:p>
    <w:p w:rsidR="00D406B3" w:rsidRPr="00A567F3" w:rsidRDefault="00D406B3" w:rsidP="00A567F3">
      <w:pPr>
        <w:pStyle w:val="ListParagraph"/>
        <w:numPr>
          <w:ilvl w:val="0"/>
          <w:numId w:val="26"/>
        </w:numPr>
        <w:kinsoku w:val="0"/>
        <w:overflowPunct w:val="0"/>
        <w:autoSpaceDE w:val="0"/>
        <w:autoSpaceDN w:val="0"/>
        <w:snapToGrid w:val="0"/>
        <w:spacing w:after="120"/>
        <w:ind w:left="1800"/>
        <w:contextualSpacing w:val="0"/>
        <w:rPr>
          <w:kern w:val="22"/>
          <w:szCs w:val="22"/>
        </w:rPr>
      </w:pPr>
      <w:r w:rsidRPr="00A567F3">
        <w:rPr>
          <w:kern w:val="22"/>
          <w:szCs w:val="22"/>
        </w:rPr>
        <w:t xml:space="preserve">To what extent is the </w:t>
      </w:r>
      <w:r w:rsidR="0027585A" w:rsidRPr="00A567F3">
        <w:rPr>
          <w:kern w:val="22"/>
          <w:szCs w:val="22"/>
        </w:rPr>
        <w:t>f</w:t>
      </w:r>
      <w:r w:rsidRPr="00A567F3">
        <w:rPr>
          <w:kern w:val="22"/>
          <w:szCs w:val="22"/>
        </w:rPr>
        <w:t>ramework being used as a reference to guide the policies and actions of Parties, organizations and donors in relation to capacity-building for ABS?</w:t>
      </w:r>
    </w:p>
    <w:p w:rsidR="00D406B3" w:rsidRPr="00A567F3" w:rsidRDefault="00D406B3" w:rsidP="00A567F3">
      <w:pPr>
        <w:pStyle w:val="ListParagraph"/>
        <w:numPr>
          <w:ilvl w:val="0"/>
          <w:numId w:val="26"/>
        </w:numPr>
        <w:kinsoku w:val="0"/>
        <w:overflowPunct w:val="0"/>
        <w:autoSpaceDE w:val="0"/>
        <w:autoSpaceDN w:val="0"/>
        <w:snapToGrid w:val="0"/>
        <w:spacing w:after="120"/>
        <w:ind w:left="1800"/>
        <w:contextualSpacing w:val="0"/>
        <w:rPr>
          <w:kern w:val="22"/>
          <w:szCs w:val="22"/>
        </w:rPr>
      </w:pPr>
      <w:r w:rsidRPr="00A567F3">
        <w:rPr>
          <w:kern w:val="22"/>
          <w:szCs w:val="22"/>
        </w:rPr>
        <w:lastRenderedPageBreak/>
        <w:t xml:space="preserve">How have the mechanisms for coordination supported the implementation of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ramework?</w:t>
      </w:r>
    </w:p>
    <w:p w:rsidR="00D406B3" w:rsidRPr="00A567F3" w:rsidRDefault="00D406B3" w:rsidP="00A567F3">
      <w:pPr>
        <w:pStyle w:val="ListParagraph"/>
        <w:numPr>
          <w:ilvl w:val="0"/>
          <w:numId w:val="26"/>
        </w:numPr>
        <w:kinsoku w:val="0"/>
        <w:overflowPunct w:val="0"/>
        <w:autoSpaceDE w:val="0"/>
        <w:autoSpaceDN w:val="0"/>
        <w:snapToGrid w:val="0"/>
        <w:spacing w:after="120"/>
        <w:ind w:left="1800"/>
        <w:contextualSpacing w:val="0"/>
        <w:rPr>
          <w:kern w:val="22"/>
          <w:szCs w:val="22"/>
        </w:rPr>
      </w:pPr>
      <w:r w:rsidRPr="00A567F3">
        <w:rPr>
          <w:kern w:val="22"/>
          <w:szCs w:val="22"/>
        </w:rPr>
        <w:t>To what extent are Parties and relevant organizations cooperating on capacity</w:t>
      </w:r>
      <w:r w:rsidR="00AF22FE" w:rsidRPr="00A567F3">
        <w:rPr>
          <w:kern w:val="22"/>
          <w:szCs w:val="22"/>
        </w:rPr>
        <w:noBreakHyphen/>
      </w:r>
      <w:r w:rsidRPr="00A567F3">
        <w:rPr>
          <w:kern w:val="22"/>
          <w:szCs w:val="22"/>
        </w:rPr>
        <w:t>development?</w:t>
      </w:r>
    </w:p>
    <w:p w:rsidR="00D406B3" w:rsidRPr="00A567F3" w:rsidRDefault="00D406B3" w:rsidP="00A567F3">
      <w:pPr>
        <w:kinsoku w:val="0"/>
        <w:overflowPunct w:val="0"/>
        <w:autoSpaceDE w:val="0"/>
        <w:autoSpaceDN w:val="0"/>
        <w:snapToGrid w:val="0"/>
        <w:spacing w:after="120"/>
        <w:ind w:firstLine="720"/>
        <w:rPr>
          <w:bCs/>
          <w:kern w:val="22"/>
          <w:szCs w:val="22"/>
        </w:rPr>
      </w:pPr>
      <w:r w:rsidRPr="00A567F3">
        <w:rPr>
          <w:bCs/>
          <w:kern w:val="22"/>
          <w:szCs w:val="22"/>
        </w:rPr>
        <w:t>(c)</w:t>
      </w:r>
      <w:r w:rsidR="0099130C" w:rsidRPr="00A567F3">
        <w:rPr>
          <w:bCs/>
          <w:kern w:val="22"/>
          <w:szCs w:val="22"/>
        </w:rPr>
        <w:tab/>
      </w:r>
      <w:r w:rsidRPr="00A567F3">
        <w:rPr>
          <w:bCs/>
          <w:kern w:val="22"/>
          <w:szCs w:val="22"/>
        </w:rPr>
        <w:t xml:space="preserve">In what way has the </w:t>
      </w:r>
      <w:r w:rsidR="0027585A" w:rsidRPr="00A567F3">
        <w:rPr>
          <w:bCs/>
          <w:kern w:val="22"/>
          <w:szCs w:val="22"/>
        </w:rPr>
        <w:t>s</w:t>
      </w:r>
      <w:r w:rsidRPr="00A567F3">
        <w:rPr>
          <w:bCs/>
          <w:kern w:val="22"/>
          <w:szCs w:val="22"/>
        </w:rPr>
        <w:t xml:space="preserve">trategic </w:t>
      </w:r>
      <w:r w:rsidR="0027585A" w:rsidRPr="00A567F3">
        <w:rPr>
          <w:bCs/>
          <w:kern w:val="22"/>
          <w:szCs w:val="22"/>
        </w:rPr>
        <w:t>f</w:t>
      </w:r>
      <w:r w:rsidRPr="00A567F3">
        <w:rPr>
          <w:bCs/>
          <w:kern w:val="22"/>
          <w:szCs w:val="22"/>
        </w:rPr>
        <w:t>ramework been effective in guiding and facilitating capacity-building activities?</w:t>
      </w:r>
    </w:p>
    <w:p w:rsidR="00D406B3" w:rsidRPr="00A567F3" w:rsidRDefault="00D406B3" w:rsidP="00A567F3">
      <w:pPr>
        <w:pStyle w:val="ListParagraph"/>
        <w:numPr>
          <w:ilvl w:val="0"/>
          <w:numId w:val="27"/>
        </w:numPr>
        <w:kinsoku w:val="0"/>
        <w:overflowPunct w:val="0"/>
        <w:autoSpaceDE w:val="0"/>
        <w:autoSpaceDN w:val="0"/>
        <w:snapToGrid w:val="0"/>
        <w:spacing w:after="120"/>
        <w:ind w:left="1800"/>
        <w:contextualSpacing w:val="0"/>
        <w:rPr>
          <w:kern w:val="22"/>
          <w:szCs w:val="22"/>
        </w:rPr>
      </w:pPr>
      <w:r w:rsidRPr="00A567F3">
        <w:rPr>
          <w:kern w:val="22"/>
          <w:szCs w:val="22"/>
        </w:rPr>
        <w:t xml:space="preserve">How has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ramework been used to guide capacity-building activities at the national, regional and international levels?</w:t>
      </w:r>
    </w:p>
    <w:p w:rsidR="00D406B3" w:rsidRPr="00A567F3" w:rsidRDefault="00D406B3" w:rsidP="00A567F3">
      <w:pPr>
        <w:pStyle w:val="ListParagraph"/>
        <w:numPr>
          <w:ilvl w:val="0"/>
          <w:numId w:val="27"/>
        </w:numPr>
        <w:kinsoku w:val="0"/>
        <w:overflowPunct w:val="0"/>
        <w:autoSpaceDE w:val="0"/>
        <w:autoSpaceDN w:val="0"/>
        <w:snapToGrid w:val="0"/>
        <w:spacing w:after="120"/>
        <w:ind w:left="1800"/>
        <w:contextualSpacing w:val="0"/>
        <w:rPr>
          <w:kern w:val="22"/>
          <w:szCs w:val="22"/>
        </w:rPr>
      </w:pPr>
      <w:r w:rsidRPr="00A567F3">
        <w:rPr>
          <w:kern w:val="22"/>
          <w:szCs w:val="22"/>
        </w:rPr>
        <w:t xml:space="preserve">Was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ramework used to guide resource mobilization by Parties and has it influenced donor financing?</w:t>
      </w:r>
    </w:p>
    <w:p w:rsidR="00D406B3" w:rsidRPr="00A567F3" w:rsidRDefault="00D406B3" w:rsidP="00A567F3">
      <w:pPr>
        <w:pStyle w:val="ListParagraph"/>
        <w:numPr>
          <w:ilvl w:val="0"/>
          <w:numId w:val="27"/>
        </w:numPr>
        <w:kinsoku w:val="0"/>
        <w:overflowPunct w:val="0"/>
        <w:autoSpaceDE w:val="0"/>
        <w:autoSpaceDN w:val="0"/>
        <w:snapToGrid w:val="0"/>
        <w:spacing w:after="120"/>
        <w:ind w:left="1800"/>
        <w:contextualSpacing w:val="0"/>
        <w:rPr>
          <w:kern w:val="22"/>
          <w:szCs w:val="22"/>
        </w:rPr>
      </w:pPr>
      <w:r w:rsidRPr="00A567F3">
        <w:rPr>
          <w:kern w:val="22"/>
          <w:szCs w:val="22"/>
        </w:rPr>
        <w:t xml:space="preserve">To what extent was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 xml:space="preserve">ramework taken into account by eligible countries in prioritizing their requests to the </w:t>
      </w:r>
      <w:r w:rsidR="00CE7C73">
        <w:rPr>
          <w:kern w:val="22"/>
          <w:szCs w:val="22"/>
        </w:rPr>
        <w:t>Global Environment Facility</w:t>
      </w:r>
      <w:r w:rsidR="00CE7C73" w:rsidRPr="00A567F3">
        <w:rPr>
          <w:kern w:val="22"/>
          <w:szCs w:val="22"/>
        </w:rPr>
        <w:t xml:space="preserve"> </w:t>
      </w:r>
      <w:r w:rsidRPr="00A567F3">
        <w:rPr>
          <w:kern w:val="22"/>
          <w:szCs w:val="22"/>
        </w:rPr>
        <w:t>for supporting ABS capacity-building projects?</w:t>
      </w:r>
    </w:p>
    <w:p w:rsidR="00D406B3" w:rsidRPr="00A567F3" w:rsidRDefault="00D406B3" w:rsidP="00A567F3">
      <w:pPr>
        <w:kinsoku w:val="0"/>
        <w:overflowPunct w:val="0"/>
        <w:autoSpaceDE w:val="0"/>
        <w:autoSpaceDN w:val="0"/>
        <w:snapToGrid w:val="0"/>
        <w:ind w:firstLine="720"/>
        <w:rPr>
          <w:bCs/>
          <w:kern w:val="22"/>
          <w:szCs w:val="22"/>
        </w:rPr>
      </w:pPr>
      <w:r w:rsidRPr="00A567F3">
        <w:rPr>
          <w:bCs/>
          <w:kern w:val="22"/>
          <w:szCs w:val="22"/>
        </w:rPr>
        <w:t>(d)</w:t>
      </w:r>
      <w:r w:rsidR="0099130C" w:rsidRPr="00A567F3">
        <w:rPr>
          <w:bCs/>
          <w:kern w:val="22"/>
          <w:szCs w:val="22"/>
        </w:rPr>
        <w:tab/>
      </w:r>
      <w:r w:rsidRPr="00A567F3">
        <w:rPr>
          <w:bCs/>
          <w:kern w:val="22"/>
          <w:szCs w:val="22"/>
        </w:rPr>
        <w:t xml:space="preserve">Are the elements of the </w:t>
      </w:r>
      <w:r w:rsidR="0027585A" w:rsidRPr="00A567F3">
        <w:rPr>
          <w:bCs/>
          <w:kern w:val="22"/>
          <w:szCs w:val="22"/>
        </w:rPr>
        <w:t>s</w:t>
      </w:r>
      <w:r w:rsidRPr="00A567F3">
        <w:rPr>
          <w:bCs/>
          <w:kern w:val="22"/>
          <w:szCs w:val="22"/>
        </w:rPr>
        <w:t xml:space="preserve">trategic </w:t>
      </w:r>
      <w:r w:rsidR="0027585A" w:rsidRPr="00A567F3">
        <w:rPr>
          <w:bCs/>
          <w:kern w:val="22"/>
          <w:szCs w:val="22"/>
        </w:rPr>
        <w:t>f</w:t>
      </w:r>
      <w:r w:rsidRPr="00A567F3">
        <w:rPr>
          <w:bCs/>
          <w:kern w:val="22"/>
          <w:szCs w:val="22"/>
        </w:rPr>
        <w:t>ramework (</w:t>
      </w:r>
      <w:proofErr w:type="spellStart"/>
      <w:r w:rsidRPr="00A567F3">
        <w:rPr>
          <w:bCs/>
          <w:kern w:val="22"/>
          <w:szCs w:val="22"/>
        </w:rPr>
        <w:t>i.e</w:t>
      </w:r>
      <w:proofErr w:type="spellEnd"/>
      <w:r w:rsidRPr="00A567F3">
        <w:rPr>
          <w:bCs/>
          <w:kern w:val="22"/>
          <w:szCs w:val="22"/>
        </w:rPr>
        <w:t xml:space="preserve"> key areas, objectives, proposed activities) still relevant?</w:t>
      </w:r>
    </w:p>
    <w:p w:rsidR="00D406B3" w:rsidRPr="00A567F3" w:rsidRDefault="00D406B3" w:rsidP="00A567F3">
      <w:pPr>
        <w:pStyle w:val="ListParagraph"/>
        <w:numPr>
          <w:ilvl w:val="0"/>
          <w:numId w:val="28"/>
        </w:numPr>
        <w:kinsoku w:val="0"/>
        <w:overflowPunct w:val="0"/>
        <w:autoSpaceDE w:val="0"/>
        <w:autoSpaceDN w:val="0"/>
        <w:snapToGrid w:val="0"/>
        <w:spacing w:after="120"/>
        <w:ind w:left="1800"/>
        <w:contextualSpacing w:val="0"/>
        <w:rPr>
          <w:kern w:val="22"/>
          <w:szCs w:val="22"/>
        </w:rPr>
      </w:pPr>
      <w:r w:rsidRPr="00A567F3">
        <w:rPr>
          <w:kern w:val="22"/>
          <w:szCs w:val="22"/>
        </w:rPr>
        <w:t xml:space="preserve">To what extent are the objectives of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ramework still valid?</w:t>
      </w:r>
    </w:p>
    <w:p w:rsidR="00D406B3" w:rsidRPr="00A567F3" w:rsidRDefault="00D406B3" w:rsidP="00A567F3">
      <w:pPr>
        <w:pStyle w:val="ListParagraph"/>
        <w:numPr>
          <w:ilvl w:val="0"/>
          <w:numId w:val="28"/>
        </w:numPr>
        <w:kinsoku w:val="0"/>
        <w:overflowPunct w:val="0"/>
        <w:autoSpaceDE w:val="0"/>
        <w:autoSpaceDN w:val="0"/>
        <w:snapToGrid w:val="0"/>
        <w:spacing w:after="120"/>
        <w:ind w:left="1800"/>
        <w:contextualSpacing w:val="0"/>
        <w:rPr>
          <w:kern w:val="22"/>
          <w:szCs w:val="22"/>
        </w:rPr>
      </w:pPr>
      <w:r w:rsidRPr="00A567F3">
        <w:rPr>
          <w:kern w:val="22"/>
          <w:szCs w:val="22"/>
        </w:rPr>
        <w:t>Are the key areas and indicative activities for capacity-building</w:t>
      </w:r>
      <w:r w:rsidRPr="00A567F3">
        <w:rPr>
          <w:rStyle w:val="FootnoteReference"/>
          <w:kern w:val="22"/>
          <w:sz w:val="22"/>
          <w:szCs w:val="22"/>
          <w:u w:val="none"/>
          <w:vertAlign w:val="superscript"/>
        </w:rPr>
        <w:footnoteReference w:id="3"/>
      </w:r>
      <w:r w:rsidRPr="00A567F3">
        <w:rPr>
          <w:kern w:val="22"/>
          <w:szCs w:val="22"/>
          <w:vertAlign w:val="superscript"/>
        </w:rPr>
        <w:t xml:space="preserve"> </w:t>
      </w:r>
      <w:r w:rsidRPr="00A567F3">
        <w:rPr>
          <w:kern w:val="22"/>
          <w:szCs w:val="22"/>
        </w:rPr>
        <w:t>still consistent with the overall strategic goals, objectives and desired changes in capacity-building and development to support the implementation of the Nagoya Protocol?</w:t>
      </w:r>
    </w:p>
    <w:p w:rsidR="00D406B3" w:rsidRPr="00A567F3" w:rsidRDefault="00D406B3" w:rsidP="00A567F3">
      <w:pPr>
        <w:kinsoku w:val="0"/>
        <w:overflowPunct w:val="0"/>
        <w:autoSpaceDE w:val="0"/>
        <w:autoSpaceDN w:val="0"/>
        <w:snapToGrid w:val="0"/>
        <w:spacing w:after="120"/>
        <w:ind w:firstLine="720"/>
        <w:rPr>
          <w:kern w:val="22"/>
          <w:szCs w:val="22"/>
        </w:rPr>
      </w:pPr>
      <w:r w:rsidRPr="00A567F3">
        <w:rPr>
          <w:bCs/>
          <w:kern w:val="22"/>
          <w:szCs w:val="22"/>
        </w:rPr>
        <w:t>(e)</w:t>
      </w:r>
      <w:r w:rsidR="0099130C" w:rsidRPr="00A567F3">
        <w:rPr>
          <w:bCs/>
          <w:kern w:val="22"/>
          <w:szCs w:val="22"/>
        </w:rPr>
        <w:tab/>
      </w:r>
      <w:r w:rsidRPr="00A567F3">
        <w:rPr>
          <w:bCs/>
          <w:kern w:val="22"/>
          <w:szCs w:val="22"/>
        </w:rPr>
        <w:t xml:space="preserve">Recommendations for the preparation of the long-term </w:t>
      </w:r>
      <w:r w:rsidR="0027585A" w:rsidRPr="00A567F3">
        <w:rPr>
          <w:bCs/>
          <w:kern w:val="22"/>
          <w:szCs w:val="22"/>
        </w:rPr>
        <w:t>s</w:t>
      </w:r>
      <w:r w:rsidRPr="00A567F3">
        <w:rPr>
          <w:bCs/>
          <w:kern w:val="22"/>
          <w:szCs w:val="22"/>
        </w:rPr>
        <w:t xml:space="preserve">trategic </w:t>
      </w:r>
      <w:r w:rsidR="0027585A" w:rsidRPr="00A567F3">
        <w:rPr>
          <w:bCs/>
          <w:kern w:val="22"/>
          <w:szCs w:val="22"/>
        </w:rPr>
        <w:t>f</w:t>
      </w:r>
      <w:r w:rsidRPr="00A567F3">
        <w:rPr>
          <w:bCs/>
          <w:kern w:val="22"/>
          <w:szCs w:val="22"/>
        </w:rPr>
        <w:t>ramework for capacity-building and development beyond 2020</w:t>
      </w:r>
      <w:r w:rsidR="00230816">
        <w:rPr>
          <w:bCs/>
          <w:kern w:val="22"/>
          <w:szCs w:val="22"/>
        </w:rPr>
        <w:t>:</w:t>
      </w:r>
    </w:p>
    <w:p w:rsidR="00D406B3" w:rsidRPr="00A567F3" w:rsidRDefault="00D406B3" w:rsidP="00A567F3">
      <w:pPr>
        <w:pStyle w:val="ListParagraph"/>
        <w:numPr>
          <w:ilvl w:val="0"/>
          <w:numId w:val="29"/>
        </w:numPr>
        <w:kinsoku w:val="0"/>
        <w:overflowPunct w:val="0"/>
        <w:autoSpaceDE w:val="0"/>
        <w:autoSpaceDN w:val="0"/>
        <w:snapToGrid w:val="0"/>
        <w:spacing w:after="120"/>
        <w:ind w:left="1800"/>
        <w:contextualSpacing w:val="0"/>
        <w:rPr>
          <w:kern w:val="22"/>
          <w:szCs w:val="22"/>
        </w:rPr>
      </w:pPr>
      <w:r w:rsidRPr="00A567F3">
        <w:rPr>
          <w:kern w:val="22"/>
          <w:szCs w:val="22"/>
        </w:rPr>
        <w:t>Which are the priority capacity-building actions related to ABS that should be included in the long</w:t>
      </w:r>
      <w:r w:rsidR="000B47F6" w:rsidRPr="00A567F3">
        <w:rPr>
          <w:kern w:val="22"/>
          <w:szCs w:val="22"/>
        </w:rPr>
        <w:noBreakHyphen/>
      </w:r>
      <w:r w:rsidRPr="00A567F3">
        <w:rPr>
          <w:kern w:val="22"/>
          <w:szCs w:val="22"/>
        </w:rPr>
        <w:t>term strategic framework for capacity</w:t>
      </w:r>
      <w:r w:rsidR="000B47F6" w:rsidRPr="00A567F3">
        <w:rPr>
          <w:kern w:val="22"/>
          <w:szCs w:val="22"/>
        </w:rPr>
        <w:t>-</w:t>
      </w:r>
      <w:r w:rsidRPr="00A567F3">
        <w:rPr>
          <w:kern w:val="22"/>
          <w:szCs w:val="22"/>
        </w:rPr>
        <w:t>building and development beyond 2020?</w:t>
      </w:r>
    </w:p>
    <w:p w:rsidR="00D406B3" w:rsidRPr="00A567F3" w:rsidRDefault="00D406B3" w:rsidP="00A567F3">
      <w:pPr>
        <w:pStyle w:val="ListParagraph"/>
        <w:numPr>
          <w:ilvl w:val="0"/>
          <w:numId w:val="29"/>
        </w:numPr>
        <w:kinsoku w:val="0"/>
        <w:overflowPunct w:val="0"/>
        <w:autoSpaceDE w:val="0"/>
        <w:autoSpaceDN w:val="0"/>
        <w:snapToGrid w:val="0"/>
        <w:spacing w:after="120"/>
        <w:ind w:left="1800"/>
        <w:contextualSpacing w:val="0"/>
        <w:rPr>
          <w:kern w:val="22"/>
          <w:szCs w:val="22"/>
        </w:rPr>
      </w:pPr>
      <w:r w:rsidRPr="00A567F3">
        <w:rPr>
          <w:kern w:val="22"/>
          <w:szCs w:val="22"/>
        </w:rPr>
        <w:t>What key recommendations can you make for enhancing capacity-building and development on ABS beyond 2020?</w:t>
      </w:r>
    </w:p>
    <w:p w:rsidR="00D406B3" w:rsidRPr="00A567F3"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CA5B18">
        <w:rPr>
          <w:kern w:val="22"/>
          <w:szCs w:val="22"/>
        </w:rPr>
        <w:t>Information for the review will be drawn from various sources including the following:</w:t>
      </w:r>
    </w:p>
    <w:p w:rsidR="00D406B3" w:rsidRPr="00A567F3" w:rsidRDefault="00D406B3" w:rsidP="00A567F3">
      <w:pPr>
        <w:numPr>
          <w:ilvl w:val="0"/>
          <w:numId w:val="23"/>
        </w:numPr>
        <w:kinsoku w:val="0"/>
        <w:overflowPunct w:val="0"/>
        <w:autoSpaceDE w:val="0"/>
        <w:autoSpaceDN w:val="0"/>
        <w:snapToGrid w:val="0"/>
        <w:spacing w:after="120"/>
        <w:ind w:left="0" w:firstLine="720"/>
        <w:rPr>
          <w:kern w:val="22"/>
          <w:szCs w:val="22"/>
        </w:rPr>
      </w:pPr>
      <w:r w:rsidRPr="00A567F3">
        <w:rPr>
          <w:kern w:val="22"/>
          <w:szCs w:val="22"/>
        </w:rPr>
        <w:t>National reports (interim-national reports);</w:t>
      </w:r>
    </w:p>
    <w:p w:rsidR="00D406B3" w:rsidRPr="00A567F3" w:rsidRDefault="00D406B3" w:rsidP="00A567F3">
      <w:pPr>
        <w:numPr>
          <w:ilvl w:val="0"/>
          <w:numId w:val="23"/>
        </w:numPr>
        <w:kinsoku w:val="0"/>
        <w:overflowPunct w:val="0"/>
        <w:autoSpaceDE w:val="0"/>
        <w:autoSpaceDN w:val="0"/>
        <w:snapToGrid w:val="0"/>
        <w:spacing w:after="120"/>
        <w:ind w:left="0" w:firstLine="720"/>
        <w:rPr>
          <w:kern w:val="22"/>
          <w:szCs w:val="22"/>
        </w:rPr>
      </w:pPr>
      <w:r w:rsidRPr="00A567F3">
        <w:rPr>
          <w:kern w:val="22"/>
          <w:szCs w:val="22"/>
        </w:rPr>
        <w:t>Information published in the ABS Clearing-House;</w:t>
      </w:r>
    </w:p>
    <w:p w:rsidR="00D406B3" w:rsidRPr="00A567F3" w:rsidRDefault="00D406B3" w:rsidP="00A567F3">
      <w:pPr>
        <w:numPr>
          <w:ilvl w:val="0"/>
          <w:numId w:val="23"/>
        </w:numPr>
        <w:kinsoku w:val="0"/>
        <w:overflowPunct w:val="0"/>
        <w:autoSpaceDE w:val="0"/>
        <w:autoSpaceDN w:val="0"/>
        <w:snapToGrid w:val="0"/>
        <w:spacing w:after="120"/>
        <w:ind w:left="0" w:firstLine="720"/>
        <w:rPr>
          <w:kern w:val="22"/>
          <w:szCs w:val="22"/>
        </w:rPr>
      </w:pPr>
      <w:r w:rsidRPr="00A567F3">
        <w:rPr>
          <w:kern w:val="22"/>
          <w:szCs w:val="22"/>
        </w:rPr>
        <w:t>Stock-taking reports prepared by the Secretariat;</w:t>
      </w:r>
    </w:p>
    <w:p w:rsidR="00D406B3" w:rsidRPr="00A567F3" w:rsidRDefault="00D406B3" w:rsidP="00A567F3">
      <w:pPr>
        <w:numPr>
          <w:ilvl w:val="0"/>
          <w:numId w:val="23"/>
        </w:numPr>
        <w:kinsoku w:val="0"/>
        <w:overflowPunct w:val="0"/>
        <w:autoSpaceDE w:val="0"/>
        <w:autoSpaceDN w:val="0"/>
        <w:snapToGrid w:val="0"/>
        <w:spacing w:after="120"/>
        <w:ind w:left="0" w:firstLine="720"/>
        <w:rPr>
          <w:kern w:val="22"/>
          <w:szCs w:val="22"/>
        </w:rPr>
      </w:pPr>
      <w:r w:rsidRPr="00A567F3">
        <w:rPr>
          <w:kern w:val="22"/>
          <w:szCs w:val="22"/>
        </w:rPr>
        <w:t>Information shared by members during the meetings of the Informal Advisory Committee;</w:t>
      </w:r>
    </w:p>
    <w:p w:rsidR="00D406B3" w:rsidRPr="00A567F3" w:rsidRDefault="00D406B3" w:rsidP="00A567F3">
      <w:pPr>
        <w:numPr>
          <w:ilvl w:val="0"/>
          <w:numId w:val="23"/>
        </w:numPr>
        <w:kinsoku w:val="0"/>
        <w:overflowPunct w:val="0"/>
        <w:autoSpaceDE w:val="0"/>
        <w:autoSpaceDN w:val="0"/>
        <w:snapToGrid w:val="0"/>
        <w:spacing w:after="120"/>
        <w:ind w:left="0" w:firstLine="720"/>
        <w:rPr>
          <w:kern w:val="22"/>
          <w:szCs w:val="22"/>
        </w:rPr>
      </w:pPr>
      <w:r w:rsidRPr="00A567F3">
        <w:rPr>
          <w:kern w:val="22"/>
          <w:szCs w:val="22"/>
        </w:rPr>
        <w:t xml:space="preserve">Reports and submissions from the </w:t>
      </w:r>
      <w:r w:rsidR="00CE7C73">
        <w:rPr>
          <w:kern w:val="22"/>
          <w:szCs w:val="22"/>
        </w:rPr>
        <w:t>Global Environment Facility</w:t>
      </w:r>
      <w:r w:rsidR="00CE7C73" w:rsidRPr="00CA5B18" w:rsidDel="00CE7C73">
        <w:rPr>
          <w:kern w:val="22"/>
          <w:szCs w:val="22"/>
        </w:rPr>
        <w:t xml:space="preserve"> </w:t>
      </w:r>
      <w:r w:rsidRPr="00A567F3">
        <w:rPr>
          <w:kern w:val="22"/>
          <w:szCs w:val="22"/>
        </w:rPr>
        <w:t>and its implementing agencies, as well as from other key organizations involved in capacity-building (e</w:t>
      </w:r>
      <w:r w:rsidR="00565851">
        <w:rPr>
          <w:kern w:val="22"/>
          <w:szCs w:val="22"/>
        </w:rPr>
        <w:t>.</w:t>
      </w:r>
      <w:r w:rsidRPr="00A567F3">
        <w:rPr>
          <w:kern w:val="22"/>
          <w:szCs w:val="22"/>
        </w:rPr>
        <w:t>g. ABS Capacity Development Initiative);</w:t>
      </w:r>
    </w:p>
    <w:p w:rsidR="00D406B3" w:rsidRPr="00A567F3" w:rsidRDefault="00D406B3" w:rsidP="00A567F3">
      <w:pPr>
        <w:numPr>
          <w:ilvl w:val="0"/>
          <w:numId w:val="23"/>
        </w:numPr>
        <w:kinsoku w:val="0"/>
        <w:overflowPunct w:val="0"/>
        <w:autoSpaceDE w:val="0"/>
        <w:autoSpaceDN w:val="0"/>
        <w:snapToGrid w:val="0"/>
        <w:spacing w:after="120"/>
        <w:ind w:left="0" w:firstLine="720"/>
        <w:rPr>
          <w:kern w:val="22"/>
          <w:szCs w:val="22"/>
        </w:rPr>
      </w:pPr>
      <w:r w:rsidRPr="00A567F3">
        <w:rPr>
          <w:kern w:val="22"/>
          <w:szCs w:val="22"/>
        </w:rPr>
        <w:t>Information gathered in an online survey and targeted interviews with key stakeholders.</w:t>
      </w:r>
    </w:p>
    <w:p w:rsidR="00D406B3" w:rsidRPr="00A567F3" w:rsidRDefault="00D406B3" w:rsidP="00A567F3">
      <w:pPr>
        <w:keepNext/>
        <w:kinsoku w:val="0"/>
        <w:overflowPunct w:val="0"/>
        <w:autoSpaceDE w:val="0"/>
        <w:autoSpaceDN w:val="0"/>
        <w:snapToGrid w:val="0"/>
        <w:spacing w:before="120" w:after="120"/>
        <w:jc w:val="center"/>
        <w:rPr>
          <w:b/>
          <w:kern w:val="22"/>
          <w:szCs w:val="22"/>
        </w:rPr>
      </w:pPr>
      <w:r w:rsidRPr="00A567F3">
        <w:rPr>
          <w:b/>
          <w:kern w:val="22"/>
          <w:szCs w:val="22"/>
        </w:rPr>
        <w:t>C.</w:t>
      </w:r>
      <w:r w:rsidR="00AB7C27" w:rsidRPr="00A567F3">
        <w:rPr>
          <w:b/>
          <w:kern w:val="22"/>
          <w:szCs w:val="22"/>
        </w:rPr>
        <w:tab/>
      </w:r>
      <w:r w:rsidRPr="00A567F3">
        <w:rPr>
          <w:b/>
          <w:kern w:val="22"/>
          <w:szCs w:val="22"/>
        </w:rPr>
        <w:t>Expected output and outcomes</w:t>
      </w:r>
    </w:p>
    <w:p w:rsidR="00D406B3" w:rsidRPr="00CA5B18"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A567F3">
        <w:rPr>
          <w:kern w:val="22"/>
          <w:szCs w:val="22"/>
        </w:rPr>
        <w:t xml:space="preserve">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ramework is a flexible and living document. From its inception</w:t>
      </w:r>
      <w:r w:rsidR="003F1519">
        <w:rPr>
          <w:kern w:val="22"/>
          <w:szCs w:val="22"/>
        </w:rPr>
        <w:t>,</w:t>
      </w:r>
      <w:r w:rsidRPr="00A567F3">
        <w:rPr>
          <w:kern w:val="22"/>
          <w:szCs w:val="22"/>
        </w:rPr>
        <w:t xml:space="preserve"> it was intended to be used, adapted and updated on the basis of emerging experiences and lessons. As per paragraph</w:t>
      </w:r>
      <w:r w:rsidR="00EA44BD" w:rsidRPr="00A567F3">
        <w:rPr>
          <w:kern w:val="22"/>
          <w:szCs w:val="22"/>
        </w:rPr>
        <w:t> </w:t>
      </w:r>
      <w:r w:rsidRPr="00A567F3">
        <w:rPr>
          <w:kern w:val="22"/>
          <w:szCs w:val="22"/>
        </w:rPr>
        <w:t xml:space="preserve">44 of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 xml:space="preserve">ramework, the main output of the review will be a report to be used by the Conference of the Parties serving as the meeting of the Parties to the Protocol to review, and revise as appropriate, the </w:t>
      </w:r>
      <w:r w:rsidRPr="00CA5B18">
        <w:rPr>
          <w:kern w:val="22"/>
          <w:szCs w:val="22"/>
        </w:rPr>
        <w:t>strategic framework in conjunction with the consideration and adoption of a post</w:t>
      </w:r>
      <w:r w:rsidR="003F1519">
        <w:rPr>
          <w:kern w:val="22"/>
          <w:szCs w:val="22"/>
        </w:rPr>
        <w:t>-</w:t>
      </w:r>
      <w:r w:rsidRPr="00CA5B18">
        <w:rPr>
          <w:kern w:val="22"/>
          <w:szCs w:val="22"/>
        </w:rPr>
        <w:t>2020 global biodiversity framework.</w:t>
      </w:r>
    </w:p>
    <w:p w:rsidR="00D406B3" w:rsidRPr="00A567F3"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CA5B18">
        <w:rPr>
          <w:kern w:val="22"/>
          <w:szCs w:val="22"/>
        </w:rPr>
        <w:lastRenderedPageBreak/>
        <w:t xml:space="preserve">Committee members will be invited to provide inputs and make suggestions on the proposed elements including the objectives, methodology and sources of information that will be used for the evaluation of the </w:t>
      </w:r>
      <w:r w:rsidR="0027585A" w:rsidRPr="00A567F3">
        <w:rPr>
          <w:kern w:val="22"/>
          <w:szCs w:val="22"/>
        </w:rPr>
        <w:t>s</w:t>
      </w:r>
      <w:r w:rsidRPr="00A567F3">
        <w:rPr>
          <w:kern w:val="22"/>
          <w:szCs w:val="22"/>
        </w:rPr>
        <w:t xml:space="preserve">trategic </w:t>
      </w:r>
      <w:r w:rsidR="0027585A" w:rsidRPr="00A567F3">
        <w:rPr>
          <w:kern w:val="22"/>
          <w:szCs w:val="22"/>
        </w:rPr>
        <w:t>f</w:t>
      </w:r>
      <w:r w:rsidRPr="00A567F3">
        <w:rPr>
          <w:kern w:val="22"/>
          <w:szCs w:val="22"/>
        </w:rPr>
        <w:t>ramework.</w:t>
      </w:r>
    </w:p>
    <w:p w:rsidR="00D406B3" w:rsidRPr="00A567F3" w:rsidRDefault="00D406B3" w:rsidP="00A567F3">
      <w:pPr>
        <w:keepNext/>
        <w:kinsoku w:val="0"/>
        <w:overflowPunct w:val="0"/>
        <w:autoSpaceDE w:val="0"/>
        <w:autoSpaceDN w:val="0"/>
        <w:snapToGrid w:val="0"/>
        <w:spacing w:before="120" w:after="120"/>
        <w:jc w:val="center"/>
        <w:rPr>
          <w:b/>
          <w:kern w:val="22"/>
          <w:szCs w:val="22"/>
        </w:rPr>
      </w:pPr>
      <w:r w:rsidRPr="00A567F3">
        <w:rPr>
          <w:b/>
          <w:kern w:val="22"/>
          <w:szCs w:val="22"/>
        </w:rPr>
        <w:t>D.</w:t>
      </w:r>
      <w:r w:rsidR="00AB7C27" w:rsidRPr="00A567F3">
        <w:rPr>
          <w:b/>
          <w:kern w:val="22"/>
          <w:szCs w:val="22"/>
        </w:rPr>
        <w:tab/>
      </w:r>
      <w:r w:rsidRPr="00A567F3">
        <w:rPr>
          <w:b/>
          <w:kern w:val="22"/>
          <w:szCs w:val="22"/>
        </w:rPr>
        <w:t xml:space="preserve">Renewal of </w:t>
      </w:r>
      <w:r w:rsidR="00AB7C27" w:rsidRPr="00A567F3">
        <w:rPr>
          <w:b/>
          <w:kern w:val="22"/>
          <w:szCs w:val="22"/>
        </w:rPr>
        <w:t xml:space="preserve">the mandate of the </w:t>
      </w:r>
      <w:r w:rsidRPr="00A567F3">
        <w:rPr>
          <w:b/>
          <w:kern w:val="22"/>
          <w:szCs w:val="22"/>
        </w:rPr>
        <w:t>Informal Advisory Committee</w:t>
      </w:r>
    </w:p>
    <w:p w:rsidR="00D406B3" w:rsidRPr="00CA5B18"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A567F3">
        <w:rPr>
          <w:kern w:val="22"/>
          <w:szCs w:val="22"/>
        </w:rPr>
        <w:t xml:space="preserve">At </w:t>
      </w:r>
      <w:r w:rsidR="007D7F3C">
        <w:rPr>
          <w:kern w:val="22"/>
          <w:szCs w:val="22"/>
        </w:rPr>
        <w:t>its</w:t>
      </w:r>
      <w:r w:rsidR="007D7F3C" w:rsidRPr="00A567F3">
        <w:rPr>
          <w:kern w:val="22"/>
          <w:szCs w:val="22"/>
        </w:rPr>
        <w:t xml:space="preserve"> </w:t>
      </w:r>
      <w:r w:rsidRPr="00A567F3">
        <w:rPr>
          <w:kern w:val="22"/>
          <w:szCs w:val="22"/>
        </w:rPr>
        <w:t>first meeting</w:t>
      </w:r>
      <w:r w:rsidR="007D7F3C">
        <w:rPr>
          <w:kern w:val="22"/>
          <w:szCs w:val="22"/>
        </w:rPr>
        <w:t>,</w:t>
      </w:r>
      <w:r w:rsidRPr="00A567F3">
        <w:rPr>
          <w:kern w:val="22"/>
          <w:szCs w:val="22"/>
        </w:rPr>
        <w:t xml:space="preserve"> the Conference of the Parties serving as the meeting of the Parties to the Nagoya Protocol decided to establish an informal advisory committee to provide advice to the Executive Secretary, until the third meeting of the Parties</w:t>
      </w:r>
      <w:r w:rsidRPr="00CA5B18">
        <w:rPr>
          <w:kern w:val="22"/>
          <w:szCs w:val="22"/>
        </w:rPr>
        <w:t>, on matters related to the assessment of the effectiveness of the strategic framework in accordance with the terms of reference contained in decision NP-1/8</w:t>
      </w:r>
      <w:r w:rsidR="005606E0">
        <w:rPr>
          <w:kern w:val="22"/>
          <w:szCs w:val="22"/>
        </w:rPr>
        <w:t>,</w:t>
      </w:r>
      <w:r w:rsidR="005606E0" w:rsidRPr="005606E0">
        <w:rPr>
          <w:kern w:val="22"/>
          <w:szCs w:val="22"/>
        </w:rPr>
        <w:t xml:space="preserve"> </w:t>
      </w:r>
      <w:r w:rsidR="005606E0">
        <w:rPr>
          <w:kern w:val="22"/>
          <w:szCs w:val="22"/>
        </w:rPr>
        <w:t>annex II</w:t>
      </w:r>
      <w:r w:rsidRPr="00CA5B18">
        <w:rPr>
          <w:kern w:val="22"/>
          <w:szCs w:val="22"/>
        </w:rPr>
        <w:t>.</w:t>
      </w:r>
    </w:p>
    <w:p w:rsidR="00D406B3" w:rsidRPr="00CA5B18" w:rsidRDefault="00E4658E" w:rsidP="00A567F3">
      <w:pPr>
        <w:pStyle w:val="Para1"/>
        <w:suppressLineNumbers/>
        <w:tabs>
          <w:tab w:val="clear" w:pos="360"/>
          <w:tab w:val="num" w:pos="720"/>
        </w:tabs>
        <w:suppressAutoHyphens/>
        <w:kinsoku w:val="0"/>
        <w:overflowPunct w:val="0"/>
        <w:autoSpaceDE w:val="0"/>
        <w:autoSpaceDN w:val="0"/>
        <w:snapToGrid w:val="0"/>
        <w:rPr>
          <w:kern w:val="22"/>
          <w:szCs w:val="22"/>
        </w:rPr>
      </w:pPr>
      <w:r>
        <w:rPr>
          <w:kern w:val="22"/>
          <w:szCs w:val="22"/>
        </w:rPr>
        <w:t>At its</w:t>
      </w:r>
      <w:r w:rsidR="00D406B3" w:rsidRPr="00CA5B18">
        <w:rPr>
          <w:kern w:val="22"/>
          <w:szCs w:val="22"/>
        </w:rPr>
        <w:t xml:space="preserve"> second meeting</w:t>
      </w:r>
      <w:r>
        <w:rPr>
          <w:kern w:val="22"/>
          <w:szCs w:val="22"/>
        </w:rPr>
        <w:t>,</w:t>
      </w:r>
      <w:r w:rsidR="00D406B3" w:rsidRPr="00CA5B18">
        <w:rPr>
          <w:kern w:val="22"/>
          <w:szCs w:val="22"/>
        </w:rPr>
        <w:t xml:space="preserve"> the Conference of the Parties serving as the meeting of the Parties to the Nagoya Protocol decided that the Informal Advisory Committee </w:t>
      </w:r>
      <w:r>
        <w:rPr>
          <w:kern w:val="22"/>
          <w:szCs w:val="22"/>
        </w:rPr>
        <w:t>would</w:t>
      </w:r>
      <w:r w:rsidRPr="00CA5B18">
        <w:rPr>
          <w:kern w:val="22"/>
          <w:szCs w:val="22"/>
        </w:rPr>
        <w:t xml:space="preserve"> </w:t>
      </w:r>
      <w:r w:rsidR="00D406B3" w:rsidRPr="00CA5B18">
        <w:rPr>
          <w:kern w:val="22"/>
          <w:szCs w:val="22"/>
        </w:rPr>
        <w:t>hold at least one meeting and online consultations as needed, to complete its mandate and report on the outcomes of its work to the Conference of the Parties serving as the meeting of the Parties to the Protocol at its third meeting.</w:t>
      </w:r>
    </w:p>
    <w:p w:rsidR="00D406B3" w:rsidRDefault="00D406B3" w:rsidP="00A567F3">
      <w:pPr>
        <w:pStyle w:val="Para1"/>
        <w:suppressLineNumbers/>
        <w:tabs>
          <w:tab w:val="clear" w:pos="360"/>
          <w:tab w:val="num" w:pos="720"/>
        </w:tabs>
        <w:suppressAutoHyphens/>
        <w:kinsoku w:val="0"/>
        <w:overflowPunct w:val="0"/>
        <w:autoSpaceDE w:val="0"/>
        <w:autoSpaceDN w:val="0"/>
        <w:snapToGrid w:val="0"/>
        <w:rPr>
          <w:kern w:val="22"/>
          <w:szCs w:val="22"/>
        </w:rPr>
      </w:pPr>
      <w:r w:rsidRPr="00CA5B18">
        <w:rPr>
          <w:kern w:val="22"/>
          <w:szCs w:val="22"/>
        </w:rPr>
        <w:t xml:space="preserve">Given that the evaluation </w:t>
      </w:r>
      <w:r w:rsidR="00ED53B1">
        <w:rPr>
          <w:kern w:val="22"/>
          <w:szCs w:val="22"/>
        </w:rPr>
        <w:t>on</w:t>
      </w:r>
      <w:r w:rsidR="00ED53B1" w:rsidRPr="00A567F3">
        <w:rPr>
          <w:kern w:val="22"/>
          <w:szCs w:val="22"/>
        </w:rPr>
        <w:t xml:space="preserve"> </w:t>
      </w:r>
      <w:r w:rsidRPr="00A567F3">
        <w:rPr>
          <w:kern w:val="22"/>
          <w:szCs w:val="22"/>
        </w:rPr>
        <w:t xml:space="preserve">which the Informal Advisory Committee has been called upon to provide advice is scheduled to take place in 2019 and the results will be reported </w:t>
      </w:r>
      <w:r w:rsidR="00ED53B1">
        <w:rPr>
          <w:kern w:val="22"/>
          <w:szCs w:val="22"/>
        </w:rPr>
        <w:t>to</w:t>
      </w:r>
      <w:r w:rsidR="00ED53B1" w:rsidRPr="00A567F3">
        <w:rPr>
          <w:kern w:val="22"/>
          <w:szCs w:val="22"/>
        </w:rPr>
        <w:t xml:space="preserve"> </w:t>
      </w:r>
      <w:r w:rsidRPr="00A567F3">
        <w:rPr>
          <w:kern w:val="22"/>
          <w:szCs w:val="22"/>
        </w:rPr>
        <w:t>the Parties to the Nagoya Protocol</w:t>
      </w:r>
      <w:r w:rsidR="00ED53B1">
        <w:rPr>
          <w:kern w:val="22"/>
          <w:szCs w:val="22"/>
        </w:rPr>
        <w:t xml:space="preserve"> at their fourth meeting</w:t>
      </w:r>
      <w:r w:rsidRPr="00A567F3">
        <w:rPr>
          <w:kern w:val="22"/>
          <w:szCs w:val="22"/>
        </w:rPr>
        <w:t xml:space="preserve">, the Committee will be invited to discuss whether its mandate should be renewed in the next biennium in order to see the exercise through to its end and continue supporting the implementation of the </w:t>
      </w:r>
      <w:r w:rsidR="000B47F6" w:rsidRPr="00A567F3">
        <w:rPr>
          <w:kern w:val="22"/>
          <w:szCs w:val="22"/>
        </w:rPr>
        <w:t>s</w:t>
      </w:r>
      <w:r w:rsidRPr="00A567F3">
        <w:rPr>
          <w:kern w:val="22"/>
          <w:szCs w:val="22"/>
        </w:rPr>
        <w:t xml:space="preserve">trategic </w:t>
      </w:r>
      <w:r w:rsidR="000B47F6" w:rsidRPr="00A567F3">
        <w:rPr>
          <w:kern w:val="22"/>
          <w:szCs w:val="22"/>
        </w:rPr>
        <w:t>f</w:t>
      </w:r>
      <w:r w:rsidRPr="00A567F3">
        <w:rPr>
          <w:kern w:val="22"/>
          <w:szCs w:val="22"/>
        </w:rPr>
        <w:t xml:space="preserve">ramework for </w:t>
      </w:r>
      <w:r w:rsidR="000B47F6" w:rsidRPr="00A567F3">
        <w:rPr>
          <w:kern w:val="22"/>
          <w:szCs w:val="22"/>
        </w:rPr>
        <w:t>c</w:t>
      </w:r>
      <w:r w:rsidRPr="00A567F3">
        <w:rPr>
          <w:kern w:val="22"/>
          <w:szCs w:val="22"/>
        </w:rPr>
        <w:t>apacity</w:t>
      </w:r>
      <w:r w:rsidR="0027585A" w:rsidRPr="00A567F3">
        <w:rPr>
          <w:kern w:val="22"/>
          <w:szCs w:val="22"/>
        </w:rPr>
        <w:noBreakHyphen/>
      </w:r>
      <w:r w:rsidR="000B47F6" w:rsidRPr="00A567F3">
        <w:rPr>
          <w:kern w:val="22"/>
          <w:szCs w:val="22"/>
        </w:rPr>
        <w:t>b</w:t>
      </w:r>
      <w:r w:rsidRPr="00A567F3">
        <w:rPr>
          <w:kern w:val="22"/>
          <w:szCs w:val="22"/>
        </w:rPr>
        <w:t xml:space="preserve">uilding and </w:t>
      </w:r>
      <w:r w:rsidR="000B47F6" w:rsidRPr="00A567F3">
        <w:rPr>
          <w:kern w:val="22"/>
          <w:szCs w:val="22"/>
        </w:rPr>
        <w:t>d</w:t>
      </w:r>
      <w:r w:rsidRPr="00A567F3">
        <w:rPr>
          <w:kern w:val="22"/>
          <w:szCs w:val="22"/>
        </w:rPr>
        <w:t>evelopment.</w:t>
      </w:r>
    </w:p>
    <w:p w:rsidR="00D37D53" w:rsidRPr="00A567F3" w:rsidRDefault="00D37D53" w:rsidP="00A567F3">
      <w:pPr>
        <w:pStyle w:val="Para1"/>
        <w:numPr>
          <w:ilvl w:val="0"/>
          <w:numId w:val="0"/>
        </w:numPr>
        <w:suppressLineNumbers/>
        <w:suppressAutoHyphens/>
        <w:kinsoku w:val="0"/>
        <w:overflowPunct w:val="0"/>
        <w:autoSpaceDE w:val="0"/>
        <w:autoSpaceDN w:val="0"/>
        <w:snapToGrid w:val="0"/>
        <w:spacing w:before="0" w:after="0"/>
        <w:rPr>
          <w:kern w:val="22"/>
          <w:szCs w:val="22"/>
        </w:rPr>
      </w:pPr>
    </w:p>
    <w:p w:rsidR="00B3369F" w:rsidRPr="00A567F3" w:rsidRDefault="00AB7C27" w:rsidP="00A567F3">
      <w:pPr>
        <w:kinsoku w:val="0"/>
        <w:overflowPunct w:val="0"/>
        <w:autoSpaceDE w:val="0"/>
        <w:autoSpaceDN w:val="0"/>
        <w:snapToGrid w:val="0"/>
        <w:jc w:val="center"/>
        <w:rPr>
          <w:kern w:val="22"/>
          <w:szCs w:val="22"/>
        </w:rPr>
      </w:pPr>
      <w:r w:rsidRPr="00A567F3">
        <w:rPr>
          <w:kern w:val="22"/>
          <w:szCs w:val="22"/>
        </w:rPr>
        <w:t>––––––––––</w:t>
      </w:r>
    </w:p>
    <w:sectPr w:rsidR="00B3369F" w:rsidRPr="00A567F3" w:rsidSect="00A567F3">
      <w:headerReference w:type="even" r:id="rId16"/>
      <w:headerReference w:type="defaul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C1" w:rsidRDefault="000A0AC1" w:rsidP="00CF1848">
      <w:r>
        <w:separator/>
      </w:r>
    </w:p>
  </w:footnote>
  <w:footnote w:type="continuationSeparator" w:id="0">
    <w:p w:rsidR="000A0AC1" w:rsidRDefault="000A0AC1" w:rsidP="00CF1848">
      <w:r>
        <w:continuationSeparator/>
      </w:r>
    </w:p>
  </w:footnote>
  <w:footnote w:id="1">
    <w:p w:rsidR="00DE6386" w:rsidRPr="00A567F3" w:rsidRDefault="00DE6386" w:rsidP="00A567F3">
      <w:pPr>
        <w:pStyle w:val="FootnoteText"/>
        <w:keepLines w:val="0"/>
        <w:kinsoku w:val="0"/>
        <w:overflowPunct w:val="0"/>
        <w:autoSpaceDE w:val="0"/>
        <w:autoSpaceDN w:val="0"/>
        <w:ind w:firstLine="0"/>
        <w:jc w:val="left"/>
        <w:rPr>
          <w:kern w:val="18"/>
          <w:szCs w:val="18"/>
        </w:rPr>
      </w:pPr>
      <w:r w:rsidRPr="00A567F3">
        <w:rPr>
          <w:rStyle w:val="FootnoteReference"/>
          <w:kern w:val="18"/>
          <w:szCs w:val="18"/>
          <w:u w:val="none"/>
          <w:vertAlign w:val="superscript"/>
        </w:rPr>
        <w:t>*</w:t>
      </w:r>
      <w:r w:rsidRPr="00A567F3">
        <w:rPr>
          <w:kern w:val="18"/>
          <w:szCs w:val="18"/>
        </w:rPr>
        <w:t xml:space="preserve"> </w:t>
      </w:r>
      <w:hyperlink r:id="rId1" w:history="1">
        <w:proofErr w:type="gramStart"/>
        <w:r w:rsidRPr="00A567F3">
          <w:rPr>
            <w:rStyle w:val="Hyperlink"/>
            <w:noProof/>
            <w:kern w:val="18"/>
            <w:szCs w:val="18"/>
          </w:rPr>
          <w:t>CBD/ABS/CB-IAC/2018/1/1</w:t>
        </w:r>
      </w:hyperlink>
      <w:r w:rsidRPr="00A567F3">
        <w:rPr>
          <w:kern w:val="18"/>
          <w:szCs w:val="18"/>
        </w:rPr>
        <w:t>.</w:t>
      </w:r>
      <w:proofErr w:type="gramEnd"/>
    </w:p>
  </w:footnote>
  <w:footnote w:id="2">
    <w:p w:rsidR="00D406B3" w:rsidRPr="00A567F3" w:rsidRDefault="00D406B3" w:rsidP="00A567F3">
      <w:pPr>
        <w:pStyle w:val="FootnoteText"/>
        <w:keepLines w:val="0"/>
        <w:kinsoku w:val="0"/>
        <w:overflowPunct w:val="0"/>
        <w:autoSpaceDE w:val="0"/>
        <w:autoSpaceDN w:val="0"/>
        <w:ind w:firstLine="0"/>
        <w:jc w:val="left"/>
        <w:rPr>
          <w:kern w:val="18"/>
          <w:szCs w:val="18"/>
        </w:rPr>
      </w:pPr>
      <w:r w:rsidRPr="00A567F3">
        <w:rPr>
          <w:rStyle w:val="FootnoteReference"/>
          <w:kern w:val="18"/>
          <w:szCs w:val="18"/>
          <w:u w:val="none"/>
          <w:vertAlign w:val="superscript"/>
        </w:rPr>
        <w:footnoteRef/>
      </w:r>
      <w:r w:rsidRPr="00A567F3">
        <w:rPr>
          <w:kern w:val="18"/>
          <w:szCs w:val="18"/>
          <w:vertAlign w:val="superscript"/>
        </w:rPr>
        <w:t xml:space="preserve"> </w:t>
      </w:r>
      <w:r w:rsidRPr="00A567F3">
        <w:rPr>
          <w:kern w:val="18"/>
          <w:szCs w:val="18"/>
        </w:rPr>
        <w:t xml:space="preserve">See </w:t>
      </w:r>
      <w:hyperlink r:id="rId2" w:history="1">
        <w:r w:rsidR="001B57F5" w:rsidRPr="00A567F3">
          <w:rPr>
            <w:rStyle w:val="Hyperlink"/>
            <w:kern w:val="18"/>
            <w:szCs w:val="18"/>
          </w:rPr>
          <w:t>d</w:t>
        </w:r>
        <w:r w:rsidRPr="00A567F3">
          <w:rPr>
            <w:rStyle w:val="Hyperlink"/>
            <w:kern w:val="18"/>
            <w:szCs w:val="18"/>
          </w:rPr>
          <w:t>ecision NP-1/8</w:t>
        </w:r>
      </w:hyperlink>
      <w:r w:rsidRPr="00A567F3">
        <w:rPr>
          <w:kern w:val="18"/>
          <w:szCs w:val="18"/>
        </w:rPr>
        <w:t xml:space="preserve">, </w:t>
      </w:r>
      <w:r w:rsidR="001B57F5" w:rsidRPr="00A567F3">
        <w:rPr>
          <w:kern w:val="18"/>
          <w:szCs w:val="18"/>
        </w:rPr>
        <w:t>a</w:t>
      </w:r>
      <w:r w:rsidRPr="00A567F3">
        <w:rPr>
          <w:kern w:val="18"/>
          <w:szCs w:val="18"/>
        </w:rPr>
        <w:t>nnex I, para</w:t>
      </w:r>
      <w:r w:rsidR="008E469D">
        <w:rPr>
          <w:kern w:val="18"/>
          <w:szCs w:val="18"/>
        </w:rPr>
        <w:t>. </w:t>
      </w:r>
      <w:r w:rsidRPr="00A567F3">
        <w:rPr>
          <w:kern w:val="18"/>
          <w:szCs w:val="18"/>
        </w:rPr>
        <w:t>19.</w:t>
      </w:r>
    </w:p>
  </w:footnote>
  <w:footnote w:id="3">
    <w:p w:rsidR="00D406B3" w:rsidRPr="00A567F3" w:rsidRDefault="00D406B3" w:rsidP="00A567F3">
      <w:pPr>
        <w:pStyle w:val="FootnoteText"/>
        <w:keepLines w:val="0"/>
        <w:kinsoku w:val="0"/>
        <w:overflowPunct w:val="0"/>
        <w:autoSpaceDE w:val="0"/>
        <w:autoSpaceDN w:val="0"/>
        <w:ind w:firstLine="0"/>
        <w:jc w:val="left"/>
        <w:rPr>
          <w:kern w:val="18"/>
          <w:szCs w:val="18"/>
        </w:rPr>
      </w:pPr>
      <w:r w:rsidRPr="00A567F3">
        <w:rPr>
          <w:rStyle w:val="FootnoteReference"/>
          <w:kern w:val="18"/>
          <w:szCs w:val="18"/>
          <w:u w:val="none"/>
          <w:vertAlign w:val="superscript"/>
        </w:rPr>
        <w:footnoteRef/>
      </w:r>
      <w:r w:rsidRPr="00A567F3">
        <w:rPr>
          <w:kern w:val="18"/>
          <w:szCs w:val="18"/>
        </w:rPr>
        <w:t xml:space="preserve"> See </w:t>
      </w:r>
      <w:r w:rsidR="00AB7C27" w:rsidRPr="00A567F3">
        <w:rPr>
          <w:kern w:val="18"/>
          <w:szCs w:val="18"/>
        </w:rPr>
        <w:t>d</w:t>
      </w:r>
      <w:r w:rsidRPr="00A567F3">
        <w:rPr>
          <w:kern w:val="18"/>
          <w:szCs w:val="18"/>
        </w:rPr>
        <w:t xml:space="preserve">ecision NP-1/8, </w:t>
      </w:r>
      <w:r w:rsidR="003543D2">
        <w:rPr>
          <w:kern w:val="18"/>
          <w:szCs w:val="18"/>
        </w:rPr>
        <w:t>a</w:t>
      </w:r>
      <w:r w:rsidRPr="00A567F3">
        <w:rPr>
          <w:kern w:val="18"/>
          <w:szCs w:val="18"/>
        </w:rPr>
        <w:t xml:space="preserve">ppendix II of the </w:t>
      </w:r>
      <w:r w:rsidR="0027585A" w:rsidRPr="00A567F3">
        <w:rPr>
          <w:kern w:val="18"/>
          <w:szCs w:val="18"/>
        </w:rPr>
        <w:t>s</w:t>
      </w:r>
      <w:r w:rsidRPr="00A567F3">
        <w:rPr>
          <w:kern w:val="18"/>
          <w:szCs w:val="18"/>
        </w:rPr>
        <w:t xml:space="preserve">trategic </w:t>
      </w:r>
      <w:r w:rsidR="0027585A" w:rsidRPr="00A567F3">
        <w:rPr>
          <w:kern w:val="18"/>
          <w:szCs w:val="18"/>
        </w:rPr>
        <w:t>f</w:t>
      </w:r>
      <w:r w:rsidRPr="00A567F3">
        <w:rPr>
          <w:kern w:val="18"/>
          <w:szCs w:val="18"/>
        </w:rPr>
        <w:t>ramework.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A567F3" w:rsidRDefault="001B57F5" w:rsidP="00A567F3">
        <w:pPr>
          <w:pStyle w:val="Header"/>
          <w:tabs>
            <w:tab w:val="clear" w:pos="4320"/>
            <w:tab w:val="clear" w:pos="8640"/>
          </w:tabs>
          <w:kinsoku w:val="0"/>
          <w:overflowPunct w:val="0"/>
          <w:autoSpaceDE w:val="0"/>
          <w:autoSpaceDN w:val="0"/>
          <w:jc w:val="left"/>
          <w:rPr>
            <w:noProof/>
            <w:kern w:val="22"/>
          </w:rPr>
        </w:pPr>
        <w:r w:rsidRPr="00A567F3">
          <w:rPr>
            <w:noProof/>
            <w:kern w:val="22"/>
          </w:rPr>
          <w:t>CBD/ABS/CB-IAC/2018/1/3</w:t>
        </w:r>
      </w:p>
    </w:sdtContent>
  </w:sdt>
  <w:p w:rsidR="00534681" w:rsidRPr="00A567F3" w:rsidRDefault="00534681" w:rsidP="00A567F3">
    <w:pPr>
      <w:pStyle w:val="Header"/>
      <w:tabs>
        <w:tab w:val="clear" w:pos="4320"/>
        <w:tab w:val="clear" w:pos="8640"/>
      </w:tabs>
      <w:kinsoku w:val="0"/>
      <w:overflowPunct w:val="0"/>
      <w:autoSpaceDE w:val="0"/>
      <w:autoSpaceDN w:val="0"/>
      <w:jc w:val="left"/>
      <w:rPr>
        <w:noProof/>
        <w:kern w:val="22"/>
      </w:rPr>
    </w:pPr>
    <w:r w:rsidRPr="00A567F3">
      <w:rPr>
        <w:noProof/>
        <w:kern w:val="22"/>
      </w:rPr>
      <w:t xml:space="preserve">Page </w:t>
    </w:r>
    <w:r w:rsidRPr="00A567F3">
      <w:rPr>
        <w:noProof/>
        <w:kern w:val="22"/>
      </w:rPr>
      <w:fldChar w:fldCharType="begin"/>
    </w:r>
    <w:r w:rsidRPr="00A567F3">
      <w:rPr>
        <w:noProof/>
        <w:kern w:val="22"/>
      </w:rPr>
      <w:instrText xml:space="preserve"> PAGE   \* MERGEFORMAT </w:instrText>
    </w:r>
    <w:r w:rsidRPr="00A567F3">
      <w:rPr>
        <w:noProof/>
        <w:kern w:val="22"/>
      </w:rPr>
      <w:fldChar w:fldCharType="separate"/>
    </w:r>
    <w:r w:rsidR="00A567F3">
      <w:rPr>
        <w:noProof/>
        <w:kern w:val="22"/>
      </w:rPr>
      <w:t>4</w:t>
    </w:r>
    <w:r w:rsidRPr="00A567F3">
      <w:rPr>
        <w:noProof/>
        <w:kern w:val="22"/>
      </w:rPr>
      <w:fldChar w:fldCharType="end"/>
    </w:r>
  </w:p>
  <w:p w:rsidR="00534681" w:rsidRPr="00A567F3" w:rsidRDefault="00534681" w:rsidP="00A567F3">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1B57F5" w:rsidP="00A567F3">
        <w:pPr>
          <w:pStyle w:val="Header"/>
          <w:tabs>
            <w:tab w:val="clear" w:pos="4320"/>
            <w:tab w:val="clear" w:pos="8640"/>
          </w:tabs>
          <w:jc w:val="right"/>
          <w:rPr>
            <w:noProof/>
          </w:rPr>
        </w:pPr>
        <w:r>
          <w:rPr>
            <w:noProof/>
          </w:rPr>
          <w:t>CBD/ABS/CB-IAC/2018/1/3</w:t>
        </w:r>
      </w:p>
    </w:sdtContent>
  </w:sdt>
  <w:p w:rsidR="009505C9" w:rsidRDefault="009505C9" w:rsidP="009505C9">
    <w:pPr>
      <w:pStyle w:val="Header"/>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A567F3">
      <w:rPr>
        <w:noProof/>
      </w:rPr>
      <w:t>3</w:t>
    </w:r>
    <w:r>
      <w:rPr>
        <w:noProof/>
      </w:rPr>
      <w:fldChar w:fldCharType="end"/>
    </w:r>
  </w:p>
  <w:p w:rsidR="009505C9" w:rsidRDefault="009505C9">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B6"/>
    <w:multiLevelType w:val="hybridMultilevel"/>
    <w:tmpl w:val="E4E47EE0"/>
    <w:lvl w:ilvl="0" w:tplc="0409001B">
      <w:start w:val="1"/>
      <w:numFmt w:val="lowerRoman"/>
      <w:lvlText w:val="%1."/>
      <w:lvlJc w:val="righ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
    <w:nsid w:val="04415AA5"/>
    <w:multiLevelType w:val="hybridMultilevel"/>
    <w:tmpl w:val="73CA8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664005"/>
    <w:multiLevelType w:val="hybridMultilevel"/>
    <w:tmpl w:val="A03CC3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423079"/>
    <w:multiLevelType w:val="hybridMultilevel"/>
    <w:tmpl w:val="9104B7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86776"/>
    <w:multiLevelType w:val="hybridMultilevel"/>
    <w:tmpl w:val="A9AA919E"/>
    <w:lvl w:ilvl="0" w:tplc="4718F17E">
      <w:start w:val="1"/>
      <w:numFmt w:val="lowerRoman"/>
      <w:lvlText w:val="(%1)"/>
      <w:lvlJc w:val="righ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7">
    <w:nsid w:val="2B022E88"/>
    <w:multiLevelType w:val="hybridMultilevel"/>
    <w:tmpl w:val="DFBCC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7F85AC0"/>
    <w:multiLevelType w:val="hybridMultilevel"/>
    <w:tmpl w:val="76029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763F4"/>
    <w:multiLevelType w:val="hybridMultilevel"/>
    <w:tmpl w:val="9FFACE80"/>
    <w:lvl w:ilvl="0" w:tplc="4718F17E">
      <w:start w:val="1"/>
      <w:numFmt w:val="lowerRoman"/>
      <w:lvlText w:val="(%1)"/>
      <w:lvlJc w:val="righ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1">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6D22AC5"/>
    <w:multiLevelType w:val="hybridMultilevel"/>
    <w:tmpl w:val="595EF71E"/>
    <w:lvl w:ilvl="0" w:tplc="6212A35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D9B3B67"/>
    <w:multiLevelType w:val="hybridMultilevel"/>
    <w:tmpl w:val="AF98EED0"/>
    <w:lvl w:ilvl="0" w:tplc="0409000F">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1A2804"/>
    <w:multiLevelType w:val="hybridMultilevel"/>
    <w:tmpl w:val="D5244F6A"/>
    <w:lvl w:ilvl="0" w:tplc="CAB40D4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00B5CE4"/>
    <w:multiLevelType w:val="hybridMultilevel"/>
    <w:tmpl w:val="A38845CC"/>
    <w:lvl w:ilvl="0" w:tplc="CAB40D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34B22"/>
    <w:multiLevelType w:val="hybridMultilevel"/>
    <w:tmpl w:val="464E9864"/>
    <w:lvl w:ilvl="0" w:tplc="4718F17E">
      <w:start w:val="1"/>
      <w:numFmt w:val="lowerRoman"/>
      <w:lvlText w:val="(%1)"/>
      <w:lvlJc w:val="righ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9">
    <w:nsid w:val="6E88335E"/>
    <w:multiLevelType w:val="hybridMultilevel"/>
    <w:tmpl w:val="B9D6F758"/>
    <w:lvl w:ilvl="0" w:tplc="4718F17E">
      <w:start w:val="1"/>
      <w:numFmt w:val="lowerRoman"/>
      <w:lvlText w:val="(%1)"/>
      <w:lvlJc w:val="righ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3990654"/>
    <w:multiLevelType w:val="hybridMultilevel"/>
    <w:tmpl w:val="E9D4F7A4"/>
    <w:lvl w:ilvl="0" w:tplc="4718F17E">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C301FEE"/>
    <w:multiLevelType w:val="hybridMultilevel"/>
    <w:tmpl w:val="45D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4"/>
  </w:num>
  <w:num w:numId="5">
    <w:abstractNumId w:val="13"/>
  </w:num>
  <w:num w:numId="6">
    <w:abstractNumId w:val="2"/>
  </w:num>
  <w:num w:numId="7">
    <w:abstractNumId w:val="3"/>
  </w:num>
  <w:num w:numId="8">
    <w:abstractNumId w:val="11"/>
    <w:lvlOverride w:ilvl="0">
      <w:startOverride w:val="1"/>
    </w:lvlOverride>
  </w:num>
  <w:num w:numId="9">
    <w:abstractNumId w:val="2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5"/>
  </w:num>
  <w:num w:numId="16">
    <w:abstractNumId w:val="15"/>
  </w:num>
  <w:num w:numId="17">
    <w:abstractNumId w:val="7"/>
  </w:num>
  <w:num w:numId="18">
    <w:abstractNumId w:val="1"/>
  </w:num>
  <w:num w:numId="19">
    <w:abstractNumId w:val="4"/>
  </w:num>
  <w:num w:numId="20">
    <w:abstractNumId w:val="22"/>
  </w:num>
  <w:num w:numId="21">
    <w:abstractNumId w:val="12"/>
  </w:num>
  <w:num w:numId="22">
    <w:abstractNumId w:val="17"/>
  </w:num>
  <w:num w:numId="23">
    <w:abstractNumId w:val="16"/>
  </w:num>
  <w:num w:numId="24">
    <w:abstractNumId w:val="0"/>
  </w:num>
  <w:num w:numId="25">
    <w:abstractNumId w:val="6"/>
  </w:num>
  <w:num w:numId="26">
    <w:abstractNumId w:val="19"/>
  </w:num>
  <w:num w:numId="27">
    <w:abstractNumId w:val="10"/>
  </w:num>
  <w:num w:numId="28">
    <w:abstractNumId w:val="18"/>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formatting="0" w:inkAnnotation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95E23"/>
    <w:rsid w:val="000A0AC1"/>
    <w:rsid w:val="000B47F6"/>
    <w:rsid w:val="000E673A"/>
    <w:rsid w:val="000F74F5"/>
    <w:rsid w:val="00105372"/>
    <w:rsid w:val="00131E7A"/>
    <w:rsid w:val="001603E0"/>
    <w:rsid w:val="00172AF6"/>
    <w:rsid w:val="00176CEE"/>
    <w:rsid w:val="001B57F5"/>
    <w:rsid w:val="001C083C"/>
    <w:rsid w:val="00230816"/>
    <w:rsid w:val="002379E7"/>
    <w:rsid w:val="0027585A"/>
    <w:rsid w:val="002F108F"/>
    <w:rsid w:val="0031564B"/>
    <w:rsid w:val="003543D2"/>
    <w:rsid w:val="00372F74"/>
    <w:rsid w:val="003C71C8"/>
    <w:rsid w:val="003C7202"/>
    <w:rsid w:val="003D35CD"/>
    <w:rsid w:val="003F1519"/>
    <w:rsid w:val="00415390"/>
    <w:rsid w:val="00416110"/>
    <w:rsid w:val="00450AA1"/>
    <w:rsid w:val="00452092"/>
    <w:rsid w:val="004644C2"/>
    <w:rsid w:val="004B06EB"/>
    <w:rsid w:val="00515F73"/>
    <w:rsid w:val="00534681"/>
    <w:rsid w:val="005606E0"/>
    <w:rsid w:val="00565851"/>
    <w:rsid w:val="005A75D1"/>
    <w:rsid w:val="00660370"/>
    <w:rsid w:val="00664F4A"/>
    <w:rsid w:val="006F55BD"/>
    <w:rsid w:val="00717D88"/>
    <w:rsid w:val="0072752D"/>
    <w:rsid w:val="0073426B"/>
    <w:rsid w:val="00743F07"/>
    <w:rsid w:val="0075192A"/>
    <w:rsid w:val="007942D3"/>
    <w:rsid w:val="007B6C09"/>
    <w:rsid w:val="007D7F3C"/>
    <w:rsid w:val="007E09CD"/>
    <w:rsid w:val="007E09DA"/>
    <w:rsid w:val="007E5D19"/>
    <w:rsid w:val="008178B6"/>
    <w:rsid w:val="0082346E"/>
    <w:rsid w:val="00880F15"/>
    <w:rsid w:val="008E469D"/>
    <w:rsid w:val="009505C9"/>
    <w:rsid w:val="0099130C"/>
    <w:rsid w:val="009D4803"/>
    <w:rsid w:val="00A567F3"/>
    <w:rsid w:val="00A97D33"/>
    <w:rsid w:val="00AA4622"/>
    <w:rsid w:val="00AB7C27"/>
    <w:rsid w:val="00AF22FE"/>
    <w:rsid w:val="00B162FB"/>
    <w:rsid w:val="00B3369F"/>
    <w:rsid w:val="00B454A6"/>
    <w:rsid w:val="00BB3705"/>
    <w:rsid w:val="00C9161D"/>
    <w:rsid w:val="00CA5B18"/>
    <w:rsid w:val="00CA69C8"/>
    <w:rsid w:val="00CD2C40"/>
    <w:rsid w:val="00CE7C73"/>
    <w:rsid w:val="00CF1848"/>
    <w:rsid w:val="00D12918"/>
    <w:rsid w:val="00D37D53"/>
    <w:rsid w:val="00D406B3"/>
    <w:rsid w:val="00D76A18"/>
    <w:rsid w:val="00DA353D"/>
    <w:rsid w:val="00DD118C"/>
    <w:rsid w:val="00DE6386"/>
    <w:rsid w:val="00E275F6"/>
    <w:rsid w:val="00E4658E"/>
    <w:rsid w:val="00E66235"/>
    <w:rsid w:val="00E83C24"/>
    <w:rsid w:val="00EA44BD"/>
    <w:rsid w:val="00EC4ADE"/>
    <w:rsid w:val="00ED53B1"/>
    <w:rsid w:val="00ED5E50"/>
    <w:rsid w:val="00EE1719"/>
    <w:rsid w:val="00EF5995"/>
    <w:rsid w:val="00F263F2"/>
    <w:rsid w:val="00F8701D"/>
    <w:rsid w:val="00F94774"/>
    <w:rsid w:val="00FB4E80"/>
    <w:rsid w:val="00FC53DB"/>
    <w:rsid w:val="00FF417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7E09DA"/>
    <w:rPr>
      <w:sz w:val="18"/>
      <w:u w:val="single"/>
      <w:vertAlign w:val="baseline"/>
    </w:rPr>
  </w:style>
  <w:style w:type="paragraph" w:styleId="FootnoteText">
    <w:name w:val="footnote text"/>
    <w:aliases w:val="fn,Geneva 9,Font: Geneva 9,Boston 10,f,Fotnotstext Char,ft Char,single space,footnote text,FOOTNOTES,ADB,single space1,footnote text1,FOOTNOTES1,fn1,ADB1,single space2,footnote text2,FOOTNOTES2,fn2,ADB2,single space3,footnote text3,fn3,ft"/>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character" w:customStyle="1" w:styleId="Para1Char1">
    <w:name w:val="Para1 Char1"/>
    <w:rsid w:val="00D406B3"/>
    <w:rPr>
      <w:rFonts w:ascii="Times New Roman" w:eastAsia="MS Mincho" w:hAnsi="Times New Roman" w:cs="Angsana New"/>
      <w:snapToGrid w:val="0"/>
      <w:sz w:val="22"/>
      <w:szCs w:val="18"/>
      <w:lang w:val="en-GB"/>
    </w:rPr>
  </w:style>
  <w:style w:type="paragraph" w:styleId="ListParagraph">
    <w:name w:val="List Paragraph"/>
    <w:basedOn w:val="Normal"/>
    <w:uiPriority w:val="34"/>
    <w:qFormat/>
    <w:rsid w:val="00DE6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7E09DA"/>
    <w:rPr>
      <w:sz w:val="18"/>
      <w:u w:val="single"/>
      <w:vertAlign w:val="baseline"/>
    </w:rPr>
  </w:style>
  <w:style w:type="paragraph" w:styleId="FootnoteText">
    <w:name w:val="footnote text"/>
    <w:aliases w:val="fn,Geneva 9,Font: Geneva 9,Boston 10,f,Fotnotstext Char,ft Char,single space,footnote text,FOOTNOTES,ADB,single space1,footnote text1,FOOTNOTES1,fn1,ADB1,single space2,footnote text2,FOOTNOTES2,fn2,ADB2,single space3,footnote text3,fn3,ft"/>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character" w:customStyle="1" w:styleId="Para1Char1">
    <w:name w:val="Para1 Char1"/>
    <w:rsid w:val="00D406B3"/>
    <w:rPr>
      <w:rFonts w:ascii="Times New Roman" w:eastAsia="MS Mincho" w:hAnsi="Times New Roman" w:cs="Angsana New"/>
      <w:snapToGrid w:val="0"/>
      <w:sz w:val="22"/>
      <w:szCs w:val="18"/>
      <w:lang w:val="en-GB"/>
    </w:rPr>
  </w:style>
  <w:style w:type="paragraph" w:styleId="ListParagraph">
    <w:name w:val="List Paragraph"/>
    <w:basedOn w:val="Normal"/>
    <w:uiPriority w:val="34"/>
    <w:qFormat/>
    <w:rsid w:val="00DE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np-mop-01/np-mop-01-dec-08-en.pdf"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s://www.cbd.int/doc/decisions/cop-13/cop-13-dec-23-en.pdf"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np-mop-02/np-mop-02-dec-08-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np-mop-01/np-mop-01-dec-08-en.pdf" TargetMode="External"/><Relationship Id="rId1" Type="http://schemas.openxmlformats.org/officeDocument/2006/relationships/hyperlink" Target="https://www.cbd.int/doc/c/9f96/1e0c/2226d13254c4ea94124ee66a/abs-cbiac-2018-01-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7ED39-FECD-4602-A07B-E2607025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9075</Characters>
  <Application>Microsoft Office Word</Application>
  <DocSecurity>0</DocSecurity>
  <Lines>171</Lines>
  <Paragraphs>82</Paragraphs>
  <ScaleCrop>false</ScaleCrop>
  <HeadingPairs>
    <vt:vector size="2" baseType="variant">
      <vt:variant>
        <vt:lpstr>Title</vt:lpstr>
      </vt:variant>
      <vt:variant>
        <vt:i4>1</vt:i4>
      </vt:variant>
    </vt:vector>
  </HeadingPairs>
  <TitlesOfParts>
    <vt:vector size="1" baseType="lpstr">
      <vt:lpstr>Elements for the evaluation of the strategic framework for capacity-building and development to support the effective implementation of the Nagoya Protocol on Access and Benefit-sharing</vt:lpstr>
    </vt:vector>
  </TitlesOfParts>
  <Company>SCBD</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for the evaluation of the strategic framework for capacity-building and development to support the effective implementation of the Nagoya Protocol on Access and Benefit-sharing</dc:title>
  <dc:subject>CBD/ABS/CB-IAC/2018/1/3</dc:subject>
  <dc:creator>SCBD</dc:creator>
  <cp:lastModifiedBy>Orestes Plasencia</cp:lastModifiedBy>
  <cp:revision>2</cp:revision>
  <dcterms:created xsi:type="dcterms:W3CDTF">2018-03-01T21:01:00Z</dcterms:created>
  <dcterms:modified xsi:type="dcterms:W3CDTF">2018-03-01T21:01:00Z</dcterms:modified>
  <cp:contentStatus>GENERAL</cp:contentStatus>
</cp:coreProperties>
</file>