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4F535E" w:rsidTr="005A796F">
        <w:trPr>
          <w:trHeight w:val="709"/>
        </w:trPr>
        <w:tc>
          <w:tcPr>
            <w:tcW w:w="976" w:type="dxa"/>
            <w:tcBorders>
              <w:bottom w:val="single" w:sz="12" w:space="0" w:color="auto"/>
            </w:tcBorders>
          </w:tcPr>
          <w:p w:rsidR="00207A6E" w:rsidRPr="004F535E" w:rsidRDefault="00207A6E" w:rsidP="00AF37BE">
            <w:pPr>
              <w:suppressLineNumbers/>
              <w:suppressAutoHyphens/>
              <w:kinsoku w:val="0"/>
              <w:overflowPunct w:val="0"/>
              <w:autoSpaceDE w:val="0"/>
              <w:autoSpaceDN w:val="0"/>
              <w:adjustRightInd w:val="0"/>
              <w:snapToGrid w:val="0"/>
              <w:rPr>
                <w:snapToGrid w:val="0"/>
                <w:kern w:val="22"/>
                <w:lang w:val="es-ES"/>
              </w:rPr>
            </w:pPr>
            <w:r w:rsidRPr="004F535E">
              <w:rPr>
                <w:noProof/>
                <w:snapToGrid w:val="0"/>
                <w:kern w:val="22"/>
                <w:lang w:val="es-UY" w:eastAsia="es-UY"/>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4F535E" w:rsidRDefault="00207A6E" w:rsidP="00AF37BE">
            <w:pPr>
              <w:suppressLineNumbers/>
              <w:suppressAutoHyphens/>
              <w:kinsoku w:val="0"/>
              <w:overflowPunct w:val="0"/>
              <w:autoSpaceDE w:val="0"/>
              <w:autoSpaceDN w:val="0"/>
              <w:adjustRightInd w:val="0"/>
              <w:snapToGrid w:val="0"/>
              <w:rPr>
                <w:snapToGrid w:val="0"/>
                <w:kern w:val="22"/>
                <w:lang w:val="es-ES"/>
              </w:rPr>
            </w:pPr>
            <w:r w:rsidRPr="004F535E">
              <w:rPr>
                <w:noProof/>
                <w:snapToGrid w:val="0"/>
                <w:kern w:val="22"/>
                <w:lang w:val="es-UY" w:eastAsia="es-UY"/>
              </w:rPr>
              <w:drawing>
                <wp:inline distT="0" distB="0" distL="0" distR="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4F535E" w:rsidRDefault="00207A6E" w:rsidP="00AF37BE">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es-ES"/>
              </w:rPr>
            </w:pPr>
            <w:r w:rsidRPr="004F535E">
              <w:rPr>
                <w:rFonts w:ascii="Arial" w:hAnsi="Arial" w:cs="Arial"/>
                <w:b/>
                <w:bCs/>
                <w:snapToGrid w:val="0"/>
                <w:kern w:val="22"/>
                <w:sz w:val="32"/>
                <w:szCs w:val="32"/>
                <w:lang w:val="es-ES"/>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4F535E" w:rsidTr="009554D5">
        <w:trPr>
          <w:trHeight w:val="1693"/>
        </w:trPr>
        <w:tc>
          <w:tcPr>
            <w:tcW w:w="6227" w:type="dxa"/>
            <w:tcBorders>
              <w:top w:val="nil"/>
              <w:bottom w:val="single" w:sz="36" w:space="0" w:color="000000"/>
            </w:tcBorders>
          </w:tcPr>
          <w:p w:rsidR="00F16F02" w:rsidRPr="004F535E" w:rsidRDefault="00F16F02" w:rsidP="00AF37BE">
            <w:pPr>
              <w:suppressLineNumbers/>
              <w:suppressAutoHyphens/>
              <w:kinsoku w:val="0"/>
              <w:overflowPunct w:val="0"/>
              <w:autoSpaceDE w:val="0"/>
              <w:autoSpaceDN w:val="0"/>
              <w:adjustRightInd w:val="0"/>
              <w:snapToGrid w:val="0"/>
              <w:rPr>
                <w:snapToGrid w:val="0"/>
                <w:kern w:val="22"/>
                <w:lang w:val="es-ES"/>
              </w:rPr>
            </w:pPr>
          </w:p>
          <w:p w:rsidR="00F16F02" w:rsidRPr="004F535E" w:rsidRDefault="001478AA" w:rsidP="00AF37BE">
            <w:pPr>
              <w:suppressLineNumbers/>
              <w:suppressAutoHyphens/>
              <w:kinsoku w:val="0"/>
              <w:overflowPunct w:val="0"/>
              <w:autoSpaceDE w:val="0"/>
              <w:autoSpaceDN w:val="0"/>
              <w:adjustRightInd w:val="0"/>
              <w:snapToGrid w:val="0"/>
              <w:rPr>
                <w:snapToGrid w:val="0"/>
                <w:kern w:val="22"/>
                <w:lang w:val="es-ES"/>
              </w:rPr>
            </w:pPr>
            <w:r w:rsidRPr="004F535E">
              <w:rPr>
                <w:noProof/>
                <w:kern w:val="22"/>
                <w:szCs w:val="22"/>
                <w:lang w:val="es-UY" w:eastAsia="es-UY"/>
              </w:rPr>
              <w:drawing>
                <wp:inline distT="0" distB="0" distL="0" distR="0">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rsidR="00F16F02" w:rsidRPr="004F535E" w:rsidRDefault="00F16F02" w:rsidP="00AF37BE">
            <w:pPr>
              <w:suppressLineNumbers/>
              <w:suppressAutoHyphens/>
              <w:kinsoku w:val="0"/>
              <w:overflowPunct w:val="0"/>
              <w:autoSpaceDE w:val="0"/>
              <w:autoSpaceDN w:val="0"/>
              <w:adjustRightInd w:val="0"/>
              <w:snapToGrid w:val="0"/>
              <w:rPr>
                <w:rFonts w:ascii="Univers" w:hAnsi="Univers"/>
                <w:snapToGrid w:val="0"/>
                <w:kern w:val="22"/>
                <w:sz w:val="32"/>
                <w:lang w:val="es-ES"/>
              </w:rPr>
            </w:pPr>
          </w:p>
        </w:tc>
        <w:tc>
          <w:tcPr>
            <w:tcW w:w="1144" w:type="dxa"/>
            <w:tcBorders>
              <w:top w:val="nil"/>
              <w:bottom w:val="single" w:sz="36" w:space="0" w:color="000000"/>
            </w:tcBorders>
          </w:tcPr>
          <w:p w:rsidR="00F16F02" w:rsidRPr="004F535E" w:rsidRDefault="00F16F02" w:rsidP="00AF37BE">
            <w:pPr>
              <w:pStyle w:val="Encabezado"/>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lang w:val="es-ES"/>
              </w:rPr>
            </w:pPr>
          </w:p>
        </w:tc>
        <w:tc>
          <w:tcPr>
            <w:tcW w:w="2977" w:type="dxa"/>
            <w:tcBorders>
              <w:top w:val="nil"/>
              <w:bottom w:val="single" w:sz="36" w:space="0" w:color="000000"/>
            </w:tcBorders>
          </w:tcPr>
          <w:p w:rsidR="00F16F02" w:rsidRPr="004F535E" w:rsidRDefault="00F16F02" w:rsidP="00AF37BE">
            <w:pPr>
              <w:suppressLineNumbers/>
              <w:suppressAutoHyphens/>
              <w:kinsoku w:val="0"/>
              <w:overflowPunct w:val="0"/>
              <w:autoSpaceDE w:val="0"/>
              <w:autoSpaceDN w:val="0"/>
              <w:adjustRightInd w:val="0"/>
              <w:snapToGrid w:val="0"/>
              <w:ind w:left="63"/>
              <w:rPr>
                <w:snapToGrid w:val="0"/>
                <w:kern w:val="22"/>
                <w:szCs w:val="22"/>
                <w:lang w:val="es-ES"/>
              </w:rPr>
            </w:pPr>
            <w:r w:rsidRPr="004F535E">
              <w:rPr>
                <w:snapToGrid w:val="0"/>
                <w:kern w:val="22"/>
                <w:szCs w:val="22"/>
                <w:lang w:val="es-ES"/>
              </w:rPr>
              <w:t>Distr.</w:t>
            </w:r>
          </w:p>
          <w:p w:rsidR="00F16F02" w:rsidRPr="004F535E" w:rsidRDefault="00F16F02" w:rsidP="00AF37BE">
            <w:pPr>
              <w:suppressLineNumbers/>
              <w:suppressAutoHyphens/>
              <w:kinsoku w:val="0"/>
              <w:overflowPunct w:val="0"/>
              <w:autoSpaceDE w:val="0"/>
              <w:autoSpaceDN w:val="0"/>
              <w:adjustRightInd w:val="0"/>
              <w:snapToGrid w:val="0"/>
              <w:ind w:left="63"/>
              <w:rPr>
                <w:snapToGrid w:val="0"/>
                <w:kern w:val="22"/>
                <w:szCs w:val="22"/>
                <w:lang w:val="es-ES"/>
              </w:rPr>
            </w:pPr>
            <w:r w:rsidRPr="004F535E">
              <w:rPr>
                <w:snapToGrid w:val="0"/>
                <w:kern w:val="22"/>
                <w:szCs w:val="22"/>
                <w:lang w:val="es-ES"/>
              </w:rPr>
              <w:t>GENERAL</w:t>
            </w:r>
          </w:p>
          <w:p w:rsidR="00F16F02" w:rsidRPr="004F535E" w:rsidRDefault="00F16F02" w:rsidP="00AF37BE">
            <w:pPr>
              <w:suppressLineNumbers/>
              <w:suppressAutoHyphens/>
              <w:kinsoku w:val="0"/>
              <w:overflowPunct w:val="0"/>
              <w:autoSpaceDE w:val="0"/>
              <w:autoSpaceDN w:val="0"/>
              <w:adjustRightInd w:val="0"/>
              <w:snapToGrid w:val="0"/>
              <w:ind w:left="63"/>
              <w:rPr>
                <w:snapToGrid w:val="0"/>
                <w:kern w:val="22"/>
                <w:szCs w:val="22"/>
                <w:lang w:val="es-ES"/>
              </w:rPr>
            </w:pPr>
          </w:p>
          <w:sdt>
            <w:sdtPr>
              <w:rPr>
                <w:snapToGrid w:val="0"/>
                <w:kern w:val="22"/>
                <w:szCs w:val="22"/>
                <w:lang w:val="es-E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4F535E" w:rsidRDefault="00DC3575" w:rsidP="00AF37BE">
                <w:pPr>
                  <w:suppressLineNumbers/>
                  <w:suppressAutoHyphens/>
                  <w:kinsoku w:val="0"/>
                  <w:overflowPunct w:val="0"/>
                  <w:autoSpaceDE w:val="0"/>
                  <w:autoSpaceDN w:val="0"/>
                  <w:adjustRightInd w:val="0"/>
                  <w:snapToGrid w:val="0"/>
                  <w:ind w:left="63"/>
                  <w:rPr>
                    <w:snapToGrid w:val="0"/>
                    <w:kern w:val="22"/>
                    <w:szCs w:val="22"/>
                    <w:lang w:val="es-ES"/>
                  </w:rPr>
                </w:pPr>
                <w:r w:rsidRPr="004F535E">
                  <w:rPr>
                    <w:snapToGrid w:val="0"/>
                    <w:kern w:val="22"/>
                    <w:szCs w:val="22"/>
                    <w:lang w:val="es-ES"/>
                  </w:rPr>
                  <w:t>CBD/SBI/2/14</w:t>
                </w:r>
              </w:p>
            </w:sdtContent>
          </w:sdt>
          <w:p w:rsidR="00F16F02" w:rsidRPr="004F535E" w:rsidRDefault="00387D13" w:rsidP="00AF37BE">
            <w:pPr>
              <w:suppressLineNumbers/>
              <w:suppressAutoHyphens/>
              <w:kinsoku w:val="0"/>
              <w:overflowPunct w:val="0"/>
              <w:autoSpaceDE w:val="0"/>
              <w:autoSpaceDN w:val="0"/>
              <w:adjustRightInd w:val="0"/>
              <w:snapToGrid w:val="0"/>
              <w:ind w:left="63"/>
              <w:rPr>
                <w:snapToGrid w:val="0"/>
                <w:kern w:val="22"/>
                <w:szCs w:val="22"/>
                <w:lang w:val="es-ES"/>
              </w:rPr>
            </w:pPr>
            <w:r w:rsidRPr="004F535E">
              <w:rPr>
                <w:snapToGrid w:val="0"/>
                <w:kern w:val="22"/>
                <w:szCs w:val="22"/>
                <w:lang w:val="es-ES"/>
              </w:rPr>
              <w:t>20 de abril de 2018</w:t>
            </w:r>
          </w:p>
          <w:p w:rsidR="00F16F02" w:rsidRPr="004F535E" w:rsidRDefault="00F16F02" w:rsidP="00AF37BE">
            <w:pPr>
              <w:suppressLineNumbers/>
              <w:suppressAutoHyphens/>
              <w:kinsoku w:val="0"/>
              <w:overflowPunct w:val="0"/>
              <w:autoSpaceDE w:val="0"/>
              <w:autoSpaceDN w:val="0"/>
              <w:adjustRightInd w:val="0"/>
              <w:snapToGrid w:val="0"/>
              <w:ind w:left="63"/>
              <w:rPr>
                <w:snapToGrid w:val="0"/>
                <w:kern w:val="22"/>
                <w:szCs w:val="22"/>
                <w:lang w:val="es-ES"/>
              </w:rPr>
            </w:pPr>
          </w:p>
          <w:p w:rsidR="001478AA" w:rsidRPr="004F535E" w:rsidRDefault="001478AA" w:rsidP="00AF37BE">
            <w:pPr>
              <w:suppressLineNumbers/>
              <w:suppressAutoHyphens/>
              <w:kinsoku w:val="0"/>
              <w:overflowPunct w:val="0"/>
              <w:autoSpaceDE w:val="0"/>
              <w:autoSpaceDN w:val="0"/>
              <w:adjustRightInd w:val="0"/>
              <w:snapToGrid w:val="0"/>
              <w:ind w:left="63"/>
              <w:rPr>
                <w:snapToGrid w:val="0"/>
                <w:kern w:val="22"/>
                <w:szCs w:val="22"/>
                <w:lang w:val="es-ES"/>
              </w:rPr>
            </w:pPr>
            <w:r w:rsidRPr="004F535E">
              <w:rPr>
                <w:snapToGrid w:val="0"/>
                <w:kern w:val="22"/>
                <w:szCs w:val="22"/>
                <w:lang w:val="es-ES"/>
              </w:rPr>
              <w:t>ESPAÑOL</w:t>
            </w:r>
          </w:p>
          <w:p w:rsidR="00F16F02" w:rsidRPr="004F535E" w:rsidRDefault="00F16F02" w:rsidP="00AF37BE">
            <w:pPr>
              <w:suppressLineNumbers/>
              <w:suppressAutoHyphens/>
              <w:kinsoku w:val="0"/>
              <w:overflowPunct w:val="0"/>
              <w:autoSpaceDE w:val="0"/>
              <w:autoSpaceDN w:val="0"/>
              <w:adjustRightInd w:val="0"/>
              <w:snapToGrid w:val="0"/>
              <w:ind w:left="63"/>
              <w:rPr>
                <w:snapToGrid w:val="0"/>
                <w:kern w:val="22"/>
                <w:szCs w:val="22"/>
                <w:u w:val="single"/>
                <w:lang w:val="es-ES"/>
              </w:rPr>
            </w:pPr>
            <w:r w:rsidRPr="004F535E">
              <w:rPr>
                <w:snapToGrid w:val="0"/>
                <w:kern w:val="22"/>
                <w:szCs w:val="22"/>
                <w:lang w:val="es-ES"/>
              </w:rPr>
              <w:t>ORIGINAL: INGLÉS</w:t>
            </w:r>
          </w:p>
        </w:tc>
      </w:tr>
    </w:tbl>
    <w:bookmarkStart w:id="0" w:name="Meeting"/>
    <w:p w:rsidR="00CA6B87" w:rsidRPr="004F535E" w:rsidRDefault="002B2D9E" w:rsidP="00AF37BE">
      <w:pPr>
        <w:pStyle w:val="meetingname"/>
        <w:suppressLineNumbers/>
        <w:suppressAutoHyphens/>
        <w:kinsoku w:val="0"/>
        <w:overflowPunct w:val="0"/>
        <w:autoSpaceDE w:val="0"/>
        <w:autoSpaceDN w:val="0"/>
        <w:adjustRightInd w:val="0"/>
        <w:snapToGrid w:val="0"/>
        <w:ind w:right="4398"/>
        <w:rPr>
          <w:kern w:val="22"/>
          <w:szCs w:val="22"/>
          <w:lang w:val="es-ES"/>
        </w:rPr>
      </w:pPr>
      <w:sdt>
        <w:sdtPr>
          <w:rPr>
            <w:kern w:val="22"/>
            <w:szCs w:val="22"/>
            <w:lang w:val="es-ES"/>
          </w:rPr>
          <w:alias w:val="Meeting"/>
          <w:tag w:val="Meeting"/>
          <w:id w:val="1412045910"/>
          <w:placeholder>
            <w:docPart w:val="DefaultPlaceholder_1082065158"/>
          </w:placeholder>
          <w:text/>
        </w:sdtPr>
        <w:sdtEndPr/>
        <w:sdtContent>
          <w:r w:rsidR="00777687" w:rsidRPr="004F535E">
            <w:rPr>
              <w:kern w:val="22"/>
              <w:szCs w:val="22"/>
              <w:lang w:val="es-ES"/>
            </w:rPr>
            <w:t>ÓRGANO SUBSIDIARIO SOBRE LA APLICACIÓN</w:t>
          </w:r>
        </w:sdtContent>
      </w:sdt>
      <w:bookmarkEnd w:id="0"/>
    </w:p>
    <w:p w:rsidR="00D51069" w:rsidRPr="004F535E" w:rsidRDefault="002E0627" w:rsidP="00AF37BE">
      <w:pPr>
        <w:suppressLineNumbers/>
        <w:suppressAutoHyphens/>
        <w:kinsoku w:val="0"/>
        <w:overflowPunct w:val="0"/>
        <w:autoSpaceDE w:val="0"/>
        <w:autoSpaceDN w:val="0"/>
        <w:adjustRightInd w:val="0"/>
        <w:snapToGrid w:val="0"/>
        <w:rPr>
          <w:snapToGrid w:val="0"/>
          <w:kern w:val="22"/>
          <w:szCs w:val="22"/>
          <w:lang w:val="es-ES"/>
        </w:rPr>
      </w:pPr>
      <w:r w:rsidRPr="004F535E">
        <w:rPr>
          <w:snapToGrid w:val="0"/>
          <w:kern w:val="22"/>
          <w:szCs w:val="22"/>
          <w:lang w:val="es-ES"/>
        </w:rPr>
        <w:t>Segunda reunión</w:t>
      </w:r>
    </w:p>
    <w:p w:rsidR="00CA6B87" w:rsidRPr="004F535E" w:rsidRDefault="00D51069" w:rsidP="00AF37BE">
      <w:pPr>
        <w:suppressLineNumbers/>
        <w:suppressAutoHyphens/>
        <w:kinsoku w:val="0"/>
        <w:overflowPunct w:val="0"/>
        <w:autoSpaceDE w:val="0"/>
        <w:autoSpaceDN w:val="0"/>
        <w:adjustRightInd w:val="0"/>
        <w:snapToGrid w:val="0"/>
        <w:rPr>
          <w:snapToGrid w:val="0"/>
          <w:kern w:val="22"/>
          <w:szCs w:val="22"/>
          <w:lang w:val="es-ES"/>
        </w:rPr>
      </w:pPr>
      <w:r w:rsidRPr="004F535E">
        <w:rPr>
          <w:snapToGrid w:val="0"/>
          <w:kern w:val="22"/>
          <w:szCs w:val="22"/>
          <w:lang w:val="es-ES"/>
        </w:rPr>
        <w:t>Montreal</w:t>
      </w:r>
      <w:r w:rsidR="003C03F3" w:rsidRPr="004F535E">
        <w:rPr>
          <w:snapToGrid w:val="0"/>
          <w:kern w:val="22"/>
          <w:szCs w:val="22"/>
          <w:lang w:val="es-ES"/>
        </w:rPr>
        <w:t xml:space="preserve"> (</w:t>
      </w:r>
      <w:r w:rsidRPr="004F535E">
        <w:rPr>
          <w:snapToGrid w:val="0"/>
          <w:kern w:val="22"/>
          <w:szCs w:val="22"/>
          <w:lang w:val="es-ES"/>
        </w:rPr>
        <w:t>Canadá</w:t>
      </w:r>
      <w:r w:rsidR="003C03F3" w:rsidRPr="004F535E">
        <w:rPr>
          <w:snapToGrid w:val="0"/>
          <w:kern w:val="22"/>
          <w:szCs w:val="22"/>
          <w:lang w:val="es-ES"/>
        </w:rPr>
        <w:t>)</w:t>
      </w:r>
      <w:r w:rsidRPr="004F535E">
        <w:rPr>
          <w:snapToGrid w:val="0"/>
          <w:kern w:val="22"/>
          <w:szCs w:val="22"/>
          <w:lang w:val="es-ES"/>
        </w:rPr>
        <w:t>, 9</w:t>
      </w:r>
      <w:r w:rsidR="003C03F3" w:rsidRPr="004F535E">
        <w:rPr>
          <w:snapToGrid w:val="0"/>
          <w:kern w:val="22"/>
          <w:szCs w:val="22"/>
          <w:lang w:val="es-ES"/>
        </w:rPr>
        <w:t xml:space="preserve"> a </w:t>
      </w:r>
      <w:r w:rsidRPr="004F535E">
        <w:rPr>
          <w:snapToGrid w:val="0"/>
          <w:kern w:val="22"/>
          <w:szCs w:val="22"/>
          <w:lang w:val="es-ES"/>
        </w:rPr>
        <w:t>13 de julio de 2018</w:t>
      </w:r>
    </w:p>
    <w:p w:rsidR="00CA6B87" w:rsidRPr="004F535E" w:rsidRDefault="00D51069" w:rsidP="00AF37BE">
      <w:pPr>
        <w:suppressLineNumbers/>
        <w:suppressAutoHyphens/>
        <w:kinsoku w:val="0"/>
        <w:overflowPunct w:val="0"/>
        <w:autoSpaceDE w:val="0"/>
        <w:autoSpaceDN w:val="0"/>
        <w:adjustRightInd w:val="0"/>
        <w:snapToGrid w:val="0"/>
        <w:rPr>
          <w:snapToGrid w:val="0"/>
          <w:kern w:val="22"/>
          <w:szCs w:val="22"/>
          <w:lang w:val="es-ES"/>
        </w:rPr>
      </w:pPr>
      <w:r w:rsidRPr="004F535E">
        <w:rPr>
          <w:snapToGrid w:val="0"/>
          <w:kern w:val="22"/>
          <w:szCs w:val="22"/>
          <w:lang w:val="es-ES"/>
        </w:rPr>
        <w:t>Tema 14 del programa provisional</w:t>
      </w:r>
      <w:r w:rsidRPr="004F535E">
        <w:rPr>
          <w:rStyle w:val="Refdenotaalpie"/>
          <w:snapToGrid w:val="0"/>
          <w:kern w:val="22"/>
          <w:szCs w:val="22"/>
          <w:lang w:val="es-ES"/>
        </w:rPr>
        <w:footnoteReference w:customMarkFollows="1" w:id="1"/>
        <w:t>*</w:t>
      </w:r>
    </w:p>
    <w:p w:rsidR="00406BC6" w:rsidRPr="004F535E" w:rsidRDefault="002B2D9E" w:rsidP="00AF37BE">
      <w:pPr>
        <w:pStyle w:val="Ttulo1"/>
        <w:keepNext w:val="0"/>
        <w:suppressLineNumbers/>
        <w:tabs>
          <w:tab w:val="clear" w:pos="720"/>
        </w:tabs>
        <w:suppressAutoHyphens/>
        <w:kinsoku w:val="0"/>
        <w:overflowPunct w:val="0"/>
        <w:autoSpaceDE w:val="0"/>
        <w:autoSpaceDN w:val="0"/>
        <w:adjustRightInd w:val="0"/>
        <w:snapToGrid w:val="0"/>
        <w:rPr>
          <w:snapToGrid w:val="0"/>
          <w:kern w:val="22"/>
          <w:szCs w:val="22"/>
          <w:lang w:val="es-ES"/>
        </w:rPr>
      </w:pPr>
      <w:sdt>
        <w:sdtPr>
          <w:rPr>
            <w:snapToGrid w:val="0"/>
            <w:kern w:val="22"/>
            <w:szCs w:val="22"/>
            <w:vertAlign w:val="superscript"/>
            <w:lang w:val="es-E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3C03F3" w:rsidRPr="004F535E">
            <w:rPr>
              <w:snapToGrid w:val="0"/>
              <w:kern w:val="22"/>
              <w:szCs w:val="22"/>
              <w:lang w:val="es-ES"/>
            </w:rPr>
            <w:t>Mayor integración en el marco del Convenio y sus Protocolos con respecto a las disposiciones relacionadas con el acceso y la participación en los beneficios</w:t>
          </w:r>
        </w:sdtContent>
      </w:sdt>
    </w:p>
    <w:p w:rsidR="00EF44CA" w:rsidRPr="004F535E" w:rsidRDefault="00C85EA4" w:rsidP="00AF37BE">
      <w:pPr>
        <w:pStyle w:val="Ttulo2"/>
        <w:keepNext w:val="0"/>
        <w:suppressLineNumbers/>
        <w:tabs>
          <w:tab w:val="clear" w:pos="720"/>
        </w:tabs>
        <w:suppressAutoHyphens/>
        <w:kinsoku w:val="0"/>
        <w:overflowPunct w:val="0"/>
        <w:autoSpaceDE w:val="0"/>
        <w:autoSpaceDN w:val="0"/>
        <w:adjustRightInd w:val="0"/>
        <w:snapToGrid w:val="0"/>
        <w:rPr>
          <w:b w:val="0"/>
          <w:i/>
          <w:snapToGrid w:val="0"/>
          <w:kern w:val="22"/>
          <w:szCs w:val="22"/>
          <w:lang w:val="es-ES"/>
        </w:rPr>
      </w:pPr>
      <w:r w:rsidRPr="004F535E">
        <w:rPr>
          <w:b w:val="0"/>
          <w:bCs w:val="0"/>
          <w:i/>
          <w:snapToGrid w:val="0"/>
          <w:kern w:val="22"/>
          <w:szCs w:val="22"/>
          <w:lang w:val="es-ES"/>
        </w:rPr>
        <w:t>Nota de la Secretaria Ejecutiva</w:t>
      </w:r>
    </w:p>
    <w:p w:rsidR="00184CAA" w:rsidRPr="004F535E" w:rsidRDefault="00184CAA" w:rsidP="00AF37BE">
      <w:pPr>
        <w:suppressLineNumbers/>
        <w:suppressAutoHyphens/>
        <w:kinsoku w:val="0"/>
        <w:overflowPunct w:val="0"/>
        <w:autoSpaceDE w:val="0"/>
        <w:autoSpaceDN w:val="0"/>
        <w:adjustRightInd w:val="0"/>
        <w:snapToGrid w:val="0"/>
        <w:spacing w:before="120" w:after="120"/>
        <w:jc w:val="center"/>
        <w:rPr>
          <w:b/>
          <w:caps/>
          <w:snapToGrid w:val="0"/>
          <w:kern w:val="22"/>
          <w:szCs w:val="22"/>
          <w:lang w:val="es-ES"/>
        </w:rPr>
      </w:pPr>
      <w:r w:rsidRPr="004F535E">
        <w:rPr>
          <w:b/>
          <w:bCs/>
          <w:caps/>
          <w:snapToGrid w:val="0"/>
          <w:kern w:val="22"/>
          <w:szCs w:val="22"/>
          <w:lang w:val="es-ES"/>
        </w:rPr>
        <w:t>Introducción</w:t>
      </w:r>
    </w:p>
    <w:p w:rsidR="005A796F" w:rsidRPr="004F535E" w:rsidRDefault="00CE3C3C">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En la decisión </w:t>
      </w:r>
      <w:hyperlink r:id="rId11" w:history="1">
        <w:r w:rsidRPr="004F535E">
          <w:rPr>
            <w:rStyle w:val="Hipervnculo"/>
            <w:kern w:val="22"/>
            <w:szCs w:val="22"/>
            <w:lang w:val="es-ES"/>
          </w:rPr>
          <w:t>XII/13</w:t>
        </w:r>
      </w:hyperlink>
      <w:r w:rsidRPr="004F535E">
        <w:rPr>
          <w:kern w:val="22"/>
          <w:szCs w:val="22"/>
          <w:lang w:val="es-ES"/>
        </w:rPr>
        <w:t xml:space="preserve">, la Conferencia de las Partes acogió con beneplácito la entrada en </w:t>
      </w:r>
      <w:r w:rsidR="003C03F3" w:rsidRPr="004F535E">
        <w:rPr>
          <w:kern w:val="22"/>
          <w:szCs w:val="22"/>
          <w:lang w:val="es-ES"/>
        </w:rPr>
        <w:t xml:space="preserve">vigor </w:t>
      </w:r>
      <w:r w:rsidRPr="004F535E">
        <w:rPr>
          <w:kern w:val="22"/>
          <w:szCs w:val="22"/>
          <w:lang w:val="es-ES"/>
        </w:rPr>
        <w:t xml:space="preserve">del </w:t>
      </w:r>
      <w:hyperlink r:id="rId12" w:history="1">
        <w:r w:rsidRPr="004F535E">
          <w:rPr>
            <w:rStyle w:val="Hipervnculo"/>
            <w:kern w:val="22"/>
            <w:szCs w:val="22"/>
            <w:lang w:val="es-ES"/>
          </w:rPr>
          <w:t>Protocolo de Nagoya</w:t>
        </w:r>
      </w:hyperlink>
      <w:r w:rsidRPr="004F535E">
        <w:rPr>
          <w:kern w:val="22"/>
          <w:szCs w:val="22"/>
          <w:lang w:val="es-ES"/>
        </w:rPr>
        <w:t xml:space="preserve"> e instó a todas las Partes en el </w:t>
      </w:r>
      <w:hyperlink r:id="rId13" w:history="1">
        <w:r w:rsidRPr="004F535E">
          <w:rPr>
            <w:rStyle w:val="Hipervnculo"/>
            <w:kern w:val="22"/>
            <w:szCs w:val="22"/>
            <w:lang w:val="es-ES"/>
          </w:rPr>
          <w:t>Convenio sobre la Diversidad Biológica</w:t>
        </w:r>
      </w:hyperlink>
      <w:r w:rsidRPr="004F535E">
        <w:rPr>
          <w:kern w:val="22"/>
          <w:szCs w:val="22"/>
          <w:lang w:val="es-ES"/>
        </w:rPr>
        <w:t xml:space="preserve"> que aún no </w:t>
      </w:r>
      <w:r w:rsidR="00AD6EE1" w:rsidRPr="004F535E">
        <w:rPr>
          <w:kern w:val="22"/>
          <w:szCs w:val="22"/>
          <w:lang w:val="es-ES"/>
        </w:rPr>
        <w:t>h</w:t>
      </w:r>
      <w:r w:rsidR="00AD6EE1">
        <w:rPr>
          <w:kern w:val="22"/>
          <w:szCs w:val="22"/>
          <w:lang w:val="es-ES"/>
        </w:rPr>
        <w:t>ubiera</w:t>
      </w:r>
      <w:r w:rsidR="00AD6EE1" w:rsidRPr="004F535E">
        <w:rPr>
          <w:kern w:val="22"/>
          <w:szCs w:val="22"/>
          <w:lang w:val="es-ES"/>
        </w:rPr>
        <w:t xml:space="preserve">n </w:t>
      </w:r>
      <w:r w:rsidRPr="004F535E">
        <w:rPr>
          <w:kern w:val="22"/>
          <w:szCs w:val="22"/>
          <w:lang w:val="es-ES"/>
        </w:rPr>
        <w:t>ratificado el Protocolo de Nagoya a que lo hicieran (párr</w:t>
      </w:r>
      <w:r w:rsidR="00120C78" w:rsidRPr="004F535E">
        <w:rPr>
          <w:kern w:val="22"/>
          <w:szCs w:val="22"/>
          <w:lang w:val="es-ES"/>
        </w:rPr>
        <w:t>s</w:t>
      </w:r>
      <w:r w:rsidRPr="004F535E">
        <w:rPr>
          <w:kern w:val="22"/>
          <w:szCs w:val="22"/>
          <w:lang w:val="es-ES"/>
        </w:rPr>
        <w:t xml:space="preserve">. 1 y 2). Además, recordó el </w:t>
      </w:r>
      <w:r w:rsidR="00120C78" w:rsidRPr="004F535E">
        <w:rPr>
          <w:kern w:val="22"/>
          <w:szCs w:val="22"/>
          <w:lang w:val="es-ES"/>
        </w:rPr>
        <w:t>artículo </w:t>
      </w:r>
      <w:r w:rsidRPr="004F535E">
        <w:rPr>
          <w:kern w:val="22"/>
          <w:szCs w:val="22"/>
          <w:lang w:val="es-ES"/>
        </w:rPr>
        <w:t xml:space="preserve">26 del Convenio, que requiere que las Partes informen sobre las medidas adoptadas para la aplicación de las disposiciones del Convenio, y también recordó que estos informes deberían incluir información sobre </w:t>
      </w:r>
      <w:r w:rsidR="0032718B" w:rsidRPr="004F535E">
        <w:rPr>
          <w:kern w:val="22"/>
          <w:szCs w:val="22"/>
          <w:lang w:val="es-ES"/>
        </w:rPr>
        <w:t>las</w:t>
      </w:r>
      <w:r w:rsidR="0032718B">
        <w:rPr>
          <w:kern w:val="22"/>
          <w:szCs w:val="22"/>
          <w:lang w:val="es-ES"/>
        </w:rPr>
        <w:t> </w:t>
      </w:r>
      <w:r w:rsidRPr="004F535E">
        <w:rPr>
          <w:kern w:val="22"/>
          <w:szCs w:val="22"/>
          <w:lang w:val="es-ES"/>
        </w:rPr>
        <w:t>medidas adoptadas en relación con las disposiciones conexas</w:t>
      </w:r>
      <w:r w:rsidR="001729AE" w:rsidRPr="004F535E">
        <w:rPr>
          <w:kern w:val="22"/>
          <w:szCs w:val="22"/>
          <w:lang w:val="es-ES"/>
        </w:rPr>
        <w:t xml:space="preserve"> del Convenio</w:t>
      </w:r>
      <w:r w:rsidRPr="004F535E">
        <w:rPr>
          <w:kern w:val="22"/>
          <w:szCs w:val="22"/>
          <w:lang w:val="es-ES"/>
        </w:rPr>
        <w:t xml:space="preserve"> </w:t>
      </w:r>
      <w:r w:rsidR="0032718B">
        <w:rPr>
          <w:kern w:val="22"/>
          <w:szCs w:val="22"/>
          <w:lang w:val="es-ES"/>
        </w:rPr>
        <w:t>relacionadas con el</w:t>
      </w:r>
      <w:r w:rsidR="001729AE" w:rsidRPr="004F535E">
        <w:rPr>
          <w:kern w:val="22"/>
          <w:szCs w:val="22"/>
          <w:lang w:val="es-ES"/>
        </w:rPr>
        <w:t xml:space="preserve"> </w:t>
      </w:r>
      <w:r w:rsidRPr="004F535E">
        <w:rPr>
          <w:kern w:val="22"/>
          <w:szCs w:val="22"/>
          <w:lang w:val="es-ES"/>
        </w:rPr>
        <w:t xml:space="preserve">acceso y la participación en los beneficios (APB), en particular su </w:t>
      </w:r>
      <w:r w:rsidR="001729AE" w:rsidRPr="004F535E">
        <w:rPr>
          <w:kern w:val="22"/>
          <w:szCs w:val="22"/>
          <w:lang w:val="es-ES"/>
        </w:rPr>
        <w:t xml:space="preserve">artículo </w:t>
      </w:r>
      <w:r w:rsidRPr="004F535E">
        <w:rPr>
          <w:kern w:val="22"/>
          <w:szCs w:val="22"/>
          <w:lang w:val="es-ES"/>
        </w:rPr>
        <w:t>15 (párr. 3).</w:t>
      </w:r>
    </w:p>
    <w:p w:rsidR="005A796F" w:rsidRPr="004F535E" w:rsidRDefault="008B641B">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Asimismo, la Conferencia de las Partes pidió a la Secretaria Ejecutiva que preparara una nota sobre posibles formas y medios para promover enfoques integrados respecto a cuestiones situadas en la </w:t>
      </w:r>
      <w:r w:rsidR="001729AE" w:rsidRPr="004F535E">
        <w:rPr>
          <w:kern w:val="22"/>
          <w:szCs w:val="22"/>
          <w:lang w:val="es-ES"/>
        </w:rPr>
        <w:t xml:space="preserve">interfaz </w:t>
      </w:r>
      <w:r w:rsidRPr="004F535E">
        <w:rPr>
          <w:kern w:val="22"/>
          <w:szCs w:val="22"/>
          <w:lang w:val="es-ES"/>
        </w:rPr>
        <w:t>entre las disposiciones sobre el acceso y</w:t>
      </w:r>
      <w:r w:rsidR="00961313">
        <w:rPr>
          <w:kern w:val="22"/>
          <w:szCs w:val="22"/>
          <w:lang w:val="es-ES"/>
        </w:rPr>
        <w:t xml:space="preserve"> la</w:t>
      </w:r>
      <w:r w:rsidRPr="004F535E">
        <w:rPr>
          <w:kern w:val="22"/>
          <w:szCs w:val="22"/>
          <w:lang w:val="es-ES"/>
        </w:rPr>
        <w:t xml:space="preserve"> participación en los beneficios del Convenio y las disposiciones del Protocolo de Nagoya, teniendo en cuenta los últimos informes nacionales presentados en virtud del Convenio, la información disponible en el </w:t>
      </w:r>
      <w:hyperlink r:id="rId14" w:history="1">
        <w:r w:rsidRPr="004F535E">
          <w:rPr>
            <w:rStyle w:val="Hipervnculo"/>
            <w:szCs w:val="22"/>
            <w:lang w:val="es-ES"/>
          </w:rPr>
          <w:t>Centro de Intercambio de Información sobre Acceso y Participación en los Beneficios</w:t>
        </w:r>
      </w:hyperlink>
      <w:r w:rsidRPr="004F535E">
        <w:rPr>
          <w:kern w:val="22"/>
          <w:szCs w:val="22"/>
          <w:lang w:val="es-ES"/>
        </w:rPr>
        <w:t xml:space="preserve"> y los informes nacionales provisionales presentados en el marco del Protocolo de Nagoya, así como otra información presentada a la Secretaria Ejecutiva, para la consideración de la Conferencia de las Partes en su 14ª reunión y la Conferencia de las Partes que actúa como reunión de las Partes en el Protocolo de Nagoya en su tercera reunión (párr. 4).</w:t>
      </w:r>
    </w:p>
    <w:p w:rsidR="005A796F" w:rsidRPr="004F535E" w:rsidRDefault="000A62EE">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La integración entre las disposiciones del </w:t>
      </w:r>
      <w:r w:rsidR="00EC17C8" w:rsidRPr="004F535E">
        <w:rPr>
          <w:kern w:val="22"/>
          <w:szCs w:val="22"/>
          <w:lang w:val="es-ES"/>
        </w:rPr>
        <w:t xml:space="preserve">Convenio relacionadas con el acceso y la participación en los beneficios </w:t>
      </w:r>
      <w:r w:rsidRPr="004F535E">
        <w:rPr>
          <w:kern w:val="22"/>
          <w:szCs w:val="22"/>
          <w:lang w:val="es-ES"/>
        </w:rPr>
        <w:t>y el Protocolo de Nagoya puede considerarse a diferentes niveles:</w:t>
      </w:r>
    </w:p>
    <w:p w:rsidR="000268FA" w:rsidRPr="004F535E" w:rsidRDefault="000268FA" w:rsidP="00AF37BE">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lang w:val="es-ES"/>
        </w:rPr>
      </w:pPr>
      <w:r w:rsidRPr="004F535E">
        <w:rPr>
          <w:kern w:val="22"/>
          <w:szCs w:val="22"/>
          <w:lang w:val="es-ES"/>
        </w:rPr>
        <w:t>la relación entre las disposiciones del Convenio sobre el acceso y la participación en los beneficios</w:t>
      </w:r>
      <w:r w:rsidR="00EC17C8" w:rsidRPr="004F535E">
        <w:rPr>
          <w:kern w:val="22"/>
          <w:szCs w:val="22"/>
          <w:lang w:val="es-ES"/>
        </w:rPr>
        <w:t xml:space="preserve"> y el Protocolo de Nagoya</w:t>
      </w:r>
      <w:r w:rsidRPr="004F535E">
        <w:rPr>
          <w:kern w:val="22"/>
          <w:szCs w:val="22"/>
          <w:lang w:val="es-ES"/>
        </w:rPr>
        <w:t>;</w:t>
      </w:r>
    </w:p>
    <w:p w:rsidR="000014E2" w:rsidRPr="004F535E" w:rsidRDefault="000014E2" w:rsidP="00AF37BE">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la integración del acceso y la participación en los beneficios en todo el </w:t>
      </w:r>
      <w:r w:rsidR="00961313">
        <w:rPr>
          <w:kern w:val="22"/>
          <w:szCs w:val="22"/>
          <w:lang w:val="es-ES"/>
        </w:rPr>
        <w:t>ámbito</w:t>
      </w:r>
      <w:r w:rsidR="00961313" w:rsidRPr="004F535E">
        <w:rPr>
          <w:kern w:val="22"/>
          <w:szCs w:val="22"/>
          <w:lang w:val="es-ES"/>
        </w:rPr>
        <w:t xml:space="preserve"> </w:t>
      </w:r>
      <w:r w:rsidRPr="004F535E">
        <w:rPr>
          <w:kern w:val="22"/>
          <w:szCs w:val="22"/>
          <w:lang w:val="es-ES"/>
        </w:rPr>
        <w:t>del Convenio;</w:t>
      </w:r>
    </w:p>
    <w:p w:rsidR="000268FA" w:rsidRPr="004F535E" w:rsidRDefault="000268FA" w:rsidP="00AF37BE">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lang w:val="es-ES"/>
        </w:rPr>
      </w:pPr>
      <w:r w:rsidRPr="004F535E">
        <w:rPr>
          <w:kern w:val="22"/>
          <w:szCs w:val="22"/>
          <w:lang w:val="es-ES"/>
        </w:rPr>
        <w:t>las cuestiones intersectoriales que resulten pertinentes para el Convenio y el Protocolo de Nagoya, como la creación de capacidad, los mecanismos de intercambio de información, los mecanismos financieros y la movilización de recursos, así como la presentación de informes nacionales;</w:t>
      </w:r>
    </w:p>
    <w:p w:rsidR="000268FA" w:rsidRPr="004F535E" w:rsidRDefault="00E8078E" w:rsidP="00AF37BE">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lang w:val="es-ES"/>
        </w:rPr>
      </w:pPr>
      <w:r w:rsidRPr="004F535E">
        <w:rPr>
          <w:kern w:val="22"/>
          <w:szCs w:val="22"/>
          <w:lang w:val="es-ES"/>
        </w:rPr>
        <w:t>las estructuras y procesos en el marco del Convenio y sus Protocolos.</w:t>
      </w:r>
    </w:p>
    <w:p w:rsidR="005A796F" w:rsidRPr="004F535E" w:rsidRDefault="006B3613">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lastRenderedPageBreak/>
        <w:t xml:space="preserve">La sección I del presente documento analiza la relación entre las disposiciones del Convenio </w:t>
      </w:r>
      <w:r w:rsidR="00EC17C8" w:rsidRPr="004F535E">
        <w:rPr>
          <w:kern w:val="22"/>
          <w:szCs w:val="22"/>
          <w:lang w:val="es-ES"/>
        </w:rPr>
        <w:t xml:space="preserve">relacionadas con el acceso y la participación en los beneficios </w:t>
      </w:r>
      <w:r w:rsidRPr="004F535E">
        <w:rPr>
          <w:kern w:val="22"/>
          <w:szCs w:val="22"/>
          <w:lang w:val="es-ES"/>
        </w:rPr>
        <w:t xml:space="preserve">y el Protocolo de Nagoya. La sección II examina la integración del acceso y la participación en los beneficios en todo el ámbito del Convenio. Las conclusiones y recomendaciones se encuentran en las secciones III y IV del documento, respectivamente. De conformidad con la decisión </w:t>
      </w:r>
      <w:hyperlink r:id="rId15" w:history="1">
        <w:r w:rsidRPr="004F535E">
          <w:rPr>
            <w:rStyle w:val="Hipervnculo"/>
            <w:kern w:val="22"/>
            <w:szCs w:val="22"/>
            <w:lang w:val="es-ES"/>
          </w:rPr>
          <w:t>XIII/26</w:t>
        </w:r>
      </w:hyperlink>
      <w:r w:rsidRPr="004F535E">
        <w:rPr>
          <w:kern w:val="22"/>
          <w:szCs w:val="22"/>
          <w:lang w:val="es-ES"/>
        </w:rPr>
        <w:t xml:space="preserve">, párrafo 2, las cuestiones intersectoriales en el marco del Convenio y sus Protocolos, como la creación de capacidad, </w:t>
      </w:r>
      <w:r w:rsidR="00EC17C8" w:rsidRPr="004F535E">
        <w:rPr>
          <w:kern w:val="22"/>
          <w:szCs w:val="22"/>
          <w:lang w:val="es-ES"/>
        </w:rPr>
        <w:t xml:space="preserve">el </w:t>
      </w:r>
      <w:r w:rsidRPr="004F535E">
        <w:rPr>
          <w:kern w:val="22"/>
          <w:szCs w:val="22"/>
          <w:lang w:val="es-ES"/>
        </w:rPr>
        <w:t xml:space="preserve">mecanismo financiero, la movilización de recursos y la presentación de informes nacionales, serán consideradas por el Órgano Subsidiario sobre la Aplicación en su segunda reunión </w:t>
      </w:r>
      <w:r w:rsidR="00EC17C8" w:rsidRPr="004F535E">
        <w:rPr>
          <w:kern w:val="22"/>
          <w:szCs w:val="22"/>
          <w:lang w:val="es-ES"/>
        </w:rPr>
        <w:t>en</w:t>
      </w:r>
      <w:r w:rsidRPr="004F535E">
        <w:rPr>
          <w:kern w:val="22"/>
          <w:szCs w:val="22"/>
          <w:lang w:val="es-ES"/>
        </w:rPr>
        <w:t xml:space="preserve"> los temas 10, 9, 8 y 13 del programa, respectivamente. De conformidad con la decisión </w:t>
      </w:r>
      <w:hyperlink r:id="rId16" w:history="1">
        <w:r w:rsidRPr="004F535E">
          <w:rPr>
            <w:rStyle w:val="Hipervnculo"/>
            <w:kern w:val="22"/>
            <w:szCs w:val="22"/>
            <w:lang w:val="es-ES"/>
          </w:rPr>
          <w:t>XII/31</w:t>
        </w:r>
      </w:hyperlink>
      <w:r w:rsidRPr="004F535E">
        <w:rPr>
          <w:kern w:val="22"/>
          <w:szCs w:val="22"/>
          <w:lang w:val="es-ES"/>
        </w:rPr>
        <w:t xml:space="preserve">, las cuestiones relacionadas con la eficacia de los procesos </w:t>
      </w:r>
      <w:r w:rsidR="00B15D23" w:rsidRPr="004F535E">
        <w:rPr>
          <w:kern w:val="22"/>
          <w:szCs w:val="22"/>
          <w:lang w:val="es-ES"/>
        </w:rPr>
        <w:t>en el marco del</w:t>
      </w:r>
      <w:r w:rsidRPr="004F535E">
        <w:rPr>
          <w:kern w:val="22"/>
          <w:szCs w:val="22"/>
          <w:lang w:val="es-ES"/>
        </w:rPr>
        <w:t xml:space="preserve"> Convenio y sus Protocolos serán abordadas por el Organismo Subsidiario </w:t>
      </w:r>
      <w:r w:rsidR="00B15D23" w:rsidRPr="004F535E">
        <w:rPr>
          <w:kern w:val="22"/>
          <w:szCs w:val="22"/>
          <w:lang w:val="es-ES"/>
        </w:rPr>
        <w:t>en</w:t>
      </w:r>
      <w:r w:rsidRPr="004F535E">
        <w:rPr>
          <w:kern w:val="22"/>
          <w:szCs w:val="22"/>
          <w:lang w:val="es-ES"/>
        </w:rPr>
        <w:t xml:space="preserve"> el tema 15 del programa.</w:t>
      </w:r>
    </w:p>
    <w:p w:rsidR="000A62EE" w:rsidRPr="004F535E" w:rsidRDefault="00030992" w:rsidP="00AF37BE">
      <w:pPr>
        <w:pStyle w:val="Ttulo1"/>
        <w:suppressLineNumbers/>
        <w:tabs>
          <w:tab w:val="clear" w:pos="720"/>
        </w:tabs>
        <w:suppressAutoHyphens/>
        <w:kinsoku w:val="0"/>
        <w:overflowPunct w:val="0"/>
        <w:autoSpaceDE w:val="0"/>
        <w:autoSpaceDN w:val="0"/>
        <w:adjustRightInd w:val="0"/>
        <w:snapToGrid w:val="0"/>
        <w:spacing w:before="120"/>
        <w:ind w:left="1152" w:hanging="432"/>
        <w:jc w:val="left"/>
        <w:rPr>
          <w:bCs/>
          <w:snapToGrid w:val="0"/>
          <w:kern w:val="22"/>
          <w:szCs w:val="22"/>
          <w:lang w:val="es-ES"/>
        </w:rPr>
      </w:pPr>
      <w:r w:rsidRPr="004F535E">
        <w:rPr>
          <w:bCs/>
          <w:snapToGrid w:val="0"/>
          <w:kern w:val="22"/>
          <w:szCs w:val="22"/>
          <w:lang w:val="es-ES"/>
        </w:rPr>
        <w:t>I.</w:t>
      </w:r>
      <w:r w:rsidRPr="004F535E">
        <w:rPr>
          <w:bCs/>
          <w:snapToGrid w:val="0"/>
          <w:kern w:val="22"/>
          <w:szCs w:val="22"/>
          <w:lang w:val="es-ES"/>
        </w:rPr>
        <w:tab/>
        <w:t>Relación entre las disposiciones del Convenio relacionadas con el acceso y la participación en los beneficios</w:t>
      </w:r>
      <w:r w:rsidR="00B15D23" w:rsidRPr="004F535E">
        <w:rPr>
          <w:bCs/>
          <w:snapToGrid w:val="0"/>
          <w:kern w:val="22"/>
          <w:szCs w:val="22"/>
          <w:lang w:val="es-ES"/>
        </w:rPr>
        <w:t xml:space="preserve"> y el Protocolo de Nagoya</w:t>
      </w:r>
    </w:p>
    <w:p w:rsidR="005A796F" w:rsidRPr="004F535E" w:rsidRDefault="00A24442">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El Protocolo de Nagoya fue adoptado por la Conferencia de las Partes en 2010</w:t>
      </w:r>
      <w:r w:rsidRPr="004F535E">
        <w:rPr>
          <w:rStyle w:val="Refdenotaalpie"/>
          <w:kern w:val="22"/>
          <w:szCs w:val="22"/>
          <w:lang w:val="es-ES"/>
        </w:rPr>
        <w:footnoteReference w:id="2"/>
      </w:r>
      <w:r w:rsidR="005F1416" w:rsidRPr="004F535E">
        <w:rPr>
          <w:kern w:val="22"/>
          <w:szCs w:val="22"/>
          <w:lang w:val="es-ES"/>
        </w:rPr>
        <w:t>.</w:t>
      </w:r>
      <w:r w:rsidRPr="004F535E">
        <w:rPr>
          <w:kern w:val="22"/>
          <w:szCs w:val="22"/>
          <w:lang w:val="es-ES"/>
        </w:rPr>
        <w:t xml:space="preserve"> Apoya la aplicación del tercer objetivo del Convenio sobre la Diversidad Biológica, la participación justa y equitativa en los beneficios que se deriven de la utilización de los recursos genéticos, y contribuye a los otros dos objetivos: la conservación de la diversidad biológica y la utilización sostenible de sus componentes.</w:t>
      </w:r>
    </w:p>
    <w:p w:rsidR="005A796F" w:rsidRPr="004F535E" w:rsidRDefault="00B65D7E">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El Protocolo </w:t>
      </w:r>
      <w:r w:rsidR="0032718B">
        <w:rPr>
          <w:kern w:val="22"/>
          <w:szCs w:val="22"/>
          <w:lang w:val="es-ES"/>
        </w:rPr>
        <w:t>d</w:t>
      </w:r>
      <w:r w:rsidR="0032718B" w:rsidRPr="004F535E">
        <w:rPr>
          <w:kern w:val="22"/>
          <w:szCs w:val="22"/>
          <w:lang w:val="es-ES"/>
        </w:rPr>
        <w:t>e</w:t>
      </w:r>
      <w:r w:rsidR="0032718B">
        <w:rPr>
          <w:kern w:val="22"/>
          <w:szCs w:val="22"/>
          <w:lang w:val="es-ES"/>
        </w:rPr>
        <w:t>sarrolla</w:t>
      </w:r>
      <w:r w:rsidRPr="004F535E">
        <w:rPr>
          <w:kern w:val="22"/>
          <w:szCs w:val="22"/>
          <w:lang w:val="es-ES"/>
        </w:rPr>
        <w:t xml:space="preserve"> las disposiciones sobre acceso y participación en los beneficios del Convenio, en particular, los </w:t>
      </w:r>
      <w:r w:rsidR="00E17062" w:rsidRPr="004F535E">
        <w:rPr>
          <w:kern w:val="22"/>
          <w:szCs w:val="22"/>
          <w:lang w:val="es-ES"/>
        </w:rPr>
        <w:t xml:space="preserve">artículos </w:t>
      </w:r>
      <w:r w:rsidRPr="004F535E">
        <w:rPr>
          <w:kern w:val="22"/>
          <w:szCs w:val="22"/>
          <w:lang w:val="es-ES"/>
        </w:rPr>
        <w:t xml:space="preserve">15, 16, </w:t>
      </w:r>
      <w:r w:rsidR="00E17062" w:rsidRPr="004F535E">
        <w:rPr>
          <w:kern w:val="22"/>
          <w:szCs w:val="22"/>
          <w:lang w:val="es-ES"/>
        </w:rPr>
        <w:t>19 </w:t>
      </w:r>
      <w:r w:rsidRPr="004F535E">
        <w:rPr>
          <w:kern w:val="22"/>
          <w:szCs w:val="22"/>
          <w:lang w:val="es-ES"/>
        </w:rPr>
        <w:t xml:space="preserve">1) y 2) y </w:t>
      </w:r>
      <w:r w:rsidR="00E17062" w:rsidRPr="004F535E">
        <w:rPr>
          <w:kern w:val="22"/>
          <w:szCs w:val="22"/>
          <w:lang w:val="es-ES"/>
        </w:rPr>
        <w:t>8 </w:t>
      </w:r>
      <w:r w:rsidRPr="004F535E">
        <w:rPr>
          <w:kern w:val="22"/>
          <w:szCs w:val="22"/>
          <w:lang w:val="es-ES"/>
        </w:rPr>
        <w:t xml:space="preserve">j), a fin de proporcionar una mayor certeza jurídica a los proveedores y los usuarios de los recursos genéticos y </w:t>
      </w:r>
      <w:r w:rsidR="00E17062" w:rsidRPr="004F535E">
        <w:rPr>
          <w:kern w:val="22"/>
          <w:szCs w:val="22"/>
          <w:lang w:val="es-ES"/>
        </w:rPr>
        <w:t xml:space="preserve">los </w:t>
      </w:r>
      <w:r w:rsidRPr="004F535E">
        <w:rPr>
          <w:kern w:val="22"/>
          <w:szCs w:val="22"/>
          <w:lang w:val="es-ES"/>
        </w:rPr>
        <w:t xml:space="preserve">conocimientos tradicionales asociados. Las disposiciones del Protocolo de Nagoya están plenamente en consonancia con las disposiciones del Convenio sobre acceso y participación en los beneficios, </w:t>
      </w:r>
      <w:r w:rsidR="00E17062" w:rsidRPr="004F535E">
        <w:rPr>
          <w:kern w:val="22"/>
          <w:szCs w:val="22"/>
          <w:lang w:val="es-ES"/>
        </w:rPr>
        <w:t>y</w:t>
      </w:r>
      <w:r w:rsidRPr="004F535E">
        <w:rPr>
          <w:kern w:val="22"/>
          <w:szCs w:val="22"/>
          <w:lang w:val="es-ES"/>
        </w:rPr>
        <w:t xml:space="preserve"> van más allá, dado que establecen un marco internacional </w:t>
      </w:r>
      <w:r w:rsidR="00E17062" w:rsidRPr="004F535E">
        <w:rPr>
          <w:kern w:val="22"/>
          <w:szCs w:val="22"/>
          <w:lang w:val="es-ES"/>
        </w:rPr>
        <w:t xml:space="preserve">para el acceso y la participación en los beneficios </w:t>
      </w:r>
      <w:r w:rsidRPr="004F535E">
        <w:rPr>
          <w:kern w:val="22"/>
          <w:szCs w:val="22"/>
          <w:lang w:val="es-ES"/>
        </w:rPr>
        <w:t xml:space="preserve">por medio de disposiciones innovadoras, </w:t>
      </w:r>
      <w:r w:rsidR="00E17062" w:rsidRPr="004F535E">
        <w:rPr>
          <w:kern w:val="22"/>
          <w:szCs w:val="22"/>
          <w:lang w:val="es-ES"/>
        </w:rPr>
        <w:t>incluid</w:t>
      </w:r>
      <w:r w:rsidR="00C81759">
        <w:rPr>
          <w:kern w:val="22"/>
          <w:szCs w:val="22"/>
          <w:lang w:val="es-ES"/>
        </w:rPr>
        <w:t>as</w:t>
      </w:r>
      <w:r w:rsidR="00E17062" w:rsidRPr="004F535E">
        <w:rPr>
          <w:kern w:val="22"/>
          <w:szCs w:val="22"/>
          <w:lang w:val="es-ES"/>
        </w:rPr>
        <w:t xml:space="preserve"> disposiciones referidas</w:t>
      </w:r>
      <w:r w:rsidRPr="004F535E">
        <w:rPr>
          <w:kern w:val="22"/>
          <w:szCs w:val="22"/>
          <w:lang w:val="es-ES"/>
        </w:rPr>
        <w:t xml:space="preserve"> </w:t>
      </w:r>
      <w:r w:rsidR="00E17062" w:rsidRPr="004F535E">
        <w:rPr>
          <w:kern w:val="22"/>
          <w:szCs w:val="22"/>
          <w:lang w:val="es-ES"/>
        </w:rPr>
        <w:t xml:space="preserve">al </w:t>
      </w:r>
      <w:r w:rsidRPr="004F535E">
        <w:rPr>
          <w:kern w:val="22"/>
          <w:szCs w:val="22"/>
          <w:lang w:val="es-ES"/>
        </w:rPr>
        <w:t xml:space="preserve">cumplimiento, </w:t>
      </w:r>
      <w:r w:rsidR="00E17062" w:rsidRPr="004F535E">
        <w:rPr>
          <w:kern w:val="22"/>
          <w:szCs w:val="22"/>
          <w:lang w:val="es-ES"/>
        </w:rPr>
        <w:t xml:space="preserve">los </w:t>
      </w:r>
      <w:r w:rsidRPr="004F535E">
        <w:rPr>
          <w:kern w:val="22"/>
          <w:szCs w:val="22"/>
          <w:lang w:val="es-ES"/>
        </w:rPr>
        <w:t xml:space="preserve">pueblos indígenas y </w:t>
      </w:r>
      <w:r w:rsidR="00E17062" w:rsidRPr="004F535E">
        <w:rPr>
          <w:kern w:val="22"/>
          <w:szCs w:val="22"/>
          <w:lang w:val="es-ES"/>
        </w:rPr>
        <w:t xml:space="preserve">las </w:t>
      </w:r>
      <w:r w:rsidRPr="004F535E">
        <w:rPr>
          <w:kern w:val="22"/>
          <w:szCs w:val="22"/>
          <w:lang w:val="es-ES"/>
        </w:rPr>
        <w:t xml:space="preserve">comunidades locales, y </w:t>
      </w:r>
      <w:r w:rsidR="00CB1B5D" w:rsidRPr="004F535E">
        <w:rPr>
          <w:kern w:val="22"/>
          <w:szCs w:val="22"/>
          <w:lang w:val="es-ES"/>
        </w:rPr>
        <w:t>el establecimiento</w:t>
      </w:r>
      <w:r w:rsidRPr="004F535E">
        <w:rPr>
          <w:kern w:val="22"/>
          <w:szCs w:val="22"/>
          <w:lang w:val="es-ES"/>
        </w:rPr>
        <w:t xml:space="preserve"> del Centro de Intercambio de Información sobre Acceso y Participación en los Beneficios.</w:t>
      </w:r>
    </w:p>
    <w:p w:rsidR="005A796F" w:rsidRPr="004F535E" w:rsidRDefault="007146A1">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En 2010, las Partes en el Convenio también adoptaron el </w:t>
      </w:r>
      <w:hyperlink r:id="rId17" w:history="1">
        <w:r w:rsidR="006F3C2C" w:rsidRPr="004F535E">
          <w:rPr>
            <w:rStyle w:val="Hipervnculo"/>
            <w:kern w:val="22"/>
            <w:szCs w:val="22"/>
            <w:lang w:val="es-ES"/>
          </w:rPr>
          <w:t>Plan Estratégico para la Diversidad Biológica 2011-2020</w:t>
        </w:r>
      </w:hyperlink>
      <w:r w:rsidRPr="004F535E">
        <w:rPr>
          <w:kern w:val="22"/>
          <w:szCs w:val="22"/>
          <w:lang w:val="es-ES"/>
        </w:rPr>
        <w:t xml:space="preserve">, </w:t>
      </w:r>
      <w:r w:rsidR="00CB1B5D" w:rsidRPr="004F535E">
        <w:rPr>
          <w:kern w:val="22"/>
          <w:szCs w:val="22"/>
          <w:lang w:val="es-ES"/>
        </w:rPr>
        <w:t xml:space="preserve">que incluye </w:t>
      </w:r>
      <w:r w:rsidRPr="004F535E">
        <w:rPr>
          <w:kern w:val="22"/>
          <w:szCs w:val="22"/>
          <w:lang w:val="es-ES"/>
        </w:rPr>
        <w:t>las Metas de Aichi para la Diversidad Biológica para el período 2011-2020</w:t>
      </w:r>
      <w:r w:rsidRPr="004F535E">
        <w:rPr>
          <w:rStyle w:val="Refdenotaalpie"/>
          <w:kern w:val="22"/>
          <w:szCs w:val="22"/>
          <w:lang w:val="es-ES"/>
        </w:rPr>
        <w:footnoteReference w:id="3"/>
      </w:r>
      <w:r w:rsidR="0006567E" w:rsidRPr="004F535E">
        <w:rPr>
          <w:kern w:val="22"/>
          <w:szCs w:val="22"/>
          <w:lang w:val="es-ES"/>
        </w:rPr>
        <w:t>.</w:t>
      </w:r>
      <w:r w:rsidRPr="004F535E">
        <w:rPr>
          <w:kern w:val="22"/>
          <w:szCs w:val="22"/>
          <w:lang w:val="es-ES"/>
        </w:rPr>
        <w:t xml:space="preserve"> La Meta 16 del Plan Estratégico establece que “para 2015, el Protocolo de Nagoya sobre Acceso a los Recursos Genéticos y Participación Justa y Equitativa en los Beneficios que se Deriven de su Utilización estará en vigor y en funcionamiento, conforme a la legislación nacional”. La adopción de esta meta demostró el compromiso de las Partes en el Convenio de trabajar hacia la ratificación </w:t>
      </w:r>
      <w:r w:rsidR="00CB1B5D" w:rsidRPr="004F535E">
        <w:rPr>
          <w:kern w:val="22"/>
          <w:szCs w:val="22"/>
          <w:lang w:val="es-ES"/>
        </w:rPr>
        <w:t xml:space="preserve">y aplicación </w:t>
      </w:r>
      <w:r w:rsidRPr="004F535E">
        <w:rPr>
          <w:kern w:val="22"/>
          <w:szCs w:val="22"/>
          <w:lang w:val="es-ES"/>
        </w:rPr>
        <w:t>del Protocolo de Nagoya. La primera parte de la meta se logró con la entrada en vigor del Protocolo el 10 de octubre de 2014. Con respecto a la segunda parte, si bien el Protocolo es</w:t>
      </w:r>
      <w:r w:rsidR="00CB1B5D" w:rsidRPr="004F535E">
        <w:rPr>
          <w:kern w:val="22"/>
          <w:szCs w:val="22"/>
          <w:lang w:val="es-ES"/>
        </w:rPr>
        <w:t>tá</w:t>
      </w:r>
      <w:r w:rsidRPr="004F535E">
        <w:rPr>
          <w:kern w:val="22"/>
          <w:szCs w:val="22"/>
          <w:lang w:val="es-ES"/>
        </w:rPr>
        <w:t xml:space="preserve"> </w:t>
      </w:r>
      <w:r w:rsidR="00CB1B5D" w:rsidRPr="004F535E">
        <w:rPr>
          <w:kern w:val="22"/>
          <w:szCs w:val="22"/>
          <w:lang w:val="es-ES"/>
        </w:rPr>
        <w:t>en funcionamiento</w:t>
      </w:r>
      <w:r w:rsidRPr="004F535E">
        <w:rPr>
          <w:kern w:val="22"/>
          <w:szCs w:val="22"/>
          <w:lang w:val="es-ES"/>
        </w:rPr>
        <w:t>, se requiere continuar con los esfuerzos para seguir avanzando en su aplicación.</w:t>
      </w:r>
    </w:p>
    <w:p w:rsidR="00E829C8" w:rsidRPr="004F535E" w:rsidRDefault="001F68FD" w:rsidP="00AF37BE">
      <w:pPr>
        <w:pStyle w:val="Ttulo2"/>
        <w:suppressLineNumbers/>
        <w:suppressAutoHyphens/>
        <w:kinsoku w:val="0"/>
        <w:overflowPunct w:val="0"/>
        <w:autoSpaceDE w:val="0"/>
        <w:autoSpaceDN w:val="0"/>
        <w:adjustRightInd w:val="0"/>
        <w:snapToGrid w:val="0"/>
        <w:ind w:left="1152" w:hanging="432"/>
        <w:jc w:val="left"/>
        <w:rPr>
          <w:snapToGrid w:val="0"/>
          <w:kern w:val="22"/>
          <w:szCs w:val="22"/>
          <w:lang w:val="es-ES"/>
        </w:rPr>
      </w:pPr>
      <w:r w:rsidRPr="004F535E">
        <w:rPr>
          <w:iCs w:val="0"/>
          <w:snapToGrid w:val="0"/>
          <w:kern w:val="22"/>
          <w:szCs w:val="22"/>
          <w:lang w:val="es-ES"/>
        </w:rPr>
        <w:t>A.</w:t>
      </w:r>
      <w:r w:rsidRPr="004F535E">
        <w:rPr>
          <w:iCs w:val="0"/>
          <w:snapToGrid w:val="0"/>
          <w:kern w:val="22"/>
          <w:szCs w:val="22"/>
          <w:lang w:val="es-ES"/>
        </w:rPr>
        <w:tab/>
        <w:t>Estado de la presentación de informes sobre acceso y participación en los beneficios con arreglo al Convenio y el Protocolo de Nagoya</w:t>
      </w:r>
    </w:p>
    <w:p w:rsidR="005A796F" w:rsidRPr="004F535E" w:rsidRDefault="003157F2">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Tras la adopción del Plan Estratégico para la Diversidad Biológica 2011-2020 y sus Metas de Aichi para la Diversidad Biológica, las Partes en el Convenio se comprometieron a traducir este marco internacional general en versiones revisadas y actualizadas de sus estrategias y planes de acción nacionales en materia de biodiversidad</w:t>
      </w:r>
      <w:r w:rsidR="00CB1B5D" w:rsidRPr="004F535E">
        <w:rPr>
          <w:kern w:val="22"/>
          <w:szCs w:val="22"/>
          <w:lang w:val="es-ES"/>
        </w:rPr>
        <w:t xml:space="preserve"> (EPANB)</w:t>
      </w:r>
      <w:r w:rsidRPr="004F535E">
        <w:rPr>
          <w:kern w:val="22"/>
          <w:szCs w:val="22"/>
          <w:lang w:val="es-ES"/>
        </w:rPr>
        <w:t xml:space="preserve">. Asimismo, la Conferencia de las Partes decidió que los quintos informes nacionales, con plazo de presentación hasta el 31 de marzo de 2014, debían centrarse en la </w:t>
      </w:r>
      <w:r w:rsidR="00CB1B5D" w:rsidRPr="004F535E">
        <w:rPr>
          <w:kern w:val="22"/>
          <w:szCs w:val="22"/>
          <w:lang w:val="es-ES"/>
        </w:rPr>
        <w:t xml:space="preserve">aplicación </w:t>
      </w:r>
      <w:r w:rsidRPr="004F535E">
        <w:rPr>
          <w:kern w:val="22"/>
          <w:szCs w:val="22"/>
          <w:lang w:val="es-ES"/>
        </w:rPr>
        <w:t>del Plan Estratégico 2011-2020 y en los progresos alcanzados hacia la consecución de las Metas de Aichi para la Diversidad Biológica</w:t>
      </w:r>
      <w:r w:rsidRPr="004F535E">
        <w:rPr>
          <w:rStyle w:val="Refdenotaalpie"/>
          <w:kern w:val="22"/>
          <w:szCs w:val="22"/>
          <w:lang w:val="es-ES"/>
        </w:rPr>
        <w:footnoteReference w:id="4"/>
      </w:r>
      <w:r w:rsidR="002C241F" w:rsidRPr="004F535E">
        <w:rPr>
          <w:kern w:val="22"/>
          <w:szCs w:val="22"/>
          <w:lang w:val="es-ES"/>
        </w:rPr>
        <w:t>.</w:t>
      </w:r>
    </w:p>
    <w:p w:rsidR="005A796F" w:rsidRPr="004F535E" w:rsidRDefault="00777039">
      <w:pPr>
        <w:pStyle w:val="Para1"/>
        <w:suppressLineNumbers/>
        <w:tabs>
          <w:tab w:val="clear" w:pos="360"/>
        </w:tabs>
        <w:suppressAutoHyphens/>
        <w:kinsoku w:val="0"/>
        <w:overflowPunct w:val="0"/>
        <w:autoSpaceDE w:val="0"/>
        <w:autoSpaceDN w:val="0"/>
        <w:adjustRightInd w:val="0"/>
        <w:snapToGrid w:val="0"/>
        <w:rPr>
          <w:kern w:val="22"/>
          <w:szCs w:val="22"/>
          <w:lang w:val="es-ES"/>
        </w:rPr>
      </w:pPr>
      <w:r>
        <w:rPr>
          <w:kern w:val="22"/>
          <w:szCs w:val="22"/>
          <w:lang w:val="es-ES"/>
        </w:rPr>
        <w:lastRenderedPageBreak/>
        <w:t>Conforme</w:t>
      </w:r>
      <w:r w:rsidR="000502E7" w:rsidRPr="004F535E">
        <w:rPr>
          <w:kern w:val="22"/>
          <w:szCs w:val="22"/>
          <w:lang w:val="es-ES"/>
        </w:rPr>
        <w:t xml:space="preserve"> a lo dispuesto en el </w:t>
      </w:r>
      <w:r w:rsidR="00CB1B5D" w:rsidRPr="004F535E">
        <w:rPr>
          <w:kern w:val="22"/>
          <w:szCs w:val="22"/>
          <w:lang w:val="es-ES"/>
        </w:rPr>
        <w:t xml:space="preserve">artículo </w:t>
      </w:r>
      <w:r w:rsidR="000502E7" w:rsidRPr="004F535E">
        <w:rPr>
          <w:kern w:val="22"/>
          <w:szCs w:val="22"/>
          <w:lang w:val="es-ES"/>
        </w:rPr>
        <w:t xml:space="preserve">29 del Protocolo de Nagoya, las Partes deben vigilar el cumplimiento de sus obligaciones con arreglo al Protocolo e informar a la Conferencia de las Partes que actúa como reunión de las Partes en el Protocolo sobre las medidas adoptadas para su aplicación. En su primera reunión, la Conferencia de las Partes que actúa como reunión de las Partes en el Protocolo solicitó </w:t>
      </w:r>
      <w:r w:rsidR="00CB1B5D" w:rsidRPr="004F535E">
        <w:rPr>
          <w:kern w:val="22"/>
          <w:szCs w:val="22"/>
          <w:lang w:val="es-ES"/>
        </w:rPr>
        <w:t xml:space="preserve">a </w:t>
      </w:r>
      <w:r w:rsidR="000502E7" w:rsidRPr="004F535E">
        <w:rPr>
          <w:kern w:val="22"/>
          <w:szCs w:val="22"/>
          <w:lang w:val="es-ES"/>
        </w:rPr>
        <w:t xml:space="preserve">las Partes </w:t>
      </w:r>
      <w:r w:rsidR="00CB1B5D" w:rsidRPr="004F535E">
        <w:rPr>
          <w:kern w:val="22"/>
          <w:szCs w:val="22"/>
          <w:lang w:val="es-ES"/>
        </w:rPr>
        <w:t xml:space="preserve">que </w:t>
      </w:r>
      <w:r w:rsidR="000502E7" w:rsidRPr="004F535E">
        <w:rPr>
          <w:kern w:val="22"/>
          <w:szCs w:val="22"/>
          <w:lang w:val="es-ES"/>
        </w:rPr>
        <w:t>presentaran un informe nacional sobre la aplicación del Protocolo 12 meses antes de la tercera reunión de la Partes. En consecuencia, se invitó a las Partes y a países que no son Partes a presentar un informe nacional a más tardar el 1 de noviembre de 2017.</w:t>
      </w:r>
      <w:r w:rsidR="00ED591B" w:rsidRPr="004F535E">
        <w:rPr>
          <w:kern w:val="22"/>
          <w:szCs w:val="22"/>
          <w:lang w:val="es-ES"/>
        </w:rPr>
        <w:t xml:space="preserve"> </w:t>
      </w:r>
      <w:r w:rsidR="000502E7" w:rsidRPr="004F535E">
        <w:rPr>
          <w:kern w:val="22"/>
          <w:szCs w:val="22"/>
          <w:lang w:val="es-ES"/>
        </w:rPr>
        <w:t xml:space="preserve">Las Partes en el Protocolo de Nagoya también están obligadas a suministrar información nacional al Centro de Intercambio de Información sobre APB, según lo dispuesto </w:t>
      </w:r>
      <w:r w:rsidR="00C81759">
        <w:rPr>
          <w:kern w:val="22"/>
          <w:szCs w:val="22"/>
          <w:lang w:val="es-ES"/>
        </w:rPr>
        <w:t>en</w:t>
      </w:r>
      <w:r w:rsidR="00C81759" w:rsidRPr="004F535E">
        <w:rPr>
          <w:kern w:val="22"/>
          <w:szCs w:val="22"/>
          <w:lang w:val="es-ES"/>
        </w:rPr>
        <w:t xml:space="preserve"> </w:t>
      </w:r>
      <w:r w:rsidR="000502E7" w:rsidRPr="004F535E">
        <w:rPr>
          <w:kern w:val="22"/>
          <w:szCs w:val="22"/>
          <w:lang w:val="es-ES"/>
        </w:rPr>
        <w:t xml:space="preserve">el </w:t>
      </w:r>
      <w:r w:rsidR="00771D4D" w:rsidRPr="004F535E">
        <w:rPr>
          <w:kern w:val="22"/>
          <w:szCs w:val="22"/>
          <w:lang w:val="es-ES"/>
        </w:rPr>
        <w:t xml:space="preserve">artículo </w:t>
      </w:r>
      <w:r w:rsidR="000502E7" w:rsidRPr="004F535E">
        <w:rPr>
          <w:kern w:val="22"/>
          <w:szCs w:val="22"/>
          <w:lang w:val="es-ES"/>
        </w:rPr>
        <w:t xml:space="preserve">14 del Protocolo. Asimismo, se </w:t>
      </w:r>
      <w:r w:rsidR="00771D4D" w:rsidRPr="004F535E">
        <w:rPr>
          <w:kern w:val="22"/>
          <w:szCs w:val="22"/>
          <w:lang w:val="es-ES"/>
        </w:rPr>
        <w:t xml:space="preserve">alienta </w:t>
      </w:r>
      <w:r w:rsidR="000502E7" w:rsidRPr="004F535E">
        <w:rPr>
          <w:kern w:val="22"/>
          <w:szCs w:val="22"/>
          <w:lang w:val="es-ES"/>
        </w:rPr>
        <w:t>a los Estados que no son Partes a hacer lo mismo.</w:t>
      </w:r>
    </w:p>
    <w:p w:rsidR="005A796F" w:rsidRPr="004F535E" w:rsidRDefault="003157F2">
      <w:pPr>
        <w:pStyle w:val="Para1"/>
        <w:suppressLineNumbers/>
        <w:tabs>
          <w:tab w:val="clear" w:pos="360"/>
        </w:tabs>
        <w:suppressAutoHyphens/>
        <w:kinsoku w:val="0"/>
        <w:overflowPunct w:val="0"/>
        <w:autoSpaceDE w:val="0"/>
        <w:autoSpaceDN w:val="0"/>
        <w:adjustRightInd w:val="0"/>
        <w:snapToGrid w:val="0"/>
        <w:rPr>
          <w:b/>
          <w:kern w:val="22"/>
          <w:szCs w:val="22"/>
          <w:lang w:val="es-ES"/>
        </w:rPr>
      </w:pPr>
      <w:r w:rsidRPr="004F535E">
        <w:rPr>
          <w:kern w:val="22"/>
          <w:szCs w:val="22"/>
          <w:lang w:val="es-ES"/>
        </w:rPr>
        <w:t xml:space="preserve">Teniendo en cuenta este contexto, el siguiente cuadro ofrece un resumen de la presentación de </w:t>
      </w:r>
      <w:r w:rsidR="000C3D80" w:rsidRPr="004F535E">
        <w:rPr>
          <w:kern w:val="22"/>
          <w:szCs w:val="22"/>
          <w:lang w:val="es-ES"/>
        </w:rPr>
        <w:t>inform</w:t>
      </w:r>
      <w:r w:rsidR="000C3D80">
        <w:rPr>
          <w:kern w:val="22"/>
          <w:szCs w:val="22"/>
          <w:lang w:val="es-ES"/>
        </w:rPr>
        <w:t>ación</w:t>
      </w:r>
      <w:r w:rsidR="000C3D80" w:rsidRPr="004F535E">
        <w:rPr>
          <w:kern w:val="22"/>
          <w:szCs w:val="22"/>
          <w:lang w:val="es-ES"/>
        </w:rPr>
        <w:t xml:space="preserve"> </w:t>
      </w:r>
      <w:r w:rsidRPr="004F535E">
        <w:rPr>
          <w:kern w:val="22"/>
          <w:szCs w:val="22"/>
          <w:lang w:val="es-ES"/>
        </w:rPr>
        <w:t xml:space="preserve">sobre APB por medio de diferentes mecanismos establecidos </w:t>
      </w:r>
      <w:r w:rsidR="00771D4D" w:rsidRPr="004F535E">
        <w:rPr>
          <w:kern w:val="22"/>
          <w:szCs w:val="22"/>
          <w:lang w:val="es-ES"/>
        </w:rPr>
        <w:t>en el marco</w:t>
      </w:r>
      <w:r w:rsidRPr="004F535E">
        <w:rPr>
          <w:kern w:val="22"/>
          <w:szCs w:val="22"/>
          <w:lang w:val="es-ES"/>
        </w:rPr>
        <w:t xml:space="preserve"> </w:t>
      </w:r>
      <w:r w:rsidR="00771D4D" w:rsidRPr="004F535E">
        <w:rPr>
          <w:kern w:val="22"/>
          <w:szCs w:val="22"/>
          <w:lang w:val="es-ES"/>
        </w:rPr>
        <w:t>d</w:t>
      </w:r>
      <w:r w:rsidRPr="004F535E">
        <w:rPr>
          <w:kern w:val="22"/>
          <w:szCs w:val="22"/>
          <w:lang w:val="es-ES"/>
        </w:rPr>
        <w:t>el Convenio y el Protocolo de Nagoya.</w:t>
      </w:r>
    </w:p>
    <w:p w:rsidR="006B3613" w:rsidRPr="004F535E" w:rsidRDefault="00E829C8" w:rsidP="006F3C2C">
      <w:pPr>
        <w:keepNext/>
        <w:suppressLineNumbers/>
        <w:suppressAutoHyphens/>
        <w:kinsoku w:val="0"/>
        <w:overflowPunct w:val="0"/>
        <w:autoSpaceDE w:val="0"/>
        <w:autoSpaceDN w:val="0"/>
        <w:adjustRightInd w:val="0"/>
        <w:snapToGrid w:val="0"/>
        <w:ind w:left="993" w:hanging="993"/>
        <w:jc w:val="left"/>
        <w:rPr>
          <w:b/>
          <w:snapToGrid w:val="0"/>
          <w:kern w:val="22"/>
          <w:szCs w:val="22"/>
          <w:lang w:val="es-ES"/>
        </w:rPr>
      </w:pPr>
      <w:r w:rsidRPr="004F535E">
        <w:rPr>
          <w:b/>
          <w:bCs/>
          <w:snapToGrid w:val="0"/>
          <w:kern w:val="22"/>
          <w:szCs w:val="22"/>
          <w:lang w:val="es-ES"/>
        </w:rPr>
        <w:t>Cuadro.</w:t>
      </w:r>
      <w:r w:rsidRPr="004F535E">
        <w:rPr>
          <w:b/>
          <w:bCs/>
          <w:snapToGrid w:val="0"/>
          <w:kern w:val="22"/>
          <w:szCs w:val="22"/>
          <w:lang w:val="es-ES"/>
        </w:rPr>
        <w:tab/>
        <w:t xml:space="preserve">Resumen de la presentación de </w:t>
      </w:r>
      <w:r w:rsidR="000C3D80" w:rsidRPr="004F535E">
        <w:rPr>
          <w:b/>
          <w:bCs/>
          <w:snapToGrid w:val="0"/>
          <w:kern w:val="22"/>
          <w:szCs w:val="22"/>
          <w:lang w:val="es-ES"/>
        </w:rPr>
        <w:t>inform</w:t>
      </w:r>
      <w:r w:rsidR="000C3D80">
        <w:rPr>
          <w:b/>
          <w:bCs/>
          <w:snapToGrid w:val="0"/>
          <w:kern w:val="22"/>
          <w:szCs w:val="22"/>
          <w:lang w:val="es-ES"/>
        </w:rPr>
        <w:t>ación</w:t>
      </w:r>
      <w:r w:rsidR="000C3D80" w:rsidRPr="004F535E">
        <w:rPr>
          <w:b/>
          <w:bCs/>
          <w:snapToGrid w:val="0"/>
          <w:kern w:val="22"/>
          <w:szCs w:val="22"/>
          <w:lang w:val="es-ES"/>
        </w:rPr>
        <w:t xml:space="preserve"> </w:t>
      </w:r>
      <w:r w:rsidRPr="004F535E">
        <w:rPr>
          <w:b/>
          <w:bCs/>
          <w:snapToGrid w:val="0"/>
          <w:kern w:val="22"/>
          <w:szCs w:val="22"/>
          <w:lang w:val="es-ES"/>
        </w:rPr>
        <w:t>sobre APB en virtud del Convenio y el Protocolo de Nagoya al 22 de febrero de 2018</w:t>
      </w:r>
    </w:p>
    <w:p w:rsidR="006B3613" w:rsidRPr="004F535E" w:rsidRDefault="006B3613" w:rsidP="00AF37BE">
      <w:pPr>
        <w:keepNext/>
        <w:suppressLineNumbers/>
        <w:suppressAutoHyphens/>
        <w:kinsoku w:val="0"/>
        <w:overflowPunct w:val="0"/>
        <w:autoSpaceDE w:val="0"/>
        <w:autoSpaceDN w:val="0"/>
        <w:adjustRightInd w:val="0"/>
        <w:snapToGrid w:val="0"/>
        <w:rPr>
          <w:bCs/>
          <w:snapToGrid w:val="0"/>
          <w:kern w:val="22"/>
          <w:szCs w:val="22"/>
          <w:lang w:val="es-ES"/>
        </w:rPr>
      </w:pPr>
    </w:p>
    <w:tbl>
      <w:tblPr>
        <w:tblStyle w:val="Tablaconcuadrcula"/>
        <w:tblW w:w="0" w:type="auto"/>
        <w:jc w:val="center"/>
        <w:tblLook w:val="06A0" w:firstRow="1" w:lastRow="0" w:firstColumn="1" w:lastColumn="0" w:noHBand="1" w:noVBand="1"/>
      </w:tblPr>
      <w:tblGrid>
        <w:gridCol w:w="2847"/>
        <w:gridCol w:w="1871"/>
        <w:gridCol w:w="2160"/>
        <w:gridCol w:w="2378"/>
      </w:tblGrid>
      <w:tr w:rsidR="00E829C8" w:rsidRPr="00B538CB" w:rsidTr="00AF37BE">
        <w:trPr>
          <w:cantSplit/>
          <w:jc w:val="center"/>
        </w:trPr>
        <w:tc>
          <w:tcPr>
            <w:tcW w:w="2847" w:type="dxa"/>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lang w:val="es-ES"/>
              </w:rPr>
            </w:pPr>
          </w:p>
        </w:tc>
        <w:tc>
          <w:tcPr>
            <w:tcW w:w="1871" w:type="dxa"/>
          </w:tcPr>
          <w:p w:rsidR="00E829C8" w:rsidRPr="00C81759" w:rsidRDefault="00E33019" w:rsidP="00AF37BE">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lang w:val="es-ES"/>
              </w:rPr>
            </w:pPr>
            <w:r w:rsidRPr="00C81759">
              <w:rPr>
                <w:rFonts w:ascii="Times New Roman" w:hAnsi="Times New Roman" w:cs="Times New Roman"/>
                <w:i/>
                <w:iCs/>
                <w:snapToGrid w:val="0"/>
                <w:kern w:val="22"/>
                <w:szCs w:val="22"/>
                <w:lang w:val="es-ES"/>
              </w:rPr>
              <w:t>Partes en el Convenio (196)</w:t>
            </w:r>
          </w:p>
        </w:tc>
        <w:tc>
          <w:tcPr>
            <w:tcW w:w="2160" w:type="dxa"/>
          </w:tcPr>
          <w:p w:rsidR="00E829C8" w:rsidRPr="00C81759" w:rsidRDefault="00E33019" w:rsidP="00AF37BE">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lang w:val="es-ES"/>
              </w:rPr>
            </w:pPr>
            <w:r w:rsidRPr="00C81759">
              <w:rPr>
                <w:rFonts w:ascii="Times New Roman" w:hAnsi="Times New Roman" w:cs="Times New Roman"/>
                <w:i/>
                <w:iCs/>
                <w:snapToGrid w:val="0"/>
                <w:kern w:val="22"/>
                <w:szCs w:val="22"/>
                <w:lang w:val="es-ES"/>
              </w:rPr>
              <w:t>Partes en el Protocolo de Nagoya (105)</w:t>
            </w:r>
          </w:p>
        </w:tc>
        <w:tc>
          <w:tcPr>
            <w:tcW w:w="2378" w:type="dxa"/>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lang w:val="es-ES"/>
              </w:rPr>
            </w:pPr>
            <w:r w:rsidRPr="00C81759">
              <w:rPr>
                <w:rFonts w:ascii="Times New Roman" w:hAnsi="Times New Roman" w:cs="Times New Roman"/>
                <w:i/>
                <w:iCs/>
                <w:snapToGrid w:val="0"/>
                <w:kern w:val="22"/>
                <w:szCs w:val="22"/>
                <w:lang w:val="es-ES"/>
              </w:rPr>
              <w:t xml:space="preserve">Estados </w:t>
            </w:r>
            <w:r w:rsidR="00771D4D" w:rsidRPr="00C81759">
              <w:rPr>
                <w:rFonts w:ascii="Times New Roman" w:hAnsi="Times New Roman" w:cs="Times New Roman"/>
                <w:i/>
                <w:iCs/>
                <w:snapToGrid w:val="0"/>
                <w:kern w:val="22"/>
                <w:szCs w:val="22"/>
                <w:lang w:val="es-ES"/>
              </w:rPr>
              <w:t xml:space="preserve">que </w:t>
            </w:r>
            <w:r w:rsidRPr="00C81759">
              <w:rPr>
                <w:rFonts w:ascii="Times New Roman" w:hAnsi="Times New Roman" w:cs="Times New Roman"/>
                <w:i/>
                <w:iCs/>
                <w:snapToGrid w:val="0"/>
                <w:kern w:val="22"/>
                <w:szCs w:val="22"/>
                <w:lang w:val="es-ES"/>
              </w:rPr>
              <w:t xml:space="preserve">no </w:t>
            </w:r>
            <w:r w:rsidR="00771D4D" w:rsidRPr="00C81759">
              <w:rPr>
                <w:rFonts w:ascii="Times New Roman" w:hAnsi="Times New Roman" w:cs="Times New Roman"/>
                <w:i/>
                <w:iCs/>
                <w:snapToGrid w:val="0"/>
                <w:kern w:val="22"/>
                <w:szCs w:val="22"/>
                <w:lang w:val="es-ES"/>
              </w:rPr>
              <w:t xml:space="preserve">son </w:t>
            </w:r>
            <w:r w:rsidRPr="00C81759">
              <w:rPr>
                <w:rFonts w:ascii="Times New Roman" w:hAnsi="Times New Roman" w:cs="Times New Roman"/>
                <w:i/>
                <w:iCs/>
                <w:snapToGrid w:val="0"/>
                <w:kern w:val="22"/>
                <w:szCs w:val="22"/>
                <w:lang w:val="es-ES"/>
              </w:rPr>
              <w:t>Partes en el Protocolo de Nagoya (91)</w:t>
            </w:r>
          </w:p>
        </w:tc>
      </w:tr>
      <w:tr w:rsidR="00E829C8" w:rsidRPr="004F535E" w:rsidTr="00AF37BE">
        <w:trPr>
          <w:cantSplit/>
          <w:jc w:val="center"/>
        </w:trPr>
        <w:tc>
          <w:tcPr>
            <w:tcW w:w="2847" w:type="dxa"/>
          </w:tcPr>
          <w:p w:rsidR="00E829C8" w:rsidRPr="00C81759" w:rsidRDefault="00E33019" w:rsidP="00AF37BE">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Quintos informes nacionales presentados</w:t>
            </w:r>
          </w:p>
        </w:tc>
        <w:tc>
          <w:tcPr>
            <w:tcW w:w="1871"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189</w:t>
            </w:r>
          </w:p>
        </w:tc>
        <w:tc>
          <w:tcPr>
            <w:tcW w:w="2160"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102</w:t>
            </w:r>
          </w:p>
        </w:tc>
        <w:tc>
          <w:tcPr>
            <w:tcW w:w="2378"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87</w:t>
            </w:r>
          </w:p>
        </w:tc>
      </w:tr>
      <w:tr w:rsidR="00E829C8" w:rsidRPr="004F535E" w:rsidTr="00AF37BE">
        <w:trPr>
          <w:cantSplit/>
          <w:jc w:val="center"/>
        </w:trPr>
        <w:tc>
          <w:tcPr>
            <w:tcW w:w="2847" w:type="dxa"/>
          </w:tcPr>
          <w:p w:rsidR="00E829C8" w:rsidRPr="00C81759" w:rsidRDefault="00E829C8" w:rsidP="00771D4D">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Información sobre APB presentada en el quinto informe nacional</w:t>
            </w:r>
          </w:p>
        </w:tc>
        <w:tc>
          <w:tcPr>
            <w:tcW w:w="1871"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165</w:t>
            </w:r>
          </w:p>
        </w:tc>
        <w:tc>
          <w:tcPr>
            <w:tcW w:w="2160"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94</w:t>
            </w:r>
          </w:p>
        </w:tc>
        <w:tc>
          <w:tcPr>
            <w:tcW w:w="2378"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71</w:t>
            </w:r>
          </w:p>
        </w:tc>
      </w:tr>
      <w:tr w:rsidR="00E829C8" w:rsidRPr="004F535E" w:rsidTr="00AF37BE">
        <w:trPr>
          <w:cantSplit/>
          <w:jc w:val="center"/>
        </w:trPr>
        <w:tc>
          <w:tcPr>
            <w:tcW w:w="2847" w:type="dxa"/>
          </w:tcPr>
          <w:p w:rsidR="00E829C8" w:rsidRPr="00C81759" w:rsidRDefault="00E829C8" w:rsidP="00AF37BE">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Información sobre medidas de APB presentada en el quinto informe nacional</w:t>
            </w:r>
          </w:p>
        </w:tc>
        <w:tc>
          <w:tcPr>
            <w:tcW w:w="1871"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102</w:t>
            </w:r>
          </w:p>
        </w:tc>
        <w:tc>
          <w:tcPr>
            <w:tcW w:w="2160"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67</w:t>
            </w:r>
          </w:p>
        </w:tc>
        <w:tc>
          <w:tcPr>
            <w:tcW w:w="2378"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35</w:t>
            </w:r>
          </w:p>
        </w:tc>
      </w:tr>
      <w:tr w:rsidR="00E829C8" w:rsidRPr="004F535E" w:rsidTr="00AF37BE">
        <w:trPr>
          <w:cantSplit/>
          <w:jc w:val="center"/>
        </w:trPr>
        <w:tc>
          <w:tcPr>
            <w:tcW w:w="2847" w:type="dxa"/>
          </w:tcPr>
          <w:p w:rsidR="00E829C8" w:rsidRPr="00C81759" w:rsidRDefault="00E829C8" w:rsidP="00771D4D">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EPANB presentadas</w:t>
            </w:r>
          </w:p>
        </w:tc>
        <w:tc>
          <w:tcPr>
            <w:tcW w:w="1871"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186</w:t>
            </w:r>
          </w:p>
        </w:tc>
        <w:tc>
          <w:tcPr>
            <w:tcW w:w="2160"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104</w:t>
            </w:r>
          </w:p>
        </w:tc>
        <w:tc>
          <w:tcPr>
            <w:tcW w:w="2378"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82</w:t>
            </w:r>
          </w:p>
        </w:tc>
      </w:tr>
      <w:tr w:rsidR="00E829C8" w:rsidRPr="004F535E" w:rsidTr="00AF37BE">
        <w:trPr>
          <w:cantSplit/>
          <w:jc w:val="center"/>
        </w:trPr>
        <w:tc>
          <w:tcPr>
            <w:tcW w:w="2847" w:type="dxa"/>
          </w:tcPr>
          <w:p w:rsidR="00E829C8" w:rsidRPr="00C81759" w:rsidRDefault="00E829C8" w:rsidP="00771D4D">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Información sobre APB presentada en las EPANB</w:t>
            </w:r>
          </w:p>
        </w:tc>
        <w:tc>
          <w:tcPr>
            <w:tcW w:w="1871"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151</w:t>
            </w:r>
          </w:p>
        </w:tc>
        <w:tc>
          <w:tcPr>
            <w:tcW w:w="2160"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90</w:t>
            </w:r>
          </w:p>
        </w:tc>
        <w:tc>
          <w:tcPr>
            <w:tcW w:w="2378"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61</w:t>
            </w:r>
          </w:p>
        </w:tc>
      </w:tr>
      <w:tr w:rsidR="00E829C8" w:rsidRPr="004F535E" w:rsidTr="00AF37BE">
        <w:trPr>
          <w:cantSplit/>
          <w:jc w:val="center"/>
        </w:trPr>
        <w:tc>
          <w:tcPr>
            <w:tcW w:w="2847" w:type="dxa"/>
          </w:tcPr>
          <w:p w:rsidR="00E829C8" w:rsidRPr="00C81759" w:rsidRDefault="00E829C8" w:rsidP="00AF37BE">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Informes nacionales provisionales presentados</w:t>
            </w:r>
          </w:p>
        </w:tc>
        <w:tc>
          <w:tcPr>
            <w:tcW w:w="1871"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75</w:t>
            </w:r>
          </w:p>
        </w:tc>
        <w:tc>
          <w:tcPr>
            <w:tcW w:w="2160"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69</w:t>
            </w:r>
          </w:p>
        </w:tc>
        <w:tc>
          <w:tcPr>
            <w:tcW w:w="2378"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6</w:t>
            </w:r>
          </w:p>
        </w:tc>
      </w:tr>
      <w:tr w:rsidR="00E829C8" w:rsidRPr="004F535E" w:rsidTr="00AF37BE">
        <w:trPr>
          <w:cantSplit/>
          <w:jc w:val="center"/>
        </w:trPr>
        <w:tc>
          <w:tcPr>
            <w:tcW w:w="2847" w:type="dxa"/>
          </w:tcPr>
          <w:p w:rsidR="00E829C8" w:rsidRPr="00C81759" w:rsidRDefault="00E829C8" w:rsidP="00AF37BE">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Registros nacionales</w:t>
            </w:r>
            <w:r w:rsidR="00E33019" w:rsidRPr="00C81759">
              <w:rPr>
                <w:rStyle w:val="Refdenotaalpie"/>
                <w:rFonts w:ascii="Times New Roman" w:hAnsi="Times New Roman" w:cs="Times New Roman"/>
                <w:snapToGrid w:val="0"/>
                <w:kern w:val="22"/>
                <w:szCs w:val="22"/>
                <w:lang w:val="es-ES"/>
              </w:rPr>
              <w:footnoteReference w:id="5"/>
            </w:r>
            <w:r w:rsidR="00E33019" w:rsidRPr="00C81759">
              <w:rPr>
                <w:rFonts w:ascii="Times New Roman" w:hAnsi="Times New Roman" w:cs="Times New Roman"/>
                <w:snapToGrid w:val="0"/>
                <w:kern w:val="22"/>
                <w:szCs w:val="22"/>
                <w:lang w:val="es-ES"/>
              </w:rPr>
              <w:t xml:space="preserve"> en el Centro de Intercambio de Información sobre APB</w:t>
            </w:r>
          </w:p>
        </w:tc>
        <w:tc>
          <w:tcPr>
            <w:tcW w:w="1871"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63</w:t>
            </w:r>
          </w:p>
        </w:tc>
        <w:tc>
          <w:tcPr>
            <w:tcW w:w="2160"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55</w:t>
            </w:r>
          </w:p>
        </w:tc>
        <w:tc>
          <w:tcPr>
            <w:tcW w:w="2378" w:type="dxa"/>
            <w:vAlign w:val="center"/>
          </w:tcPr>
          <w:p w:rsidR="00E829C8" w:rsidRPr="00C81759" w:rsidRDefault="00E829C8" w:rsidP="00AF37BE">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lang w:val="es-ES"/>
              </w:rPr>
            </w:pPr>
            <w:r w:rsidRPr="00C81759">
              <w:rPr>
                <w:rFonts w:ascii="Times New Roman" w:hAnsi="Times New Roman" w:cs="Times New Roman"/>
                <w:snapToGrid w:val="0"/>
                <w:kern w:val="22"/>
                <w:szCs w:val="22"/>
                <w:lang w:val="es-ES"/>
              </w:rPr>
              <w:t>8</w:t>
            </w:r>
          </w:p>
        </w:tc>
      </w:tr>
    </w:tbl>
    <w:p w:rsidR="00E829C8" w:rsidRPr="004F535E" w:rsidRDefault="00E829C8" w:rsidP="00AF37BE">
      <w:pPr>
        <w:pStyle w:val="Para1"/>
        <w:numPr>
          <w:ilvl w:val="0"/>
          <w:numId w:val="0"/>
        </w:numPr>
        <w:suppressLineNumbers/>
        <w:suppressAutoHyphens/>
        <w:kinsoku w:val="0"/>
        <w:overflowPunct w:val="0"/>
        <w:autoSpaceDE w:val="0"/>
        <w:autoSpaceDN w:val="0"/>
        <w:adjustRightInd w:val="0"/>
        <w:snapToGrid w:val="0"/>
        <w:spacing w:before="0" w:after="0"/>
        <w:rPr>
          <w:kern w:val="22"/>
          <w:szCs w:val="22"/>
          <w:lang w:val="es-ES"/>
        </w:rPr>
      </w:pPr>
    </w:p>
    <w:p w:rsidR="0039164A" w:rsidRPr="004F535E" w:rsidDel="00E829C8" w:rsidRDefault="00A378DD"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Como</w:t>
      </w:r>
      <w:r w:rsidR="00A63F60" w:rsidRPr="004F535E">
        <w:rPr>
          <w:kern w:val="22"/>
          <w:szCs w:val="22"/>
          <w:lang w:val="es-ES"/>
        </w:rPr>
        <w:t xml:space="preserve"> se indica en el cuadro, de las 189 Partes en el Convenio que presentaron el quinto informe nacional, 165 (87%) informaron sobre acceso y participación en los beneficios en respuesta a la pregunta acerca del avance realizado en la </w:t>
      </w:r>
      <w:r w:rsidRPr="004F535E">
        <w:rPr>
          <w:kern w:val="22"/>
          <w:szCs w:val="22"/>
          <w:lang w:val="es-ES"/>
        </w:rPr>
        <w:t xml:space="preserve">aplicación </w:t>
      </w:r>
      <w:r w:rsidR="00A63F60" w:rsidRPr="004F535E">
        <w:rPr>
          <w:kern w:val="22"/>
          <w:szCs w:val="22"/>
          <w:lang w:val="es-ES"/>
        </w:rPr>
        <w:t xml:space="preserve">del Plan Estratégico para la Diversidad Biológica 2011-2020 y sus Metas de Aichi para la Diversidad Biológica. De estas 165 Partes, 94 también son Partes en el Protocolo de Nagoya. Con respecto a las EPANB, de las 186 presentadas, 151 (81%) </w:t>
      </w:r>
      <w:r w:rsidRPr="004F535E">
        <w:rPr>
          <w:kern w:val="22"/>
          <w:szCs w:val="22"/>
          <w:lang w:val="es-ES"/>
        </w:rPr>
        <w:t xml:space="preserve">incluían </w:t>
      </w:r>
      <w:r w:rsidR="00A63F60" w:rsidRPr="004F535E">
        <w:rPr>
          <w:kern w:val="22"/>
          <w:szCs w:val="22"/>
          <w:lang w:val="es-ES"/>
        </w:rPr>
        <w:t xml:space="preserve">información sobre acceso y participación en los beneficios en relación con las metas nacionales, una estrategia </w:t>
      </w:r>
      <w:r w:rsidRPr="004F535E">
        <w:rPr>
          <w:kern w:val="22"/>
          <w:szCs w:val="22"/>
          <w:lang w:val="es-ES"/>
        </w:rPr>
        <w:t xml:space="preserve">prevista </w:t>
      </w:r>
      <w:r w:rsidR="00A63F60" w:rsidRPr="004F535E">
        <w:rPr>
          <w:kern w:val="22"/>
          <w:szCs w:val="22"/>
          <w:lang w:val="es-ES"/>
        </w:rPr>
        <w:t xml:space="preserve">o actividades. Además, algunas Partes en el Convenio que todavía no son Partes en el Protocolo de Nagoya presentaron un informe nacional provisional sobre la aplicación de las disposiciones del Protocolo de Nagoya o suministraron información al Centro de Intercambio de Información sobre APB. </w:t>
      </w:r>
    </w:p>
    <w:p w:rsidR="006861A0" w:rsidRPr="004F535E" w:rsidRDefault="001F68FD" w:rsidP="00AF37BE">
      <w:pPr>
        <w:pStyle w:val="Ttulo2"/>
        <w:suppressLineNumbers/>
        <w:tabs>
          <w:tab w:val="clear" w:pos="720"/>
          <w:tab w:val="left" w:pos="360"/>
        </w:tabs>
        <w:suppressAutoHyphens/>
        <w:kinsoku w:val="0"/>
        <w:overflowPunct w:val="0"/>
        <w:autoSpaceDE w:val="0"/>
        <w:autoSpaceDN w:val="0"/>
        <w:adjustRightInd w:val="0"/>
        <w:snapToGrid w:val="0"/>
        <w:rPr>
          <w:snapToGrid w:val="0"/>
          <w:kern w:val="22"/>
          <w:szCs w:val="22"/>
          <w:lang w:val="es-ES"/>
        </w:rPr>
      </w:pPr>
      <w:r w:rsidRPr="004F535E">
        <w:rPr>
          <w:iCs w:val="0"/>
          <w:snapToGrid w:val="0"/>
          <w:kern w:val="22"/>
          <w:szCs w:val="22"/>
          <w:lang w:val="es-ES"/>
        </w:rPr>
        <w:lastRenderedPageBreak/>
        <w:t>B.</w:t>
      </w:r>
      <w:r w:rsidRPr="004F535E">
        <w:rPr>
          <w:iCs w:val="0"/>
          <w:snapToGrid w:val="0"/>
          <w:kern w:val="22"/>
          <w:szCs w:val="22"/>
          <w:lang w:val="es-ES"/>
        </w:rPr>
        <w:tab/>
        <w:t>Estado de ratificaciones y aplicación del Protocolo de Nagoya</w:t>
      </w:r>
    </w:p>
    <w:p w:rsidR="0017247F" w:rsidRPr="004F535E" w:rsidRDefault="006B3613"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Al 8 de mayo de 2018, 105 Partes en el Convenio habían ratificado el Protocolo. En la tercera reunión de las Partes en el Protocolo, se considerará el avance en la aplicación con base en la primera evaluación y revisión del Protocolo.</w:t>
      </w:r>
    </w:p>
    <w:p w:rsidR="00DB2F58" w:rsidRPr="004F535E" w:rsidRDefault="002E2FF9"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Con arreglo al </w:t>
      </w:r>
      <w:r w:rsidR="003003DE" w:rsidRPr="004F535E">
        <w:rPr>
          <w:kern w:val="22"/>
          <w:szCs w:val="22"/>
          <w:lang w:val="es-ES"/>
        </w:rPr>
        <w:t xml:space="preserve">artículo </w:t>
      </w:r>
      <w:r w:rsidRPr="004F535E">
        <w:rPr>
          <w:kern w:val="22"/>
          <w:szCs w:val="22"/>
          <w:lang w:val="es-ES"/>
        </w:rPr>
        <w:t>31 del Protocolo de Nagoya, en su tercera reunión, las Partes en el Protocolo llevarán a cabo la primera evaluación y revisión de la eficacia del Protocolo</w:t>
      </w:r>
      <w:r w:rsidR="003003DE" w:rsidRPr="004F535E">
        <w:rPr>
          <w:kern w:val="22"/>
          <w:szCs w:val="22"/>
          <w:lang w:val="es-ES"/>
        </w:rPr>
        <w:t xml:space="preserve"> de Nagoya</w:t>
      </w:r>
      <w:r w:rsidRPr="004F535E">
        <w:rPr>
          <w:kern w:val="22"/>
          <w:szCs w:val="22"/>
          <w:lang w:val="es-ES"/>
        </w:rPr>
        <w:t xml:space="preserve">, teniendo en cuenta la información suministrada por medio de los informes nacionales provisionales y el Centro de Intercambio de Información sobre APB, así como por otras fuentes. </w:t>
      </w:r>
      <w:r w:rsidR="000B13F6">
        <w:rPr>
          <w:kern w:val="22"/>
          <w:szCs w:val="22"/>
          <w:lang w:val="es-ES"/>
        </w:rPr>
        <w:t>E</w:t>
      </w:r>
      <w:r w:rsidR="000B13F6" w:rsidRPr="004F535E">
        <w:rPr>
          <w:kern w:val="22"/>
          <w:szCs w:val="22"/>
          <w:lang w:val="es-ES"/>
        </w:rPr>
        <w:t xml:space="preserve">n el tema 4 del programa de la segunda reunión del Órgano Subsidiario sobre la Aplicación </w:t>
      </w:r>
      <w:r w:rsidR="000B13F6">
        <w:rPr>
          <w:kern w:val="22"/>
          <w:szCs w:val="22"/>
          <w:lang w:val="es-ES"/>
        </w:rPr>
        <w:t>s</w:t>
      </w:r>
      <w:r w:rsidR="000B13F6" w:rsidRPr="004F535E">
        <w:rPr>
          <w:kern w:val="22"/>
          <w:szCs w:val="22"/>
          <w:lang w:val="es-ES"/>
        </w:rPr>
        <w:t xml:space="preserve">e </w:t>
      </w:r>
      <w:r w:rsidRPr="004F535E">
        <w:rPr>
          <w:kern w:val="22"/>
          <w:szCs w:val="22"/>
          <w:lang w:val="es-ES"/>
        </w:rPr>
        <w:t xml:space="preserve">considerará una evaluación del avance </w:t>
      </w:r>
      <w:r w:rsidR="003003DE" w:rsidRPr="004F535E">
        <w:rPr>
          <w:kern w:val="22"/>
          <w:szCs w:val="22"/>
          <w:lang w:val="es-ES"/>
        </w:rPr>
        <w:t xml:space="preserve">en </w:t>
      </w:r>
      <w:r w:rsidRPr="004F535E">
        <w:rPr>
          <w:kern w:val="22"/>
          <w:szCs w:val="22"/>
          <w:lang w:val="es-ES"/>
        </w:rPr>
        <w:t xml:space="preserve">la aplicación del Protocolo </w:t>
      </w:r>
      <w:r w:rsidR="000B13F6">
        <w:rPr>
          <w:kern w:val="22"/>
          <w:szCs w:val="22"/>
          <w:lang w:val="es-ES"/>
        </w:rPr>
        <w:t>con base</w:t>
      </w:r>
      <w:r w:rsidR="000B13F6" w:rsidRPr="004F535E">
        <w:rPr>
          <w:kern w:val="22"/>
          <w:szCs w:val="22"/>
          <w:lang w:val="es-ES"/>
        </w:rPr>
        <w:t xml:space="preserve"> e</w:t>
      </w:r>
      <w:r w:rsidR="000B13F6">
        <w:rPr>
          <w:kern w:val="22"/>
          <w:szCs w:val="22"/>
          <w:lang w:val="es-ES"/>
        </w:rPr>
        <w:t>n</w:t>
      </w:r>
      <w:r w:rsidR="000B13F6" w:rsidRPr="004F535E">
        <w:rPr>
          <w:kern w:val="22"/>
          <w:szCs w:val="22"/>
          <w:lang w:val="es-ES"/>
        </w:rPr>
        <w:t xml:space="preserve"> una nota de la Secretaria Ejecutiva (UNEP/CD/SBI/2/3)</w:t>
      </w:r>
      <w:r w:rsidRPr="004F535E">
        <w:rPr>
          <w:kern w:val="22"/>
          <w:szCs w:val="22"/>
          <w:lang w:val="es-ES"/>
        </w:rPr>
        <w:t xml:space="preserve">. La evaluación toma en cuenta la información suministrada por las Partes por medio de los informes nacionales provisionales y el Centro de Intercambio de Información sobre APB. En el caso de las que no presentaron un informe nacional provisional, también se consideró la información proporcionada en el quinto informe nacional y en las EPANB. Sus conclusiones y recomendaciones se someterán a consideración de la </w:t>
      </w:r>
      <w:r w:rsidR="00805788" w:rsidRPr="004F535E">
        <w:rPr>
          <w:kern w:val="22"/>
          <w:szCs w:val="22"/>
          <w:lang w:val="es-ES"/>
        </w:rPr>
        <w:t xml:space="preserve">tercera reunión </w:t>
      </w:r>
      <w:r w:rsidR="00805788">
        <w:rPr>
          <w:kern w:val="22"/>
          <w:szCs w:val="22"/>
          <w:lang w:val="es-ES"/>
        </w:rPr>
        <w:t xml:space="preserve">de la </w:t>
      </w:r>
      <w:r w:rsidRPr="004F535E">
        <w:rPr>
          <w:kern w:val="22"/>
          <w:szCs w:val="22"/>
          <w:lang w:val="es-ES"/>
        </w:rPr>
        <w:t xml:space="preserve">Conferencia de las Partes que actúa como reunión de las Partes </w:t>
      </w:r>
      <w:r w:rsidR="003003DE" w:rsidRPr="004F535E">
        <w:rPr>
          <w:kern w:val="22"/>
          <w:szCs w:val="22"/>
          <w:lang w:val="es-ES"/>
        </w:rPr>
        <w:t xml:space="preserve">en </w:t>
      </w:r>
      <w:r w:rsidR="00805788">
        <w:rPr>
          <w:kern w:val="22"/>
          <w:szCs w:val="22"/>
          <w:lang w:val="es-ES"/>
        </w:rPr>
        <w:t>el Protocolo</w:t>
      </w:r>
      <w:r w:rsidRPr="004F535E">
        <w:rPr>
          <w:kern w:val="22"/>
          <w:szCs w:val="22"/>
          <w:lang w:val="es-ES"/>
        </w:rPr>
        <w:t>.</w:t>
      </w:r>
    </w:p>
    <w:p w:rsidR="00FA5BF9" w:rsidRPr="004F535E" w:rsidRDefault="00A42777"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Puesto que el Protocolo de Nagoya apoya la aplicación de las disposiciones sobre APB del Convenio, la evaluación del avance </w:t>
      </w:r>
      <w:r w:rsidR="00777039">
        <w:rPr>
          <w:kern w:val="22"/>
          <w:szCs w:val="22"/>
          <w:lang w:val="es-ES"/>
        </w:rPr>
        <w:t>en</w:t>
      </w:r>
      <w:r w:rsidRPr="004F535E">
        <w:rPr>
          <w:kern w:val="22"/>
          <w:szCs w:val="22"/>
          <w:lang w:val="es-ES"/>
        </w:rPr>
        <w:t xml:space="preserve"> la aplicación del Protocolo de Nagoya también puede contribuir a evaluar el avance en la aplicación de las disposiciones sobre APB del Convenio.</w:t>
      </w:r>
    </w:p>
    <w:p w:rsidR="00A24442" w:rsidRPr="004F535E" w:rsidRDefault="001F68FD" w:rsidP="00AF37BE">
      <w:pPr>
        <w:pStyle w:val="Ttulo2"/>
        <w:keepNext w:val="0"/>
        <w:suppressLineNumbers/>
        <w:suppressAutoHyphens/>
        <w:kinsoku w:val="0"/>
        <w:overflowPunct w:val="0"/>
        <w:autoSpaceDE w:val="0"/>
        <w:autoSpaceDN w:val="0"/>
        <w:adjustRightInd w:val="0"/>
        <w:snapToGrid w:val="0"/>
        <w:ind w:left="1152" w:hanging="432"/>
        <w:jc w:val="left"/>
        <w:rPr>
          <w:snapToGrid w:val="0"/>
          <w:kern w:val="22"/>
          <w:szCs w:val="22"/>
          <w:lang w:val="es-ES"/>
        </w:rPr>
      </w:pPr>
      <w:r w:rsidRPr="004F535E">
        <w:rPr>
          <w:iCs w:val="0"/>
          <w:snapToGrid w:val="0"/>
          <w:kern w:val="22"/>
          <w:szCs w:val="22"/>
          <w:lang w:val="es-ES"/>
        </w:rPr>
        <w:t xml:space="preserve">C. </w:t>
      </w:r>
      <w:r w:rsidRPr="004F535E">
        <w:rPr>
          <w:iCs w:val="0"/>
          <w:snapToGrid w:val="0"/>
          <w:kern w:val="22"/>
          <w:szCs w:val="22"/>
          <w:lang w:val="es-ES"/>
        </w:rPr>
        <w:tab/>
        <w:t xml:space="preserve">Avance </w:t>
      </w:r>
      <w:r w:rsidR="003003DE" w:rsidRPr="004F535E">
        <w:rPr>
          <w:iCs w:val="0"/>
          <w:snapToGrid w:val="0"/>
          <w:kern w:val="22"/>
          <w:szCs w:val="22"/>
          <w:lang w:val="es-ES"/>
        </w:rPr>
        <w:t xml:space="preserve">en </w:t>
      </w:r>
      <w:r w:rsidRPr="004F535E">
        <w:rPr>
          <w:iCs w:val="0"/>
          <w:snapToGrid w:val="0"/>
          <w:kern w:val="22"/>
          <w:szCs w:val="22"/>
          <w:lang w:val="es-ES"/>
        </w:rPr>
        <w:t>la ratificación y aplicación por las Partes en el Convenio que no son Partes en el Protocolo de Nagoya</w:t>
      </w:r>
    </w:p>
    <w:p w:rsidR="00DB2F58" w:rsidRPr="004F535E" w:rsidRDefault="00383510"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Además de las Partes en el Convenio que ratificaron el Protocolo, </w:t>
      </w:r>
      <w:r w:rsidR="003003DE" w:rsidRPr="004F535E">
        <w:rPr>
          <w:kern w:val="22"/>
          <w:szCs w:val="22"/>
          <w:lang w:val="es-ES"/>
        </w:rPr>
        <w:t>varias</w:t>
      </w:r>
      <w:r w:rsidRPr="004F535E">
        <w:rPr>
          <w:kern w:val="22"/>
          <w:szCs w:val="22"/>
          <w:lang w:val="es-ES"/>
        </w:rPr>
        <w:t xml:space="preserve"> Partes en el Convenio están trabajando en la ratificación o tienen previsto ratificarlo.</w:t>
      </w:r>
    </w:p>
    <w:p w:rsidR="00C433B7" w:rsidRPr="004F535E" w:rsidRDefault="003003DE"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C</w:t>
      </w:r>
      <w:r w:rsidR="003B322A" w:rsidRPr="004F535E">
        <w:rPr>
          <w:kern w:val="22"/>
          <w:szCs w:val="22"/>
          <w:lang w:val="es-ES"/>
        </w:rPr>
        <w:t xml:space="preserve">omo se </w:t>
      </w:r>
      <w:r w:rsidRPr="004F535E">
        <w:rPr>
          <w:kern w:val="22"/>
          <w:szCs w:val="22"/>
          <w:lang w:val="es-ES"/>
        </w:rPr>
        <w:t xml:space="preserve">puede </w:t>
      </w:r>
      <w:r w:rsidR="003B322A" w:rsidRPr="004F535E">
        <w:rPr>
          <w:kern w:val="22"/>
          <w:szCs w:val="22"/>
          <w:lang w:val="es-ES"/>
        </w:rPr>
        <w:t>aprecia</w:t>
      </w:r>
      <w:r w:rsidRPr="004F535E">
        <w:rPr>
          <w:kern w:val="22"/>
          <w:szCs w:val="22"/>
          <w:lang w:val="es-ES"/>
        </w:rPr>
        <w:t>r</w:t>
      </w:r>
      <w:r w:rsidR="003B322A" w:rsidRPr="004F535E">
        <w:rPr>
          <w:kern w:val="22"/>
          <w:szCs w:val="22"/>
          <w:lang w:val="es-ES"/>
        </w:rPr>
        <w:t xml:space="preserve"> </w:t>
      </w:r>
      <w:r w:rsidR="005D6E76" w:rsidRPr="004F535E">
        <w:rPr>
          <w:kern w:val="22"/>
          <w:szCs w:val="22"/>
          <w:lang w:val="es-ES"/>
        </w:rPr>
        <w:t xml:space="preserve">a continuación </w:t>
      </w:r>
      <w:r w:rsidR="003B322A" w:rsidRPr="004F535E">
        <w:rPr>
          <w:kern w:val="22"/>
          <w:szCs w:val="22"/>
          <w:lang w:val="es-ES"/>
        </w:rPr>
        <w:t xml:space="preserve">en la gráfica A y con base en la información suministrada por medio de los informes nacionales </w:t>
      </w:r>
      <w:r w:rsidR="00A60AFF" w:rsidRPr="004F535E">
        <w:rPr>
          <w:kern w:val="22"/>
          <w:szCs w:val="22"/>
          <w:lang w:val="es-ES"/>
        </w:rPr>
        <w:t xml:space="preserve">presentados </w:t>
      </w:r>
      <w:r w:rsidR="003B322A" w:rsidRPr="004F535E">
        <w:rPr>
          <w:kern w:val="22"/>
          <w:szCs w:val="22"/>
          <w:lang w:val="es-ES"/>
        </w:rPr>
        <w:t xml:space="preserve">con arreglo al Convenio, </w:t>
      </w:r>
      <w:r w:rsidR="00A60AFF" w:rsidRPr="004F535E">
        <w:rPr>
          <w:kern w:val="22"/>
          <w:szCs w:val="22"/>
          <w:lang w:val="es-ES"/>
        </w:rPr>
        <w:t xml:space="preserve">las </w:t>
      </w:r>
      <w:r w:rsidR="003B322A" w:rsidRPr="004F535E">
        <w:rPr>
          <w:kern w:val="22"/>
          <w:szCs w:val="22"/>
          <w:lang w:val="es-ES"/>
        </w:rPr>
        <w:t xml:space="preserve">EPANB, </w:t>
      </w:r>
      <w:r w:rsidR="00A60AFF" w:rsidRPr="004F535E">
        <w:rPr>
          <w:kern w:val="22"/>
          <w:szCs w:val="22"/>
          <w:lang w:val="es-ES"/>
        </w:rPr>
        <w:t xml:space="preserve">los </w:t>
      </w:r>
      <w:r w:rsidR="003B322A" w:rsidRPr="004F535E">
        <w:rPr>
          <w:kern w:val="22"/>
          <w:szCs w:val="22"/>
          <w:lang w:val="es-ES"/>
        </w:rPr>
        <w:t xml:space="preserve">informes nacionales provisionales sobre la aplicación del Protocolo de Nagoya, el Centro de Intercambio de Información sobre APB y los proyectos de creación de capacidad relacionados con APB, </w:t>
      </w:r>
      <w:r w:rsidR="00A60AFF" w:rsidRPr="004F535E">
        <w:rPr>
          <w:kern w:val="22"/>
          <w:szCs w:val="22"/>
          <w:lang w:val="es-ES"/>
        </w:rPr>
        <w:t xml:space="preserve">34 Partes en el Convenio están en </w:t>
      </w:r>
      <w:r w:rsidR="003B322A" w:rsidRPr="004F535E">
        <w:rPr>
          <w:kern w:val="22"/>
          <w:szCs w:val="22"/>
          <w:lang w:val="es-ES"/>
        </w:rPr>
        <w:t xml:space="preserve">proceso de ratificación y existen indicios de que </w:t>
      </w:r>
      <w:r w:rsidR="00A60AFF" w:rsidRPr="004F535E">
        <w:rPr>
          <w:kern w:val="22"/>
          <w:szCs w:val="22"/>
          <w:lang w:val="es-ES"/>
        </w:rPr>
        <w:t xml:space="preserve">otras </w:t>
      </w:r>
      <w:r w:rsidR="003B322A" w:rsidRPr="004F535E">
        <w:rPr>
          <w:kern w:val="22"/>
          <w:szCs w:val="22"/>
          <w:lang w:val="es-ES"/>
        </w:rPr>
        <w:t>34 Partes tienen previsto ratificar el Protocolo. Solo 23 Partes en el Convenio no han dado señales de su intención de ratificar el Protocolo.</w:t>
      </w:r>
    </w:p>
    <w:p w:rsidR="006861A0" w:rsidRPr="004F535E" w:rsidRDefault="00353291" w:rsidP="007F5430">
      <w:pPr>
        <w:pStyle w:val="Para1"/>
        <w:tabs>
          <w:tab w:val="clear" w:pos="360"/>
        </w:tabs>
        <w:rPr>
          <w:szCs w:val="22"/>
          <w:lang w:val="es-ES"/>
        </w:rPr>
      </w:pPr>
      <w:r w:rsidRPr="004F535E">
        <w:rPr>
          <w:szCs w:val="22"/>
          <w:lang w:val="es-ES"/>
        </w:rPr>
        <w:t xml:space="preserve">En </w:t>
      </w:r>
      <w:r w:rsidR="00A60AFF" w:rsidRPr="004F535E">
        <w:rPr>
          <w:szCs w:val="22"/>
          <w:lang w:val="es-ES"/>
        </w:rPr>
        <w:t>resumen</w:t>
      </w:r>
      <w:r w:rsidRPr="004F535E">
        <w:rPr>
          <w:szCs w:val="22"/>
          <w:lang w:val="es-ES"/>
        </w:rPr>
        <w:t xml:space="preserve">, la </w:t>
      </w:r>
      <w:r w:rsidRPr="004F535E">
        <w:rPr>
          <w:kern w:val="22"/>
          <w:szCs w:val="22"/>
          <w:lang w:val="es-ES"/>
        </w:rPr>
        <w:t xml:space="preserve">información </w:t>
      </w:r>
      <w:r w:rsidRPr="004F535E">
        <w:rPr>
          <w:szCs w:val="22"/>
          <w:lang w:val="es-ES"/>
        </w:rPr>
        <w:t>disponible indica que la mayoría de las Partes en el Convenio que todavía no ratificaron el Protocolo están trabajando en ello o tienen previsto hacerlo.</w:t>
      </w:r>
    </w:p>
    <w:p w:rsidR="00012364" w:rsidRPr="004F535E" w:rsidRDefault="00012364" w:rsidP="00AF37BE">
      <w:pPr>
        <w:pStyle w:val="Para1"/>
        <w:numPr>
          <w:ilvl w:val="0"/>
          <w:numId w:val="0"/>
        </w:numPr>
        <w:suppressLineNumbers/>
        <w:suppressAutoHyphens/>
        <w:kinsoku w:val="0"/>
        <w:overflowPunct w:val="0"/>
        <w:autoSpaceDE w:val="0"/>
        <w:autoSpaceDN w:val="0"/>
        <w:adjustRightInd w:val="0"/>
        <w:snapToGrid w:val="0"/>
        <w:jc w:val="center"/>
        <w:rPr>
          <w:b/>
          <w:kern w:val="22"/>
          <w:szCs w:val="22"/>
          <w:lang w:val="es-ES"/>
        </w:rPr>
      </w:pPr>
      <w:r w:rsidRPr="004F535E">
        <w:rPr>
          <w:b/>
          <w:bCs/>
          <w:kern w:val="22"/>
          <w:szCs w:val="22"/>
          <w:lang w:val="es-ES"/>
        </w:rPr>
        <w:t>Gráfica A. Estado de las ratificaciones</w:t>
      </w:r>
    </w:p>
    <w:p w:rsidR="00020B29" w:rsidRPr="004F535E" w:rsidRDefault="006C3635" w:rsidP="00AF37BE">
      <w:pPr>
        <w:pStyle w:val="Para1"/>
        <w:numPr>
          <w:ilvl w:val="0"/>
          <w:numId w:val="0"/>
        </w:numPr>
        <w:suppressLineNumbers/>
        <w:suppressAutoHyphens/>
        <w:kinsoku w:val="0"/>
        <w:overflowPunct w:val="0"/>
        <w:autoSpaceDE w:val="0"/>
        <w:autoSpaceDN w:val="0"/>
        <w:adjustRightInd w:val="0"/>
        <w:snapToGrid w:val="0"/>
        <w:jc w:val="center"/>
        <w:rPr>
          <w:kern w:val="22"/>
          <w:szCs w:val="22"/>
          <w:lang w:val="es-ES"/>
        </w:rPr>
      </w:pPr>
      <w:r w:rsidRPr="004F535E">
        <w:rPr>
          <w:noProof/>
          <w:kern w:val="22"/>
          <w:szCs w:val="22"/>
          <w:lang w:val="es-UY" w:eastAsia="es-UY"/>
        </w:rPr>
        <w:drawing>
          <wp:inline distT="0" distB="0" distL="0" distR="0">
            <wp:extent cx="4114800" cy="24955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2364" w:rsidRPr="004F535E" w:rsidRDefault="00012364" w:rsidP="00AF37BE">
      <w:pPr>
        <w:pStyle w:val="Para1"/>
        <w:numPr>
          <w:ilvl w:val="0"/>
          <w:numId w:val="0"/>
        </w:numPr>
        <w:suppressLineNumbers/>
        <w:suppressAutoHyphens/>
        <w:kinsoku w:val="0"/>
        <w:overflowPunct w:val="0"/>
        <w:autoSpaceDE w:val="0"/>
        <w:autoSpaceDN w:val="0"/>
        <w:adjustRightInd w:val="0"/>
        <w:snapToGrid w:val="0"/>
        <w:jc w:val="center"/>
        <w:rPr>
          <w:b/>
          <w:kern w:val="22"/>
          <w:szCs w:val="22"/>
          <w:lang w:val="es-ES"/>
        </w:rPr>
      </w:pPr>
      <w:r w:rsidRPr="004F535E">
        <w:rPr>
          <w:b/>
          <w:bCs/>
          <w:kern w:val="22"/>
          <w:szCs w:val="22"/>
          <w:lang w:val="es-ES"/>
        </w:rPr>
        <w:lastRenderedPageBreak/>
        <w:t>Gráfica B. Estado de las ratificaciones por región</w:t>
      </w:r>
    </w:p>
    <w:p w:rsidR="00020B29" w:rsidRPr="004F535E" w:rsidRDefault="0000533E" w:rsidP="00AF37BE">
      <w:pPr>
        <w:pStyle w:val="Para1"/>
        <w:numPr>
          <w:ilvl w:val="0"/>
          <w:numId w:val="0"/>
        </w:numPr>
        <w:suppressLineNumbers/>
        <w:suppressAutoHyphens/>
        <w:kinsoku w:val="0"/>
        <w:overflowPunct w:val="0"/>
        <w:autoSpaceDE w:val="0"/>
        <w:autoSpaceDN w:val="0"/>
        <w:adjustRightInd w:val="0"/>
        <w:snapToGrid w:val="0"/>
        <w:jc w:val="center"/>
        <w:rPr>
          <w:kern w:val="22"/>
          <w:szCs w:val="22"/>
          <w:lang w:val="es-ES"/>
        </w:rPr>
      </w:pPr>
      <w:r w:rsidRPr="004F535E">
        <w:rPr>
          <w:noProof/>
          <w:kern w:val="22"/>
          <w:szCs w:val="22"/>
          <w:lang w:val="es-UY" w:eastAsia="es-UY"/>
        </w:rPr>
        <w:drawing>
          <wp:inline distT="0" distB="0" distL="0" distR="0">
            <wp:extent cx="4029075" cy="26574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4F535E">
        <w:rPr>
          <w:kern w:val="22"/>
          <w:szCs w:val="22"/>
          <w:lang w:val="es-ES"/>
        </w:rPr>
        <w:t xml:space="preserve"> </w:t>
      </w:r>
    </w:p>
    <w:p w:rsidR="0065770C" w:rsidRPr="004F535E" w:rsidRDefault="00306099" w:rsidP="007F5430">
      <w:pPr>
        <w:pStyle w:val="Para1"/>
        <w:keepLines/>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Asimismo, como se </w:t>
      </w:r>
      <w:r w:rsidR="00155BA7" w:rsidRPr="004F535E">
        <w:rPr>
          <w:kern w:val="22"/>
          <w:szCs w:val="22"/>
          <w:lang w:val="es-ES"/>
        </w:rPr>
        <w:t xml:space="preserve">puede </w:t>
      </w:r>
      <w:r w:rsidRPr="004F535E">
        <w:rPr>
          <w:kern w:val="22"/>
          <w:szCs w:val="22"/>
          <w:lang w:val="es-ES"/>
        </w:rPr>
        <w:t>aprecia</w:t>
      </w:r>
      <w:r w:rsidR="00155BA7" w:rsidRPr="004F535E">
        <w:rPr>
          <w:kern w:val="22"/>
          <w:szCs w:val="22"/>
          <w:lang w:val="es-ES"/>
        </w:rPr>
        <w:t>r</w:t>
      </w:r>
      <w:r w:rsidRPr="004F535E">
        <w:rPr>
          <w:kern w:val="22"/>
          <w:szCs w:val="22"/>
          <w:lang w:val="es-ES"/>
        </w:rPr>
        <w:t xml:space="preserve"> en la gráfica B de ratificaciones por región, existe un apoyo general al Protocolo de Nagoya en todas las regiones. No obstante, el avance en la ratificación es más lento en algunas </w:t>
      </w:r>
      <w:r w:rsidR="00155BA7" w:rsidRPr="004F535E">
        <w:rPr>
          <w:kern w:val="22"/>
          <w:szCs w:val="22"/>
          <w:lang w:val="es-ES"/>
        </w:rPr>
        <w:t xml:space="preserve">regiones </w:t>
      </w:r>
      <w:r w:rsidRPr="004F535E">
        <w:rPr>
          <w:kern w:val="22"/>
          <w:szCs w:val="22"/>
          <w:lang w:val="es-ES"/>
        </w:rPr>
        <w:t xml:space="preserve">que en otras. El </w:t>
      </w:r>
      <w:r w:rsidR="00155BA7" w:rsidRPr="004F535E">
        <w:rPr>
          <w:kern w:val="22"/>
          <w:szCs w:val="22"/>
          <w:lang w:val="es-ES"/>
        </w:rPr>
        <w:t xml:space="preserve">limitado </w:t>
      </w:r>
      <w:r w:rsidRPr="004F535E">
        <w:rPr>
          <w:kern w:val="22"/>
          <w:szCs w:val="22"/>
          <w:lang w:val="es-ES"/>
        </w:rPr>
        <w:t xml:space="preserve">avance </w:t>
      </w:r>
      <w:r w:rsidR="00155BA7" w:rsidRPr="004F535E">
        <w:rPr>
          <w:kern w:val="22"/>
          <w:szCs w:val="22"/>
          <w:lang w:val="es-ES"/>
        </w:rPr>
        <w:t>de</w:t>
      </w:r>
      <w:r w:rsidR="000C3D80">
        <w:rPr>
          <w:kern w:val="22"/>
          <w:szCs w:val="22"/>
          <w:lang w:val="es-ES"/>
        </w:rPr>
        <w:t xml:space="preserve"> los</w:t>
      </w:r>
      <w:r w:rsidR="00155BA7" w:rsidRPr="004F535E">
        <w:rPr>
          <w:kern w:val="22"/>
          <w:szCs w:val="22"/>
          <w:lang w:val="es-ES"/>
        </w:rPr>
        <w:t xml:space="preserve"> </w:t>
      </w:r>
      <w:r w:rsidRPr="004F535E">
        <w:rPr>
          <w:kern w:val="22"/>
          <w:szCs w:val="22"/>
          <w:lang w:val="es-ES"/>
        </w:rPr>
        <w:t xml:space="preserve">países </w:t>
      </w:r>
      <w:r w:rsidR="00155BA7" w:rsidRPr="004F535E">
        <w:rPr>
          <w:kern w:val="22"/>
          <w:szCs w:val="22"/>
          <w:lang w:val="es-ES"/>
        </w:rPr>
        <w:t xml:space="preserve">de ciertas </w:t>
      </w:r>
      <w:r w:rsidRPr="004F535E">
        <w:rPr>
          <w:kern w:val="22"/>
          <w:szCs w:val="22"/>
          <w:lang w:val="es-ES"/>
        </w:rPr>
        <w:t xml:space="preserve">regiones puede </w:t>
      </w:r>
      <w:r w:rsidR="00155BA7" w:rsidRPr="004F535E">
        <w:rPr>
          <w:kern w:val="22"/>
          <w:szCs w:val="22"/>
          <w:lang w:val="es-ES"/>
        </w:rPr>
        <w:t>deberse a</w:t>
      </w:r>
      <w:r w:rsidRPr="004F535E">
        <w:rPr>
          <w:kern w:val="22"/>
          <w:szCs w:val="22"/>
          <w:lang w:val="es-ES"/>
        </w:rPr>
        <w:t xml:space="preserve"> </w:t>
      </w:r>
      <w:r w:rsidR="000C3D80">
        <w:rPr>
          <w:kern w:val="22"/>
          <w:szCs w:val="22"/>
          <w:lang w:val="es-ES"/>
        </w:rPr>
        <w:t>diversos</w:t>
      </w:r>
      <w:r w:rsidR="00155BA7" w:rsidRPr="004F535E">
        <w:rPr>
          <w:kern w:val="22"/>
          <w:szCs w:val="22"/>
          <w:lang w:val="es-ES"/>
        </w:rPr>
        <w:t xml:space="preserve"> factores</w:t>
      </w:r>
      <w:r w:rsidRPr="004F535E">
        <w:rPr>
          <w:kern w:val="22"/>
          <w:szCs w:val="22"/>
          <w:lang w:val="es-ES"/>
        </w:rPr>
        <w:t xml:space="preserve">. En particular, el proceso de consulta requerido por muchos países en forma previa a la ratificación puede ser prolongado y delicado desde el punto de vista político, tomando en consideración la naturaleza intersectorial de las cuestiones del acceso y la participación en los beneficios, que competen a distintos ministerios (por ejemplo, medio ambiente, agricultura, investigación, comercio), a los pueblos indígenas y </w:t>
      </w:r>
      <w:r w:rsidR="00155BA7" w:rsidRPr="004F535E">
        <w:rPr>
          <w:kern w:val="22"/>
          <w:szCs w:val="22"/>
          <w:lang w:val="es-ES"/>
        </w:rPr>
        <w:t xml:space="preserve">las </w:t>
      </w:r>
      <w:r w:rsidRPr="004F535E">
        <w:rPr>
          <w:kern w:val="22"/>
          <w:szCs w:val="22"/>
          <w:lang w:val="es-ES"/>
        </w:rPr>
        <w:t xml:space="preserve">comunidades locales y a varios interesados directos (como </w:t>
      </w:r>
      <w:r w:rsidR="00155BA7" w:rsidRPr="004F535E">
        <w:rPr>
          <w:kern w:val="22"/>
          <w:szCs w:val="22"/>
          <w:lang w:val="es-ES"/>
        </w:rPr>
        <w:t>el sector empresarial</w:t>
      </w:r>
      <w:r w:rsidRPr="004F535E">
        <w:rPr>
          <w:kern w:val="22"/>
          <w:szCs w:val="22"/>
          <w:lang w:val="es-ES"/>
        </w:rPr>
        <w:t xml:space="preserve"> y </w:t>
      </w:r>
      <w:r w:rsidR="00155BA7" w:rsidRPr="004F535E">
        <w:rPr>
          <w:kern w:val="22"/>
          <w:szCs w:val="22"/>
          <w:lang w:val="es-ES"/>
        </w:rPr>
        <w:t xml:space="preserve">la </w:t>
      </w:r>
      <w:r w:rsidRPr="004F535E">
        <w:rPr>
          <w:kern w:val="22"/>
          <w:szCs w:val="22"/>
          <w:lang w:val="es-ES"/>
        </w:rPr>
        <w:t xml:space="preserve">comunidad científica). Asimismo, antes de la ratificación, en </w:t>
      </w:r>
      <w:r w:rsidR="00721DA2" w:rsidRPr="004F535E">
        <w:rPr>
          <w:kern w:val="22"/>
          <w:szCs w:val="22"/>
          <w:lang w:val="es-ES"/>
        </w:rPr>
        <w:t>varios</w:t>
      </w:r>
      <w:r w:rsidRPr="004F535E">
        <w:rPr>
          <w:kern w:val="22"/>
          <w:szCs w:val="22"/>
          <w:lang w:val="es-ES"/>
        </w:rPr>
        <w:t xml:space="preserve"> países se requiere la adopción de medidas nacionales para la aplicación.</w:t>
      </w:r>
    </w:p>
    <w:p w:rsidR="00D41040" w:rsidRPr="004F535E" w:rsidRDefault="00D41040"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Puesto que muchos países deben adoptar medidas para </w:t>
      </w:r>
      <w:r w:rsidR="00721DA2" w:rsidRPr="004F535E">
        <w:rPr>
          <w:kern w:val="22"/>
          <w:szCs w:val="22"/>
          <w:lang w:val="es-ES"/>
        </w:rPr>
        <w:t xml:space="preserve">aplicar </w:t>
      </w:r>
      <w:r w:rsidRPr="004F535E">
        <w:rPr>
          <w:kern w:val="22"/>
          <w:szCs w:val="22"/>
          <w:lang w:val="es-ES"/>
        </w:rPr>
        <w:t xml:space="preserve">el Protocolo antes de su ratificación, </w:t>
      </w:r>
      <w:r w:rsidR="00721DA2" w:rsidRPr="004F535E">
        <w:rPr>
          <w:kern w:val="22"/>
          <w:szCs w:val="22"/>
          <w:lang w:val="es-ES"/>
        </w:rPr>
        <w:t>varias</w:t>
      </w:r>
      <w:r w:rsidRPr="004F535E">
        <w:rPr>
          <w:kern w:val="22"/>
          <w:szCs w:val="22"/>
          <w:lang w:val="es-ES"/>
        </w:rPr>
        <w:t xml:space="preserve"> Partes en el Convenio que están trabajando en la ratificación también están adoptando medidas para aplicar el Protocolo y han suministrado información sobre los procesos nacionales relacionados con la aplicación del acceso y la participación en los beneficios, como el establecimiento de estructuras institucionales o la formulación o revisión de medidas </w:t>
      </w:r>
      <w:r w:rsidR="001F5FC1">
        <w:rPr>
          <w:kern w:val="22"/>
          <w:szCs w:val="22"/>
          <w:lang w:val="es-ES"/>
        </w:rPr>
        <w:t>sobre</w:t>
      </w:r>
      <w:r w:rsidRPr="004F535E">
        <w:rPr>
          <w:kern w:val="22"/>
          <w:szCs w:val="22"/>
          <w:lang w:val="es-ES"/>
        </w:rPr>
        <w:t xml:space="preserve"> APB por medio de informes nacionales </w:t>
      </w:r>
      <w:r w:rsidR="00721DA2" w:rsidRPr="004F535E">
        <w:rPr>
          <w:kern w:val="22"/>
          <w:szCs w:val="22"/>
          <w:lang w:val="es-ES"/>
        </w:rPr>
        <w:t>presentados</w:t>
      </w:r>
      <w:r w:rsidRPr="004F535E">
        <w:rPr>
          <w:kern w:val="22"/>
          <w:szCs w:val="22"/>
          <w:lang w:val="es-ES"/>
        </w:rPr>
        <w:t xml:space="preserve"> </w:t>
      </w:r>
      <w:r w:rsidR="00721DA2" w:rsidRPr="004F535E">
        <w:rPr>
          <w:kern w:val="22"/>
          <w:szCs w:val="22"/>
          <w:lang w:val="es-ES"/>
        </w:rPr>
        <w:t xml:space="preserve">en virtud del </w:t>
      </w:r>
      <w:r w:rsidRPr="004F535E">
        <w:rPr>
          <w:kern w:val="22"/>
          <w:szCs w:val="22"/>
          <w:lang w:val="es-ES"/>
        </w:rPr>
        <w:t>Convenio, las EPANB, los informes nacionales provisionales sobre la aplicación del Protocolo de Nagoya o el Centro de Intercambio de Información sobre APB.</w:t>
      </w:r>
    </w:p>
    <w:p w:rsidR="00306099" w:rsidRPr="004F535E" w:rsidRDefault="00306099"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Además, un conjunto de Partes en el Convenio ya ha</w:t>
      </w:r>
      <w:r w:rsidR="00371A5A">
        <w:rPr>
          <w:kern w:val="22"/>
          <w:szCs w:val="22"/>
          <w:lang w:val="es-ES"/>
        </w:rPr>
        <w:t>bía</w:t>
      </w:r>
      <w:r w:rsidRPr="004F535E">
        <w:rPr>
          <w:kern w:val="22"/>
          <w:szCs w:val="22"/>
          <w:lang w:val="es-ES"/>
        </w:rPr>
        <w:t xml:space="preserve">n implementado medidas </w:t>
      </w:r>
      <w:r w:rsidR="001F5FC1">
        <w:rPr>
          <w:kern w:val="22"/>
          <w:szCs w:val="22"/>
          <w:lang w:val="es-ES"/>
        </w:rPr>
        <w:t>sobre</w:t>
      </w:r>
      <w:r w:rsidRPr="004F535E">
        <w:rPr>
          <w:kern w:val="22"/>
          <w:szCs w:val="22"/>
          <w:lang w:val="es-ES"/>
        </w:rPr>
        <w:t xml:space="preserve"> APB antes del Protocolo de Nagoya, de conformidad con las disposiciones </w:t>
      </w:r>
      <w:r w:rsidR="00721DA2" w:rsidRPr="004F535E">
        <w:rPr>
          <w:kern w:val="22"/>
          <w:szCs w:val="22"/>
          <w:lang w:val="es-ES"/>
        </w:rPr>
        <w:t xml:space="preserve">del Convenio </w:t>
      </w:r>
      <w:r w:rsidRPr="004F535E">
        <w:rPr>
          <w:kern w:val="22"/>
          <w:szCs w:val="22"/>
          <w:lang w:val="es-ES"/>
        </w:rPr>
        <w:t xml:space="preserve">sobre acceso y participación en los beneficios. Muchos de estos países están en vías de revisar sus medidas nacionales sobre APB a fin de cumplir con las obligaciones adicionales establecidas por el Protocolo de Nagoya, como las relacionadas con el cumplimiento y </w:t>
      </w:r>
      <w:r w:rsidR="00721DA2" w:rsidRPr="004F535E">
        <w:rPr>
          <w:kern w:val="22"/>
          <w:szCs w:val="22"/>
          <w:lang w:val="es-ES"/>
        </w:rPr>
        <w:t xml:space="preserve">la </w:t>
      </w:r>
      <w:r w:rsidRPr="004F535E">
        <w:rPr>
          <w:kern w:val="22"/>
          <w:szCs w:val="22"/>
          <w:lang w:val="es-ES"/>
        </w:rPr>
        <w:t>vigilancia de la utilización de recursos genéticos.</w:t>
      </w:r>
    </w:p>
    <w:p w:rsidR="0091673D" w:rsidRPr="004F535E" w:rsidRDefault="00D41040"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En la siguiente gráfica, se </w:t>
      </w:r>
      <w:r w:rsidR="00E154C8" w:rsidRPr="004F535E">
        <w:rPr>
          <w:kern w:val="22"/>
          <w:szCs w:val="22"/>
          <w:lang w:val="es-ES"/>
        </w:rPr>
        <w:t xml:space="preserve">brinda </w:t>
      </w:r>
      <w:r w:rsidRPr="004F535E">
        <w:rPr>
          <w:kern w:val="22"/>
          <w:szCs w:val="22"/>
          <w:lang w:val="es-ES"/>
        </w:rPr>
        <w:t>un resumen de los avances alcanzados por las Partes en el Convenio que no son aún Partes en el Protocolo con respecto a la adopción de medidas legislativas, administrativas y de políticas sobre el acceso y la participación en los beneficios.</w:t>
      </w:r>
    </w:p>
    <w:p w:rsidR="0031427C" w:rsidRPr="004F535E" w:rsidRDefault="00AD2B2A" w:rsidP="00AF37BE">
      <w:pPr>
        <w:pStyle w:val="Para1"/>
        <w:keepNext/>
        <w:numPr>
          <w:ilvl w:val="0"/>
          <w:numId w:val="0"/>
        </w:numPr>
        <w:suppressLineNumbers/>
        <w:suppressAutoHyphens/>
        <w:kinsoku w:val="0"/>
        <w:overflowPunct w:val="0"/>
        <w:autoSpaceDE w:val="0"/>
        <w:autoSpaceDN w:val="0"/>
        <w:adjustRightInd w:val="0"/>
        <w:snapToGrid w:val="0"/>
        <w:ind w:left="1080" w:hanging="1080"/>
        <w:rPr>
          <w:b/>
          <w:spacing w:val="-2"/>
          <w:kern w:val="22"/>
          <w:szCs w:val="22"/>
          <w:lang w:val="es-ES"/>
        </w:rPr>
      </w:pPr>
      <w:r w:rsidRPr="004F535E">
        <w:rPr>
          <w:b/>
          <w:bCs/>
          <w:kern w:val="22"/>
          <w:szCs w:val="22"/>
          <w:lang w:val="es-ES"/>
        </w:rPr>
        <w:lastRenderedPageBreak/>
        <w:t>Gráfica C:</w:t>
      </w:r>
      <w:r w:rsidRPr="004F535E">
        <w:rPr>
          <w:b/>
          <w:bCs/>
          <w:kern w:val="22"/>
          <w:szCs w:val="22"/>
          <w:lang w:val="es-ES"/>
        </w:rPr>
        <w:tab/>
        <w:t>Avance en la adopción de medidas legislativas, administrativas y de políticas sobre el acceso y la participación en los beneficios por las Partes en el Convenio que no son Partes en el Protocolo de Nagoya al 22 de febrero de 2018</w:t>
      </w:r>
    </w:p>
    <w:p w:rsidR="0031427C" w:rsidRPr="004F535E" w:rsidRDefault="0031427C" w:rsidP="00AF37BE">
      <w:pPr>
        <w:pStyle w:val="Para1"/>
        <w:numPr>
          <w:ilvl w:val="0"/>
          <w:numId w:val="0"/>
        </w:numPr>
        <w:suppressLineNumbers/>
        <w:suppressAutoHyphens/>
        <w:kinsoku w:val="0"/>
        <w:overflowPunct w:val="0"/>
        <w:autoSpaceDE w:val="0"/>
        <w:autoSpaceDN w:val="0"/>
        <w:adjustRightInd w:val="0"/>
        <w:snapToGrid w:val="0"/>
        <w:jc w:val="center"/>
        <w:rPr>
          <w:kern w:val="22"/>
          <w:szCs w:val="22"/>
          <w:lang w:val="es-ES"/>
        </w:rPr>
      </w:pPr>
      <w:r w:rsidRPr="004F535E">
        <w:rPr>
          <w:noProof/>
          <w:kern w:val="22"/>
          <w:szCs w:val="22"/>
          <w:lang w:val="es-UY" w:eastAsia="es-UY"/>
        </w:rPr>
        <w:drawing>
          <wp:inline distT="0" distB="0" distL="0" distR="0">
            <wp:extent cx="4162425" cy="260985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3613" w:rsidRPr="004F535E" w:rsidRDefault="006B3613"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De acuerdo con la información disponible, 30 Partes en el Convenio (33% de las Partes que no han ratificado el Protocolo) informaron haber adoptado medidas sobre APB. De ellas, 7 indicaron que estaban revisando medidas sobre APB </w:t>
      </w:r>
      <w:r w:rsidR="00105BC6" w:rsidRPr="004F535E">
        <w:rPr>
          <w:kern w:val="22"/>
          <w:szCs w:val="22"/>
          <w:lang w:val="es-ES"/>
        </w:rPr>
        <w:t xml:space="preserve">existentes </w:t>
      </w:r>
      <w:r w:rsidRPr="004F535E">
        <w:rPr>
          <w:kern w:val="22"/>
          <w:szCs w:val="22"/>
          <w:lang w:val="es-ES"/>
        </w:rPr>
        <w:t xml:space="preserve">o </w:t>
      </w:r>
      <w:r w:rsidR="00105BC6" w:rsidRPr="004F535E">
        <w:rPr>
          <w:kern w:val="22"/>
          <w:szCs w:val="22"/>
          <w:lang w:val="es-ES"/>
        </w:rPr>
        <w:t xml:space="preserve">elaborando medidas </w:t>
      </w:r>
      <w:r w:rsidRPr="004F535E">
        <w:rPr>
          <w:kern w:val="22"/>
          <w:szCs w:val="22"/>
          <w:lang w:val="es-ES"/>
        </w:rPr>
        <w:t xml:space="preserve">nuevas para aplicar el Protocolo de Nagoya, y 14 </w:t>
      </w:r>
      <w:r w:rsidR="005723DC">
        <w:rPr>
          <w:kern w:val="22"/>
          <w:szCs w:val="22"/>
          <w:lang w:val="es-ES"/>
        </w:rPr>
        <w:t>t</w:t>
      </w:r>
      <w:r w:rsidR="00105BC6" w:rsidRPr="004F535E">
        <w:rPr>
          <w:kern w:val="22"/>
          <w:szCs w:val="22"/>
          <w:lang w:val="es-ES"/>
        </w:rPr>
        <w:t>en</w:t>
      </w:r>
      <w:r w:rsidR="005723DC">
        <w:rPr>
          <w:kern w:val="22"/>
          <w:szCs w:val="22"/>
          <w:lang w:val="es-ES"/>
        </w:rPr>
        <w:t>ía</w:t>
      </w:r>
      <w:r w:rsidR="00105BC6" w:rsidRPr="004F535E">
        <w:rPr>
          <w:kern w:val="22"/>
          <w:szCs w:val="22"/>
          <w:lang w:val="es-ES"/>
        </w:rPr>
        <w:t>n previsto</w:t>
      </w:r>
      <w:r w:rsidRPr="004F535E">
        <w:rPr>
          <w:kern w:val="22"/>
          <w:szCs w:val="22"/>
          <w:lang w:val="es-ES"/>
        </w:rPr>
        <w:t xml:space="preserve"> adoptar medidas adicionales sobre APB.</w:t>
      </w:r>
    </w:p>
    <w:p w:rsidR="006B3613" w:rsidRPr="004F535E" w:rsidRDefault="006B3613"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Asimismo, de las 61 Partes en el Convenio que no han adoptado medidas sobre APB, 13 indicaron que las estaban desarrollando, 25 informaron que estaban planeando desarrollarlas y otras 23 no suministraron información al respecto.</w:t>
      </w:r>
    </w:p>
    <w:p w:rsidR="009029A0" w:rsidRPr="004F535E" w:rsidRDefault="00105BC6"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C</w:t>
      </w:r>
      <w:r w:rsidR="009E0D5C" w:rsidRPr="004F535E">
        <w:rPr>
          <w:kern w:val="22"/>
          <w:szCs w:val="22"/>
          <w:lang w:val="es-ES"/>
        </w:rPr>
        <w:t xml:space="preserve">omo se </w:t>
      </w:r>
      <w:r w:rsidRPr="004F535E">
        <w:rPr>
          <w:kern w:val="22"/>
          <w:szCs w:val="22"/>
          <w:lang w:val="es-ES"/>
        </w:rPr>
        <w:t xml:space="preserve">destacó </w:t>
      </w:r>
      <w:r w:rsidR="009E0D5C" w:rsidRPr="004F535E">
        <w:rPr>
          <w:kern w:val="22"/>
          <w:szCs w:val="22"/>
          <w:lang w:val="es-ES"/>
        </w:rPr>
        <w:t xml:space="preserve">en las decisiones </w:t>
      </w:r>
      <w:hyperlink r:id="rId21" w:history="1">
        <w:r w:rsidR="009E0D5C" w:rsidRPr="004F535E">
          <w:rPr>
            <w:rStyle w:val="Hipervnculo"/>
            <w:kern w:val="22"/>
            <w:szCs w:val="22"/>
            <w:lang w:val="es-ES"/>
          </w:rPr>
          <w:t>XIII/1</w:t>
        </w:r>
      </w:hyperlink>
      <w:r w:rsidR="009E0D5C" w:rsidRPr="004F535E">
        <w:rPr>
          <w:kern w:val="22"/>
          <w:szCs w:val="22"/>
          <w:lang w:val="es-ES"/>
        </w:rPr>
        <w:t xml:space="preserve"> y </w:t>
      </w:r>
      <w:hyperlink r:id="rId22" w:history="1">
        <w:r w:rsidR="009E0D5C" w:rsidRPr="004F535E">
          <w:rPr>
            <w:rStyle w:val="Hipervnculo"/>
            <w:kern w:val="22"/>
            <w:szCs w:val="22"/>
            <w:lang w:val="es-ES"/>
          </w:rPr>
          <w:t>NP-2/1</w:t>
        </w:r>
      </w:hyperlink>
      <w:r w:rsidR="009E0D5C" w:rsidRPr="004F535E">
        <w:rPr>
          <w:kern w:val="22"/>
          <w:szCs w:val="22"/>
          <w:lang w:val="es-ES"/>
        </w:rPr>
        <w:t xml:space="preserve"> y más recientemente en informes nacionales</w:t>
      </w:r>
      <w:r w:rsidRPr="004F535E">
        <w:rPr>
          <w:kern w:val="22"/>
          <w:szCs w:val="22"/>
          <w:lang w:val="es-ES"/>
        </w:rPr>
        <w:t xml:space="preserve"> de las Partes</w:t>
      </w:r>
      <w:r w:rsidR="009E0D5C" w:rsidRPr="004F535E">
        <w:rPr>
          <w:kern w:val="22"/>
          <w:szCs w:val="22"/>
          <w:lang w:val="es-ES"/>
        </w:rPr>
        <w:t xml:space="preserve">, se necesita más asistencia técnica, creación de capacidad y recursos financieros para apoyar la ratificación </w:t>
      </w:r>
      <w:r w:rsidRPr="004F535E">
        <w:rPr>
          <w:kern w:val="22"/>
          <w:szCs w:val="22"/>
          <w:lang w:val="es-ES"/>
        </w:rPr>
        <w:t>y aplicación</w:t>
      </w:r>
      <w:r w:rsidR="009E0D5C" w:rsidRPr="004F535E">
        <w:rPr>
          <w:kern w:val="22"/>
          <w:szCs w:val="22"/>
          <w:lang w:val="es-ES"/>
        </w:rPr>
        <w:t>.</w:t>
      </w:r>
    </w:p>
    <w:p w:rsidR="00226406" w:rsidRPr="004F535E" w:rsidRDefault="009029A0"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Además, las Partes en el Convenio que todavía no ratificaron el Protocolo de Nagoya </w:t>
      </w:r>
      <w:r w:rsidR="00105BC6" w:rsidRPr="004F535E">
        <w:rPr>
          <w:kern w:val="22"/>
          <w:szCs w:val="22"/>
          <w:lang w:val="es-ES"/>
        </w:rPr>
        <w:t xml:space="preserve">siguen teniendo </w:t>
      </w:r>
      <w:r w:rsidRPr="004F535E">
        <w:rPr>
          <w:kern w:val="22"/>
          <w:szCs w:val="22"/>
          <w:lang w:val="es-ES"/>
        </w:rPr>
        <w:t xml:space="preserve">obligaciones de APB, dado que las disposiciones pertinentes del Convenio, entre las que se encuentran las obligaciones contenidas en los </w:t>
      </w:r>
      <w:r w:rsidR="00105BC6" w:rsidRPr="004F535E">
        <w:rPr>
          <w:kern w:val="22"/>
          <w:szCs w:val="22"/>
          <w:lang w:val="es-ES"/>
        </w:rPr>
        <w:t xml:space="preserve">artículos </w:t>
      </w:r>
      <w:r w:rsidRPr="004F535E">
        <w:rPr>
          <w:kern w:val="22"/>
          <w:szCs w:val="22"/>
          <w:lang w:val="es-ES"/>
        </w:rPr>
        <w:t>15, 16</w:t>
      </w:r>
      <w:r w:rsidR="00105BC6" w:rsidRPr="004F535E">
        <w:rPr>
          <w:kern w:val="22"/>
          <w:szCs w:val="22"/>
          <w:lang w:val="es-ES"/>
        </w:rPr>
        <w:t>,</w:t>
      </w:r>
      <w:r w:rsidRPr="004F535E">
        <w:rPr>
          <w:kern w:val="22"/>
          <w:szCs w:val="22"/>
          <w:lang w:val="es-ES"/>
        </w:rPr>
        <w:t xml:space="preserve"> </w:t>
      </w:r>
      <w:r w:rsidR="00105BC6" w:rsidRPr="004F535E">
        <w:rPr>
          <w:kern w:val="22"/>
          <w:szCs w:val="22"/>
          <w:lang w:val="es-ES"/>
        </w:rPr>
        <w:t>19 </w:t>
      </w:r>
      <w:r w:rsidRPr="004F535E">
        <w:rPr>
          <w:kern w:val="22"/>
          <w:szCs w:val="22"/>
          <w:lang w:val="es-ES"/>
        </w:rPr>
        <w:t xml:space="preserve">1) y 2) y </w:t>
      </w:r>
      <w:r w:rsidR="00105BC6" w:rsidRPr="004F535E">
        <w:rPr>
          <w:kern w:val="22"/>
          <w:szCs w:val="22"/>
          <w:lang w:val="es-ES"/>
        </w:rPr>
        <w:t>8 </w:t>
      </w:r>
      <w:r w:rsidRPr="004F535E">
        <w:rPr>
          <w:kern w:val="22"/>
          <w:szCs w:val="22"/>
          <w:lang w:val="es-ES"/>
        </w:rPr>
        <w:t>j), siguen vigentes.</w:t>
      </w:r>
    </w:p>
    <w:p w:rsidR="0036390F" w:rsidRPr="004F535E" w:rsidRDefault="0036390F" w:rsidP="00AF37BE">
      <w:pPr>
        <w:pStyle w:val="Ttulo1"/>
        <w:numPr>
          <w:ilvl w:val="0"/>
          <w:numId w:val="20"/>
        </w:numPr>
        <w:suppressLineNumbers/>
        <w:suppressAutoHyphens/>
        <w:kinsoku w:val="0"/>
        <w:overflowPunct w:val="0"/>
        <w:autoSpaceDE w:val="0"/>
        <w:autoSpaceDN w:val="0"/>
        <w:adjustRightInd w:val="0"/>
        <w:snapToGrid w:val="0"/>
        <w:spacing w:before="120"/>
        <w:rPr>
          <w:bCs/>
          <w:snapToGrid w:val="0"/>
          <w:kern w:val="22"/>
          <w:szCs w:val="22"/>
          <w:lang w:val="es-ES"/>
        </w:rPr>
      </w:pPr>
      <w:r w:rsidRPr="004F535E">
        <w:rPr>
          <w:bCs/>
          <w:snapToGrid w:val="0"/>
          <w:kern w:val="22"/>
          <w:szCs w:val="22"/>
          <w:lang w:val="es-ES"/>
        </w:rPr>
        <w:t>Integración del acceso y la participación en los beneficios en todo el marco del Convenio</w:t>
      </w:r>
    </w:p>
    <w:p w:rsidR="00B561EC" w:rsidRPr="004F535E" w:rsidRDefault="0036390F"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El acceso y la participación en los beneficios sigue considerándose, en gran medida, como una cuestión independiente </w:t>
      </w:r>
      <w:r w:rsidR="00105BC6" w:rsidRPr="004F535E">
        <w:rPr>
          <w:kern w:val="22"/>
          <w:szCs w:val="22"/>
          <w:lang w:val="es-ES"/>
        </w:rPr>
        <w:t>en el</w:t>
      </w:r>
      <w:r w:rsidRPr="004F535E">
        <w:rPr>
          <w:kern w:val="22"/>
          <w:szCs w:val="22"/>
          <w:lang w:val="es-ES"/>
        </w:rPr>
        <w:t xml:space="preserve"> </w:t>
      </w:r>
      <w:r w:rsidR="00105BC6" w:rsidRPr="004F535E">
        <w:rPr>
          <w:kern w:val="22"/>
          <w:szCs w:val="22"/>
          <w:lang w:val="es-ES"/>
        </w:rPr>
        <w:t>marco d</w:t>
      </w:r>
      <w:r w:rsidRPr="004F535E">
        <w:rPr>
          <w:kern w:val="22"/>
          <w:szCs w:val="22"/>
          <w:lang w:val="es-ES"/>
        </w:rPr>
        <w:t xml:space="preserve">el Convenio y el Protocolo de Nagoya. Sin embargo, </w:t>
      </w:r>
      <w:r w:rsidR="005E337A" w:rsidRPr="004F535E">
        <w:rPr>
          <w:kern w:val="22"/>
          <w:szCs w:val="22"/>
          <w:lang w:val="es-ES"/>
        </w:rPr>
        <w:t>el Protocolo de Nagoya</w:t>
      </w:r>
      <w:r w:rsidRPr="004F535E">
        <w:rPr>
          <w:kern w:val="22"/>
          <w:szCs w:val="22"/>
          <w:lang w:val="es-ES"/>
        </w:rPr>
        <w:t xml:space="preserve"> hace hincapié en que </w:t>
      </w:r>
      <w:r w:rsidR="005E337A" w:rsidRPr="004F535E">
        <w:rPr>
          <w:kern w:val="22"/>
          <w:szCs w:val="22"/>
          <w:lang w:val="es-ES"/>
        </w:rPr>
        <w:t>participar</w:t>
      </w:r>
      <w:r w:rsidRPr="004F535E">
        <w:rPr>
          <w:kern w:val="22"/>
          <w:szCs w:val="22"/>
          <w:lang w:val="es-ES"/>
        </w:rPr>
        <w:t xml:space="preserve"> en los beneficios </w:t>
      </w:r>
      <w:r w:rsidR="005E337A" w:rsidRPr="004F535E">
        <w:rPr>
          <w:kern w:val="22"/>
          <w:szCs w:val="22"/>
          <w:lang w:val="es-ES"/>
        </w:rPr>
        <w:t>es</w:t>
      </w:r>
      <w:r w:rsidRPr="004F535E">
        <w:rPr>
          <w:kern w:val="22"/>
          <w:szCs w:val="22"/>
          <w:lang w:val="es-ES"/>
        </w:rPr>
        <w:t xml:space="preserve"> contribuir a la conservación de la diversidad biológica y </w:t>
      </w:r>
      <w:r w:rsidR="005E337A" w:rsidRPr="004F535E">
        <w:rPr>
          <w:kern w:val="22"/>
          <w:szCs w:val="22"/>
          <w:lang w:val="es-ES"/>
        </w:rPr>
        <w:t xml:space="preserve">la </w:t>
      </w:r>
      <w:r w:rsidRPr="004F535E">
        <w:rPr>
          <w:kern w:val="22"/>
          <w:szCs w:val="22"/>
          <w:lang w:val="es-ES"/>
        </w:rPr>
        <w:t>utilización sostenible de sus componentes</w:t>
      </w:r>
      <w:r w:rsidRPr="004F535E">
        <w:rPr>
          <w:rStyle w:val="Refdenotaalpie"/>
          <w:kern w:val="22"/>
          <w:szCs w:val="22"/>
          <w:lang w:val="es-ES"/>
        </w:rPr>
        <w:footnoteReference w:id="6"/>
      </w:r>
      <w:r w:rsidR="00172C3E" w:rsidRPr="004F535E">
        <w:rPr>
          <w:kern w:val="22"/>
          <w:szCs w:val="22"/>
          <w:lang w:val="es-ES"/>
        </w:rPr>
        <w:t>.</w:t>
      </w:r>
    </w:p>
    <w:p w:rsidR="0015012D" w:rsidRPr="004F535E" w:rsidRDefault="00B561EC"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Dada la naturaleza intersectorial del Protocolo y a fin de apoyar su </w:t>
      </w:r>
      <w:r w:rsidR="005E337A" w:rsidRPr="004F535E">
        <w:rPr>
          <w:kern w:val="22"/>
          <w:szCs w:val="22"/>
          <w:lang w:val="es-ES"/>
        </w:rPr>
        <w:t xml:space="preserve">aplicación </w:t>
      </w:r>
      <w:r w:rsidRPr="004F535E">
        <w:rPr>
          <w:kern w:val="22"/>
          <w:szCs w:val="22"/>
          <w:lang w:val="es-ES"/>
        </w:rPr>
        <w:t xml:space="preserve">plena a nivel nacional, los representantes </w:t>
      </w:r>
      <w:r w:rsidR="005E337A" w:rsidRPr="004F535E">
        <w:rPr>
          <w:kern w:val="22"/>
          <w:szCs w:val="22"/>
          <w:lang w:val="es-ES"/>
        </w:rPr>
        <w:t>gubernamentales</w:t>
      </w:r>
      <w:r w:rsidRPr="004F535E">
        <w:rPr>
          <w:kern w:val="22"/>
          <w:szCs w:val="22"/>
          <w:lang w:val="es-ES"/>
        </w:rPr>
        <w:t xml:space="preserve"> y los interesados directos pertinentes que intervienen en la gestión o utilización de los recursos naturales en diferentes áreas (por ejemplo, bosques, áreas marinas y áreas protegidas) deberían considerar y tomar en cuenta el acceso a los recursos genéticos y conocimientos tradicionales asociados y la participación justa y equitativa en los beneficios derivados de su utilización como parte de un </w:t>
      </w:r>
      <w:r w:rsidR="00643BD9" w:rsidRPr="004F535E">
        <w:rPr>
          <w:kern w:val="22"/>
          <w:szCs w:val="22"/>
          <w:lang w:val="es-ES"/>
        </w:rPr>
        <w:t xml:space="preserve">enfoque </w:t>
      </w:r>
      <w:r w:rsidRPr="004F535E">
        <w:rPr>
          <w:kern w:val="22"/>
          <w:szCs w:val="22"/>
          <w:lang w:val="es-ES"/>
        </w:rPr>
        <w:t xml:space="preserve">de gestión </w:t>
      </w:r>
      <w:r w:rsidR="00643BD9" w:rsidRPr="004F535E">
        <w:rPr>
          <w:kern w:val="22"/>
          <w:szCs w:val="22"/>
          <w:lang w:val="es-ES"/>
        </w:rPr>
        <w:t xml:space="preserve">integrada </w:t>
      </w:r>
      <w:r w:rsidRPr="004F535E">
        <w:rPr>
          <w:kern w:val="22"/>
          <w:szCs w:val="22"/>
          <w:lang w:val="es-ES"/>
        </w:rPr>
        <w:t>que pueda contribuir a la conservación y utilización sostenible.</w:t>
      </w:r>
    </w:p>
    <w:p w:rsidR="00365E9D" w:rsidRPr="004F535E" w:rsidRDefault="0036390F"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lastRenderedPageBreak/>
        <w:t xml:space="preserve">En este contexto, la integración de las cuestiones relacionadas con APB en todo el ámbito del Convenio podría respaldar en mayor grado la </w:t>
      </w:r>
      <w:r w:rsidR="00643BD9" w:rsidRPr="004F535E">
        <w:rPr>
          <w:kern w:val="22"/>
          <w:szCs w:val="22"/>
          <w:lang w:val="es-ES"/>
        </w:rPr>
        <w:t xml:space="preserve">aplicación </w:t>
      </w:r>
      <w:r w:rsidRPr="004F535E">
        <w:rPr>
          <w:kern w:val="22"/>
          <w:szCs w:val="22"/>
          <w:lang w:val="es-ES"/>
        </w:rPr>
        <w:t xml:space="preserve">del Protocolo de Nagoya. Ya se han emprendido algunos esfuerzos en esta dirección a nivel internacional que podrían contribuir a apoyar e informar las actividades a nivel nacional. </w:t>
      </w:r>
    </w:p>
    <w:p w:rsidR="003B322A" w:rsidRPr="004F535E" w:rsidRDefault="008D30B6"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Debido a sus vínculos directos con el acceso y</w:t>
      </w:r>
      <w:r w:rsidR="00643BD9" w:rsidRPr="004F535E">
        <w:rPr>
          <w:kern w:val="22"/>
          <w:szCs w:val="22"/>
          <w:lang w:val="es-ES"/>
        </w:rPr>
        <w:t xml:space="preserve"> la</w:t>
      </w:r>
      <w:r w:rsidRPr="004F535E">
        <w:rPr>
          <w:kern w:val="22"/>
          <w:szCs w:val="22"/>
          <w:lang w:val="es-ES"/>
        </w:rPr>
        <w:t xml:space="preserve"> participación en los beneficios en lo que respecta a los conocimientos tradicionales, el </w:t>
      </w:r>
      <w:hyperlink r:id="rId23" w:history="1">
        <w:r w:rsidR="009E14B6" w:rsidRPr="004F535E">
          <w:rPr>
            <w:rStyle w:val="Hipervnculo"/>
            <w:kern w:val="22"/>
            <w:szCs w:val="22"/>
            <w:lang w:val="es-ES"/>
          </w:rPr>
          <w:t xml:space="preserve">programa de trabajo sobre el </w:t>
        </w:r>
        <w:r w:rsidR="00B51276" w:rsidRPr="004F535E">
          <w:rPr>
            <w:rStyle w:val="Hipervnculo"/>
            <w:kern w:val="22"/>
            <w:szCs w:val="22"/>
            <w:lang w:val="es-ES"/>
          </w:rPr>
          <w:t xml:space="preserve">artículo </w:t>
        </w:r>
        <w:r w:rsidR="00643BD9" w:rsidRPr="004F535E">
          <w:rPr>
            <w:rStyle w:val="Hipervnculo"/>
            <w:kern w:val="22"/>
            <w:szCs w:val="22"/>
            <w:lang w:val="es-ES"/>
          </w:rPr>
          <w:t>8 </w:t>
        </w:r>
        <w:r w:rsidR="009E14B6" w:rsidRPr="004F535E">
          <w:rPr>
            <w:rStyle w:val="Hipervnculo"/>
            <w:kern w:val="22"/>
            <w:szCs w:val="22"/>
            <w:lang w:val="es-ES"/>
          </w:rPr>
          <w:t>j) y disposiciones conexas</w:t>
        </w:r>
      </w:hyperlink>
      <w:r w:rsidRPr="004F535E">
        <w:rPr>
          <w:kern w:val="22"/>
          <w:szCs w:val="22"/>
          <w:lang w:val="es-ES"/>
        </w:rPr>
        <w:t xml:space="preserve"> ha apoyado la </w:t>
      </w:r>
      <w:r w:rsidR="00B51276" w:rsidRPr="004F535E">
        <w:rPr>
          <w:kern w:val="22"/>
          <w:szCs w:val="22"/>
          <w:lang w:val="es-ES"/>
        </w:rPr>
        <w:t xml:space="preserve">aplicación </w:t>
      </w:r>
      <w:r w:rsidRPr="004F535E">
        <w:rPr>
          <w:kern w:val="22"/>
          <w:szCs w:val="22"/>
          <w:lang w:val="es-ES"/>
        </w:rPr>
        <w:t>del</w:t>
      </w:r>
      <w:r w:rsidR="00B51276" w:rsidRPr="004F535E">
        <w:rPr>
          <w:kern w:val="22"/>
          <w:szCs w:val="22"/>
          <w:lang w:val="es-ES"/>
        </w:rPr>
        <w:t xml:space="preserve"> acceso y la participación en los beneficios</w:t>
      </w:r>
      <w:r w:rsidRPr="004F535E">
        <w:rPr>
          <w:kern w:val="22"/>
          <w:szCs w:val="22"/>
          <w:lang w:val="es-ES"/>
        </w:rPr>
        <w:t xml:space="preserve"> y, más recientemente, del Protocolo de Nagoya. El trabajo </w:t>
      </w:r>
      <w:r w:rsidR="00B51276" w:rsidRPr="004F535E">
        <w:rPr>
          <w:kern w:val="22"/>
          <w:szCs w:val="22"/>
          <w:lang w:val="es-ES"/>
        </w:rPr>
        <w:t xml:space="preserve">que se ha </w:t>
      </w:r>
      <w:r w:rsidRPr="004F535E">
        <w:rPr>
          <w:kern w:val="22"/>
          <w:szCs w:val="22"/>
          <w:lang w:val="es-ES"/>
        </w:rPr>
        <w:t xml:space="preserve">realizado </w:t>
      </w:r>
      <w:r w:rsidR="00B51276" w:rsidRPr="004F535E">
        <w:rPr>
          <w:kern w:val="22"/>
          <w:szCs w:val="22"/>
          <w:lang w:val="es-ES"/>
        </w:rPr>
        <w:t xml:space="preserve">en este sentido </w:t>
      </w:r>
      <w:r w:rsidR="005723DC">
        <w:rPr>
          <w:kern w:val="22"/>
          <w:szCs w:val="22"/>
          <w:lang w:val="es-ES"/>
        </w:rPr>
        <w:t>comprende</w:t>
      </w:r>
      <w:r w:rsidR="00B51276" w:rsidRPr="004F535E">
        <w:rPr>
          <w:kern w:val="22"/>
          <w:szCs w:val="22"/>
          <w:lang w:val="es-ES"/>
        </w:rPr>
        <w:t xml:space="preserve"> </w:t>
      </w:r>
      <w:r w:rsidRPr="004F535E">
        <w:rPr>
          <w:kern w:val="22"/>
          <w:szCs w:val="22"/>
          <w:lang w:val="es-ES"/>
        </w:rPr>
        <w:t xml:space="preserve">la elaboración de las </w:t>
      </w:r>
      <w:r w:rsidR="00B51276" w:rsidRPr="004F535E">
        <w:rPr>
          <w:kern w:val="22"/>
          <w:szCs w:val="22"/>
          <w:lang w:val="es-ES"/>
        </w:rPr>
        <w:t xml:space="preserve">Directrices </w:t>
      </w:r>
      <w:r w:rsidRPr="004F535E">
        <w:rPr>
          <w:kern w:val="22"/>
          <w:szCs w:val="22"/>
          <w:lang w:val="es-ES"/>
        </w:rPr>
        <w:t xml:space="preserve">voluntarias Mo’otz </w:t>
      </w:r>
      <w:r w:rsidR="00B231A7">
        <w:rPr>
          <w:kern w:val="22"/>
          <w:szCs w:val="22"/>
          <w:lang w:val="es-ES"/>
        </w:rPr>
        <w:t>K</w:t>
      </w:r>
      <w:r w:rsidR="00B231A7" w:rsidRPr="004F535E">
        <w:rPr>
          <w:kern w:val="22"/>
          <w:szCs w:val="22"/>
          <w:lang w:val="es-ES"/>
        </w:rPr>
        <w:t>uxtal</w:t>
      </w:r>
      <w:r w:rsidRPr="004F535E">
        <w:rPr>
          <w:rStyle w:val="Refdenotaalpie"/>
          <w:kern w:val="22"/>
          <w:szCs w:val="22"/>
          <w:lang w:val="es-ES"/>
        </w:rPr>
        <w:footnoteReference w:id="7"/>
      </w:r>
      <w:r w:rsidRPr="004F535E">
        <w:rPr>
          <w:kern w:val="22"/>
          <w:szCs w:val="22"/>
          <w:lang w:val="es-ES"/>
        </w:rPr>
        <w:t xml:space="preserve">, así como una serie de actividades de creación de capacidad dirigidas principalmente a las comunidades indígenas y locales para apoyar la aplicación del Convenio y del Protocolo de Nagoya, entre otras cosas, </w:t>
      </w:r>
      <w:r w:rsidR="00B51276" w:rsidRPr="004F535E">
        <w:rPr>
          <w:kern w:val="22"/>
          <w:szCs w:val="22"/>
          <w:lang w:val="es-ES"/>
        </w:rPr>
        <w:t>mediante</w:t>
      </w:r>
      <w:r w:rsidRPr="004F535E">
        <w:rPr>
          <w:kern w:val="22"/>
          <w:szCs w:val="22"/>
          <w:lang w:val="es-ES"/>
        </w:rPr>
        <w:t xml:space="preserve"> la elaboración de protocolos comunitarios.</w:t>
      </w:r>
    </w:p>
    <w:p w:rsidR="00FE24FC" w:rsidRPr="004F535E" w:rsidRDefault="00EB6C99"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Los siguientes materiales fueron elaborados, con el apoyo de la Secretaría, para crear capacidad en la comunidad científica en su calidad de </w:t>
      </w:r>
      <w:r w:rsidR="00E45CCF" w:rsidRPr="004F535E">
        <w:rPr>
          <w:kern w:val="22"/>
          <w:szCs w:val="22"/>
          <w:lang w:val="es-ES"/>
        </w:rPr>
        <w:t>usuari</w:t>
      </w:r>
      <w:r w:rsidR="00E45CCF">
        <w:rPr>
          <w:kern w:val="22"/>
          <w:szCs w:val="22"/>
          <w:lang w:val="es-ES"/>
        </w:rPr>
        <w:t>a</w:t>
      </w:r>
      <w:r w:rsidR="00E45CCF" w:rsidRPr="004F535E">
        <w:rPr>
          <w:kern w:val="22"/>
          <w:szCs w:val="22"/>
          <w:lang w:val="es-ES"/>
        </w:rPr>
        <w:t xml:space="preserve"> </w:t>
      </w:r>
      <w:r w:rsidRPr="004F535E">
        <w:rPr>
          <w:kern w:val="22"/>
          <w:szCs w:val="22"/>
          <w:lang w:val="es-ES"/>
        </w:rPr>
        <w:t>de los recursos genéticos con respecto a las cuestiones sobre el acceso y la participación en los beneficios:</w:t>
      </w:r>
    </w:p>
    <w:p w:rsidR="00365E9D" w:rsidRPr="004F535E" w:rsidRDefault="00FE24FC" w:rsidP="00AF37BE">
      <w:pPr>
        <w:pStyle w:val="Para1"/>
        <w:numPr>
          <w:ilvl w:val="1"/>
          <w:numId w:val="2"/>
        </w:numPr>
        <w:suppressLineNumbers/>
        <w:tabs>
          <w:tab w:val="clear" w:pos="1440"/>
          <w:tab w:val="left" w:pos="12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un estudio reciente elaborado </w:t>
      </w:r>
      <w:r w:rsidR="00E45CCF">
        <w:rPr>
          <w:kern w:val="22"/>
          <w:szCs w:val="22"/>
          <w:lang w:val="es-ES"/>
        </w:rPr>
        <w:t>en</w:t>
      </w:r>
      <w:r w:rsidR="00E45CCF" w:rsidRPr="004F535E">
        <w:rPr>
          <w:kern w:val="22"/>
          <w:szCs w:val="22"/>
          <w:lang w:val="es-ES"/>
        </w:rPr>
        <w:t xml:space="preserve"> 2017 </w:t>
      </w:r>
      <w:r w:rsidRPr="004F535E">
        <w:rPr>
          <w:kern w:val="22"/>
          <w:szCs w:val="22"/>
          <w:lang w:val="es-ES"/>
        </w:rPr>
        <w:t xml:space="preserve">en </w:t>
      </w:r>
      <w:r w:rsidR="00B51276" w:rsidRPr="004F535E">
        <w:rPr>
          <w:kern w:val="22"/>
          <w:szCs w:val="22"/>
          <w:lang w:val="es-ES"/>
        </w:rPr>
        <w:t xml:space="preserve">el marco </w:t>
      </w:r>
      <w:r w:rsidRPr="004F535E">
        <w:rPr>
          <w:kern w:val="22"/>
          <w:szCs w:val="22"/>
          <w:lang w:val="es-ES"/>
        </w:rPr>
        <w:t>de la Iniciativa Mundial sobre Taxonomía titulado</w:t>
      </w:r>
      <w:r w:rsidRPr="004F535E">
        <w:rPr>
          <w:kern w:val="22"/>
          <w:szCs w:val="22"/>
          <w:shd w:val="clear" w:color="auto" w:fill="FFFFFF"/>
          <w:lang w:val="es-ES"/>
        </w:rPr>
        <w:t xml:space="preserve"> “</w:t>
      </w:r>
      <w:r w:rsidRPr="004F535E">
        <w:rPr>
          <w:i/>
          <w:iCs/>
          <w:kern w:val="22"/>
          <w:szCs w:val="22"/>
          <w:shd w:val="clear" w:color="auto" w:fill="FFFFFF"/>
          <w:lang w:val="es-ES"/>
        </w:rPr>
        <w:t>Introduction to Access and Benefit-Sharing and the Nagoya Protocol: What DNA Barcoding Researchers Need to Know</w:t>
      </w:r>
      <w:r w:rsidR="00B51276" w:rsidRPr="004F535E">
        <w:rPr>
          <w:iCs/>
          <w:kern w:val="22"/>
          <w:szCs w:val="22"/>
          <w:shd w:val="clear" w:color="auto" w:fill="FFFFFF"/>
          <w:lang w:val="es-ES"/>
        </w:rPr>
        <w:t>”</w:t>
      </w:r>
      <w:r w:rsidR="00B51276" w:rsidRPr="004F535E">
        <w:rPr>
          <w:i/>
          <w:iCs/>
          <w:kern w:val="22"/>
          <w:szCs w:val="22"/>
          <w:shd w:val="clear" w:color="auto" w:fill="FFFFFF"/>
          <w:lang w:val="es-ES"/>
        </w:rPr>
        <w:t xml:space="preserve"> </w:t>
      </w:r>
      <w:r w:rsidRPr="004F535E">
        <w:rPr>
          <w:kern w:val="22"/>
          <w:szCs w:val="22"/>
          <w:shd w:val="clear" w:color="auto" w:fill="FFFFFF"/>
          <w:lang w:val="es-ES"/>
        </w:rPr>
        <w:t xml:space="preserve">[Introducción al acceso y la participación en los beneficios y al Protocolo de Nagoya: lo que deben saber los investigadores en códigos de barras de ADN], disponible en </w:t>
      </w:r>
      <w:hyperlink r:id="rId24" w:history="1">
        <w:r w:rsidRPr="004F535E">
          <w:rPr>
            <w:rStyle w:val="Hipervnculo"/>
            <w:kern w:val="22"/>
            <w:szCs w:val="22"/>
            <w:shd w:val="clear" w:color="auto" w:fill="FFFFFF"/>
            <w:lang w:val="es-ES"/>
          </w:rPr>
          <w:t>https://www.cbd.int/gti/</w:t>
        </w:r>
      </w:hyperlink>
      <w:r w:rsidRPr="004F535E">
        <w:rPr>
          <w:kern w:val="22"/>
          <w:szCs w:val="22"/>
          <w:shd w:val="clear" w:color="auto" w:fill="FFFFFF"/>
          <w:lang w:val="es-ES"/>
        </w:rPr>
        <w:t>;</w:t>
      </w:r>
    </w:p>
    <w:p w:rsidR="00365E9D" w:rsidRPr="004F535E" w:rsidRDefault="00EB6C99" w:rsidP="00AF37BE">
      <w:pPr>
        <w:pStyle w:val="Para1"/>
        <w:numPr>
          <w:ilvl w:val="1"/>
          <w:numId w:val="2"/>
        </w:numPr>
        <w:suppressLineNumbers/>
        <w:tabs>
          <w:tab w:val="clear" w:pos="1440"/>
          <w:tab w:val="left" w:pos="1260"/>
        </w:tabs>
        <w:suppressAutoHyphens/>
        <w:kinsoku w:val="0"/>
        <w:overflowPunct w:val="0"/>
        <w:autoSpaceDE w:val="0"/>
        <w:autoSpaceDN w:val="0"/>
        <w:adjustRightInd w:val="0"/>
        <w:snapToGrid w:val="0"/>
        <w:rPr>
          <w:spacing w:val="-4"/>
          <w:kern w:val="22"/>
          <w:szCs w:val="22"/>
          <w:lang w:val="es-ES"/>
        </w:rPr>
      </w:pPr>
      <w:r w:rsidRPr="004F535E">
        <w:rPr>
          <w:spacing w:val="-4"/>
          <w:kern w:val="22"/>
          <w:szCs w:val="22"/>
          <w:lang w:val="es-ES"/>
        </w:rPr>
        <w:t xml:space="preserve">un conjunto de módulos de aprendizaje electrónico sobre el acceso y la participación </w:t>
      </w:r>
      <w:r w:rsidR="007F5430" w:rsidRPr="004F535E">
        <w:rPr>
          <w:spacing w:val="-4"/>
          <w:kern w:val="22"/>
          <w:szCs w:val="22"/>
          <w:lang w:val="es-ES"/>
        </w:rPr>
        <w:t>en los </w:t>
      </w:r>
      <w:r w:rsidRPr="004F535E">
        <w:rPr>
          <w:spacing w:val="-4"/>
          <w:kern w:val="22"/>
          <w:szCs w:val="22"/>
          <w:lang w:val="es-ES"/>
        </w:rPr>
        <w:t xml:space="preserve">beneficios para quienes trabajan en jardines botánicos elaborado por la Organización </w:t>
      </w:r>
      <w:r w:rsidR="007F5430" w:rsidRPr="004F535E">
        <w:rPr>
          <w:spacing w:val="-4"/>
          <w:kern w:val="22"/>
          <w:szCs w:val="22"/>
          <w:lang w:val="es-ES"/>
        </w:rPr>
        <w:t>Internacional </w:t>
      </w:r>
      <w:r w:rsidRPr="004F535E">
        <w:rPr>
          <w:spacing w:val="-4"/>
          <w:kern w:val="22"/>
          <w:szCs w:val="22"/>
          <w:lang w:val="es-ES"/>
        </w:rPr>
        <w:t xml:space="preserve">para </w:t>
      </w:r>
      <w:r w:rsidR="007F5430" w:rsidRPr="004F535E">
        <w:rPr>
          <w:spacing w:val="-4"/>
          <w:kern w:val="22"/>
          <w:szCs w:val="22"/>
          <w:lang w:val="es-ES"/>
        </w:rPr>
        <w:t xml:space="preserve">la </w:t>
      </w:r>
      <w:r w:rsidRPr="004F535E">
        <w:rPr>
          <w:spacing w:val="-4"/>
          <w:kern w:val="22"/>
          <w:szCs w:val="22"/>
          <w:lang w:val="es-ES"/>
        </w:rPr>
        <w:t xml:space="preserve">Conservación en Jardines Botánicos (BGCI) gracias al apoyo del Convenio sobre </w:t>
      </w:r>
      <w:r w:rsidR="007F5430" w:rsidRPr="004F535E">
        <w:rPr>
          <w:spacing w:val="-4"/>
          <w:kern w:val="22"/>
          <w:szCs w:val="22"/>
          <w:lang w:val="es-ES"/>
        </w:rPr>
        <w:t>la</w:t>
      </w:r>
      <w:r w:rsidR="00805788">
        <w:rPr>
          <w:spacing w:val="-4"/>
          <w:kern w:val="22"/>
          <w:szCs w:val="22"/>
          <w:lang w:val="es-ES"/>
        </w:rPr>
        <w:t xml:space="preserve"> </w:t>
      </w:r>
      <w:r w:rsidR="007F5430" w:rsidRPr="004F535E">
        <w:rPr>
          <w:spacing w:val="-4"/>
          <w:kern w:val="22"/>
          <w:szCs w:val="22"/>
          <w:lang w:val="es-ES"/>
        </w:rPr>
        <w:t>Diversidad Biológica </w:t>
      </w:r>
      <w:r w:rsidRPr="004F535E">
        <w:rPr>
          <w:spacing w:val="-4"/>
          <w:kern w:val="22"/>
          <w:szCs w:val="22"/>
          <w:lang w:val="es-ES"/>
        </w:rPr>
        <w:t>y el Fondo Jap</w:t>
      </w:r>
      <w:r w:rsidR="000536C6" w:rsidRPr="004F535E">
        <w:rPr>
          <w:spacing w:val="-4"/>
          <w:kern w:val="22"/>
          <w:szCs w:val="22"/>
          <w:lang w:val="es-ES"/>
        </w:rPr>
        <w:t>o</w:t>
      </w:r>
      <w:r w:rsidRPr="004F535E">
        <w:rPr>
          <w:spacing w:val="-4"/>
          <w:kern w:val="22"/>
          <w:szCs w:val="22"/>
          <w:lang w:val="es-ES"/>
        </w:rPr>
        <w:t>n</w:t>
      </w:r>
      <w:r w:rsidR="000536C6" w:rsidRPr="004F535E">
        <w:rPr>
          <w:spacing w:val="-4"/>
          <w:kern w:val="22"/>
          <w:szCs w:val="22"/>
          <w:lang w:val="es-ES"/>
        </w:rPr>
        <w:t>és</w:t>
      </w:r>
      <w:r w:rsidRPr="004F535E">
        <w:rPr>
          <w:spacing w:val="-4"/>
          <w:kern w:val="22"/>
          <w:szCs w:val="22"/>
          <w:lang w:val="es-ES"/>
        </w:rPr>
        <w:t xml:space="preserve"> para la Diversidad Biológica, disponibles en </w:t>
      </w:r>
      <w:hyperlink r:id="rId25" w:history="1">
        <w:r w:rsidR="007F5430" w:rsidRPr="004F535E">
          <w:rPr>
            <w:rStyle w:val="Hipervnculo"/>
            <w:spacing w:val="-4"/>
            <w:kern w:val="22"/>
            <w:szCs w:val="22"/>
            <w:lang w:val="es-ES"/>
          </w:rPr>
          <w:t>https://www.bgci.org/policy/abs_learning/</w:t>
        </w:r>
      </w:hyperlink>
      <w:r w:rsidR="007F5430" w:rsidRPr="004F535E">
        <w:rPr>
          <w:spacing w:val="-4"/>
          <w:kern w:val="22"/>
          <w:szCs w:val="22"/>
          <w:lang w:val="es-ES"/>
        </w:rPr>
        <w:t>.</w:t>
      </w:r>
    </w:p>
    <w:p w:rsidR="00365E9D" w:rsidRPr="004F535E" w:rsidRDefault="00365E9D"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Asimismo, algunas actividades realizadas por la Secretaría para abordar la interrelación entre “el sector empresarial y la diversidad biológica” tomaron en cuenta el acceso y </w:t>
      </w:r>
      <w:r w:rsidR="000536C6" w:rsidRPr="004F535E">
        <w:rPr>
          <w:kern w:val="22"/>
          <w:szCs w:val="22"/>
          <w:lang w:val="es-ES"/>
        </w:rPr>
        <w:t xml:space="preserve">la </w:t>
      </w:r>
      <w:r w:rsidRPr="004F535E">
        <w:rPr>
          <w:kern w:val="22"/>
          <w:szCs w:val="22"/>
          <w:lang w:val="es-ES"/>
        </w:rPr>
        <w:t>participación en los beneficios y las implicaciones del Protocolo de Nagoya. Entre ellas, se encuentra la elaboración de boletines de noticias para la comunidad empresarial</w:t>
      </w:r>
      <w:r w:rsidRPr="004F535E">
        <w:rPr>
          <w:rStyle w:val="Refdenotaalpie"/>
          <w:kern w:val="22"/>
          <w:szCs w:val="22"/>
          <w:lang w:val="es-ES"/>
        </w:rPr>
        <w:footnoteReference w:id="8"/>
      </w:r>
      <w:r w:rsidRPr="004F535E">
        <w:rPr>
          <w:kern w:val="22"/>
          <w:szCs w:val="22"/>
          <w:lang w:val="es-ES"/>
        </w:rPr>
        <w:t xml:space="preserve"> y una sesión sobre APB en el </w:t>
      </w:r>
      <w:hyperlink r:id="rId26" w:history="1">
        <w:r w:rsidR="00821F56" w:rsidRPr="004F535E">
          <w:rPr>
            <w:rStyle w:val="Hipervnculo"/>
            <w:kern w:val="22"/>
            <w:szCs w:val="22"/>
            <w:lang w:val="es-ES"/>
          </w:rPr>
          <w:t xml:space="preserve">Foro sobre el sector empresarial y </w:t>
        </w:r>
        <w:r w:rsidR="000536C6" w:rsidRPr="004F535E">
          <w:rPr>
            <w:rStyle w:val="Hipervnculo"/>
            <w:kern w:val="22"/>
            <w:szCs w:val="22"/>
            <w:lang w:val="es-ES"/>
          </w:rPr>
          <w:t xml:space="preserve">la </w:t>
        </w:r>
        <w:r w:rsidR="00821F56" w:rsidRPr="004F535E">
          <w:rPr>
            <w:rStyle w:val="Hipervnculo"/>
            <w:kern w:val="22"/>
            <w:szCs w:val="22"/>
            <w:lang w:val="es-ES"/>
          </w:rPr>
          <w:t>diversidad biológica</w:t>
        </w:r>
      </w:hyperlink>
      <w:r w:rsidRPr="004F535E">
        <w:rPr>
          <w:kern w:val="22"/>
          <w:szCs w:val="22"/>
          <w:lang w:val="es-ES"/>
        </w:rPr>
        <w:t xml:space="preserve"> durante la </w:t>
      </w:r>
      <w:r w:rsidR="005A796F" w:rsidRPr="004F535E">
        <w:rPr>
          <w:kern w:val="22"/>
          <w:szCs w:val="22"/>
          <w:lang w:val="es-ES"/>
        </w:rPr>
        <w:t>13</w:t>
      </w:r>
      <w:r w:rsidR="005A796F" w:rsidRPr="004F535E">
        <w:rPr>
          <w:kern w:val="22"/>
          <w:szCs w:val="22"/>
          <w:vertAlign w:val="superscript"/>
          <w:lang w:val="es-ES"/>
        </w:rPr>
        <w:t>a</w:t>
      </w:r>
      <w:r w:rsidR="005A796F" w:rsidRPr="004F535E">
        <w:rPr>
          <w:kern w:val="22"/>
          <w:szCs w:val="22"/>
          <w:lang w:val="es-ES"/>
        </w:rPr>
        <w:t xml:space="preserve"> </w:t>
      </w:r>
      <w:r w:rsidRPr="004F535E">
        <w:rPr>
          <w:kern w:val="22"/>
          <w:szCs w:val="22"/>
          <w:lang w:val="es-ES"/>
        </w:rPr>
        <w:t xml:space="preserve">reunión de la Conferencia de las Partes. Estas actividades han destacado la importancia del </w:t>
      </w:r>
      <w:r w:rsidR="005A796F" w:rsidRPr="004F535E">
        <w:rPr>
          <w:kern w:val="22"/>
          <w:szCs w:val="22"/>
          <w:lang w:val="es-ES"/>
        </w:rPr>
        <w:t xml:space="preserve">acceso y la participación en los beneficios </w:t>
      </w:r>
      <w:r w:rsidRPr="004F535E">
        <w:rPr>
          <w:kern w:val="22"/>
          <w:szCs w:val="22"/>
          <w:lang w:val="es-ES"/>
        </w:rPr>
        <w:t>para diversos sectores que utilizan recursos genéticos, entre ellos, la</w:t>
      </w:r>
      <w:r w:rsidR="005A796F" w:rsidRPr="004F535E">
        <w:rPr>
          <w:kern w:val="22"/>
          <w:szCs w:val="22"/>
          <w:lang w:val="es-ES"/>
        </w:rPr>
        <w:t>s</w:t>
      </w:r>
      <w:r w:rsidRPr="004F535E">
        <w:rPr>
          <w:kern w:val="22"/>
          <w:szCs w:val="22"/>
          <w:lang w:val="es-ES"/>
        </w:rPr>
        <w:t xml:space="preserve"> industria</w:t>
      </w:r>
      <w:r w:rsidR="005A796F" w:rsidRPr="004F535E">
        <w:rPr>
          <w:kern w:val="22"/>
          <w:szCs w:val="22"/>
          <w:lang w:val="es-ES"/>
        </w:rPr>
        <w:t>s</w:t>
      </w:r>
      <w:r w:rsidRPr="004F535E">
        <w:rPr>
          <w:kern w:val="22"/>
          <w:szCs w:val="22"/>
          <w:lang w:val="es-ES"/>
        </w:rPr>
        <w:t xml:space="preserve"> cosmética y farmacéutica, la agricultura, la botánica y la horticultura.</w:t>
      </w:r>
    </w:p>
    <w:p w:rsidR="000258A6" w:rsidRPr="004F535E" w:rsidRDefault="008D30B6"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Entre otras iniciativas </w:t>
      </w:r>
      <w:r w:rsidR="00420D35" w:rsidRPr="004F535E">
        <w:rPr>
          <w:kern w:val="22"/>
          <w:szCs w:val="22"/>
          <w:lang w:val="es-ES"/>
        </w:rPr>
        <w:t xml:space="preserve">tendientes a </w:t>
      </w:r>
      <w:r w:rsidRPr="004F535E">
        <w:rPr>
          <w:kern w:val="22"/>
          <w:szCs w:val="22"/>
          <w:lang w:val="es-ES"/>
        </w:rPr>
        <w:t xml:space="preserve">integrar el </w:t>
      </w:r>
      <w:r w:rsidR="005A796F" w:rsidRPr="004F535E">
        <w:rPr>
          <w:kern w:val="22"/>
          <w:szCs w:val="22"/>
          <w:lang w:val="es-ES"/>
        </w:rPr>
        <w:t>acceso y la participación en los beneficios</w:t>
      </w:r>
      <w:r w:rsidRPr="004F535E">
        <w:rPr>
          <w:kern w:val="22"/>
          <w:szCs w:val="22"/>
          <w:lang w:val="es-ES"/>
        </w:rPr>
        <w:t xml:space="preserve"> se encuentran las </w:t>
      </w:r>
      <w:r w:rsidR="005A796F" w:rsidRPr="004F535E">
        <w:rPr>
          <w:kern w:val="22"/>
          <w:szCs w:val="22"/>
          <w:lang w:val="es-ES"/>
        </w:rPr>
        <w:t xml:space="preserve">emprendidas por </w:t>
      </w:r>
      <w:r w:rsidRPr="004F535E">
        <w:rPr>
          <w:kern w:val="22"/>
          <w:szCs w:val="22"/>
          <w:lang w:val="es-ES"/>
        </w:rPr>
        <w:t xml:space="preserve">asociados </w:t>
      </w:r>
      <w:r w:rsidR="00420D35" w:rsidRPr="004F535E">
        <w:rPr>
          <w:kern w:val="22"/>
          <w:szCs w:val="22"/>
          <w:lang w:val="es-ES"/>
        </w:rPr>
        <w:t>para</w:t>
      </w:r>
      <w:r w:rsidRPr="004F535E">
        <w:rPr>
          <w:kern w:val="22"/>
          <w:szCs w:val="22"/>
          <w:lang w:val="es-ES"/>
        </w:rPr>
        <w:t xml:space="preserve"> incluir un componente de APB como parte de los proyectos de creación de capacidad que abordan </w:t>
      </w:r>
      <w:r w:rsidR="00420D35" w:rsidRPr="004F535E">
        <w:rPr>
          <w:kern w:val="22"/>
          <w:szCs w:val="22"/>
          <w:lang w:val="es-ES"/>
        </w:rPr>
        <w:t xml:space="preserve">en forma más amplia </w:t>
      </w:r>
      <w:r w:rsidRPr="004F535E">
        <w:rPr>
          <w:kern w:val="22"/>
          <w:szCs w:val="22"/>
          <w:lang w:val="es-ES"/>
        </w:rPr>
        <w:t xml:space="preserve">cuestiones ambientales o </w:t>
      </w:r>
      <w:r w:rsidR="00420D35" w:rsidRPr="004F535E">
        <w:rPr>
          <w:kern w:val="22"/>
          <w:szCs w:val="22"/>
          <w:lang w:val="es-ES"/>
        </w:rPr>
        <w:t xml:space="preserve">relacionadas con la </w:t>
      </w:r>
      <w:r w:rsidRPr="004F535E">
        <w:rPr>
          <w:kern w:val="22"/>
          <w:szCs w:val="22"/>
          <w:lang w:val="es-ES"/>
        </w:rPr>
        <w:t>diversidad biológica.</w:t>
      </w:r>
    </w:p>
    <w:p w:rsidR="00572A4B" w:rsidRPr="004F535E" w:rsidRDefault="00181B21"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Con miras a seguir avanzando en la </w:t>
      </w:r>
      <w:r w:rsidR="00420D35" w:rsidRPr="004F535E">
        <w:rPr>
          <w:kern w:val="22"/>
          <w:szCs w:val="22"/>
          <w:lang w:val="es-ES"/>
        </w:rPr>
        <w:t xml:space="preserve">aplicación </w:t>
      </w:r>
      <w:r w:rsidRPr="004F535E">
        <w:rPr>
          <w:kern w:val="22"/>
          <w:szCs w:val="22"/>
          <w:lang w:val="es-ES"/>
        </w:rPr>
        <w:t xml:space="preserve">del Protocolo de Nagoya, podrían darse </w:t>
      </w:r>
      <w:r w:rsidR="00420D35" w:rsidRPr="004F535E">
        <w:rPr>
          <w:kern w:val="22"/>
          <w:szCs w:val="22"/>
          <w:lang w:val="es-ES"/>
        </w:rPr>
        <w:t xml:space="preserve">otros </w:t>
      </w:r>
      <w:r w:rsidRPr="004F535E">
        <w:rPr>
          <w:kern w:val="22"/>
          <w:szCs w:val="22"/>
          <w:lang w:val="es-ES"/>
        </w:rPr>
        <w:t xml:space="preserve">pasos para integrar el </w:t>
      </w:r>
      <w:r w:rsidR="00420D35" w:rsidRPr="004F535E">
        <w:rPr>
          <w:kern w:val="22"/>
          <w:szCs w:val="22"/>
          <w:lang w:val="es-ES"/>
        </w:rPr>
        <w:t xml:space="preserve">acceso y la participación en los beneficios </w:t>
      </w:r>
      <w:r w:rsidRPr="004F535E">
        <w:rPr>
          <w:kern w:val="22"/>
          <w:szCs w:val="22"/>
          <w:lang w:val="es-ES"/>
        </w:rPr>
        <w:t>en todo el trabajo del Convenio. Por ejemplo, las cuestiones relacionadas con el acceso y la participación en los beneficios podrían tratarse más a fondo cuando se abordan las áreas protegidas o la gestión de bosques y áreas marinas. También podría considerarse la inclusión de un componente de APB como parte de los proyectos de creación de capacidad de manera más sistemática.</w:t>
      </w:r>
    </w:p>
    <w:p w:rsidR="006F6F44" w:rsidRPr="004F535E" w:rsidRDefault="00030992" w:rsidP="00AF37BE">
      <w:pPr>
        <w:pStyle w:val="Ttulo1"/>
        <w:suppressLineNumbers/>
        <w:tabs>
          <w:tab w:val="clear" w:pos="720"/>
          <w:tab w:val="left" w:pos="450"/>
        </w:tabs>
        <w:suppressAutoHyphens/>
        <w:kinsoku w:val="0"/>
        <w:overflowPunct w:val="0"/>
        <w:autoSpaceDE w:val="0"/>
        <w:autoSpaceDN w:val="0"/>
        <w:adjustRightInd w:val="0"/>
        <w:snapToGrid w:val="0"/>
        <w:spacing w:before="120"/>
        <w:rPr>
          <w:bCs/>
          <w:snapToGrid w:val="0"/>
          <w:kern w:val="22"/>
          <w:szCs w:val="22"/>
          <w:lang w:val="es-ES"/>
        </w:rPr>
      </w:pPr>
      <w:r w:rsidRPr="004F535E">
        <w:rPr>
          <w:bCs/>
          <w:snapToGrid w:val="0"/>
          <w:kern w:val="22"/>
          <w:szCs w:val="22"/>
          <w:lang w:val="es-ES"/>
        </w:rPr>
        <w:lastRenderedPageBreak/>
        <w:t>III.</w:t>
      </w:r>
      <w:r w:rsidRPr="004F535E">
        <w:rPr>
          <w:bCs/>
          <w:snapToGrid w:val="0"/>
          <w:kern w:val="22"/>
          <w:szCs w:val="22"/>
          <w:lang w:val="es-ES"/>
        </w:rPr>
        <w:tab/>
        <w:t>Conclusión</w:t>
      </w:r>
    </w:p>
    <w:p w:rsidR="00E829C8" w:rsidRPr="004F535E" w:rsidRDefault="00E829C8"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Al adoptar la Meta 16 de Aichi para la Diversidad Biológica, las Partes en el Convenio demostraron su compromiso </w:t>
      </w:r>
      <w:r w:rsidR="00420D35" w:rsidRPr="004F535E">
        <w:rPr>
          <w:kern w:val="22"/>
          <w:szCs w:val="22"/>
          <w:lang w:val="es-ES"/>
        </w:rPr>
        <w:t xml:space="preserve">de </w:t>
      </w:r>
      <w:r w:rsidRPr="004F535E">
        <w:rPr>
          <w:kern w:val="22"/>
          <w:szCs w:val="22"/>
          <w:lang w:val="es-ES"/>
        </w:rPr>
        <w:t xml:space="preserve">trabajar en la ratificación </w:t>
      </w:r>
      <w:r w:rsidR="00420D35" w:rsidRPr="004F535E">
        <w:rPr>
          <w:kern w:val="22"/>
          <w:szCs w:val="22"/>
          <w:lang w:val="es-ES"/>
        </w:rPr>
        <w:t>y aplicación</w:t>
      </w:r>
      <w:r w:rsidRPr="004F535E">
        <w:rPr>
          <w:kern w:val="22"/>
          <w:szCs w:val="22"/>
          <w:lang w:val="es-ES"/>
        </w:rPr>
        <w:t xml:space="preserve"> del Protocolo de Nagoya, y la mayoría de las Partes en el Convenio suministraron información sobre acceso y participación en los beneficios en sus quintos informes nacionales (87%) o </w:t>
      </w:r>
      <w:r w:rsidR="00420D35" w:rsidRPr="004F535E">
        <w:rPr>
          <w:kern w:val="22"/>
          <w:szCs w:val="22"/>
          <w:lang w:val="es-ES"/>
        </w:rPr>
        <w:t xml:space="preserve">en sus </w:t>
      </w:r>
      <w:r w:rsidRPr="004F535E">
        <w:rPr>
          <w:kern w:val="22"/>
          <w:szCs w:val="22"/>
          <w:lang w:val="es-ES"/>
        </w:rPr>
        <w:t>EPANB (81%).</w:t>
      </w:r>
    </w:p>
    <w:p w:rsidR="006A0929" w:rsidRPr="004F535E" w:rsidRDefault="00420D35"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D</w:t>
      </w:r>
      <w:r w:rsidR="00E829C8" w:rsidRPr="004F535E">
        <w:rPr>
          <w:kern w:val="22"/>
          <w:szCs w:val="22"/>
          <w:lang w:val="es-ES"/>
        </w:rPr>
        <w:t>e la información disponible</w:t>
      </w:r>
      <w:r w:rsidRPr="004F535E">
        <w:rPr>
          <w:kern w:val="22"/>
          <w:szCs w:val="22"/>
          <w:lang w:val="es-ES"/>
        </w:rPr>
        <w:t xml:space="preserve"> se desprende que </w:t>
      </w:r>
      <w:r w:rsidR="00E829C8" w:rsidRPr="004F535E">
        <w:rPr>
          <w:kern w:val="22"/>
          <w:szCs w:val="22"/>
          <w:lang w:val="es-ES"/>
        </w:rPr>
        <w:t>una gran mayoría de las Partes en el Convenio (88%) ratificaron el Protocolo, están trabajando en ello o tienen previsto hacerlo. Esto demuestra el amplio apoyo al Protocolo de Nagoya. Además, el 75% de las Partes en el Convenio que no han ratificado el Protocolo de Nagoya han adoptado medidas sobre el acceso y la participación en los beneficios, está</w:t>
      </w:r>
      <w:r w:rsidRPr="004F535E">
        <w:rPr>
          <w:kern w:val="22"/>
          <w:szCs w:val="22"/>
          <w:lang w:val="es-ES"/>
        </w:rPr>
        <w:t>n</w:t>
      </w:r>
      <w:r w:rsidR="00E829C8" w:rsidRPr="004F535E">
        <w:rPr>
          <w:kern w:val="22"/>
          <w:szCs w:val="22"/>
          <w:lang w:val="es-ES"/>
        </w:rPr>
        <w:t xml:space="preserve"> trabajando en la elaboración de dichas medidas o tiene</w:t>
      </w:r>
      <w:r w:rsidRPr="004F535E">
        <w:rPr>
          <w:kern w:val="22"/>
          <w:szCs w:val="22"/>
          <w:lang w:val="es-ES"/>
        </w:rPr>
        <w:t>n</w:t>
      </w:r>
      <w:r w:rsidR="00E829C8" w:rsidRPr="004F535E">
        <w:rPr>
          <w:kern w:val="22"/>
          <w:szCs w:val="22"/>
          <w:lang w:val="es-ES"/>
        </w:rPr>
        <w:t xml:space="preserve"> previsto hacerlo.</w:t>
      </w:r>
    </w:p>
    <w:p w:rsidR="006F6F44" w:rsidRPr="004F535E" w:rsidRDefault="006F6F44"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 No obstante, como se destaca en las decisiones XIII/1 y NP-2/1 y en los informes nacionales provisionales, se requieren mayores esfuerzos para apoyar la ratificación </w:t>
      </w:r>
      <w:r w:rsidR="00420D35" w:rsidRPr="004F535E">
        <w:rPr>
          <w:kern w:val="22"/>
          <w:szCs w:val="22"/>
          <w:lang w:val="es-ES"/>
        </w:rPr>
        <w:t>y aplicación</w:t>
      </w:r>
      <w:r w:rsidRPr="004F535E">
        <w:rPr>
          <w:kern w:val="22"/>
          <w:szCs w:val="22"/>
          <w:lang w:val="es-ES"/>
        </w:rPr>
        <w:t xml:space="preserve">, </w:t>
      </w:r>
      <w:r w:rsidR="00420D35" w:rsidRPr="004F535E">
        <w:rPr>
          <w:kern w:val="22"/>
          <w:szCs w:val="22"/>
          <w:lang w:val="es-ES"/>
        </w:rPr>
        <w:t xml:space="preserve">incluido a través de </w:t>
      </w:r>
      <w:r w:rsidRPr="004F535E">
        <w:rPr>
          <w:kern w:val="22"/>
          <w:szCs w:val="22"/>
          <w:lang w:val="es-ES"/>
        </w:rPr>
        <w:t>la creación de capacidad y el apoyo financiero.</w:t>
      </w:r>
    </w:p>
    <w:p w:rsidR="00E55657" w:rsidRPr="004F535E" w:rsidRDefault="006F6F44"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Si se considera que el Protocolo de Nagoya está dirigido a facilitar la </w:t>
      </w:r>
      <w:r w:rsidR="00420D35" w:rsidRPr="004F535E">
        <w:rPr>
          <w:kern w:val="22"/>
          <w:szCs w:val="22"/>
          <w:lang w:val="es-ES"/>
        </w:rPr>
        <w:t xml:space="preserve">aplicación </w:t>
      </w:r>
      <w:r w:rsidRPr="004F535E">
        <w:rPr>
          <w:kern w:val="22"/>
          <w:szCs w:val="22"/>
          <w:lang w:val="es-ES"/>
        </w:rPr>
        <w:t xml:space="preserve">de las disposiciones sobre APB del Convenio y dado que las Partes en el Convenio tienen la obligación de aplicar dichas disposiciones, </w:t>
      </w:r>
      <w:r w:rsidR="00E45CCF">
        <w:rPr>
          <w:kern w:val="22"/>
          <w:szCs w:val="22"/>
          <w:lang w:val="es-ES"/>
        </w:rPr>
        <w:t xml:space="preserve">es de </w:t>
      </w:r>
      <w:r w:rsidR="00E45CCF" w:rsidRPr="004F535E">
        <w:rPr>
          <w:kern w:val="22"/>
          <w:szCs w:val="22"/>
          <w:lang w:val="es-ES"/>
        </w:rPr>
        <w:t>inter</w:t>
      </w:r>
      <w:r w:rsidR="00E45CCF">
        <w:rPr>
          <w:kern w:val="22"/>
          <w:szCs w:val="22"/>
          <w:lang w:val="es-ES"/>
        </w:rPr>
        <w:t>é</w:t>
      </w:r>
      <w:r w:rsidR="00E45CCF" w:rsidRPr="004F535E">
        <w:rPr>
          <w:kern w:val="22"/>
          <w:szCs w:val="22"/>
          <w:lang w:val="es-ES"/>
        </w:rPr>
        <w:t>s</w:t>
      </w:r>
      <w:r w:rsidR="00E45CCF">
        <w:rPr>
          <w:kern w:val="22"/>
          <w:szCs w:val="22"/>
          <w:lang w:val="es-ES"/>
        </w:rPr>
        <w:t xml:space="preserve"> p</w:t>
      </w:r>
      <w:r w:rsidR="00E45CCF" w:rsidRPr="004F535E">
        <w:rPr>
          <w:kern w:val="22"/>
          <w:szCs w:val="22"/>
          <w:lang w:val="es-ES"/>
        </w:rPr>
        <w:t>a</w:t>
      </w:r>
      <w:r w:rsidR="00E45CCF">
        <w:rPr>
          <w:kern w:val="22"/>
          <w:szCs w:val="22"/>
          <w:lang w:val="es-ES"/>
        </w:rPr>
        <w:t>r</w:t>
      </w:r>
      <w:r w:rsidRPr="004F535E">
        <w:rPr>
          <w:kern w:val="22"/>
          <w:szCs w:val="22"/>
          <w:lang w:val="es-ES"/>
        </w:rPr>
        <w:t>a todas las Partes en el Convenio ratificar el Protocolo a fin de apoyar un régimen internacional coherente sobre el acceso y la participación en los beneficios.</w:t>
      </w:r>
    </w:p>
    <w:p w:rsidR="00440A3A" w:rsidRPr="004F535E" w:rsidRDefault="00E55657"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 xml:space="preserve">Por último, teniendo en cuenta la naturaleza intersectorial de las cuestiones relacionadas con el </w:t>
      </w:r>
      <w:r w:rsidR="00420D35" w:rsidRPr="004F535E">
        <w:rPr>
          <w:kern w:val="22"/>
          <w:szCs w:val="22"/>
          <w:lang w:val="es-ES"/>
        </w:rPr>
        <w:t xml:space="preserve">acceso y la participación en los beneficios </w:t>
      </w:r>
      <w:r w:rsidRPr="004F535E">
        <w:rPr>
          <w:kern w:val="22"/>
          <w:szCs w:val="22"/>
          <w:lang w:val="es-ES"/>
        </w:rPr>
        <w:t>y el potencial de la participación en los beneficios para contribuir a la conservación y</w:t>
      </w:r>
      <w:r w:rsidR="00882AAC">
        <w:rPr>
          <w:kern w:val="22"/>
          <w:szCs w:val="22"/>
          <w:lang w:val="es-ES"/>
        </w:rPr>
        <w:t xml:space="preserve"> la</w:t>
      </w:r>
      <w:r w:rsidRPr="004F535E">
        <w:rPr>
          <w:kern w:val="22"/>
          <w:szCs w:val="22"/>
          <w:lang w:val="es-ES"/>
        </w:rPr>
        <w:t xml:space="preserve"> utilización sostenible, se requieren mayores esfuerzos para integrar el </w:t>
      </w:r>
      <w:r w:rsidR="00420D35" w:rsidRPr="004F535E">
        <w:rPr>
          <w:kern w:val="22"/>
          <w:szCs w:val="22"/>
          <w:lang w:val="es-ES"/>
        </w:rPr>
        <w:t xml:space="preserve">acceso y la participación en los beneficios </w:t>
      </w:r>
      <w:r w:rsidRPr="004F535E">
        <w:rPr>
          <w:kern w:val="22"/>
          <w:szCs w:val="22"/>
          <w:lang w:val="es-ES"/>
        </w:rPr>
        <w:t xml:space="preserve">en los diversos programas de trabajo del Convenio con el fin de apoyar la </w:t>
      </w:r>
      <w:r w:rsidR="00420D35" w:rsidRPr="004F535E">
        <w:rPr>
          <w:kern w:val="22"/>
          <w:szCs w:val="22"/>
          <w:lang w:val="es-ES"/>
        </w:rPr>
        <w:t xml:space="preserve">aplicación </w:t>
      </w:r>
      <w:r w:rsidRPr="004F535E">
        <w:rPr>
          <w:kern w:val="22"/>
          <w:szCs w:val="22"/>
          <w:lang w:val="es-ES"/>
        </w:rPr>
        <w:t xml:space="preserve">del Protocolo de Nagoya. Como parte de las deliberaciones </w:t>
      </w:r>
      <w:r w:rsidR="001A3224" w:rsidRPr="004F535E">
        <w:rPr>
          <w:kern w:val="22"/>
          <w:szCs w:val="22"/>
          <w:lang w:val="es-ES"/>
        </w:rPr>
        <w:t xml:space="preserve">sobre </w:t>
      </w:r>
      <w:r w:rsidRPr="004F535E">
        <w:rPr>
          <w:kern w:val="22"/>
          <w:szCs w:val="22"/>
          <w:lang w:val="es-ES"/>
        </w:rPr>
        <w:t xml:space="preserve">el </w:t>
      </w:r>
      <w:r w:rsidRPr="004F535E">
        <w:rPr>
          <w:rStyle w:val="Hipervnculo"/>
          <w:color w:val="auto"/>
          <w:kern w:val="22"/>
          <w:szCs w:val="22"/>
          <w:u w:val="none"/>
          <w:lang w:val="es-ES"/>
        </w:rPr>
        <w:t xml:space="preserve">marco </w:t>
      </w:r>
      <w:r w:rsidR="001A3224" w:rsidRPr="004F535E">
        <w:rPr>
          <w:rStyle w:val="Hipervnculo"/>
          <w:color w:val="auto"/>
          <w:kern w:val="22"/>
          <w:szCs w:val="22"/>
          <w:u w:val="none"/>
          <w:lang w:val="es-ES"/>
        </w:rPr>
        <w:t xml:space="preserve">mundial </w:t>
      </w:r>
      <w:r w:rsidR="003B623B">
        <w:rPr>
          <w:rStyle w:val="Hipervnculo"/>
          <w:color w:val="auto"/>
          <w:kern w:val="22"/>
          <w:szCs w:val="22"/>
          <w:u w:val="none"/>
          <w:lang w:val="es-ES"/>
        </w:rPr>
        <w:t>de</w:t>
      </w:r>
      <w:r w:rsidR="001A3224" w:rsidRPr="004F535E">
        <w:rPr>
          <w:rStyle w:val="Hipervnculo"/>
          <w:color w:val="auto"/>
          <w:kern w:val="22"/>
          <w:szCs w:val="22"/>
          <w:u w:val="none"/>
          <w:lang w:val="es-ES"/>
        </w:rPr>
        <w:t xml:space="preserve"> la </w:t>
      </w:r>
      <w:r w:rsidRPr="004F535E">
        <w:rPr>
          <w:rStyle w:val="Hipervnculo"/>
          <w:color w:val="auto"/>
          <w:kern w:val="22"/>
          <w:szCs w:val="22"/>
          <w:u w:val="none"/>
          <w:lang w:val="es-ES"/>
        </w:rPr>
        <w:t xml:space="preserve">diversidad </w:t>
      </w:r>
      <w:r w:rsidR="001A3224" w:rsidRPr="004F535E">
        <w:rPr>
          <w:rStyle w:val="Hipervnculo"/>
          <w:color w:val="auto"/>
          <w:kern w:val="22"/>
          <w:szCs w:val="22"/>
          <w:u w:val="none"/>
          <w:lang w:val="es-ES"/>
        </w:rPr>
        <w:t xml:space="preserve">biológica </w:t>
      </w:r>
      <w:r w:rsidRPr="004F535E">
        <w:rPr>
          <w:rStyle w:val="Hipervnculo"/>
          <w:color w:val="auto"/>
          <w:kern w:val="22"/>
          <w:szCs w:val="22"/>
          <w:u w:val="none"/>
          <w:lang w:val="es-ES"/>
        </w:rPr>
        <w:t>post</w:t>
      </w:r>
      <w:r w:rsidR="001A3224" w:rsidRPr="004F535E">
        <w:rPr>
          <w:rStyle w:val="Hipervnculo"/>
          <w:color w:val="auto"/>
          <w:kern w:val="22"/>
          <w:szCs w:val="22"/>
          <w:u w:val="none"/>
          <w:lang w:val="es-ES"/>
        </w:rPr>
        <w:t xml:space="preserve">erior a </w:t>
      </w:r>
      <w:r w:rsidRPr="004F535E">
        <w:rPr>
          <w:rStyle w:val="Hipervnculo"/>
          <w:color w:val="auto"/>
          <w:kern w:val="22"/>
          <w:szCs w:val="22"/>
          <w:u w:val="none"/>
          <w:lang w:val="es-ES"/>
        </w:rPr>
        <w:t>2020</w:t>
      </w:r>
      <w:r w:rsidRPr="004F535E">
        <w:rPr>
          <w:kern w:val="22"/>
          <w:szCs w:val="22"/>
          <w:lang w:val="es-ES"/>
        </w:rPr>
        <w:t xml:space="preserve">, podría considerarse una mayor integración del </w:t>
      </w:r>
      <w:r w:rsidR="001A3224" w:rsidRPr="004F535E">
        <w:rPr>
          <w:kern w:val="22"/>
          <w:szCs w:val="22"/>
          <w:lang w:val="es-ES"/>
        </w:rPr>
        <w:t xml:space="preserve">acceso y </w:t>
      </w:r>
      <w:r w:rsidR="00E45CCF">
        <w:rPr>
          <w:kern w:val="22"/>
          <w:szCs w:val="22"/>
          <w:lang w:val="es-ES"/>
        </w:rPr>
        <w:t xml:space="preserve">la </w:t>
      </w:r>
      <w:r w:rsidR="001A3224" w:rsidRPr="004F535E">
        <w:rPr>
          <w:kern w:val="22"/>
          <w:szCs w:val="22"/>
          <w:lang w:val="es-ES"/>
        </w:rPr>
        <w:t xml:space="preserve">participación en los beneficios </w:t>
      </w:r>
      <w:r w:rsidRPr="004F535E">
        <w:rPr>
          <w:kern w:val="22"/>
          <w:szCs w:val="22"/>
          <w:lang w:val="es-ES"/>
        </w:rPr>
        <w:t xml:space="preserve">en otras áreas de trabajo </w:t>
      </w:r>
      <w:r w:rsidR="001A3224" w:rsidRPr="004F535E">
        <w:rPr>
          <w:kern w:val="22"/>
          <w:szCs w:val="22"/>
          <w:lang w:val="es-ES"/>
        </w:rPr>
        <w:t>en el marco</w:t>
      </w:r>
      <w:r w:rsidRPr="004F535E">
        <w:rPr>
          <w:kern w:val="22"/>
          <w:szCs w:val="22"/>
          <w:lang w:val="es-ES"/>
        </w:rPr>
        <w:t xml:space="preserve"> </w:t>
      </w:r>
      <w:r w:rsidR="001A3224" w:rsidRPr="004F535E">
        <w:rPr>
          <w:kern w:val="22"/>
          <w:szCs w:val="22"/>
          <w:lang w:val="es-ES"/>
        </w:rPr>
        <w:t>d</w:t>
      </w:r>
      <w:r w:rsidRPr="004F535E">
        <w:rPr>
          <w:kern w:val="22"/>
          <w:szCs w:val="22"/>
          <w:lang w:val="es-ES"/>
        </w:rPr>
        <w:t>el Convenio.</w:t>
      </w:r>
    </w:p>
    <w:p w:rsidR="00AE5298" w:rsidRPr="004F535E" w:rsidRDefault="00030992" w:rsidP="00AF37BE">
      <w:pPr>
        <w:pStyle w:val="Ttulo1"/>
        <w:suppressLineNumbers/>
        <w:tabs>
          <w:tab w:val="clear" w:pos="720"/>
          <w:tab w:val="left" w:pos="450"/>
        </w:tabs>
        <w:suppressAutoHyphens/>
        <w:kinsoku w:val="0"/>
        <w:overflowPunct w:val="0"/>
        <w:autoSpaceDE w:val="0"/>
        <w:autoSpaceDN w:val="0"/>
        <w:adjustRightInd w:val="0"/>
        <w:snapToGrid w:val="0"/>
        <w:spacing w:before="120"/>
        <w:rPr>
          <w:bCs/>
          <w:snapToGrid w:val="0"/>
          <w:kern w:val="22"/>
          <w:szCs w:val="22"/>
          <w:lang w:val="es-ES"/>
        </w:rPr>
      </w:pPr>
      <w:r w:rsidRPr="004F535E">
        <w:rPr>
          <w:bCs/>
          <w:snapToGrid w:val="0"/>
          <w:kern w:val="22"/>
          <w:szCs w:val="22"/>
          <w:lang w:val="es-ES"/>
        </w:rPr>
        <w:t>IV.</w:t>
      </w:r>
      <w:r w:rsidRPr="004F535E">
        <w:rPr>
          <w:bCs/>
          <w:snapToGrid w:val="0"/>
          <w:kern w:val="22"/>
          <w:szCs w:val="22"/>
          <w:lang w:val="es-ES"/>
        </w:rPr>
        <w:tab/>
        <w:t>Proyectos de recomendaciones sugeridos</w:t>
      </w:r>
    </w:p>
    <w:p w:rsidR="00440A3A" w:rsidRPr="004F535E" w:rsidRDefault="00D1789D" w:rsidP="007F5430">
      <w:pPr>
        <w:pStyle w:val="Para1"/>
        <w:suppressLineNumbers/>
        <w:tabs>
          <w:tab w:val="clear" w:pos="360"/>
        </w:tabs>
        <w:suppressAutoHyphens/>
        <w:kinsoku w:val="0"/>
        <w:overflowPunct w:val="0"/>
        <w:autoSpaceDE w:val="0"/>
        <w:autoSpaceDN w:val="0"/>
        <w:adjustRightInd w:val="0"/>
        <w:snapToGrid w:val="0"/>
        <w:rPr>
          <w:kern w:val="22"/>
          <w:szCs w:val="22"/>
          <w:lang w:val="es-ES"/>
        </w:rPr>
      </w:pPr>
      <w:r w:rsidRPr="004F535E">
        <w:rPr>
          <w:kern w:val="22"/>
          <w:szCs w:val="22"/>
          <w:lang w:val="es-ES"/>
        </w:rPr>
        <w:t>El Órgano Subsidiario sobre la Aplicación también podría estimar oportuno recomendar que la Conferencia de las Partes tome una decisión del siguiente tenor:</w:t>
      </w:r>
    </w:p>
    <w:p w:rsidR="00440A3A" w:rsidRPr="004F535E" w:rsidRDefault="00440A3A" w:rsidP="00AF37BE">
      <w:pPr>
        <w:pStyle w:val="Para1"/>
        <w:numPr>
          <w:ilvl w:val="0"/>
          <w:numId w:val="0"/>
        </w:numPr>
        <w:suppressLineNumbers/>
        <w:suppressAutoHyphens/>
        <w:kinsoku w:val="0"/>
        <w:overflowPunct w:val="0"/>
        <w:autoSpaceDE w:val="0"/>
        <w:autoSpaceDN w:val="0"/>
        <w:adjustRightInd w:val="0"/>
        <w:snapToGrid w:val="0"/>
        <w:ind w:firstLine="720"/>
        <w:rPr>
          <w:rFonts w:eastAsia="Calibri"/>
          <w:i/>
          <w:kern w:val="22"/>
          <w:szCs w:val="22"/>
          <w:lang w:val="es-ES"/>
        </w:rPr>
      </w:pPr>
      <w:r w:rsidRPr="004F535E">
        <w:rPr>
          <w:rFonts w:eastAsia="Calibri"/>
          <w:i/>
          <w:iCs/>
          <w:kern w:val="22"/>
          <w:szCs w:val="22"/>
          <w:lang w:val="es-ES"/>
        </w:rPr>
        <w:t>La Conferencia de las Partes</w:t>
      </w:r>
    </w:p>
    <w:p w:rsidR="00D1789D" w:rsidRPr="004F535E" w:rsidRDefault="00440A3A" w:rsidP="00AF37BE">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lang w:val="es-ES"/>
        </w:rPr>
      </w:pPr>
      <w:r w:rsidRPr="004F535E">
        <w:rPr>
          <w:i/>
          <w:iCs/>
          <w:kern w:val="22"/>
          <w:szCs w:val="22"/>
          <w:lang w:val="es-ES"/>
        </w:rPr>
        <w:t>Observa</w:t>
      </w:r>
      <w:r w:rsidRPr="004F535E">
        <w:rPr>
          <w:kern w:val="22"/>
          <w:szCs w:val="22"/>
          <w:lang w:val="es-ES"/>
        </w:rPr>
        <w:t xml:space="preserve"> con aprecio los esfuerzos realizados por las Partes y los Estados que no son Partes </w:t>
      </w:r>
      <w:r w:rsidR="001A3224" w:rsidRPr="004F535E">
        <w:rPr>
          <w:kern w:val="22"/>
          <w:szCs w:val="22"/>
          <w:lang w:val="es-ES"/>
        </w:rPr>
        <w:t xml:space="preserve">en el </w:t>
      </w:r>
      <w:r w:rsidRPr="004F535E">
        <w:rPr>
          <w:kern w:val="22"/>
          <w:szCs w:val="22"/>
          <w:lang w:val="es-ES"/>
        </w:rPr>
        <w:t xml:space="preserve">Protocolo </w:t>
      </w:r>
      <w:r w:rsidR="001A3224" w:rsidRPr="004F535E">
        <w:rPr>
          <w:kern w:val="22"/>
          <w:szCs w:val="22"/>
          <w:lang w:val="es-ES"/>
        </w:rPr>
        <w:t xml:space="preserve">de Nagoya </w:t>
      </w:r>
      <w:r w:rsidRPr="004F535E">
        <w:rPr>
          <w:kern w:val="22"/>
          <w:szCs w:val="22"/>
          <w:lang w:val="es-ES"/>
        </w:rPr>
        <w:t xml:space="preserve">para ratificar </w:t>
      </w:r>
      <w:r w:rsidR="001A3224" w:rsidRPr="004F535E">
        <w:rPr>
          <w:kern w:val="22"/>
          <w:szCs w:val="22"/>
          <w:lang w:val="es-ES"/>
        </w:rPr>
        <w:t>y aplicar</w:t>
      </w:r>
      <w:r w:rsidRPr="004F535E">
        <w:rPr>
          <w:kern w:val="22"/>
          <w:szCs w:val="22"/>
          <w:lang w:val="es-ES"/>
        </w:rPr>
        <w:t xml:space="preserve"> el Protocolo de Nagoya </w:t>
      </w:r>
      <w:r w:rsidRPr="004F535E">
        <w:rPr>
          <w:szCs w:val="22"/>
          <w:lang w:val="es-ES"/>
        </w:rPr>
        <w:t>sobre Acceso a los Recursos Genéticos y Participación Justa y Equitativa en los Beneficios que se Deriven de su Utilización</w:t>
      </w:r>
      <w:r w:rsidR="003E406F">
        <w:rPr>
          <w:szCs w:val="22"/>
          <w:lang w:val="es-ES"/>
        </w:rPr>
        <w:t>;</w:t>
      </w:r>
    </w:p>
    <w:p w:rsidR="00440A3A" w:rsidRPr="004F535E" w:rsidRDefault="00D1789D" w:rsidP="00AF37BE">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lang w:val="es-ES"/>
        </w:rPr>
      </w:pPr>
      <w:r w:rsidRPr="004F535E">
        <w:rPr>
          <w:rFonts w:eastAsia="Calibri"/>
          <w:i/>
          <w:iCs/>
          <w:kern w:val="22"/>
          <w:szCs w:val="22"/>
          <w:lang w:val="es-ES"/>
        </w:rPr>
        <w:t>Insta</w:t>
      </w:r>
      <w:r w:rsidRPr="004F535E">
        <w:rPr>
          <w:rFonts w:eastAsia="Calibri"/>
          <w:kern w:val="22"/>
          <w:szCs w:val="22"/>
          <w:lang w:val="es-ES"/>
        </w:rPr>
        <w:t xml:space="preserve"> a las Partes en el Convenio sobre la Diversidad Biológica que aún no lo hayan hecho a que depositen sus instrumentos de ratificación, aceptación o aprobación o sus instrumentos de adhesión al Protocolo de Nagoya a la mayor brevedad posible y adopten medidas tendientes a su aplicación</w:t>
      </w:r>
      <w:r w:rsidR="001A3224" w:rsidRPr="004F535E">
        <w:rPr>
          <w:rFonts w:eastAsia="Calibri"/>
          <w:kern w:val="22"/>
          <w:szCs w:val="22"/>
          <w:lang w:val="es-ES"/>
        </w:rPr>
        <w:t xml:space="preserve">, </w:t>
      </w:r>
      <w:r w:rsidRPr="004F535E">
        <w:rPr>
          <w:rFonts w:eastAsia="Calibri"/>
          <w:kern w:val="22"/>
          <w:szCs w:val="22"/>
          <w:lang w:val="es-ES"/>
        </w:rPr>
        <w:t>por ejemplo, mediante el establecimiento de estructuras institucionales y medidas legislativas, administrativas o de políticas sobre acceso y participación en los beneficios, y a que proporcionen información pertinente al Centro de Intercambio de Información sobre Acceso y Participación en los Beneficios;</w:t>
      </w:r>
    </w:p>
    <w:p w:rsidR="0065254C" w:rsidRPr="004F535E" w:rsidRDefault="00FD4540" w:rsidP="00AF37BE">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lang w:val="es-ES"/>
        </w:rPr>
      </w:pPr>
      <w:r w:rsidRPr="004F535E">
        <w:rPr>
          <w:rFonts w:eastAsia="Calibri"/>
          <w:i/>
          <w:iCs/>
          <w:kern w:val="22"/>
          <w:szCs w:val="22"/>
          <w:lang w:val="es-ES"/>
        </w:rPr>
        <w:t>Insta</w:t>
      </w:r>
      <w:r w:rsidRPr="004F535E">
        <w:rPr>
          <w:rFonts w:eastAsia="Calibri"/>
          <w:kern w:val="22"/>
          <w:szCs w:val="22"/>
          <w:lang w:val="es-ES"/>
        </w:rPr>
        <w:t xml:space="preserve"> a las Partes en el Convenio que no son aún Partes en el Protocolo de Nagoya a </w:t>
      </w:r>
      <w:r w:rsidR="001A3224" w:rsidRPr="004F535E">
        <w:rPr>
          <w:rFonts w:eastAsia="Calibri"/>
          <w:kern w:val="22"/>
          <w:szCs w:val="22"/>
          <w:lang w:val="es-ES"/>
        </w:rPr>
        <w:t xml:space="preserve">que incluyan </w:t>
      </w:r>
      <w:r w:rsidRPr="004F535E">
        <w:rPr>
          <w:rFonts w:eastAsia="Calibri"/>
          <w:kern w:val="22"/>
          <w:szCs w:val="22"/>
          <w:lang w:val="es-ES"/>
        </w:rPr>
        <w:t>en sus sextos informes nacionales</w:t>
      </w:r>
      <w:r w:rsidR="001A3224" w:rsidRPr="004F535E">
        <w:rPr>
          <w:rFonts w:eastAsia="Calibri"/>
          <w:kern w:val="22"/>
          <w:szCs w:val="22"/>
          <w:lang w:val="es-ES"/>
        </w:rPr>
        <w:t xml:space="preserve"> información sobre la aplicación del acceso y la participación en los beneficios</w:t>
      </w:r>
      <w:r w:rsidRPr="004F535E">
        <w:rPr>
          <w:rFonts w:eastAsia="Calibri"/>
          <w:kern w:val="22"/>
          <w:szCs w:val="22"/>
          <w:lang w:val="es-ES"/>
        </w:rPr>
        <w:t>;</w:t>
      </w:r>
    </w:p>
    <w:p w:rsidR="00D1789D" w:rsidRPr="004F535E" w:rsidRDefault="00D1789D" w:rsidP="00AF37BE">
      <w:pPr>
        <w:numPr>
          <w:ilvl w:val="0"/>
          <w:numId w:val="7"/>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ES"/>
        </w:rPr>
      </w:pPr>
      <w:r w:rsidRPr="004F535E">
        <w:rPr>
          <w:i/>
          <w:iCs/>
          <w:snapToGrid w:val="0"/>
          <w:kern w:val="22"/>
          <w:szCs w:val="22"/>
          <w:lang w:val="es-ES"/>
        </w:rPr>
        <w:t>Reitera</w:t>
      </w:r>
      <w:r w:rsidRPr="004F535E">
        <w:rPr>
          <w:snapToGrid w:val="0"/>
          <w:kern w:val="22"/>
          <w:szCs w:val="22"/>
          <w:lang w:val="es-ES"/>
        </w:rPr>
        <w:t xml:space="preserve"> la necesidad de llevar a cabo actividades de creación y desarrollo de capacidad, así como de contar con recursos financieros, para apoyar la ratificación </w:t>
      </w:r>
      <w:r w:rsidR="004F535E" w:rsidRPr="004F535E">
        <w:rPr>
          <w:snapToGrid w:val="0"/>
          <w:kern w:val="22"/>
          <w:szCs w:val="22"/>
          <w:lang w:val="es-ES"/>
        </w:rPr>
        <w:t xml:space="preserve">y aplicación </w:t>
      </w:r>
      <w:r w:rsidRPr="004F535E">
        <w:rPr>
          <w:snapToGrid w:val="0"/>
          <w:kern w:val="22"/>
          <w:szCs w:val="22"/>
          <w:lang w:val="es-ES"/>
        </w:rPr>
        <w:t xml:space="preserve">del Protocolo de Nagoya, e </w:t>
      </w:r>
      <w:r w:rsidRPr="004F535E">
        <w:rPr>
          <w:i/>
          <w:iCs/>
          <w:snapToGrid w:val="0"/>
          <w:kern w:val="22"/>
          <w:szCs w:val="22"/>
          <w:lang w:val="es-ES"/>
        </w:rPr>
        <w:t>invita</w:t>
      </w:r>
      <w:r w:rsidRPr="004F535E">
        <w:rPr>
          <w:snapToGrid w:val="0"/>
          <w:kern w:val="22"/>
          <w:szCs w:val="22"/>
          <w:lang w:val="es-ES"/>
        </w:rPr>
        <w:t xml:space="preserve"> a los Gobiernos y organizaciones pertinentes a proporcionar apoyo técnico y financiero;</w:t>
      </w:r>
    </w:p>
    <w:p w:rsidR="0004001B" w:rsidRPr="004F535E" w:rsidRDefault="00D1789D" w:rsidP="00AF37BE">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lang w:val="es-ES"/>
        </w:rPr>
      </w:pPr>
      <w:r w:rsidRPr="004F535E">
        <w:rPr>
          <w:rFonts w:eastAsia="Calibri"/>
          <w:i/>
          <w:iCs/>
          <w:kern w:val="22"/>
          <w:szCs w:val="22"/>
          <w:lang w:val="es-ES"/>
        </w:rPr>
        <w:t>Alienta</w:t>
      </w:r>
      <w:r w:rsidRPr="004F535E">
        <w:rPr>
          <w:rFonts w:eastAsia="Calibri"/>
          <w:kern w:val="22"/>
          <w:szCs w:val="22"/>
          <w:lang w:val="es-ES"/>
        </w:rPr>
        <w:t xml:space="preserve"> a las Partes a considerar una mayor integración del acceso y </w:t>
      </w:r>
      <w:r w:rsidR="004F535E" w:rsidRPr="004F535E">
        <w:rPr>
          <w:rFonts w:eastAsia="Calibri"/>
          <w:kern w:val="22"/>
          <w:szCs w:val="22"/>
          <w:lang w:val="es-ES"/>
        </w:rPr>
        <w:t xml:space="preserve">la </w:t>
      </w:r>
      <w:r w:rsidRPr="004F535E">
        <w:rPr>
          <w:rFonts w:eastAsia="Calibri"/>
          <w:kern w:val="22"/>
          <w:szCs w:val="22"/>
          <w:lang w:val="es-ES"/>
        </w:rPr>
        <w:t>participación en los beneficios en otras áreas de trabajo</w:t>
      </w:r>
      <w:r w:rsidR="004F535E" w:rsidRPr="004F535E">
        <w:rPr>
          <w:rFonts w:eastAsia="Calibri"/>
          <w:kern w:val="22"/>
          <w:szCs w:val="22"/>
          <w:lang w:val="es-ES"/>
        </w:rPr>
        <w:t xml:space="preserve"> del</w:t>
      </w:r>
      <w:r w:rsidRPr="004F535E">
        <w:rPr>
          <w:rFonts w:eastAsia="Calibri"/>
          <w:kern w:val="22"/>
          <w:szCs w:val="22"/>
          <w:lang w:val="es-ES"/>
        </w:rPr>
        <w:t xml:space="preserve"> Convenio, como parte de las deliberaciones </w:t>
      </w:r>
      <w:r w:rsidR="004F535E" w:rsidRPr="004F535E">
        <w:rPr>
          <w:rFonts w:eastAsia="Calibri"/>
          <w:kern w:val="22"/>
          <w:szCs w:val="22"/>
          <w:lang w:val="es-ES"/>
        </w:rPr>
        <w:t xml:space="preserve">sobre </w:t>
      </w:r>
      <w:r w:rsidRPr="004F535E">
        <w:rPr>
          <w:rFonts w:eastAsia="Calibri"/>
          <w:kern w:val="22"/>
          <w:szCs w:val="22"/>
          <w:lang w:val="es-ES"/>
        </w:rPr>
        <w:t xml:space="preserve">el marco </w:t>
      </w:r>
      <w:r w:rsidR="00805788" w:rsidRPr="004F535E">
        <w:rPr>
          <w:rFonts w:eastAsia="Calibri"/>
          <w:kern w:val="22"/>
          <w:szCs w:val="22"/>
          <w:lang w:val="es-ES"/>
        </w:rPr>
        <w:t>mundial</w:t>
      </w:r>
      <w:r w:rsidR="004F535E" w:rsidRPr="004F535E">
        <w:rPr>
          <w:rFonts w:eastAsia="Calibri"/>
          <w:kern w:val="22"/>
          <w:szCs w:val="22"/>
          <w:lang w:val="es-ES"/>
        </w:rPr>
        <w:t xml:space="preserve"> </w:t>
      </w:r>
      <w:r w:rsidRPr="004F535E">
        <w:rPr>
          <w:rFonts w:eastAsia="Calibri"/>
          <w:kern w:val="22"/>
          <w:szCs w:val="22"/>
          <w:lang w:val="es-ES"/>
        </w:rPr>
        <w:t xml:space="preserve">de </w:t>
      </w:r>
      <w:r w:rsidR="003B623B">
        <w:rPr>
          <w:rFonts w:eastAsia="Calibri"/>
          <w:kern w:val="22"/>
          <w:szCs w:val="22"/>
          <w:lang w:val="es-ES"/>
        </w:rPr>
        <w:t xml:space="preserve">la </w:t>
      </w:r>
      <w:r w:rsidRPr="004F535E">
        <w:rPr>
          <w:rFonts w:eastAsia="Calibri"/>
          <w:kern w:val="22"/>
          <w:szCs w:val="22"/>
          <w:lang w:val="es-ES"/>
        </w:rPr>
        <w:t xml:space="preserve">diversidad </w:t>
      </w:r>
      <w:r w:rsidR="004F535E" w:rsidRPr="004F535E">
        <w:rPr>
          <w:rFonts w:eastAsia="Calibri"/>
          <w:kern w:val="22"/>
          <w:szCs w:val="22"/>
          <w:lang w:val="es-ES"/>
        </w:rPr>
        <w:t xml:space="preserve">biológica </w:t>
      </w:r>
      <w:r w:rsidRPr="004F535E">
        <w:rPr>
          <w:rFonts w:eastAsia="Calibri"/>
          <w:kern w:val="22"/>
          <w:szCs w:val="22"/>
          <w:lang w:val="es-ES"/>
        </w:rPr>
        <w:t>post</w:t>
      </w:r>
      <w:r w:rsidR="004F535E" w:rsidRPr="004F535E">
        <w:rPr>
          <w:rFonts w:eastAsia="Calibri"/>
          <w:kern w:val="22"/>
          <w:szCs w:val="22"/>
          <w:lang w:val="es-ES"/>
        </w:rPr>
        <w:t xml:space="preserve">erior a </w:t>
      </w:r>
      <w:r w:rsidRPr="004F535E">
        <w:rPr>
          <w:rFonts w:eastAsia="Calibri"/>
          <w:kern w:val="22"/>
          <w:szCs w:val="22"/>
          <w:lang w:val="es-ES"/>
        </w:rPr>
        <w:t>2020.</w:t>
      </w:r>
    </w:p>
    <w:p w:rsidR="00D1789D" w:rsidRPr="004F535E" w:rsidRDefault="0004001B" w:rsidP="00AF37BE">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lang w:val="es-ES"/>
        </w:rPr>
      </w:pPr>
      <w:r w:rsidRPr="004F535E">
        <w:rPr>
          <w:rFonts w:eastAsia="Calibri"/>
          <w:i/>
          <w:iCs/>
          <w:kern w:val="22"/>
          <w:szCs w:val="22"/>
          <w:lang w:val="es-ES"/>
        </w:rPr>
        <w:lastRenderedPageBreak/>
        <w:t>Pide</w:t>
      </w:r>
      <w:r w:rsidRPr="004F535E">
        <w:rPr>
          <w:rFonts w:eastAsia="Calibri"/>
          <w:kern w:val="22"/>
          <w:szCs w:val="22"/>
          <w:lang w:val="es-ES"/>
        </w:rPr>
        <w:t xml:space="preserve"> a la Secretaria Ejecutiva que continúe con los esfuerzos para integrar el acceso y la participación en los beneficios en todo el trabajo de la Secretaría.</w:t>
      </w:r>
    </w:p>
    <w:p w:rsidR="00440A3A" w:rsidRPr="004F535E" w:rsidRDefault="004B1B86" w:rsidP="00AF37BE">
      <w:pPr>
        <w:pStyle w:val="Para1"/>
        <w:numPr>
          <w:ilvl w:val="0"/>
          <w:numId w:val="0"/>
        </w:numPr>
        <w:suppressLineNumbers/>
        <w:suppressAutoHyphens/>
        <w:kinsoku w:val="0"/>
        <w:overflowPunct w:val="0"/>
        <w:autoSpaceDE w:val="0"/>
        <w:autoSpaceDN w:val="0"/>
        <w:adjustRightInd w:val="0"/>
        <w:snapToGrid w:val="0"/>
        <w:jc w:val="center"/>
        <w:rPr>
          <w:kern w:val="22"/>
          <w:szCs w:val="22"/>
          <w:lang w:val="es-ES"/>
        </w:rPr>
      </w:pPr>
      <w:r w:rsidRPr="004F535E">
        <w:rPr>
          <w:kern w:val="22"/>
          <w:szCs w:val="22"/>
          <w:lang w:val="es-ES"/>
        </w:rPr>
        <w:t>__________</w:t>
      </w:r>
    </w:p>
    <w:sectPr w:rsidR="00440A3A" w:rsidRPr="004F535E" w:rsidSect="00CA1572">
      <w:headerReference w:type="even" r:id="rId27"/>
      <w:headerReference w:type="default" r:id="rId28"/>
      <w:footerReference w:type="even" r:id="rId29"/>
      <w:footerReference w:type="default" r:id="rId3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9E" w:rsidRDefault="002B2D9E">
      <w:r>
        <w:separator/>
      </w:r>
    </w:p>
  </w:endnote>
  <w:endnote w:type="continuationSeparator" w:id="0">
    <w:p w:rsidR="002B2D9E" w:rsidRDefault="002B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20000003" w:usb1="00000000" w:usb2="00000000" w:usb3="00000000" w:csb0="000001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6F" w:rsidRDefault="005A796F" w:rsidP="00AF37BE">
    <w:pPr>
      <w:pStyle w:val="Piedepgina"/>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6F" w:rsidRDefault="005A796F" w:rsidP="00AF37BE">
    <w:pPr>
      <w:pStyle w:val="Piedepgina"/>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9E" w:rsidRDefault="002B2D9E">
      <w:r>
        <w:separator/>
      </w:r>
    </w:p>
  </w:footnote>
  <w:footnote w:type="continuationSeparator" w:id="0">
    <w:p w:rsidR="002B2D9E" w:rsidRDefault="002B2D9E">
      <w:r>
        <w:continuationSeparator/>
      </w:r>
    </w:p>
  </w:footnote>
  <w:footnote w:id="1">
    <w:p w:rsidR="005A796F" w:rsidRPr="004F535E" w:rsidRDefault="005A796F">
      <w:pPr>
        <w:pStyle w:val="Textonotapie"/>
        <w:kinsoku w:val="0"/>
        <w:overflowPunct w:val="0"/>
        <w:autoSpaceDE w:val="0"/>
        <w:autoSpaceDN w:val="0"/>
        <w:adjustRightInd w:val="0"/>
        <w:snapToGrid w:val="0"/>
        <w:ind w:firstLine="0"/>
        <w:rPr>
          <w:snapToGrid w:val="0"/>
          <w:kern w:val="18"/>
          <w:szCs w:val="18"/>
          <w:lang w:val="es-ES"/>
        </w:rPr>
      </w:pPr>
      <w:r w:rsidRPr="004F535E">
        <w:rPr>
          <w:rStyle w:val="Refdenotaalpie"/>
          <w:snapToGrid w:val="0"/>
          <w:kern w:val="18"/>
          <w:sz w:val="18"/>
          <w:szCs w:val="18"/>
          <w:lang w:val="es-ES"/>
        </w:rPr>
        <w:t>*</w:t>
      </w:r>
      <w:r w:rsidRPr="004F535E">
        <w:rPr>
          <w:snapToGrid w:val="0"/>
          <w:kern w:val="18"/>
          <w:szCs w:val="18"/>
          <w:lang w:val="es-ES"/>
        </w:rPr>
        <w:t xml:space="preserve"> </w:t>
      </w:r>
      <w:hyperlink r:id="rId1" w:history="1">
        <w:r w:rsidRPr="004F535E">
          <w:rPr>
            <w:rStyle w:val="Hipervnculo"/>
            <w:snapToGrid w:val="0"/>
            <w:kern w:val="18"/>
            <w:szCs w:val="18"/>
            <w:lang w:val="es-ES"/>
          </w:rPr>
          <w:t>CBD/SBI/2/1</w:t>
        </w:r>
      </w:hyperlink>
      <w:r w:rsidRPr="004F535E">
        <w:rPr>
          <w:snapToGrid w:val="0"/>
          <w:kern w:val="18"/>
          <w:szCs w:val="18"/>
          <w:lang w:val="es-ES"/>
        </w:rPr>
        <w:t>.</w:t>
      </w:r>
    </w:p>
  </w:footnote>
  <w:footnote w:id="2">
    <w:p w:rsidR="005A796F" w:rsidRPr="004F535E" w:rsidRDefault="005A796F">
      <w:pPr>
        <w:pStyle w:val="Textonotapie"/>
        <w:kinsoku w:val="0"/>
        <w:overflowPunct w:val="0"/>
        <w:autoSpaceDE w:val="0"/>
        <w:autoSpaceDN w:val="0"/>
        <w:adjustRightInd w:val="0"/>
        <w:snapToGrid w:val="0"/>
        <w:ind w:firstLine="0"/>
        <w:rPr>
          <w:snapToGrid w:val="0"/>
          <w:kern w:val="18"/>
          <w:szCs w:val="18"/>
          <w:lang w:val="es-ES"/>
        </w:rPr>
      </w:pPr>
      <w:r w:rsidRPr="004F535E">
        <w:rPr>
          <w:rStyle w:val="Refdenotaalpie"/>
          <w:snapToGrid w:val="0"/>
          <w:kern w:val="18"/>
          <w:sz w:val="18"/>
          <w:szCs w:val="18"/>
          <w:lang w:val="es-ES"/>
        </w:rPr>
        <w:footnoteRef/>
      </w:r>
      <w:r w:rsidRPr="004F535E">
        <w:rPr>
          <w:snapToGrid w:val="0"/>
          <w:kern w:val="18"/>
          <w:szCs w:val="18"/>
          <w:lang w:val="es-ES"/>
        </w:rPr>
        <w:t xml:space="preserve"> Véase la decisión </w:t>
      </w:r>
      <w:hyperlink r:id="rId2" w:history="1">
        <w:r w:rsidRPr="004F535E">
          <w:rPr>
            <w:rStyle w:val="Hipervnculo"/>
            <w:snapToGrid w:val="0"/>
            <w:kern w:val="18"/>
            <w:szCs w:val="18"/>
            <w:lang w:val="es-ES"/>
          </w:rPr>
          <w:t>X/1</w:t>
        </w:r>
      </w:hyperlink>
      <w:r w:rsidRPr="004F535E">
        <w:rPr>
          <w:snapToGrid w:val="0"/>
          <w:kern w:val="18"/>
          <w:szCs w:val="18"/>
          <w:lang w:val="es-ES"/>
        </w:rPr>
        <w:t>.</w:t>
      </w:r>
    </w:p>
  </w:footnote>
  <w:footnote w:id="3">
    <w:p w:rsidR="005A796F" w:rsidRPr="004F535E" w:rsidRDefault="005A796F">
      <w:pPr>
        <w:pStyle w:val="Textonotapie"/>
        <w:kinsoku w:val="0"/>
        <w:overflowPunct w:val="0"/>
        <w:autoSpaceDE w:val="0"/>
        <w:autoSpaceDN w:val="0"/>
        <w:adjustRightInd w:val="0"/>
        <w:snapToGrid w:val="0"/>
        <w:ind w:firstLine="0"/>
        <w:rPr>
          <w:snapToGrid w:val="0"/>
          <w:kern w:val="18"/>
          <w:szCs w:val="18"/>
          <w:lang w:val="es-ES"/>
        </w:rPr>
      </w:pPr>
      <w:r w:rsidRPr="004F535E">
        <w:rPr>
          <w:rStyle w:val="Refdenotaalpie"/>
          <w:snapToGrid w:val="0"/>
          <w:kern w:val="18"/>
          <w:sz w:val="18"/>
          <w:szCs w:val="18"/>
          <w:lang w:val="es-ES"/>
        </w:rPr>
        <w:footnoteRef/>
      </w:r>
      <w:r w:rsidRPr="004F535E">
        <w:rPr>
          <w:snapToGrid w:val="0"/>
          <w:kern w:val="18"/>
          <w:szCs w:val="18"/>
          <w:lang w:val="es-ES"/>
        </w:rPr>
        <w:t xml:space="preserve"> Véase la decisión </w:t>
      </w:r>
      <w:hyperlink r:id="rId3" w:history="1">
        <w:r w:rsidRPr="004F535E">
          <w:rPr>
            <w:rStyle w:val="Hipervnculo"/>
            <w:snapToGrid w:val="0"/>
            <w:kern w:val="18"/>
            <w:szCs w:val="18"/>
            <w:lang w:val="es-ES"/>
          </w:rPr>
          <w:t>X/2</w:t>
        </w:r>
      </w:hyperlink>
      <w:r w:rsidRPr="004F535E">
        <w:rPr>
          <w:snapToGrid w:val="0"/>
          <w:kern w:val="18"/>
          <w:szCs w:val="18"/>
          <w:lang w:val="es-ES"/>
        </w:rPr>
        <w:t>.</w:t>
      </w:r>
    </w:p>
  </w:footnote>
  <w:footnote w:id="4">
    <w:p w:rsidR="005A796F" w:rsidRPr="004F535E" w:rsidRDefault="005A796F">
      <w:pPr>
        <w:pStyle w:val="Textonotapie"/>
        <w:kinsoku w:val="0"/>
        <w:overflowPunct w:val="0"/>
        <w:autoSpaceDE w:val="0"/>
        <w:autoSpaceDN w:val="0"/>
        <w:adjustRightInd w:val="0"/>
        <w:snapToGrid w:val="0"/>
        <w:ind w:firstLine="0"/>
        <w:rPr>
          <w:snapToGrid w:val="0"/>
          <w:kern w:val="18"/>
          <w:szCs w:val="18"/>
          <w:lang w:val="es-ES"/>
        </w:rPr>
      </w:pPr>
      <w:r w:rsidRPr="004F535E">
        <w:rPr>
          <w:rStyle w:val="Refdenotaalpie"/>
          <w:snapToGrid w:val="0"/>
          <w:kern w:val="18"/>
          <w:sz w:val="18"/>
          <w:szCs w:val="18"/>
          <w:lang w:val="es-ES"/>
        </w:rPr>
        <w:footnoteRef/>
      </w:r>
      <w:r w:rsidRPr="004F535E">
        <w:rPr>
          <w:snapToGrid w:val="0"/>
          <w:kern w:val="18"/>
          <w:szCs w:val="18"/>
          <w:lang w:val="es-ES"/>
        </w:rPr>
        <w:t xml:space="preserve"> Véase la decisión </w:t>
      </w:r>
      <w:hyperlink r:id="rId4" w:history="1">
        <w:r w:rsidRPr="004F535E">
          <w:rPr>
            <w:rStyle w:val="Hipervnculo"/>
            <w:snapToGrid w:val="0"/>
            <w:kern w:val="18"/>
            <w:szCs w:val="18"/>
            <w:lang w:val="es-ES"/>
          </w:rPr>
          <w:t>X/10</w:t>
        </w:r>
      </w:hyperlink>
      <w:r w:rsidRPr="004F535E">
        <w:rPr>
          <w:snapToGrid w:val="0"/>
          <w:kern w:val="18"/>
          <w:szCs w:val="18"/>
          <w:lang w:val="es-ES"/>
        </w:rPr>
        <w:t>.</w:t>
      </w:r>
    </w:p>
  </w:footnote>
  <w:footnote w:id="5">
    <w:p w:rsidR="005A796F" w:rsidRPr="004F535E" w:rsidRDefault="005A796F">
      <w:pPr>
        <w:pStyle w:val="Textonotapie"/>
        <w:kinsoku w:val="0"/>
        <w:overflowPunct w:val="0"/>
        <w:autoSpaceDE w:val="0"/>
        <w:autoSpaceDN w:val="0"/>
        <w:adjustRightInd w:val="0"/>
        <w:snapToGrid w:val="0"/>
        <w:ind w:firstLine="0"/>
        <w:rPr>
          <w:snapToGrid w:val="0"/>
          <w:kern w:val="18"/>
          <w:szCs w:val="18"/>
          <w:lang w:val="es-ES"/>
        </w:rPr>
      </w:pPr>
      <w:r w:rsidRPr="004F535E">
        <w:rPr>
          <w:rStyle w:val="Refdenotaalpie"/>
          <w:snapToGrid w:val="0"/>
          <w:kern w:val="18"/>
          <w:sz w:val="18"/>
          <w:szCs w:val="18"/>
          <w:lang w:val="es-ES"/>
        </w:rPr>
        <w:footnoteRef/>
      </w:r>
      <w:r w:rsidRPr="004F535E">
        <w:rPr>
          <w:snapToGrid w:val="0"/>
          <w:kern w:val="18"/>
          <w:szCs w:val="18"/>
          <w:lang w:val="es-ES"/>
        </w:rPr>
        <w:t xml:space="preserve"> Esto tiene en cuenta las medidas sobre APB, autoridades nacionales competentes, puntos de verificación o certificados de cumplimiento reconocidos a nivel internacional.</w:t>
      </w:r>
    </w:p>
  </w:footnote>
  <w:footnote w:id="6">
    <w:p w:rsidR="005A796F" w:rsidRPr="004F535E" w:rsidRDefault="005A796F">
      <w:pPr>
        <w:pStyle w:val="Textonotapie"/>
        <w:kinsoku w:val="0"/>
        <w:overflowPunct w:val="0"/>
        <w:autoSpaceDE w:val="0"/>
        <w:autoSpaceDN w:val="0"/>
        <w:adjustRightInd w:val="0"/>
        <w:snapToGrid w:val="0"/>
        <w:ind w:firstLine="0"/>
        <w:rPr>
          <w:snapToGrid w:val="0"/>
          <w:kern w:val="18"/>
          <w:szCs w:val="18"/>
          <w:lang w:val="es-ES"/>
        </w:rPr>
      </w:pPr>
      <w:r w:rsidRPr="004F535E">
        <w:rPr>
          <w:rStyle w:val="Refdenotaalpie"/>
          <w:snapToGrid w:val="0"/>
          <w:kern w:val="18"/>
          <w:sz w:val="18"/>
          <w:szCs w:val="18"/>
          <w:lang w:val="es-ES"/>
        </w:rPr>
        <w:footnoteRef/>
      </w:r>
      <w:r w:rsidRPr="004F535E">
        <w:rPr>
          <w:snapToGrid w:val="0"/>
          <w:kern w:val="18"/>
          <w:szCs w:val="18"/>
          <w:lang w:val="es-ES"/>
        </w:rPr>
        <w:t xml:space="preserve"> Véanse los artículos 1 y 9 del Protocolo de Nagoya.</w:t>
      </w:r>
    </w:p>
  </w:footnote>
  <w:footnote w:id="7">
    <w:p w:rsidR="005A796F" w:rsidRPr="004F535E" w:rsidRDefault="005A796F">
      <w:pPr>
        <w:pStyle w:val="Textonotapie"/>
        <w:kinsoku w:val="0"/>
        <w:overflowPunct w:val="0"/>
        <w:autoSpaceDE w:val="0"/>
        <w:autoSpaceDN w:val="0"/>
        <w:adjustRightInd w:val="0"/>
        <w:snapToGrid w:val="0"/>
        <w:ind w:firstLine="0"/>
        <w:rPr>
          <w:snapToGrid w:val="0"/>
          <w:kern w:val="18"/>
          <w:szCs w:val="18"/>
          <w:lang w:val="es-ES"/>
        </w:rPr>
      </w:pPr>
      <w:r w:rsidRPr="004F535E">
        <w:rPr>
          <w:rStyle w:val="Refdenotaalpie"/>
          <w:snapToGrid w:val="0"/>
          <w:kern w:val="18"/>
          <w:sz w:val="18"/>
          <w:szCs w:val="18"/>
          <w:lang w:val="es-ES"/>
        </w:rPr>
        <w:footnoteRef/>
      </w:r>
      <w:r w:rsidRPr="004F535E">
        <w:rPr>
          <w:snapToGrid w:val="0"/>
          <w:kern w:val="18"/>
          <w:szCs w:val="18"/>
          <w:lang w:val="es-ES"/>
        </w:rPr>
        <w:t xml:space="preserve"> Directrices voluntarias Mo’otz </w:t>
      </w:r>
      <w:r w:rsidR="00B231A7">
        <w:rPr>
          <w:snapToGrid w:val="0"/>
          <w:kern w:val="18"/>
          <w:szCs w:val="18"/>
          <w:lang w:val="es-ES"/>
        </w:rPr>
        <w:t>K</w:t>
      </w:r>
      <w:r w:rsidR="00B231A7" w:rsidRPr="004F535E">
        <w:rPr>
          <w:snapToGrid w:val="0"/>
          <w:kern w:val="18"/>
          <w:szCs w:val="18"/>
          <w:lang w:val="es-ES"/>
        </w:rPr>
        <w:t xml:space="preserve">uxtal </w:t>
      </w:r>
      <w:r w:rsidRPr="004F535E">
        <w:rPr>
          <w:snapToGrid w:val="0"/>
          <w:kern w:val="18"/>
          <w:szCs w:val="18"/>
          <w:lang w:val="es-ES"/>
        </w:rPr>
        <w:t xml:space="preserve">para la elaboración de mecanismos, legislación u otras iniciativas adecuadas </w:t>
      </w:r>
      <w:r w:rsidR="00B231A7">
        <w:rPr>
          <w:snapToGrid w:val="0"/>
          <w:kern w:val="18"/>
          <w:szCs w:val="18"/>
          <w:lang w:val="es-ES"/>
        </w:rPr>
        <w:t>para</w:t>
      </w:r>
      <w:r w:rsidRPr="004F535E">
        <w:rPr>
          <w:snapToGrid w:val="0"/>
          <w:kern w:val="18"/>
          <w:szCs w:val="18"/>
          <w:lang w:val="es-ES"/>
        </w:rPr>
        <w:t xml:space="preserve">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 Las </w:t>
      </w:r>
      <w:r w:rsidR="00B231A7">
        <w:rPr>
          <w:snapToGrid w:val="0"/>
          <w:kern w:val="18"/>
          <w:szCs w:val="18"/>
          <w:lang w:val="es-ES"/>
        </w:rPr>
        <w:t>directrices</w:t>
      </w:r>
      <w:r w:rsidR="00B231A7" w:rsidRPr="004F535E">
        <w:rPr>
          <w:snapToGrid w:val="0"/>
          <w:kern w:val="18"/>
          <w:szCs w:val="18"/>
          <w:lang w:val="es-ES"/>
        </w:rPr>
        <w:t xml:space="preserve"> </w:t>
      </w:r>
      <w:r w:rsidRPr="004F535E">
        <w:rPr>
          <w:snapToGrid w:val="0"/>
          <w:kern w:val="18"/>
          <w:szCs w:val="18"/>
          <w:lang w:val="es-ES"/>
        </w:rPr>
        <w:t>fueron adoptadas por la Conferencia de las Partes en la decisión </w:t>
      </w:r>
      <w:hyperlink r:id="rId5" w:history="1">
        <w:r w:rsidRPr="004F535E">
          <w:rPr>
            <w:rStyle w:val="Hipervnculo"/>
            <w:snapToGrid w:val="0"/>
            <w:kern w:val="18"/>
            <w:szCs w:val="18"/>
            <w:lang w:val="es-ES"/>
          </w:rPr>
          <w:t>XIII/18</w:t>
        </w:r>
      </w:hyperlink>
      <w:r w:rsidRPr="004F535E">
        <w:rPr>
          <w:snapToGrid w:val="0"/>
          <w:kern w:val="18"/>
          <w:szCs w:val="18"/>
          <w:lang w:val="es-ES"/>
        </w:rPr>
        <w:t>.</w:t>
      </w:r>
    </w:p>
  </w:footnote>
  <w:footnote w:id="8">
    <w:p w:rsidR="005A796F" w:rsidRPr="004F535E" w:rsidRDefault="005A796F">
      <w:pPr>
        <w:pStyle w:val="Textonotapie"/>
        <w:kinsoku w:val="0"/>
        <w:overflowPunct w:val="0"/>
        <w:autoSpaceDE w:val="0"/>
        <w:autoSpaceDN w:val="0"/>
        <w:adjustRightInd w:val="0"/>
        <w:snapToGrid w:val="0"/>
        <w:ind w:firstLine="0"/>
        <w:rPr>
          <w:snapToGrid w:val="0"/>
          <w:kern w:val="18"/>
          <w:szCs w:val="18"/>
          <w:lang w:val="es-ES"/>
        </w:rPr>
      </w:pPr>
      <w:r w:rsidRPr="004F535E">
        <w:rPr>
          <w:rStyle w:val="Refdenotaalpie"/>
          <w:snapToGrid w:val="0"/>
          <w:kern w:val="18"/>
          <w:sz w:val="18"/>
          <w:szCs w:val="18"/>
          <w:lang w:val="es-ES"/>
        </w:rPr>
        <w:footnoteRef/>
      </w:r>
      <w:r w:rsidRPr="004F535E">
        <w:rPr>
          <w:snapToGrid w:val="0"/>
          <w:kern w:val="18"/>
          <w:szCs w:val="18"/>
          <w:lang w:val="es-ES"/>
        </w:rPr>
        <w:t xml:space="preserve"> Disponible en </w:t>
      </w:r>
      <w:hyperlink r:id="rId6" w:history="1">
        <w:r w:rsidRPr="004F535E">
          <w:rPr>
            <w:rStyle w:val="Hipervnculo"/>
            <w:snapToGrid w:val="0"/>
            <w:kern w:val="18"/>
            <w:szCs w:val="18"/>
            <w:lang w:val="es-ES"/>
          </w:rPr>
          <w:t>https://www.cbd.int/business/ressources/newsletters.shtml</w:t>
        </w:r>
      </w:hyperlink>
      <w:r w:rsidRPr="004F535E">
        <w:rPr>
          <w:rStyle w:val="Hipervnculo"/>
          <w:snapToGrid w:val="0"/>
          <w:color w:val="auto"/>
          <w:kern w:val="18"/>
          <w:szCs w:val="18"/>
          <w:u w:val="none"/>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5A796F" w:rsidRPr="00B74140" w:rsidRDefault="005A796F" w:rsidP="00AF37BE">
        <w:pPr>
          <w:pStyle w:val="Encabezado"/>
          <w:tabs>
            <w:tab w:val="clear" w:pos="4320"/>
            <w:tab w:val="clear" w:pos="8640"/>
          </w:tabs>
          <w:kinsoku w:val="0"/>
          <w:overflowPunct w:val="0"/>
          <w:autoSpaceDE w:val="0"/>
          <w:autoSpaceDN w:val="0"/>
          <w:adjustRightInd w:val="0"/>
          <w:snapToGrid w:val="0"/>
          <w:jc w:val="left"/>
          <w:rPr>
            <w:noProof/>
            <w:kern w:val="22"/>
          </w:rPr>
        </w:pPr>
        <w:r>
          <w:rPr>
            <w:noProof/>
            <w:kern w:val="22"/>
          </w:rPr>
          <w:t>CBD/SBI/2/14</w:t>
        </w:r>
      </w:p>
    </w:sdtContent>
  </w:sdt>
  <w:p w:rsidR="005A796F" w:rsidRPr="00B74140" w:rsidRDefault="005A796F" w:rsidP="00AF37BE">
    <w:pPr>
      <w:pStyle w:val="Encabezado"/>
      <w:tabs>
        <w:tab w:val="clear" w:pos="4320"/>
        <w:tab w:val="clear" w:pos="8640"/>
      </w:tabs>
      <w:kinsoku w:val="0"/>
      <w:overflowPunct w:val="0"/>
      <w:autoSpaceDE w:val="0"/>
      <w:autoSpaceDN w:val="0"/>
      <w:adjustRightInd w:val="0"/>
      <w:snapToGrid w:val="0"/>
      <w:jc w:val="left"/>
      <w:rPr>
        <w:noProof/>
        <w:kern w:val="22"/>
      </w:rPr>
    </w:pPr>
    <w:r>
      <w:rPr>
        <w:noProof/>
        <w:kern w:val="22"/>
      </w:rPr>
      <w:t xml:space="preserve">Página </w:t>
    </w:r>
    <w:r w:rsidR="00822A2C">
      <w:rPr>
        <w:noProof/>
        <w:kern w:val="22"/>
      </w:rPr>
      <w:fldChar w:fldCharType="begin"/>
    </w:r>
    <w:r>
      <w:rPr>
        <w:noProof/>
        <w:kern w:val="22"/>
      </w:rPr>
      <w:instrText xml:space="preserve"> PAGE   \* MERGEFORMAT </w:instrText>
    </w:r>
    <w:r w:rsidR="00822A2C">
      <w:rPr>
        <w:noProof/>
        <w:kern w:val="22"/>
      </w:rPr>
      <w:fldChar w:fldCharType="separate"/>
    </w:r>
    <w:r w:rsidR="003B623B">
      <w:rPr>
        <w:noProof/>
        <w:kern w:val="22"/>
      </w:rPr>
      <w:t>8</w:t>
    </w:r>
    <w:r w:rsidR="00822A2C">
      <w:rPr>
        <w:noProof/>
        <w:kern w:val="22"/>
      </w:rPr>
      <w:fldChar w:fldCharType="end"/>
    </w:r>
  </w:p>
  <w:p w:rsidR="005A796F" w:rsidRPr="00B74140" w:rsidRDefault="005A796F" w:rsidP="00AF37BE">
    <w:pPr>
      <w:pStyle w:val="Encabezado"/>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5A796F" w:rsidRPr="00B74140" w:rsidRDefault="005A796F" w:rsidP="00AF37BE">
        <w:pPr>
          <w:pStyle w:val="Encabezado"/>
          <w:tabs>
            <w:tab w:val="clear" w:pos="4320"/>
            <w:tab w:val="clear" w:pos="8640"/>
          </w:tabs>
          <w:kinsoku w:val="0"/>
          <w:overflowPunct w:val="0"/>
          <w:autoSpaceDE w:val="0"/>
          <w:autoSpaceDN w:val="0"/>
          <w:jc w:val="right"/>
          <w:rPr>
            <w:noProof/>
            <w:kern w:val="22"/>
          </w:rPr>
        </w:pPr>
        <w:r>
          <w:rPr>
            <w:noProof/>
            <w:kern w:val="22"/>
          </w:rPr>
          <w:t>CBD/SBI/2/14</w:t>
        </w:r>
      </w:p>
    </w:sdtContent>
  </w:sdt>
  <w:p w:rsidR="005A796F" w:rsidRPr="00B74140" w:rsidRDefault="005A796F" w:rsidP="00AF37BE">
    <w:pPr>
      <w:pStyle w:val="Encabezado"/>
      <w:tabs>
        <w:tab w:val="clear" w:pos="4320"/>
        <w:tab w:val="clear" w:pos="8640"/>
      </w:tabs>
      <w:kinsoku w:val="0"/>
      <w:overflowPunct w:val="0"/>
      <w:autoSpaceDE w:val="0"/>
      <w:autoSpaceDN w:val="0"/>
      <w:jc w:val="right"/>
      <w:rPr>
        <w:noProof/>
        <w:kern w:val="22"/>
      </w:rPr>
    </w:pPr>
    <w:r>
      <w:rPr>
        <w:noProof/>
        <w:kern w:val="22"/>
      </w:rPr>
      <w:t xml:space="preserve">Página </w:t>
    </w:r>
    <w:r w:rsidR="00822A2C">
      <w:rPr>
        <w:noProof/>
        <w:kern w:val="22"/>
      </w:rPr>
      <w:fldChar w:fldCharType="begin"/>
    </w:r>
    <w:r>
      <w:rPr>
        <w:noProof/>
        <w:kern w:val="22"/>
      </w:rPr>
      <w:instrText xml:space="preserve"> PAGE   \* MERGEFORMAT </w:instrText>
    </w:r>
    <w:r w:rsidR="00822A2C">
      <w:rPr>
        <w:noProof/>
        <w:kern w:val="22"/>
      </w:rPr>
      <w:fldChar w:fldCharType="separate"/>
    </w:r>
    <w:r w:rsidR="003B623B">
      <w:rPr>
        <w:noProof/>
        <w:kern w:val="22"/>
      </w:rPr>
      <w:t>9</w:t>
    </w:r>
    <w:r w:rsidR="00822A2C">
      <w:rPr>
        <w:noProof/>
        <w:kern w:val="22"/>
      </w:rPr>
      <w:fldChar w:fldCharType="end"/>
    </w:r>
  </w:p>
  <w:p w:rsidR="005A796F" w:rsidRPr="009316F7" w:rsidRDefault="005A796F" w:rsidP="00AF37BE">
    <w:pPr>
      <w:pStyle w:val="Encabezado"/>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A91"/>
    <w:multiLevelType w:val="hybridMultilevel"/>
    <w:tmpl w:val="04F44444"/>
    <w:lvl w:ilvl="0" w:tplc="EEACD8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A60"/>
    <w:multiLevelType w:val="hybridMultilevel"/>
    <w:tmpl w:val="079E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0380E0D"/>
    <w:multiLevelType w:val="hybridMultilevel"/>
    <w:tmpl w:val="FA2AB2E4"/>
    <w:lvl w:ilvl="0" w:tplc="843A0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7234BC9"/>
    <w:multiLevelType w:val="hybridMultilevel"/>
    <w:tmpl w:val="A26EC64A"/>
    <w:lvl w:ilvl="0" w:tplc="68A2B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7740632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F5E76"/>
    <w:multiLevelType w:val="hybridMultilevel"/>
    <w:tmpl w:val="1B665ADE"/>
    <w:lvl w:ilvl="0" w:tplc="CAD2961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1701F"/>
    <w:multiLevelType w:val="hybridMultilevel"/>
    <w:tmpl w:val="4DAE67A4"/>
    <w:lvl w:ilvl="0" w:tplc="FEF00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7"/>
  </w:num>
  <w:num w:numId="5">
    <w:abstractNumId w:val="6"/>
  </w:num>
  <w:num w:numId="6">
    <w:abstractNumId w:val="8"/>
  </w:num>
  <w:num w:numId="7">
    <w:abstractNumId w:val="1"/>
  </w:num>
  <w:num w:numId="8">
    <w:abstractNumId w:val="7"/>
  </w:num>
  <w:num w:numId="9">
    <w:abstractNumId w:val="5"/>
  </w:num>
  <w:num w:numId="10">
    <w:abstractNumId w:val="3"/>
  </w:num>
  <w:num w:numId="11">
    <w:abstractNumId w:val="10"/>
  </w:num>
  <w:num w:numId="12">
    <w:abstractNumId w:val="9"/>
  </w:num>
  <w:num w:numId="13">
    <w:abstractNumId w:val="7"/>
  </w:num>
  <w:num w:numId="14">
    <w:abstractNumId w:val="7"/>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B3B"/>
    <w:rsid w:val="000014E2"/>
    <w:rsid w:val="0000278D"/>
    <w:rsid w:val="000045D5"/>
    <w:rsid w:val="0000533E"/>
    <w:rsid w:val="00006FA3"/>
    <w:rsid w:val="00007D43"/>
    <w:rsid w:val="00012364"/>
    <w:rsid w:val="00020B29"/>
    <w:rsid w:val="00020DF0"/>
    <w:rsid w:val="000219AC"/>
    <w:rsid w:val="0002202C"/>
    <w:rsid w:val="000258A6"/>
    <w:rsid w:val="000268FA"/>
    <w:rsid w:val="00030992"/>
    <w:rsid w:val="00031D24"/>
    <w:rsid w:val="00033CEB"/>
    <w:rsid w:val="00037873"/>
    <w:rsid w:val="00037B3D"/>
    <w:rsid w:val="0004001B"/>
    <w:rsid w:val="00042999"/>
    <w:rsid w:val="000502E7"/>
    <w:rsid w:val="00052450"/>
    <w:rsid w:val="000536C6"/>
    <w:rsid w:val="00054381"/>
    <w:rsid w:val="000550B5"/>
    <w:rsid w:val="000576B1"/>
    <w:rsid w:val="0006567E"/>
    <w:rsid w:val="000711E1"/>
    <w:rsid w:val="00073708"/>
    <w:rsid w:val="00077D14"/>
    <w:rsid w:val="000808F1"/>
    <w:rsid w:val="0009324F"/>
    <w:rsid w:val="00095791"/>
    <w:rsid w:val="000A1E5D"/>
    <w:rsid w:val="000A62EE"/>
    <w:rsid w:val="000B13F6"/>
    <w:rsid w:val="000B3A14"/>
    <w:rsid w:val="000B42B4"/>
    <w:rsid w:val="000C0AE0"/>
    <w:rsid w:val="000C3D80"/>
    <w:rsid w:val="000C65C7"/>
    <w:rsid w:val="000D2010"/>
    <w:rsid w:val="000D5AFE"/>
    <w:rsid w:val="000E2B05"/>
    <w:rsid w:val="000E637D"/>
    <w:rsid w:val="000E7E6A"/>
    <w:rsid w:val="000F63AB"/>
    <w:rsid w:val="000F7A43"/>
    <w:rsid w:val="0010056E"/>
    <w:rsid w:val="0010187D"/>
    <w:rsid w:val="00103C09"/>
    <w:rsid w:val="00105BC6"/>
    <w:rsid w:val="001155AB"/>
    <w:rsid w:val="00120C78"/>
    <w:rsid w:val="0012214B"/>
    <w:rsid w:val="001337B6"/>
    <w:rsid w:val="001412F0"/>
    <w:rsid w:val="00141982"/>
    <w:rsid w:val="001423A4"/>
    <w:rsid w:val="001478AA"/>
    <w:rsid w:val="0015012D"/>
    <w:rsid w:val="00152888"/>
    <w:rsid w:val="00152C2B"/>
    <w:rsid w:val="00155BA7"/>
    <w:rsid w:val="00160E1E"/>
    <w:rsid w:val="001647F1"/>
    <w:rsid w:val="00166367"/>
    <w:rsid w:val="00166622"/>
    <w:rsid w:val="0017247F"/>
    <w:rsid w:val="001729AE"/>
    <w:rsid w:val="00172C3E"/>
    <w:rsid w:val="00181B21"/>
    <w:rsid w:val="00184728"/>
    <w:rsid w:val="00184CAA"/>
    <w:rsid w:val="00190409"/>
    <w:rsid w:val="00192E06"/>
    <w:rsid w:val="00197E46"/>
    <w:rsid w:val="001A1B76"/>
    <w:rsid w:val="001A3224"/>
    <w:rsid w:val="001A5072"/>
    <w:rsid w:val="001A6C94"/>
    <w:rsid w:val="001B331B"/>
    <w:rsid w:val="001B6036"/>
    <w:rsid w:val="001C2570"/>
    <w:rsid w:val="001C321F"/>
    <w:rsid w:val="001C382D"/>
    <w:rsid w:val="001C38B7"/>
    <w:rsid w:val="001D1E30"/>
    <w:rsid w:val="001D4BCD"/>
    <w:rsid w:val="001E74B3"/>
    <w:rsid w:val="001E7625"/>
    <w:rsid w:val="001F1A27"/>
    <w:rsid w:val="001F2D27"/>
    <w:rsid w:val="001F5FC1"/>
    <w:rsid w:val="001F6379"/>
    <w:rsid w:val="001F6667"/>
    <w:rsid w:val="001F68FD"/>
    <w:rsid w:val="002037DF"/>
    <w:rsid w:val="00204415"/>
    <w:rsid w:val="002055D2"/>
    <w:rsid w:val="00206C81"/>
    <w:rsid w:val="002071FA"/>
    <w:rsid w:val="00207A6E"/>
    <w:rsid w:val="00207CB2"/>
    <w:rsid w:val="0021130E"/>
    <w:rsid w:val="00222E55"/>
    <w:rsid w:val="00224B92"/>
    <w:rsid w:val="00226030"/>
    <w:rsid w:val="00226406"/>
    <w:rsid w:val="00233D04"/>
    <w:rsid w:val="002357E1"/>
    <w:rsid w:val="0024037F"/>
    <w:rsid w:val="0024420A"/>
    <w:rsid w:val="002445C2"/>
    <w:rsid w:val="002504D7"/>
    <w:rsid w:val="00252897"/>
    <w:rsid w:val="00252E86"/>
    <w:rsid w:val="002626DC"/>
    <w:rsid w:val="00262F0B"/>
    <w:rsid w:val="0027055D"/>
    <w:rsid w:val="0027701F"/>
    <w:rsid w:val="002826DC"/>
    <w:rsid w:val="002848EB"/>
    <w:rsid w:val="00284FCE"/>
    <w:rsid w:val="00287606"/>
    <w:rsid w:val="002922A2"/>
    <w:rsid w:val="002A0EED"/>
    <w:rsid w:val="002A100D"/>
    <w:rsid w:val="002B0942"/>
    <w:rsid w:val="002B2D9E"/>
    <w:rsid w:val="002B323A"/>
    <w:rsid w:val="002B531E"/>
    <w:rsid w:val="002C13C8"/>
    <w:rsid w:val="002C241F"/>
    <w:rsid w:val="002C4BDB"/>
    <w:rsid w:val="002C68C2"/>
    <w:rsid w:val="002C735F"/>
    <w:rsid w:val="002C7752"/>
    <w:rsid w:val="002D0190"/>
    <w:rsid w:val="002D4673"/>
    <w:rsid w:val="002D4DBF"/>
    <w:rsid w:val="002E0627"/>
    <w:rsid w:val="002E2FF9"/>
    <w:rsid w:val="002E301B"/>
    <w:rsid w:val="002E3605"/>
    <w:rsid w:val="002E4F76"/>
    <w:rsid w:val="003003DE"/>
    <w:rsid w:val="00300AF8"/>
    <w:rsid w:val="00301E8A"/>
    <w:rsid w:val="00304194"/>
    <w:rsid w:val="00304DA9"/>
    <w:rsid w:val="00306099"/>
    <w:rsid w:val="003115C2"/>
    <w:rsid w:val="00312CF4"/>
    <w:rsid w:val="0031427C"/>
    <w:rsid w:val="003157F2"/>
    <w:rsid w:val="003203FE"/>
    <w:rsid w:val="003210FF"/>
    <w:rsid w:val="00325DE3"/>
    <w:rsid w:val="0032718B"/>
    <w:rsid w:val="003276E8"/>
    <w:rsid w:val="00336766"/>
    <w:rsid w:val="0034478E"/>
    <w:rsid w:val="00345278"/>
    <w:rsid w:val="00352B6F"/>
    <w:rsid w:val="00353291"/>
    <w:rsid w:val="0036143A"/>
    <w:rsid w:val="0036390F"/>
    <w:rsid w:val="00365E9D"/>
    <w:rsid w:val="00366925"/>
    <w:rsid w:val="00371A5A"/>
    <w:rsid w:val="00372EEA"/>
    <w:rsid w:val="00374C33"/>
    <w:rsid w:val="00376A2E"/>
    <w:rsid w:val="0037792F"/>
    <w:rsid w:val="00381BFF"/>
    <w:rsid w:val="00383510"/>
    <w:rsid w:val="003857A0"/>
    <w:rsid w:val="00387D13"/>
    <w:rsid w:val="0039164A"/>
    <w:rsid w:val="003926ED"/>
    <w:rsid w:val="003A17E2"/>
    <w:rsid w:val="003A1BC4"/>
    <w:rsid w:val="003B10B9"/>
    <w:rsid w:val="003B322A"/>
    <w:rsid w:val="003B623B"/>
    <w:rsid w:val="003B72CB"/>
    <w:rsid w:val="003C03F3"/>
    <w:rsid w:val="003C113F"/>
    <w:rsid w:val="003C408D"/>
    <w:rsid w:val="003D7239"/>
    <w:rsid w:val="003E2DAE"/>
    <w:rsid w:val="003E406F"/>
    <w:rsid w:val="003E4D78"/>
    <w:rsid w:val="003F159B"/>
    <w:rsid w:val="003F1C9A"/>
    <w:rsid w:val="003F6E44"/>
    <w:rsid w:val="00400E09"/>
    <w:rsid w:val="00406BC6"/>
    <w:rsid w:val="0041618C"/>
    <w:rsid w:val="004162F8"/>
    <w:rsid w:val="0042079D"/>
    <w:rsid w:val="00420D35"/>
    <w:rsid w:val="004376F1"/>
    <w:rsid w:val="00440A3A"/>
    <w:rsid w:val="00443608"/>
    <w:rsid w:val="0044424E"/>
    <w:rsid w:val="00473BAD"/>
    <w:rsid w:val="00476D32"/>
    <w:rsid w:val="00483D28"/>
    <w:rsid w:val="00487C34"/>
    <w:rsid w:val="00495886"/>
    <w:rsid w:val="00495DED"/>
    <w:rsid w:val="004A462F"/>
    <w:rsid w:val="004A4E01"/>
    <w:rsid w:val="004A7EA5"/>
    <w:rsid w:val="004B1B86"/>
    <w:rsid w:val="004B597A"/>
    <w:rsid w:val="004B5A7D"/>
    <w:rsid w:val="004D1C32"/>
    <w:rsid w:val="004D3907"/>
    <w:rsid w:val="004F4D43"/>
    <w:rsid w:val="004F535E"/>
    <w:rsid w:val="00500530"/>
    <w:rsid w:val="005032C9"/>
    <w:rsid w:val="0050491F"/>
    <w:rsid w:val="005052FD"/>
    <w:rsid w:val="00511340"/>
    <w:rsid w:val="00516C26"/>
    <w:rsid w:val="005243F8"/>
    <w:rsid w:val="00525039"/>
    <w:rsid w:val="00532455"/>
    <w:rsid w:val="00532E21"/>
    <w:rsid w:val="00535459"/>
    <w:rsid w:val="005440A6"/>
    <w:rsid w:val="00553DA8"/>
    <w:rsid w:val="00560784"/>
    <w:rsid w:val="00565FB8"/>
    <w:rsid w:val="005666BD"/>
    <w:rsid w:val="005711BC"/>
    <w:rsid w:val="005723DC"/>
    <w:rsid w:val="00572A4B"/>
    <w:rsid w:val="005755D8"/>
    <w:rsid w:val="005765BE"/>
    <w:rsid w:val="00576C64"/>
    <w:rsid w:val="00591B7F"/>
    <w:rsid w:val="00592F12"/>
    <w:rsid w:val="0059525C"/>
    <w:rsid w:val="005955D2"/>
    <w:rsid w:val="005A4284"/>
    <w:rsid w:val="005A72FB"/>
    <w:rsid w:val="005A796F"/>
    <w:rsid w:val="005B6A14"/>
    <w:rsid w:val="005C1ECF"/>
    <w:rsid w:val="005C262F"/>
    <w:rsid w:val="005C6D4C"/>
    <w:rsid w:val="005C7BA7"/>
    <w:rsid w:val="005D139C"/>
    <w:rsid w:val="005D6E76"/>
    <w:rsid w:val="005E337A"/>
    <w:rsid w:val="005F1416"/>
    <w:rsid w:val="005F4C74"/>
    <w:rsid w:val="005F7DD4"/>
    <w:rsid w:val="00601BDD"/>
    <w:rsid w:val="0061763C"/>
    <w:rsid w:val="006260D5"/>
    <w:rsid w:val="0062654C"/>
    <w:rsid w:val="006368BB"/>
    <w:rsid w:val="00643BD9"/>
    <w:rsid w:val="00647F7A"/>
    <w:rsid w:val="006507F2"/>
    <w:rsid w:val="0065254C"/>
    <w:rsid w:val="006531B0"/>
    <w:rsid w:val="0065770C"/>
    <w:rsid w:val="00665634"/>
    <w:rsid w:val="00670D1D"/>
    <w:rsid w:val="0067304D"/>
    <w:rsid w:val="00685AA5"/>
    <w:rsid w:val="0068607C"/>
    <w:rsid w:val="006861A0"/>
    <w:rsid w:val="00690847"/>
    <w:rsid w:val="00690872"/>
    <w:rsid w:val="00691F75"/>
    <w:rsid w:val="006957C3"/>
    <w:rsid w:val="006A066D"/>
    <w:rsid w:val="006A0929"/>
    <w:rsid w:val="006A0D1D"/>
    <w:rsid w:val="006B074E"/>
    <w:rsid w:val="006B2BD5"/>
    <w:rsid w:val="006B3613"/>
    <w:rsid w:val="006C1650"/>
    <w:rsid w:val="006C3635"/>
    <w:rsid w:val="006C541D"/>
    <w:rsid w:val="006D010F"/>
    <w:rsid w:val="006D0E3D"/>
    <w:rsid w:val="006E621E"/>
    <w:rsid w:val="006F284C"/>
    <w:rsid w:val="006F3C2C"/>
    <w:rsid w:val="006F6F44"/>
    <w:rsid w:val="006F7227"/>
    <w:rsid w:val="00702366"/>
    <w:rsid w:val="00702810"/>
    <w:rsid w:val="00704E2A"/>
    <w:rsid w:val="00712E26"/>
    <w:rsid w:val="00713343"/>
    <w:rsid w:val="007146A1"/>
    <w:rsid w:val="007163BC"/>
    <w:rsid w:val="00721DA2"/>
    <w:rsid w:val="00730AE3"/>
    <w:rsid w:val="007323D8"/>
    <w:rsid w:val="00736BC2"/>
    <w:rsid w:val="00757E33"/>
    <w:rsid w:val="00760850"/>
    <w:rsid w:val="00771D4D"/>
    <w:rsid w:val="00772B17"/>
    <w:rsid w:val="0077314D"/>
    <w:rsid w:val="007744C8"/>
    <w:rsid w:val="00777039"/>
    <w:rsid w:val="00777687"/>
    <w:rsid w:val="00785C3D"/>
    <w:rsid w:val="00785E90"/>
    <w:rsid w:val="00786D5C"/>
    <w:rsid w:val="00787A39"/>
    <w:rsid w:val="0079325E"/>
    <w:rsid w:val="007941A5"/>
    <w:rsid w:val="00797309"/>
    <w:rsid w:val="007A0411"/>
    <w:rsid w:val="007A0D24"/>
    <w:rsid w:val="007B1587"/>
    <w:rsid w:val="007B4135"/>
    <w:rsid w:val="007C31B3"/>
    <w:rsid w:val="007C50CD"/>
    <w:rsid w:val="007C5285"/>
    <w:rsid w:val="007C633B"/>
    <w:rsid w:val="007D3182"/>
    <w:rsid w:val="007D4C76"/>
    <w:rsid w:val="007E1D22"/>
    <w:rsid w:val="007F226A"/>
    <w:rsid w:val="007F5430"/>
    <w:rsid w:val="00805788"/>
    <w:rsid w:val="00816E3E"/>
    <w:rsid w:val="00821F56"/>
    <w:rsid w:val="00822A2C"/>
    <w:rsid w:val="00825524"/>
    <w:rsid w:val="008259D9"/>
    <w:rsid w:val="0083211E"/>
    <w:rsid w:val="00835ABF"/>
    <w:rsid w:val="008424C2"/>
    <w:rsid w:val="00843728"/>
    <w:rsid w:val="00843FF1"/>
    <w:rsid w:val="00846BA5"/>
    <w:rsid w:val="008656AC"/>
    <w:rsid w:val="008700C1"/>
    <w:rsid w:val="00870D40"/>
    <w:rsid w:val="00882AAC"/>
    <w:rsid w:val="00884C4C"/>
    <w:rsid w:val="0089138D"/>
    <w:rsid w:val="00896917"/>
    <w:rsid w:val="008A0CE1"/>
    <w:rsid w:val="008A1848"/>
    <w:rsid w:val="008A1CC0"/>
    <w:rsid w:val="008A2179"/>
    <w:rsid w:val="008A43D4"/>
    <w:rsid w:val="008A7963"/>
    <w:rsid w:val="008B23BD"/>
    <w:rsid w:val="008B558C"/>
    <w:rsid w:val="008B641B"/>
    <w:rsid w:val="008C013C"/>
    <w:rsid w:val="008C1E35"/>
    <w:rsid w:val="008C2FF5"/>
    <w:rsid w:val="008D0857"/>
    <w:rsid w:val="008D30B6"/>
    <w:rsid w:val="008D5AA2"/>
    <w:rsid w:val="008E1ADE"/>
    <w:rsid w:val="008E5F84"/>
    <w:rsid w:val="008E7500"/>
    <w:rsid w:val="008F1ABD"/>
    <w:rsid w:val="008F4687"/>
    <w:rsid w:val="008F78C2"/>
    <w:rsid w:val="009029A0"/>
    <w:rsid w:val="00904DE8"/>
    <w:rsid w:val="009067F8"/>
    <w:rsid w:val="00912D4F"/>
    <w:rsid w:val="0091673D"/>
    <w:rsid w:val="00922EAD"/>
    <w:rsid w:val="00927396"/>
    <w:rsid w:val="0092794B"/>
    <w:rsid w:val="009316F7"/>
    <w:rsid w:val="00931A10"/>
    <w:rsid w:val="00941DB3"/>
    <w:rsid w:val="009466CA"/>
    <w:rsid w:val="00951BF6"/>
    <w:rsid w:val="00953856"/>
    <w:rsid w:val="0095393E"/>
    <w:rsid w:val="00953AB3"/>
    <w:rsid w:val="009554D5"/>
    <w:rsid w:val="00956F96"/>
    <w:rsid w:val="009570CA"/>
    <w:rsid w:val="00961313"/>
    <w:rsid w:val="009721C5"/>
    <w:rsid w:val="00972706"/>
    <w:rsid w:val="00976DA6"/>
    <w:rsid w:val="009828D0"/>
    <w:rsid w:val="009909A3"/>
    <w:rsid w:val="00992F49"/>
    <w:rsid w:val="0099431C"/>
    <w:rsid w:val="009955DF"/>
    <w:rsid w:val="009A1E1D"/>
    <w:rsid w:val="009B269A"/>
    <w:rsid w:val="009B523C"/>
    <w:rsid w:val="009B5E1D"/>
    <w:rsid w:val="009B78A3"/>
    <w:rsid w:val="009D2F92"/>
    <w:rsid w:val="009D2FA2"/>
    <w:rsid w:val="009D57DD"/>
    <w:rsid w:val="009D76DF"/>
    <w:rsid w:val="009E0D5C"/>
    <w:rsid w:val="009E14B6"/>
    <w:rsid w:val="009E2B79"/>
    <w:rsid w:val="009E62EF"/>
    <w:rsid w:val="009E67CE"/>
    <w:rsid w:val="009F560E"/>
    <w:rsid w:val="00A0383E"/>
    <w:rsid w:val="00A10051"/>
    <w:rsid w:val="00A11C68"/>
    <w:rsid w:val="00A12D9A"/>
    <w:rsid w:val="00A20F36"/>
    <w:rsid w:val="00A2169A"/>
    <w:rsid w:val="00A24442"/>
    <w:rsid w:val="00A30DAD"/>
    <w:rsid w:val="00A33082"/>
    <w:rsid w:val="00A36091"/>
    <w:rsid w:val="00A378DD"/>
    <w:rsid w:val="00A42777"/>
    <w:rsid w:val="00A60AFF"/>
    <w:rsid w:val="00A63F60"/>
    <w:rsid w:val="00A7069A"/>
    <w:rsid w:val="00A70BFB"/>
    <w:rsid w:val="00A7359E"/>
    <w:rsid w:val="00A75473"/>
    <w:rsid w:val="00A75BD0"/>
    <w:rsid w:val="00A77DD9"/>
    <w:rsid w:val="00A85E13"/>
    <w:rsid w:val="00A876B6"/>
    <w:rsid w:val="00A935F9"/>
    <w:rsid w:val="00A954A4"/>
    <w:rsid w:val="00A955E6"/>
    <w:rsid w:val="00AA014E"/>
    <w:rsid w:val="00AA0467"/>
    <w:rsid w:val="00AA4365"/>
    <w:rsid w:val="00AA57BC"/>
    <w:rsid w:val="00AC1E69"/>
    <w:rsid w:val="00AC378D"/>
    <w:rsid w:val="00AD2B2A"/>
    <w:rsid w:val="00AD6EE1"/>
    <w:rsid w:val="00AD6F26"/>
    <w:rsid w:val="00AE1829"/>
    <w:rsid w:val="00AE5298"/>
    <w:rsid w:val="00AE75E3"/>
    <w:rsid w:val="00AF37BE"/>
    <w:rsid w:val="00AF56FA"/>
    <w:rsid w:val="00AF5A70"/>
    <w:rsid w:val="00B000F8"/>
    <w:rsid w:val="00B106D9"/>
    <w:rsid w:val="00B15D23"/>
    <w:rsid w:val="00B231A7"/>
    <w:rsid w:val="00B2340C"/>
    <w:rsid w:val="00B23576"/>
    <w:rsid w:val="00B267ED"/>
    <w:rsid w:val="00B271A0"/>
    <w:rsid w:val="00B3299A"/>
    <w:rsid w:val="00B41880"/>
    <w:rsid w:val="00B4436B"/>
    <w:rsid w:val="00B45C4C"/>
    <w:rsid w:val="00B47155"/>
    <w:rsid w:val="00B51276"/>
    <w:rsid w:val="00B538CB"/>
    <w:rsid w:val="00B561EC"/>
    <w:rsid w:val="00B56B11"/>
    <w:rsid w:val="00B65D7E"/>
    <w:rsid w:val="00B66F50"/>
    <w:rsid w:val="00B673E3"/>
    <w:rsid w:val="00B709F9"/>
    <w:rsid w:val="00B74140"/>
    <w:rsid w:val="00B8515D"/>
    <w:rsid w:val="00B85F9B"/>
    <w:rsid w:val="00B90D53"/>
    <w:rsid w:val="00B923EF"/>
    <w:rsid w:val="00B948A8"/>
    <w:rsid w:val="00B959FD"/>
    <w:rsid w:val="00B95D69"/>
    <w:rsid w:val="00B960E9"/>
    <w:rsid w:val="00BA1498"/>
    <w:rsid w:val="00BA2CF7"/>
    <w:rsid w:val="00BA3233"/>
    <w:rsid w:val="00BB4BD0"/>
    <w:rsid w:val="00BB73C8"/>
    <w:rsid w:val="00BC21F2"/>
    <w:rsid w:val="00BC27DE"/>
    <w:rsid w:val="00BC3017"/>
    <w:rsid w:val="00BC778C"/>
    <w:rsid w:val="00BD0052"/>
    <w:rsid w:val="00BD2718"/>
    <w:rsid w:val="00BE37A4"/>
    <w:rsid w:val="00BE3CE9"/>
    <w:rsid w:val="00BE45DE"/>
    <w:rsid w:val="00C05456"/>
    <w:rsid w:val="00C05B4C"/>
    <w:rsid w:val="00C07583"/>
    <w:rsid w:val="00C076A9"/>
    <w:rsid w:val="00C15BBB"/>
    <w:rsid w:val="00C2117E"/>
    <w:rsid w:val="00C26158"/>
    <w:rsid w:val="00C31B34"/>
    <w:rsid w:val="00C31FC0"/>
    <w:rsid w:val="00C35A2E"/>
    <w:rsid w:val="00C36325"/>
    <w:rsid w:val="00C37FF1"/>
    <w:rsid w:val="00C433B7"/>
    <w:rsid w:val="00C43DED"/>
    <w:rsid w:val="00C465A1"/>
    <w:rsid w:val="00C507CD"/>
    <w:rsid w:val="00C71E38"/>
    <w:rsid w:val="00C73CD1"/>
    <w:rsid w:val="00C81759"/>
    <w:rsid w:val="00C85EA4"/>
    <w:rsid w:val="00C912FE"/>
    <w:rsid w:val="00CA1572"/>
    <w:rsid w:val="00CA1B6A"/>
    <w:rsid w:val="00CA2D7B"/>
    <w:rsid w:val="00CA6B87"/>
    <w:rsid w:val="00CB14C9"/>
    <w:rsid w:val="00CB1B5D"/>
    <w:rsid w:val="00CB5C90"/>
    <w:rsid w:val="00CC2031"/>
    <w:rsid w:val="00CC33E1"/>
    <w:rsid w:val="00CC4C87"/>
    <w:rsid w:val="00CC51ED"/>
    <w:rsid w:val="00CD1ADD"/>
    <w:rsid w:val="00CD3457"/>
    <w:rsid w:val="00CD4910"/>
    <w:rsid w:val="00CD62C1"/>
    <w:rsid w:val="00CE3C3C"/>
    <w:rsid w:val="00CE51C3"/>
    <w:rsid w:val="00CF2484"/>
    <w:rsid w:val="00CF2A4E"/>
    <w:rsid w:val="00CF4F69"/>
    <w:rsid w:val="00D04312"/>
    <w:rsid w:val="00D15589"/>
    <w:rsid w:val="00D1789D"/>
    <w:rsid w:val="00D20649"/>
    <w:rsid w:val="00D22AE8"/>
    <w:rsid w:val="00D23A92"/>
    <w:rsid w:val="00D25589"/>
    <w:rsid w:val="00D32771"/>
    <w:rsid w:val="00D3505C"/>
    <w:rsid w:val="00D41040"/>
    <w:rsid w:val="00D413B0"/>
    <w:rsid w:val="00D432AD"/>
    <w:rsid w:val="00D43EFC"/>
    <w:rsid w:val="00D51069"/>
    <w:rsid w:val="00D517FF"/>
    <w:rsid w:val="00D53B75"/>
    <w:rsid w:val="00D5565F"/>
    <w:rsid w:val="00D6013A"/>
    <w:rsid w:val="00D8117C"/>
    <w:rsid w:val="00D8317D"/>
    <w:rsid w:val="00D94539"/>
    <w:rsid w:val="00D9485E"/>
    <w:rsid w:val="00D9537D"/>
    <w:rsid w:val="00DB2F58"/>
    <w:rsid w:val="00DB4A7E"/>
    <w:rsid w:val="00DB4D24"/>
    <w:rsid w:val="00DC3575"/>
    <w:rsid w:val="00DC5367"/>
    <w:rsid w:val="00DC70A7"/>
    <w:rsid w:val="00DD52CC"/>
    <w:rsid w:val="00DD71AA"/>
    <w:rsid w:val="00DE308B"/>
    <w:rsid w:val="00DF1EC2"/>
    <w:rsid w:val="00E02467"/>
    <w:rsid w:val="00E05380"/>
    <w:rsid w:val="00E1048F"/>
    <w:rsid w:val="00E154C8"/>
    <w:rsid w:val="00E17062"/>
    <w:rsid w:val="00E22B4E"/>
    <w:rsid w:val="00E303E8"/>
    <w:rsid w:val="00E315D5"/>
    <w:rsid w:val="00E33019"/>
    <w:rsid w:val="00E34E13"/>
    <w:rsid w:val="00E37A7A"/>
    <w:rsid w:val="00E45CCF"/>
    <w:rsid w:val="00E47630"/>
    <w:rsid w:val="00E5306A"/>
    <w:rsid w:val="00E55657"/>
    <w:rsid w:val="00E558C7"/>
    <w:rsid w:val="00E55B3B"/>
    <w:rsid w:val="00E55E91"/>
    <w:rsid w:val="00E648D7"/>
    <w:rsid w:val="00E74757"/>
    <w:rsid w:val="00E758CF"/>
    <w:rsid w:val="00E8078E"/>
    <w:rsid w:val="00E829C8"/>
    <w:rsid w:val="00E83011"/>
    <w:rsid w:val="00E840AB"/>
    <w:rsid w:val="00E84170"/>
    <w:rsid w:val="00E91F57"/>
    <w:rsid w:val="00E92A9D"/>
    <w:rsid w:val="00E93875"/>
    <w:rsid w:val="00E94634"/>
    <w:rsid w:val="00E95090"/>
    <w:rsid w:val="00EA48B2"/>
    <w:rsid w:val="00EA7525"/>
    <w:rsid w:val="00EB6C99"/>
    <w:rsid w:val="00EC0891"/>
    <w:rsid w:val="00EC17C8"/>
    <w:rsid w:val="00EC56E4"/>
    <w:rsid w:val="00EC7E9D"/>
    <w:rsid w:val="00ED591B"/>
    <w:rsid w:val="00EE5153"/>
    <w:rsid w:val="00EE51DB"/>
    <w:rsid w:val="00EE5C06"/>
    <w:rsid w:val="00EF1374"/>
    <w:rsid w:val="00EF44CA"/>
    <w:rsid w:val="00EF7A75"/>
    <w:rsid w:val="00F117CF"/>
    <w:rsid w:val="00F13DC0"/>
    <w:rsid w:val="00F14485"/>
    <w:rsid w:val="00F16F02"/>
    <w:rsid w:val="00F17093"/>
    <w:rsid w:val="00F211E6"/>
    <w:rsid w:val="00F251F6"/>
    <w:rsid w:val="00F26A60"/>
    <w:rsid w:val="00F26B0A"/>
    <w:rsid w:val="00F465B6"/>
    <w:rsid w:val="00F471BB"/>
    <w:rsid w:val="00F51757"/>
    <w:rsid w:val="00F64CB9"/>
    <w:rsid w:val="00F67181"/>
    <w:rsid w:val="00F701F1"/>
    <w:rsid w:val="00F718AE"/>
    <w:rsid w:val="00F77628"/>
    <w:rsid w:val="00F81D9E"/>
    <w:rsid w:val="00F838DD"/>
    <w:rsid w:val="00F8765E"/>
    <w:rsid w:val="00F90072"/>
    <w:rsid w:val="00F94184"/>
    <w:rsid w:val="00FA1549"/>
    <w:rsid w:val="00FA5BF9"/>
    <w:rsid w:val="00FA6AA4"/>
    <w:rsid w:val="00FB3B70"/>
    <w:rsid w:val="00FB3F6C"/>
    <w:rsid w:val="00FB6B0F"/>
    <w:rsid w:val="00FC6159"/>
    <w:rsid w:val="00FC6D52"/>
    <w:rsid w:val="00FD061C"/>
    <w:rsid w:val="00FD3E64"/>
    <w:rsid w:val="00FD4540"/>
    <w:rsid w:val="00FD67F3"/>
    <w:rsid w:val="00FD737E"/>
    <w:rsid w:val="00FE09E3"/>
    <w:rsid w:val="00FE24FC"/>
    <w:rsid w:val="00FE4807"/>
    <w:rsid w:val="00FE5032"/>
    <w:rsid w:val="00FF563C"/>
    <w:rsid w:val="00FF5B6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242E3-0DD3-4616-86A8-D083429A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Ttulo1">
    <w:name w:val="heading 1"/>
    <w:basedOn w:val="Normal"/>
    <w:next w:val="Ttulo2"/>
    <w:qFormat/>
    <w:rsid w:val="00F718AE"/>
    <w:pPr>
      <w:keepNext/>
      <w:tabs>
        <w:tab w:val="left" w:pos="720"/>
      </w:tabs>
      <w:spacing w:before="240" w:after="120"/>
      <w:jc w:val="center"/>
      <w:outlineLvl w:val="0"/>
    </w:pPr>
    <w:rPr>
      <w:b/>
      <w:caps/>
    </w:rPr>
  </w:style>
  <w:style w:type="paragraph" w:styleId="Ttulo2">
    <w:name w:val="heading 2"/>
    <w:basedOn w:val="Normal"/>
    <w:next w:val="Normal"/>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rsid w:val="00F718AE"/>
    <w:pPr>
      <w:keepNext/>
      <w:tabs>
        <w:tab w:val="left" w:pos="567"/>
      </w:tabs>
      <w:spacing w:before="120" w:after="120"/>
      <w:jc w:val="center"/>
      <w:outlineLvl w:val="2"/>
    </w:pPr>
    <w:rPr>
      <w:i/>
      <w:iCs/>
    </w:rPr>
  </w:style>
  <w:style w:type="paragraph" w:styleId="Ttulo4">
    <w:name w:val="heading 4"/>
    <w:basedOn w:val="Normal"/>
    <w:qFormat/>
    <w:rsid w:val="00F718AE"/>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rsid w:val="00F718AE"/>
    <w:pPr>
      <w:keepNext/>
      <w:numPr>
        <w:ilvl w:val="4"/>
        <w:numId w:val="1"/>
      </w:numPr>
      <w:spacing w:before="120" w:after="120"/>
      <w:jc w:val="left"/>
      <w:outlineLvl w:val="4"/>
    </w:pPr>
    <w:rPr>
      <w:bCs/>
      <w:i/>
      <w:szCs w:val="26"/>
      <w:lang w:val="en-CA"/>
    </w:rPr>
  </w:style>
  <w:style w:type="paragraph" w:styleId="Ttulo6">
    <w:name w:val="heading 6"/>
    <w:basedOn w:val="Normal"/>
    <w:next w:val="Normal"/>
    <w:qFormat/>
    <w:rsid w:val="00F718AE"/>
    <w:pPr>
      <w:keepNext/>
      <w:spacing w:after="240" w:line="240" w:lineRule="exact"/>
      <w:ind w:left="720"/>
      <w:outlineLvl w:val="5"/>
    </w:pPr>
    <w:rPr>
      <w:u w:val="single"/>
    </w:rPr>
  </w:style>
  <w:style w:type="paragraph" w:styleId="Ttulo7">
    <w:name w:val="heading 7"/>
    <w:basedOn w:val="Normal"/>
    <w:next w:val="Normal"/>
    <w:qFormat/>
    <w:rsid w:val="00F718AE"/>
    <w:pPr>
      <w:keepNext/>
      <w:jc w:val="right"/>
      <w:outlineLvl w:val="6"/>
    </w:pPr>
    <w:rPr>
      <w:rFonts w:ascii="Univers" w:hAnsi="Univers"/>
      <w:b/>
      <w:sz w:val="28"/>
    </w:rPr>
  </w:style>
  <w:style w:type="paragraph" w:styleId="Ttulo8">
    <w:name w:val="heading 8"/>
    <w:basedOn w:val="Normal"/>
    <w:next w:val="Normal"/>
    <w:qFormat/>
    <w:rsid w:val="00F718AE"/>
    <w:pPr>
      <w:keepNext/>
      <w:jc w:val="right"/>
      <w:outlineLvl w:val="7"/>
    </w:pPr>
    <w:rPr>
      <w:rFonts w:ascii="Univers" w:hAnsi="Univers"/>
      <w:b/>
      <w:sz w:val="32"/>
    </w:rPr>
  </w:style>
  <w:style w:type="paragraph" w:styleId="Ttulo9">
    <w:name w:val="heading 9"/>
    <w:basedOn w:val="Normal"/>
    <w:next w:val="Normal"/>
    <w:qFormat/>
    <w:rsid w:val="00F718AE"/>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718AE"/>
    <w:pPr>
      <w:tabs>
        <w:tab w:val="center" w:pos="4320"/>
        <w:tab w:val="right" w:pos="8640"/>
      </w:tabs>
    </w:pPr>
  </w:style>
  <w:style w:type="paragraph" w:styleId="Piedepgina">
    <w:name w:val="footer"/>
    <w:basedOn w:val="Normal"/>
    <w:rsid w:val="00F718AE"/>
    <w:pPr>
      <w:tabs>
        <w:tab w:val="center" w:pos="4320"/>
        <w:tab w:val="right" w:pos="8640"/>
      </w:tabs>
      <w:ind w:firstLine="720"/>
      <w:jc w:val="right"/>
    </w:pPr>
  </w:style>
  <w:style w:type="paragraph" w:customStyle="1" w:styleId="Para1">
    <w:name w:val="Para1"/>
    <w:basedOn w:val="Normal"/>
    <w:rsid w:val="00301E8A"/>
    <w:pPr>
      <w:numPr>
        <w:numId w:val="2"/>
      </w:numPr>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F718AE"/>
    <w:pPr>
      <w:keepLines/>
      <w:spacing w:after="60"/>
      <w:ind w:firstLine="720"/>
    </w:pPr>
    <w:rPr>
      <w:sz w:val="18"/>
    </w:rPr>
  </w:style>
  <w:style w:type="paragraph" w:styleId="Textoindependiente">
    <w:name w:val="Body Text"/>
    <w:basedOn w:val="Normal"/>
    <w:rsid w:val="00F718AE"/>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semiHidden/>
    <w:rsid w:val="00F718AE"/>
    <w:rPr>
      <w:sz w:val="16"/>
    </w:rPr>
  </w:style>
  <w:style w:type="paragraph" w:styleId="Textocomentario">
    <w:name w:val="annotation text"/>
    <w:basedOn w:val="Normal"/>
    <w:link w:val="TextocomentarioCar"/>
    <w:semiHidden/>
    <w:rsid w:val="00F718AE"/>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301E8A"/>
    <w:rPr>
      <w:sz w:val="22"/>
      <w:u w:val="none"/>
      <w:vertAlign w:val="superscript"/>
    </w:rPr>
  </w:style>
  <w:style w:type="paragraph" w:styleId="Sangradetextonormal">
    <w:name w:val="Body Text Indent"/>
    <w:basedOn w:val="Normal"/>
    <w:rsid w:val="00F718AE"/>
    <w:pPr>
      <w:spacing w:before="120" w:after="120"/>
      <w:ind w:left="1440" w:hanging="720"/>
      <w:jc w:val="left"/>
    </w:pPr>
  </w:style>
  <w:style w:type="character" w:styleId="Nmerodepgina">
    <w:name w:val="page number"/>
    <w:rsid w:val="00F718AE"/>
    <w:rPr>
      <w:rFonts w:ascii="Times New Roman" w:hAnsi="Times New Roman"/>
      <w:sz w:val="22"/>
    </w:rPr>
  </w:style>
  <w:style w:type="paragraph" w:customStyle="1" w:styleId="HEADING">
    <w:name w:val="HEADING"/>
    <w:basedOn w:val="Normal"/>
    <w:rsid w:val="00F718AE"/>
    <w:pPr>
      <w:keepNext/>
      <w:spacing w:before="240" w:after="120"/>
      <w:jc w:val="center"/>
    </w:pPr>
    <w:rPr>
      <w:b/>
      <w:bCs/>
      <w:caps/>
    </w:rPr>
  </w:style>
  <w:style w:type="paragraph" w:customStyle="1" w:styleId="para4">
    <w:name w:val="para4"/>
    <w:basedOn w:val="Normal"/>
    <w:rsid w:val="00F718AE"/>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rsid w:val="00F718AE"/>
    <w:pPr>
      <w:ind w:left="170" w:right="3119" w:hanging="170"/>
      <w:jc w:val="left"/>
    </w:pPr>
  </w:style>
  <w:style w:type="paragraph" w:customStyle="1" w:styleId="Para3">
    <w:name w:val="Para3"/>
    <w:basedOn w:val="Normal"/>
    <w:rsid w:val="00F718AE"/>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rsid w:val="00F718AE"/>
    <w:pPr>
      <w:spacing w:before="120"/>
    </w:pPr>
    <w:rPr>
      <w:rFonts w:cs="Arial"/>
      <w:b/>
      <w:bCs/>
      <w:sz w:val="24"/>
    </w:rPr>
  </w:style>
  <w:style w:type="paragraph" w:styleId="TDC9">
    <w:name w:val="toc 9"/>
    <w:basedOn w:val="Normal"/>
    <w:next w:val="Normal"/>
    <w:autoRedefine/>
    <w:semiHidden/>
    <w:rsid w:val="00F718AE"/>
    <w:pPr>
      <w:spacing w:before="120" w:after="120"/>
      <w:ind w:left="1760"/>
      <w:jc w:val="left"/>
    </w:pPr>
  </w:style>
  <w:style w:type="paragraph" w:styleId="TDC1">
    <w:name w:val="toc 1"/>
    <w:basedOn w:val="Normal"/>
    <w:next w:val="Normal"/>
    <w:autoRedefine/>
    <w:semiHidden/>
    <w:rsid w:val="00F718AE"/>
    <w:pPr>
      <w:ind w:left="720" w:hanging="720"/>
    </w:pPr>
    <w:rPr>
      <w:caps/>
    </w:rPr>
  </w:style>
  <w:style w:type="paragraph" w:styleId="TDC2">
    <w:name w:val="toc 2"/>
    <w:basedOn w:val="Normal"/>
    <w:next w:val="Normal"/>
    <w:autoRedefine/>
    <w:semiHidden/>
    <w:rsid w:val="00F718AE"/>
    <w:pPr>
      <w:tabs>
        <w:tab w:val="right" w:leader="dot" w:pos="9356"/>
      </w:tabs>
      <w:ind w:left="1440" w:hanging="720"/>
    </w:pPr>
    <w:rPr>
      <w:noProof/>
      <w:szCs w:val="22"/>
    </w:rPr>
  </w:style>
  <w:style w:type="paragraph" w:styleId="TDC3">
    <w:name w:val="toc 3"/>
    <w:basedOn w:val="Normal"/>
    <w:next w:val="Normal"/>
    <w:autoRedefine/>
    <w:semiHidden/>
    <w:rsid w:val="00F718AE"/>
    <w:pPr>
      <w:ind w:left="2160" w:hanging="720"/>
    </w:pPr>
  </w:style>
  <w:style w:type="paragraph" w:styleId="TDC4">
    <w:name w:val="toc 4"/>
    <w:basedOn w:val="Normal"/>
    <w:next w:val="Normal"/>
    <w:autoRedefine/>
    <w:semiHidden/>
    <w:rsid w:val="00F718AE"/>
    <w:pPr>
      <w:spacing w:before="120" w:after="120"/>
      <w:ind w:left="660"/>
      <w:jc w:val="left"/>
    </w:pPr>
  </w:style>
  <w:style w:type="paragraph" w:styleId="TDC5">
    <w:name w:val="toc 5"/>
    <w:basedOn w:val="Normal"/>
    <w:next w:val="Normal"/>
    <w:autoRedefine/>
    <w:semiHidden/>
    <w:rsid w:val="00F718AE"/>
    <w:pPr>
      <w:spacing w:before="120" w:after="120"/>
      <w:ind w:left="880"/>
      <w:jc w:val="left"/>
    </w:pPr>
  </w:style>
  <w:style w:type="paragraph" w:styleId="TDC6">
    <w:name w:val="toc 6"/>
    <w:basedOn w:val="Normal"/>
    <w:next w:val="Normal"/>
    <w:autoRedefine/>
    <w:semiHidden/>
    <w:rsid w:val="00F718AE"/>
    <w:pPr>
      <w:spacing w:before="120" w:after="120"/>
      <w:ind w:left="1100"/>
      <w:jc w:val="left"/>
    </w:pPr>
  </w:style>
  <w:style w:type="paragraph" w:styleId="TDC7">
    <w:name w:val="toc 7"/>
    <w:basedOn w:val="Normal"/>
    <w:next w:val="Normal"/>
    <w:autoRedefine/>
    <w:semiHidden/>
    <w:rsid w:val="00F718AE"/>
    <w:pPr>
      <w:spacing w:before="120" w:after="120"/>
      <w:ind w:left="1320"/>
      <w:jc w:val="left"/>
    </w:pPr>
  </w:style>
  <w:style w:type="paragraph" w:styleId="TDC8">
    <w:name w:val="toc 8"/>
    <w:basedOn w:val="Normal"/>
    <w:next w:val="Normal"/>
    <w:autoRedefine/>
    <w:semiHidden/>
    <w:rsid w:val="00F718AE"/>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sid w:val="00F718AE"/>
    <w:rPr>
      <w:color w:val="800080"/>
      <w:u w:val="single"/>
    </w:rPr>
  </w:style>
  <w:style w:type="paragraph" w:customStyle="1" w:styleId="Style1">
    <w:name w:val="Style1"/>
    <w:basedOn w:val="Ttulo2"/>
    <w:qFormat/>
    <w:rsid w:val="00CA6B87"/>
    <w:rPr>
      <w:i/>
    </w:rPr>
  </w:style>
  <w:style w:type="paragraph" w:customStyle="1" w:styleId="Para2">
    <w:name w:val="Para2"/>
    <w:basedOn w:val="Para1"/>
    <w:rsid w:val="00F718AE"/>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sid w:val="00F718AE"/>
    <w:rPr>
      <w:vertAlign w:val="superscript"/>
    </w:rPr>
  </w:style>
  <w:style w:type="paragraph" w:styleId="Textonotaalfinal">
    <w:name w:val="endnote text"/>
    <w:basedOn w:val="Normal"/>
    <w:semiHidden/>
    <w:rsid w:val="00F718AE"/>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F718AE"/>
    <w:pPr>
      <w:ind w:left="1843" w:hanging="1134"/>
      <w:jc w:val="left"/>
    </w:pPr>
  </w:style>
  <w:style w:type="paragraph" w:customStyle="1" w:styleId="Heading1multiline">
    <w:name w:val="Heading 1 (multiline)"/>
    <w:basedOn w:val="Ttulo1"/>
    <w:rsid w:val="00F718AE"/>
    <w:pPr>
      <w:ind w:left="1843" w:right="996" w:hanging="567"/>
      <w:jc w:val="left"/>
    </w:pPr>
  </w:style>
  <w:style w:type="paragraph" w:customStyle="1" w:styleId="Heading2multiline">
    <w:name w:val="Heading 2 (multiline)"/>
    <w:basedOn w:val="Ttulo1"/>
    <w:next w:val="Para1"/>
    <w:rsid w:val="00F718AE"/>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rsid w:val="00F718AE"/>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link w:val="Textocomentario"/>
    <w:semiHidden/>
    <w:rsid w:val="00D9537D"/>
    <w:rPr>
      <w:sz w:val="22"/>
      <w:szCs w:val="24"/>
      <w:lang w:val="en-GB"/>
    </w:rPr>
  </w:style>
  <w:style w:type="character" w:customStyle="1" w:styleId="AsuntodelcomentarioCar">
    <w:name w:val="Asunto del comentario Car"/>
    <w:link w:val="Asuntodelcomentario"/>
    <w:uiPriority w:val="99"/>
    <w:semiHidden/>
    <w:rsid w:val="00D9537D"/>
    <w:rPr>
      <w:b/>
      <w:bCs/>
      <w:sz w:val="22"/>
      <w:szCs w:val="24"/>
      <w:lang w:val="en-GB"/>
    </w:rPr>
  </w:style>
  <w:style w:type="paragraph" w:styleId="Revisin">
    <w:name w:val="Revision"/>
    <w:hidden/>
    <w:uiPriority w:val="99"/>
    <w:semiHidden/>
    <w:rsid w:val="00D9537D"/>
    <w:rPr>
      <w:sz w:val="22"/>
      <w:szCs w:val="24"/>
      <w:lang w:val="en-GB"/>
    </w:rPr>
  </w:style>
  <w:style w:type="character" w:styleId="Textodelmarcadordeposicin">
    <w:name w:val="Placeholder Text"/>
    <w:basedOn w:val="Fuentedeprrafopredeter"/>
    <w:uiPriority w:val="67"/>
    <w:rsid w:val="00073708"/>
    <w:rPr>
      <w:color w:val="808080"/>
    </w:rPr>
  </w:style>
  <w:style w:type="paragraph" w:styleId="Prrafodelista">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53A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00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legal/cbd-es.pdf" TargetMode="External"/><Relationship Id="rId18" Type="http://schemas.openxmlformats.org/officeDocument/2006/relationships/chart" Target="charts/chart1.xml"/><Relationship Id="rId26" Type="http://schemas.openxmlformats.org/officeDocument/2006/relationships/hyperlink" Target="https://www.cbd.int/business/meetings-events/2016.shtml" TargetMode="External"/><Relationship Id="rId3" Type="http://schemas.openxmlformats.org/officeDocument/2006/relationships/styles" Target="styles.xml"/><Relationship Id="rId21" Type="http://schemas.openxmlformats.org/officeDocument/2006/relationships/hyperlink" Target="https://www.cbd.int/doc/decisions/cop-13/cop-13-dec-01-es.pdf" TargetMode="External"/><Relationship Id="rId7" Type="http://schemas.openxmlformats.org/officeDocument/2006/relationships/endnotes" Target="endnotes.xml"/><Relationship Id="rId12" Type="http://schemas.openxmlformats.org/officeDocument/2006/relationships/hyperlink" Target="https://www.cbd.int/abs/doc/protocol/nagoya-protocol-es.pdf" TargetMode="External"/><Relationship Id="rId17" Type="http://schemas.openxmlformats.org/officeDocument/2006/relationships/hyperlink" Target="https://www.cbd.int/sp/" TargetMode="External"/><Relationship Id="rId25" Type="http://schemas.openxmlformats.org/officeDocument/2006/relationships/hyperlink" Target="https://www.bgci.org/policy/abs_learn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2/cop-12-dec-31-es.pdf" TargetMode="External"/><Relationship Id="rId20" Type="http://schemas.openxmlformats.org/officeDocument/2006/relationships/chart" Target="charts/chart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13-es.pdf" TargetMode="External"/><Relationship Id="rId24" Type="http://schemas.openxmlformats.org/officeDocument/2006/relationships/hyperlink" Target="https://www.cbd.int/gti/"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decisions/cop-13/cop-13-dec-26-es.pdf" TargetMode="External"/><Relationship Id="rId23" Type="http://schemas.openxmlformats.org/officeDocument/2006/relationships/hyperlink" Target="https://www.cbd.int/traditional/default.shtml"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bsch.cbd.int/" TargetMode="External"/><Relationship Id="rId22" Type="http://schemas.openxmlformats.org/officeDocument/2006/relationships/hyperlink" Target="https://www.cbd.int/doc/decisions/np-mop-02/np-mop-02-dec-01-es.pdf"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es.pdf" TargetMode="External"/><Relationship Id="rId2" Type="http://schemas.openxmlformats.org/officeDocument/2006/relationships/hyperlink" Target="https://www.cbd.int/doc/decisions/cop-10/cop-10-dec-01-es.pdf" TargetMode="External"/><Relationship Id="rId1" Type="http://schemas.openxmlformats.org/officeDocument/2006/relationships/hyperlink" Target="https://www.cbd.int/doc/c/965e/7b06/3b39cb44e29286a3029fce8d/sbi-02-01-es.pdf" TargetMode="External"/><Relationship Id="rId6" Type="http://schemas.openxmlformats.org/officeDocument/2006/relationships/hyperlink" Target="https://www.cbd.int/business/ressources/newsletters.shtml" TargetMode="External"/><Relationship Id="rId5" Type="http://schemas.openxmlformats.org/officeDocument/2006/relationships/hyperlink" Target="https://www.cbd.int/doc/decisions/cop-13/cop-13-dec-18-es.pdf" TargetMode="External"/><Relationship Id="rId4" Type="http://schemas.openxmlformats.org/officeDocument/2006/relationships/hyperlink" Target="https://www.cbd.int/doc/decisions/cop-10/cop-10-dec-10-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iodiv.org\shares\UserDoc\Working%20Folders\Nagoya%20Protocol\Global%20Overview\NP_ProgressTable_current%20versi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iodiv.org\shares\UserDoc\Working%20Folders\Nagoya%20Protocol\Global%20Overview\NP_ProgressTable_current%20version.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034132237735358"/>
          <c:y val="0.2639116726037018"/>
          <c:w val="0.36156576894072973"/>
          <c:h val="0.57341401537218362"/>
        </c:manualLayout>
      </c:layout>
      <c:pieChart>
        <c:varyColors val="1"/>
        <c:ser>
          <c:idx val="0"/>
          <c:order val="0"/>
          <c:dPt>
            <c:idx val="2"/>
            <c:bubble3D val="0"/>
            <c:spPr>
              <a:pattFill prst="ltVert">
                <a:fgClr>
                  <a:schemeClr val="tx1"/>
                </a:fgClr>
                <a:bgClr>
                  <a:schemeClr val="bg1"/>
                </a:bgClr>
              </a:pattFill>
            </c:spPr>
            <c:extLst>
              <c:ext xmlns:c16="http://schemas.microsoft.com/office/drawing/2014/chart" uri="{C3380CC4-5D6E-409C-BE32-E72D297353CC}">
                <c16:uniqueId val="{00000003-611D-4FFF-819C-510CD57E26B4}"/>
              </c:ext>
            </c:extLst>
          </c:dPt>
          <c:dPt>
            <c:idx val="3"/>
            <c:bubble3D val="0"/>
            <c:spPr>
              <a:solidFill>
                <a:schemeClr val="tx1"/>
              </a:solidFill>
            </c:spPr>
            <c:extLst>
              <c:ext xmlns:c16="http://schemas.microsoft.com/office/drawing/2014/chart" uri="{C3380CC4-5D6E-409C-BE32-E72D297353CC}">
                <c16:uniqueId val="{00000005-611D-4FFF-819C-510CD57E26B4}"/>
              </c:ext>
            </c:extLst>
          </c:dPt>
          <c:dLbls>
            <c:dLbl>
              <c:idx val="0"/>
              <c:layout>
                <c:manualLayout>
                  <c:x val="6.1478104710595387E-2"/>
                  <c:y val="-6.7260342457192854E-2"/>
                </c:manualLayout>
              </c:layout>
              <c:tx>
                <c:rich>
                  <a:bodyPr/>
                  <a:lstStyle/>
                  <a:p>
                    <a:r>
                      <a:rPr lang="en-US" sz="1000" b="0" i="0" u="none" baseline="0">
                        <a:latin typeface="Times Bold Italic" pitchFamily="18" charset="0"/>
                      </a:rPr>
                      <a:t>105 Partes en el Protocolo</a:t>
                    </a:r>
                  </a:p>
                  <a:p>
                    <a:r>
                      <a:rPr lang="en-US" sz="1000" b="0" i="0" u="none" baseline="0">
                        <a:latin typeface="Times Bold Italic" pitchFamily="18" charset="0"/>
                      </a:rPr>
                      <a:t>(54</a:t>
                    </a:r>
                    <a:r>
                      <a:rPr lang="en-US" sz="1000" b="0" i="0" u="none" strike="noStrike" kern="1200" baseline="0">
                        <a:solidFill>
                          <a:sysClr val="windowText" lastClr="000000"/>
                        </a:solidFill>
                        <a:latin typeface="Times Bold Italic" pitchFamily="18" charset="0"/>
                        <a:ea typeface="+mn-ea"/>
                        <a:cs typeface="+mn-cs"/>
                      </a:rPr>
                      <a:t>%</a:t>
                    </a:r>
                    <a:r>
                      <a:rPr lang="en-US" sz="1000" b="0" i="0" u="none" baseline="0">
                        <a:latin typeface="Times Bold Italic" pitchFamily="18" charset="0"/>
                      </a:rPr>
                      <a:t>)</a:t>
                    </a:r>
                    <a:endParaRPr lang="en-US" sz="1000"/>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1D-4FFF-819C-510CD57E26B4}"/>
                </c:ext>
              </c:extLst>
            </c:dLbl>
            <c:dLbl>
              <c:idx val="1"/>
              <c:layout>
                <c:manualLayout>
                  <c:x val="-5.0200981821716728E-2"/>
                  <c:y val="0"/>
                </c:manualLayout>
              </c:layout>
              <c:tx>
                <c:rich>
                  <a:bodyPr/>
                  <a:lstStyle/>
                  <a:p>
                    <a:r>
                      <a:rPr lang="en-US" sz="1000" b="0" i="0" u="none" baseline="0">
                        <a:latin typeface="Times Bold Italic" pitchFamily="18" charset="0"/>
                      </a:rPr>
                      <a:t>Proceso de ratificación en marcha en 34 países</a:t>
                    </a:r>
                  </a:p>
                  <a:p>
                    <a:r>
                      <a:rPr lang="en-US" sz="1000" b="0" i="0" u="none" baseline="0">
                        <a:latin typeface="Times Bold Italic" pitchFamily="18" charset="0"/>
                      </a:rPr>
                      <a:t>(17</a:t>
                    </a:r>
                    <a:r>
                      <a:rPr lang="en-US" sz="1000" b="0" i="0" u="none" strike="noStrike" kern="1200" baseline="0">
                        <a:solidFill>
                          <a:sysClr val="windowText" lastClr="000000"/>
                        </a:solidFill>
                        <a:latin typeface="Times Bold Italic" pitchFamily="18" charset="0"/>
                        <a:ea typeface="+mn-ea"/>
                        <a:cs typeface="+mn-cs"/>
                      </a:rPr>
                      <a:t>%</a:t>
                    </a:r>
                    <a:r>
                      <a:rPr lang="en-US" sz="1000" b="0" i="0" u="none" baseline="0">
                        <a:latin typeface="Times Bold Italic" pitchFamily="18" charset="0"/>
                      </a:rPr>
                      <a:t>)</a:t>
                    </a:r>
                    <a:endParaRPr lang="en-US" sz="1000"/>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1D-4FFF-819C-510CD57E26B4}"/>
                </c:ext>
              </c:extLst>
            </c:dLbl>
            <c:dLbl>
              <c:idx val="2"/>
              <c:layout>
                <c:manualLayout>
                  <c:x val="-5.5193326528628364E-2"/>
                  <c:y val="0.15207529402336159"/>
                </c:manualLayout>
              </c:layout>
              <c:tx>
                <c:rich>
                  <a:bodyPr/>
                  <a:lstStyle/>
                  <a:p>
                    <a:r>
                      <a:rPr lang="en-US" sz="1000" b="0" i="0" u="none" baseline="0">
                        <a:latin typeface="Times Bold Italic" pitchFamily="18" charset="0"/>
                      </a:rPr>
                      <a:t>34 países (17</a:t>
                    </a:r>
                    <a:r>
                      <a:rPr lang="en-US" sz="1000" b="0" i="0" u="none" strike="noStrike" kern="1200" baseline="0">
                        <a:solidFill>
                          <a:sysClr val="windowText" lastClr="000000"/>
                        </a:solidFill>
                        <a:latin typeface="Times Bold Italic" pitchFamily="18" charset="0"/>
                        <a:ea typeface="+mn-ea"/>
                        <a:cs typeface="+mn-cs"/>
                      </a:rPr>
                      <a:t> %</a:t>
                    </a:r>
                    <a:r>
                      <a:rPr lang="en-US" sz="1000" b="0" i="0" u="none" baseline="0">
                        <a:latin typeface="Times Bold Italic" pitchFamily="18" charset="0"/>
                      </a:rPr>
                      <a:t>) tienen prevista la ratificación (intención)</a:t>
                    </a:r>
                    <a:endParaRPr lang="en-US" sz="1000">
                      <a:latin typeface="Times Bold Italic"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layout>
                    <c:manualLayout>
                      <c:w val="0.25132716049382714"/>
                      <c:h val="0.30788804071246817"/>
                    </c:manualLayout>
                  </c15:layout>
                </c:ext>
                <c:ext xmlns:c16="http://schemas.microsoft.com/office/drawing/2014/chart" uri="{C3380CC4-5D6E-409C-BE32-E72D297353CC}">
                  <c16:uniqueId val="{00000003-611D-4FFF-819C-510CD57E26B4}"/>
                </c:ext>
              </c:extLst>
            </c:dLbl>
            <c:dLbl>
              <c:idx val="3"/>
              <c:layout>
                <c:manualLayout>
                  <c:x val="-0.13795105472926994"/>
                  <c:y val="2.8136883652902164E-2"/>
                </c:manualLayout>
              </c:layout>
              <c:tx>
                <c:rich>
                  <a:bodyPr/>
                  <a:lstStyle/>
                  <a:p>
                    <a:r>
                      <a:rPr lang="en-US" sz="1000" b="0" i="0" u="none" baseline="0">
                        <a:latin typeface="Times Bold Italic" pitchFamily="18" charset="0"/>
                      </a:rPr>
                      <a:t>No existe información sobre la ratificación en el caso de 23 países
(12</a:t>
                    </a:r>
                    <a:r>
                      <a:rPr lang="en-US" sz="1000" b="0" i="0" u="none" strike="noStrike" kern="1200" baseline="0">
                        <a:solidFill>
                          <a:sysClr val="windowText" lastClr="000000"/>
                        </a:solidFill>
                        <a:latin typeface="Times Bold Italic" pitchFamily="18" charset="0"/>
                        <a:ea typeface="+mn-ea"/>
                        <a:cs typeface="+mn-cs"/>
                      </a:rPr>
                      <a:t>%</a:t>
                    </a:r>
                    <a:r>
                      <a:rPr lang="en-US" sz="1000" b="0" i="0" u="none" baseline="0">
                        <a:latin typeface="Times Bold Italic" pitchFamily="18" charset="0"/>
                      </a:rPr>
                      <a:t>)</a:t>
                    </a:r>
                    <a:endParaRPr lang="en-US" sz="1000"/>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1D-4FFF-819C-510CD57E26B4}"/>
                </c:ext>
              </c:extLst>
            </c:dLbl>
            <c:spPr>
              <a:noFill/>
              <a:ln>
                <a:noFill/>
              </a:ln>
              <a:effectLst/>
            </c:spPr>
            <c:txPr>
              <a:bodyPr/>
              <a:lstStyle/>
              <a:p>
                <a:pPr rtl="0">
                  <a:defRPr sz="900">
                    <a:latin typeface="Times Bold Italic" pitchFamily="18" charset="0"/>
                  </a:defRPr>
                </a:pPr>
                <a:endParaRPr lang="es-AR"/>
              </a:p>
            </c:txPr>
            <c:dLblPos val="outEnd"/>
            <c:showLegendKey val="0"/>
            <c:showVal val="1"/>
            <c:showCatName val="1"/>
            <c:showSerName val="0"/>
            <c:showPercent val="1"/>
            <c:showBubbleSize val="0"/>
            <c:showLeaderLines val="1"/>
            <c:extLst>
              <c:ext xmlns:c15="http://schemas.microsoft.com/office/drawing/2012/chart" uri="{CE6537A1-D6FC-4f65-9D91-7224C49458BB}"/>
            </c:extLst>
          </c:dLbls>
          <c:cat>
            <c:strRef>
              <c:f>'ANALYSIS NON Parties'!$C$45:$F$45</c:f>
              <c:strCache>
                <c:ptCount val="4"/>
                <c:pt idx="0">
                  <c:v>Parties to the Protocol</c:v>
                </c:pt>
                <c:pt idx="1">
                  <c:v>Ratification process underway</c:v>
                </c:pt>
                <c:pt idx="2">
                  <c:v>Planning to ratify</c:v>
                </c:pt>
                <c:pt idx="3">
                  <c:v>No information available on ratification</c:v>
                </c:pt>
              </c:strCache>
            </c:strRef>
          </c:cat>
          <c:val>
            <c:numRef>
              <c:f>'ANALYSIS NON Parties'!$C$51:$F$51</c:f>
              <c:numCache>
                <c:formatCode>General</c:formatCode>
                <c:ptCount val="4"/>
                <c:pt idx="0">
                  <c:v>105</c:v>
                </c:pt>
                <c:pt idx="1">
                  <c:v>34</c:v>
                </c:pt>
                <c:pt idx="2">
                  <c:v>34</c:v>
                </c:pt>
                <c:pt idx="3">
                  <c:v>23</c:v>
                </c:pt>
              </c:numCache>
            </c:numRef>
          </c:val>
          <c:extLst>
            <c:ext xmlns:c16="http://schemas.microsoft.com/office/drawing/2014/chart" uri="{C3380CC4-5D6E-409C-BE32-E72D297353CC}">
              <c16:uniqueId val="{00000006-611D-4FFF-819C-510CD57E26B4}"/>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800"/>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3"/>
            <c:bubble3D val="0"/>
            <c:spPr>
              <a:pattFill prst="ltVert">
                <a:fgClr>
                  <a:schemeClr val="tx1"/>
                </a:fgClr>
                <a:bgClr>
                  <a:schemeClr val="bg1"/>
                </a:bgClr>
              </a:pattFill>
            </c:spPr>
            <c:extLst>
              <c:ext xmlns:c16="http://schemas.microsoft.com/office/drawing/2014/chart" uri="{C3380CC4-5D6E-409C-BE32-E72D297353CC}">
                <c16:uniqueId val="{00000002-18E8-43BE-BFD3-55CD62753623}"/>
              </c:ext>
            </c:extLst>
          </c:dPt>
          <c:dPt>
            <c:idx val="4"/>
            <c:bubble3D val="0"/>
            <c:spPr>
              <a:solidFill>
                <a:schemeClr val="tx1"/>
              </a:solidFill>
            </c:spPr>
            <c:extLst>
              <c:ext xmlns:c16="http://schemas.microsoft.com/office/drawing/2014/chart" uri="{C3380CC4-5D6E-409C-BE32-E72D297353CC}">
                <c16:uniqueId val="{00000004-18E8-43BE-BFD3-55CD62753623}"/>
              </c:ext>
            </c:extLst>
          </c:dPt>
          <c:dLbls>
            <c:dLbl>
              <c:idx val="0"/>
              <c:tx>
                <c:rich>
                  <a:bodyPr/>
                  <a:lstStyle/>
                  <a:p>
                    <a:r>
                      <a:rPr lang="en-US" sz="900" b="0" i="0" u="none" baseline="0">
                        <a:latin typeface="Times New Roman" panose="02020603050405020304" pitchFamily="18" charset="0"/>
                        <a:cs typeface="Times New Roman" panose="02020603050405020304" pitchFamily="18" charset="0"/>
                      </a:rPr>
                      <a:t>África: </a:t>
                    </a:r>
                  </a:p>
                  <a:p>
                    <a:r>
                      <a:rPr lang="en-US" sz="900" b="0" i="0" u="none" baseline="0">
                        <a:latin typeface="Times New Roman" panose="02020603050405020304" pitchFamily="18" charset="0"/>
                        <a:cs typeface="Times New Roman" panose="02020603050405020304" pitchFamily="18" charset="0"/>
                      </a:rPr>
                      <a:t>42 Partes</a:t>
                    </a:r>
                    <a:endParaRPr lang="en-US"/>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E8-43BE-BFD3-55CD62753623}"/>
                </c:ext>
              </c:extLst>
            </c:dLbl>
            <c:dLbl>
              <c:idx val="1"/>
              <c:layout>
                <c:manualLayout>
                  <c:x val="-6.3041765169424696E-2"/>
                  <c:y val="0"/>
                </c:manualLayout>
              </c:layout>
              <c:tx>
                <c:rich>
                  <a:bodyPr wrap="square" lIns="38100" tIns="19050" rIns="38100" bIns="19050" anchor="ctr">
                    <a:noAutofit/>
                  </a:bodyPr>
                  <a:lstStyle/>
                  <a:p>
                    <a:pPr>
                      <a:defRPr/>
                    </a:pPr>
                    <a:r>
                      <a:rPr lang="en-US" sz="900" b="0" i="0" u="none" baseline="0">
                        <a:latin typeface="Times New Roman" panose="02020603050405020304" pitchFamily="18" charset="0"/>
                        <a:cs typeface="Times New Roman" panose="02020603050405020304" pitchFamily="18" charset="0"/>
                      </a:rPr>
                      <a:t>Asia y el Pacífico: </a:t>
                    </a:r>
                  </a:p>
                  <a:p>
                    <a:pPr>
                      <a:defRPr/>
                    </a:pPr>
                    <a:r>
                      <a:rPr lang="en-US" sz="900" b="0" i="0" u="none" baseline="0">
                        <a:latin typeface="Times New Roman" panose="02020603050405020304" pitchFamily="18" charset="0"/>
                        <a:cs typeface="Times New Roman" panose="02020603050405020304" pitchFamily="18" charset="0"/>
                      </a:rPr>
                      <a:t>27 Partes</a:t>
                    </a:r>
                    <a:endParaRPr lang="en-US" dirty="0"/>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18E8-43BE-BFD3-55CD62753623}"/>
                </c:ext>
              </c:extLst>
            </c:dLbl>
            <c:dLbl>
              <c:idx val="2"/>
              <c:tx>
                <c:rich>
                  <a:bodyPr/>
                  <a:lstStyle/>
                  <a:p>
                    <a:r>
                      <a:rPr lang="en-US" sz="900" b="0" i="0" u="none" baseline="0">
                        <a:latin typeface="Times New Roman" panose="02020603050405020304" pitchFamily="18" charset="0"/>
                        <a:cs typeface="Times New Roman" panose="02020603050405020304" pitchFamily="18" charset="0"/>
                      </a:rPr>
                      <a:t>ECO:</a:t>
                    </a:r>
                  </a:p>
                  <a:p>
                    <a:r>
                      <a:rPr lang="en-US" sz="900" b="0" i="0" u="none" baseline="0">
                        <a:latin typeface="Times New Roman" panose="02020603050405020304" pitchFamily="18" charset="0"/>
                        <a:cs typeface="Times New Roman" panose="02020603050405020304" pitchFamily="18" charset="0"/>
                      </a:rPr>
                      <a:t>8 Partes</a:t>
                    </a:r>
                    <a:endParaRPr lang="en-US" dirty="0"/>
                  </a:p>
                </c:rich>
              </c:tx>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E8-43BE-BFD3-55CD62753623}"/>
                </c:ext>
              </c:extLst>
            </c:dLbl>
            <c:dLbl>
              <c:idx val="3"/>
              <c:layout>
                <c:manualLayout>
                  <c:x val="2.136752136752137E-3"/>
                  <c:y val="6.8728522336769784E-3"/>
                </c:manualLayout>
              </c:layout>
              <c:tx>
                <c:rich>
                  <a:bodyPr/>
                  <a:lstStyle/>
                  <a:p>
                    <a:r>
                      <a:rPr lang="en-US" sz="900" b="0" i="0" u="none" baseline="0">
                        <a:latin typeface="Times New Roman" panose="02020603050405020304" pitchFamily="18" charset="0"/>
                        <a:cs typeface="Times New Roman" panose="02020603050405020304" pitchFamily="18" charset="0"/>
                      </a:rPr>
                      <a:t>GRULAC:</a:t>
                    </a:r>
                  </a:p>
                  <a:p>
                    <a:r>
                      <a:rPr lang="en-US" sz="900" b="0" i="0" u="none" baseline="0">
                        <a:latin typeface="Times New Roman" panose="02020603050405020304" pitchFamily="18" charset="0"/>
                        <a:cs typeface="Times New Roman" panose="02020603050405020304" pitchFamily="18" charset="0"/>
                      </a:rPr>
                      <a:t>13 Partes</a:t>
                    </a:r>
                    <a:endParaRPr lang="en-US" dirty="0"/>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E8-43BE-BFD3-55CD62753623}"/>
                </c:ext>
              </c:extLst>
            </c:dLbl>
            <c:dLbl>
              <c:idx val="4"/>
              <c:layout>
                <c:manualLayout>
                  <c:x val="-3.2679738562091313E-3"/>
                  <c:y val="5.2910052910052924E-3"/>
                </c:manualLayout>
              </c:layout>
              <c:tx>
                <c:rich>
                  <a:bodyPr/>
                  <a:lstStyle/>
                  <a:p>
                    <a:r>
                      <a:rPr lang="en-US" sz="900" b="0" i="0" u="none" baseline="0">
                        <a:latin typeface="Times New Roman" panose="02020603050405020304" pitchFamily="18" charset="0"/>
                        <a:cs typeface="Times New Roman" panose="02020603050405020304" pitchFamily="18" charset="0"/>
                      </a:rPr>
                      <a:t>GEOA: </a:t>
                    </a:r>
                  </a:p>
                  <a:p>
                    <a:r>
                      <a:rPr lang="en-US" sz="900" b="0" i="0" u="none" baseline="0">
                        <a:latin typeface="Times New Roman" panose="02020603050405020304" pitchFamily="18" charset="0"/>
                        <a:cs typeface="Times New Roman" panose="02020603050405020304" pitchFamily="18" charset="0"/>
                      </a:rPr>
                      <a:t>15 Partes</a:t>
                    </a:r>
                    <a:endParaRPr lang="en-US" sz="1200" dirty="0"/>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E8-43BE-BFD3-55CD62753623}"/>
                </c:ext>
              </c:extLst>
            </c:dLbl>
            <c:spPr>
              <a:noFill/>
              <a:ln>
                <a:noFill/>
              </a:ln>
              <a:effectLst/>
            </c:sp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'ANALYSIS Parties'!$A$4:$A$8</c:f>
              <c:strCache>
                <c:ptCount val="5"/>
                <c:pt idx="0">
                  <c:v>Africa</c:v>
                </c:pt>
                <c:pt idx="1">
                  <c:v>Asia-Pacific</c:v>
                </c:pt>
                <c:pt idx="2">
                  <c:v>CEE</c:v>
                </c:pt>
                <c:pt idx="3">
                  <c:v>GRULAC</c:v>
                </c:pt>
                <c:pt idx="4">
                  <c:v>WEOG</c:v>
                </c:pt>
              </c:strCache>
            </c:strRef>
          </c:cat>
          <c:val>
            <c:numRef>
              <c:f>'ANALYSIS Parties'!$C$4:$C$8</c:f>
              <c:numCache>
                <c:formatCode>General</c:formatCode>
                <c:ptCount val="5"/>
                <c:pt idx="0">
                  <c:v>42</c:v>
                </c:pt>
                <c:pt idx="1">
                  <c:v>27</c:v>
                </c:pt>
                <c:pt idx="2">
                  <c:v>8</c:v>
                </c:pt>
                <c:pt idx="3">
                  <c:v>13</c:v>
                </c:pt>
                <c:pt idx="4">
                  <c:v>15</c:v>
                </c:pt>
              </c:numCache>
            </c:numRef>
          </c:val>
          <c:extLst>
            <c:ext xmlns:c16="http://schemas.microsoft.com/office/drawing/2014/chart" uri="{C3380CC4-5D6E-409C-BE32-E72D297353CC}">
              <c16:uniqueId val="{00000007-18E8-43BE-BFD3-55CD62753623}"/>
            </c:ext>
          </c:extLst>
        </c:ser>
        <c:dLbls>
          <c:showLegendKey val="0"/>
          <c:showVal val="1"/>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4.442301301484617E-2"/>
                  <c:y val="0.11986995452728919"/>
                </c:manualLayout>
              </c:layout>
              <c:tx>
                <c:rich>
                  <a:bodyPr/>
                  <a:lstStyle/>
                  <a:p>
                    <a:r>
                      <a:rPr lang="en-US" sz="900" b="0" i="0" u="none" baseline="0"/>
                      <a:t>30 Partes en el CDB que adoptaron medidas de APB</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39-461A-9871-15E7E5F2B454}"/>
                </c:ext>
              </c:extLst>
            </c:dLbl>
            <c:dLbl>
              <c:idx val="1"/>
              <c:layout>
                <c:manualLayout>
                  <c:x val="-0.20029598130897272"/>
                  <c:y val="-1.5133819951338201E-2"/>
                </c:manualLayout>
              </c:layout>
              <c:tx>
                <c:rich>
                  <a:bodyPr/>
                  <a:lstStyle/>
                  <a:p>
                    <a:r>
                      <a:rPr lang="en-US" sz="900" b="0" i="0" u="none" baseline="0"/>
                      <a:t>Sin medidas adoptadas, pero en vías de elaboración o previstas, 38 Partes en el CDB</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39-461A-9871-15E7E5F2B454}"/>
                </c:ext>
              </c:extLst>
            </c:dLbl>
            <c:dLbl>
              <c:idx val="2"/>
              <c:layout>
                <c:manualLayout>
                  <c:x val="-7.4413450256702596E-2"/>
                  <c:y val="0.15912208504801098"/>
                </c:manualLayout>
              </c:layout>
              <c:tx>
                <c:rich>
                  <a:bodyPr/>
                  <a:lstStyle/>
                  <a:p>
                    <a:r>
                      <a:rPr lang="en-US" sz="900" b="0" i="0" u="none" baseline="0"/>
                      <a:t>Sin información disponible, 23 Partes en el CDB</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39-461A-9871-15E7E5F2B454}"/>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Sheet1!$A$21:$A$23</c:f>
              <c:strCache>
                <c:ptCount val="3"/>
                <c:pt idx="0">
                  <c:v> ABS measures in place</c:v>
                </c:pt>
                <c:pt idx="1">
                  <c:v>No measures in place but currently  developing or planning to develop</c:v>
                </c:pt>
                <c:pt idx="2">
                  <c:v>No measures in place or no information available</c:v>
                </c:pt>
              </c:strCache>
            </c:strRef>
          </c:cat>
          <c:val>
            <c:numRef>
              <c:f>Sheet1!$B$21:$B$23</c:f>
              <c:numCache>
                <c:formatCode>General</c:formatCode>
                <c:ptCount val="3"/>
                <c:pt idx="0">
                  <c:v>30</c:v>
                </c:pt>
                <c:pt idx="1">
                  <c:v>38</c:v>
                </c:pt>
                <c:pt idx="2">
                  <c:v>23</c:v>
                </c:pt>
              </c:numCache>
            </c:numRef>
          </c:val>
          <c:extLst>
            <c:ext xmlns:c16="http://schemas.microsoft.com/office/drawing/2014/chart" uri="{C3380CC4-5D6E-409C-BE32-E72D297353CC}">
              <c16:uniqueId val="{00000003-5839-461A-9871-15E7E5F2B454}"/>
            </c:ext>
          </c:extLst>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odelmarcadordeposicin"/>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odelmarcadordeposicin"/>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odelmarcadordeposicin"/>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odelmarcadordeposicin"/>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20000003" w:usb1="00000000" w:usb2="00000000" w:usb3="00000000" w:csb0="000001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5BC6"/>
    <w:rsid w:val="000539F4"/>
    <w:rsid w:val="000710E3"/>
    <w:rsid w:val="000C0B8C"/>
    <w:rsid w:val="000E1480"/>
    <w:rsid w:val="00101571"/>
    <w:rsid w:val="00117A5C"/>
    <w:rsid w:val="001B29AF"/>
    <w:rsid w:val="002714A5"/>
    <w:rsid w:val="002B2DCF"/>
    <w:rsid w:val="002D2DAB"/>
    <w:rsid w:val="0037757D"/>
    <w:rsid w:val="003D0325"/>
    <w:rsid w:val="00415A47"/>
    <w:rsid w:val="00437D4E"/>
    <w:rsid w:val="00480C2B"/>
    <w:rsid w:val="00483ACD"/>
    <w:rsid w:val="004A69EC"/>
    <w:rsid w:val="004F06C4"/>
    <w:rsid w:val="00515D00"/>
    <w:rsid w:val="00520B7E"/>
    <w:rsid w:val="0055042D"/>
    <w:rsid w:val="00566305"/>
    <w:rsid w:val="005D40F6"/>
    <w:rsid w:val="007B1229"/>
    <w:rsid w:val="007C2937"/>
    <w:rsid w:val="007C7510"/>
    <w:rsid w:val="007E501A"/>
    <w:rsid w:val="007F4559"/>
    <w:rsid w:val="008262B1"/>
    <w:rsid w:val="0083264A"/>
    <w:rsid w:val="00863F7C"/>
    <w:rsid w:val="00922062"/>
    <w:rsid w:val="00990A1F"/>
    <w:rsid w:val="009B6214"/>
    <w:rsid w:val="009C00DE"/>
    <w:rsid w:val="00A27574"/>
    <w:rsid w:val="00B36C7B"/>
    <w:rsid w:val="00B52C23"/>
    <w:rsid w:val="00B66C2B"/>
    <w:rsid w:val="00B775A7"/>
    <w:rsid w:val="00BA6C9E"/>
    <w:rsid w:val="00BB2CFE"/>
    <w:rsid w:val="00CB09A3"/>
    <w:rsid w:val="00D43A0F"/>
    <w:rsid w:val="00D5481D"/>
    <w:rsid w:val="00D64283"/>
    <w:rsid w:val="00DF3025"/>
    <w:rsid w:val="00EC17B5"/>
    <w:rsid w:val="00EF609D"/>
    <w:rsid w:val="00FC16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2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66F9-4AF1-4C49-9F74-84616B5A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62</TotalTime>
  <Pages>9</Pages>
  <Words>4024</Words>
  <Characters>22136</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Mayor integración en el marco del Convenio y sus Protocolos con respecto a las disposiciones relacionadas con el acceso y la participación en los beneficios</vt:lpstr>
      <vt:lpstr>Enhancing integration under the Convention and its Protocols with respect to provisions related to access and benefit-sharing</vt:lpstr>
    </vt:vector>
  </TitlesOfParts>
  <Company>Biodiversity</Company>
  <LinksUpToDate>false</LinksUpToDate>
  <CharactersWithSpaces>26108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integración en el marco del Convenio y sus Protocolos con respecto a las disposiciones relacionadas con el acceso y la participación en los beneficios</dc:title>
  <dc:subject>CBD/SBI/2/14</dc:subject>
  <dc:creator>SCBD</dc:creator>
  <cp:lastModifiedBy>DANI</cp:lastModifiedBy>
  <cp:revision>15</cp:revision>
  <cp:lastPrinted>2018-05-08T18:39:00Z</cp:lastPrinted>
  <dcterms:created xsi:type="dcterms:W3CDTF">2018-06-03T16:26:00Z</dcterms:created>
  <dcterms:modified xsi:type="dcterms:W3CDTF">2018-06-04T10:37:00Z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SOBRE LA APLICACIÓN</vt:lpwstr>
  </property>
</Properties>
</file>