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207"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
        <w:gridCol w:w="4745"/>
        <w:gridCol w:w="4486"/>
      </w:tblGrid>
      <w:tr w:rsidR="00C9161D" w:rsidRPr="004F623E" w14:paraId="61B2AC1A" w14:textId="77777777" w:rsidTr="004A3CE3">
        <w:trPr>
          <w:trHeight w:val="709"/>
        </w:trPr>
        <w:tc>
          <w:tcPr>
            <w:tcW w:w="976" w:type="dxa"/>
            <w:tcBorders>
              <w:bottom w:val="single" w:sz="12" w:space="0" w:color="auto"/>
            </w:tcBorders>
          </w:tcPr>
          <w:p w14:paraId="3FC2311A" w14:textId="77777777" w:rsidR="00C9161D" w:rsidRPr="004F623E" w:rsidRDefault="00C9161D" w:rsidP="00190CAF">
            <w:pPr>
              <w:kinsoku w:val="0"/>
              <w:overflowPunct w:val="0"/>
              <w:autoSpaceDE w:val="0"/>
              <w:autoSpaceDN w:val="0"/>
              <w:rPr>
                <w:kern w:val="22"/>
              </w:rPr>
            </w:pPr>
            <w:bookmarkStart w:id="0" w:name="_Hlk505247837"/>
            <w:r w:rsidRPr="004F623E">
              <w:rPr>
                <w:noProof/>
                <w:kern w:val="22"/>
                <w:lang w:val="en-US"/>
              </w:rPr>
              <w:drawing>
                <wp:inline distT="0" distB="0" distL="0" distR="0" wp14:anchorId="622A9E8F" wp14:editId="1811C23F">
                  <wp:extent cx="476494" cy="403200"/>
                  <wp:effectExtent l="0" t="0" r="6350" b="3810"/>
                  <wp:docPr id="1" name="Picture 1"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4745" w:type="dxa"/>
            <w:tcBorders>
              <w:bottom w:val="single" w:sz="12" w:space="0" w:color="auto"/>
            </w:tcBorders>
          </w:tcPr>
          <w:p w14:paraId="17E296A1" w14:textId="77777777" w:rsidR="00C9161D" w:rsidRPr="004F623E" w:rsidRDefault="00C9161D" w:rsidP="00190CAF">
            <w:pPr>
              <w:kinsoku w:val="0"/>
              <w:overflowPunct w:val="0"/>
              <w:autoSpaceDE w:val="0"/>
              <w:autoSpaceDN w:val="0"/>
              <w:rPr>
                <w:kern w:val="22"/>
              </w:rPr>
            </w:pPr>
            <w:r w:rsidRPr="004F623E">
              <w:rPr>
                <w:noProof/>
                <w:kern w:val="22"/>
                <w:lang w:val="en-US"/>
              </w:rPr>
              <w:drawing>
                <wp:inline distT="0" distB="0" distL="0" distR="0" wp14:anchorId="7C55ACBF" wp14:editId="7DD10E9F">
                  <wp:extent cx="343700" cy="403200"/>
                  <wp:effectExtent l="0" t="0" r="12065" b="3810"/>
                  <wp:docPr id="3" name="Picture 3" descr="Macintosh HD:Users:bilodeau:Desktop:logos:template 2017:unep-ol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bilodeau:Desktop:logos:template 2017:unep-old.em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3700" cy="403200"/>
                          </a:xfrm>
                          <a:prstGeom prst="rect">
                            <a:avLst/>
                          </a:prstGeom>
                          <a:noFill/>
                          <a:ln>
                            <a:noFill/>
                          </a:ln>
                        </pic:spPr>
                      </pic:pic>
                    </a:graphicData>
                  </a:graphic>
                </wp:inline>
              </w:drawing>
            </w:r>
          </w:p>
        </w:tc>
        <w:tc>
          <w:tcPr>
            <w:tcW w:w="4486" w:type="dxa"/>
            <w:tcBorders>
              <w:bottom w:val="single" w:sz="12" w:space="0" w:color="auto"/>
            </w:tcBorders>
          </w:tcPr>
          <w:p w14:paraId="6AB94C58" w14:textId="77777777" w:rsidR="00C9161D" w:rsidRPr="002D00B8" w:rsidRDefault="00C9161D" w:rsidP="00190CAF">
            <w:pPr>
              <w:kinsoku w:val="0"/>
              <w:overflowPunct w:val="0"/>
              <w:autoSpaceDE w:val="0"/>
              <w:autoSpaceDN w:val="0"/>
              <w:jc w:val="right"/>
              <w:rPr>
                <w:rFonts w:ascii="Arial" w:hAnsi="Arial" w:cs="Arial"/>
                <w:b/>
                <w:kern w:val="22"/>
                <w:sz w:val="32"/>
                <w:szCs w:val="32"/>
              </w:rPr>
            </w:pPr>
            <w:r w:rsidRPr="002D00B8">
              <w:rPr>
                <w:rFonts w:ascii="Arial" w:hAnsi="Arial" w:cs="Arial"/>
                <w:b/>
                <w:kern w:val="22"/>
                <w:sz w:val="32"/>
                <w:szCs w:val="32"/>
              </w:rPr>
              <w:t>CBD</w:t>
            </w:r>
          </w:p>
        </w:tc>
      </w:tr>
      <w:bookmarkEnd w:id="0"/>
      <w:tr w:rsidR="00C9161D" w:rsidRPr="004F623E" w14:paraId="584FACFE" w14:textId="77777777" w:rsidTr="004A3CE3">
        <w:tc>
          <w:tcPr>
            <w:tcW w:w="5721" w:type="dxa"/>
            <w:gridSpan w:val="2"/>
            <w:tcBorders>
              <w:top w:val="single" w:sz="12" w:space="0" w:color="auto"/>
              <w:bottom w:val="single" w:sz="36" w:space="0" w:color="auto"/>
            </w:tcBorders>
            <w:vAlign w:val="center"/>
          </w:tcPr>
          <w:p w14:paraId="1E813D03" w14:textId="77777777" w:rsidR="00C9161D" w:rsidRPr="004F623E" w:rsidRDefault="00C9161D" w:rsidP="00190CAF">
            <w:pPr>
              <w:kinsoku w:val="0"/>
              <w:overflowPunct w:val="0"/>
              <w:autoSpaceDE w:val="0"/>
              <w:autoSpaceDN w:val="0"/>
              <w:rPr>
                <w:kern w:val="22"/>
              </w:rPr>
            </w:pPr>
            <w:r w:rsidRPr="004F623E">
              <w:rPr>
                <w:noProof/>
                <w:kern w:val="22"/>
                <w:lang w:val="en-US"/>
              </w:rPr>
              <w:drawing>
                <wp:inline distT="0" distB="0" distL="0" distR="0" wp14:anchorId="582AF80D" wp14:editId="037AE22B">
                  <wp:extent cx="2887853" cy="1080000"/>
                  <wp:effectExtent l="0" t="0" r="8255" b="12700"/>
                  <wp:docPr id="4" name="Picture 4" descr="Macintosh HD:Users:bilodeau:Desktop:logos:template 2017:cbd.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bilodeau:Desktop:logos:template 2017:cbd.em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7853" cy="1080000"/>
                          </a:xfrm>
                          <a:prstGeom prst="rect">
                            <a:avLst/>
                          </a:prstGeom>
                          <a:noFill/>
                          <a:ln>
                            <a:noFill/>
                          </a:ln>
                        </pic:spPr>
                      </pic:pic>
                    </a:graphicData>
                  </a:graphic>
                </wp:inline>
              </w:drawing>
            </w:r>
          </w:p>
        </w:tc>
        <w:tc>
          <w:tcPr>
            <w:tcW w:w="4486" w:type="dxa"/>
            <w:tcBorders>
              <w:top w:val="single" w:sz="12" w:space="0" w:color="auto"/>
              <w:bottom w:val="single" w:sz="36" w:space="0" w:color="auto"/>
            </w:tcBorders>
          </w:tcPr>
          <w:p w14:paraId="5F0E4E37" w14:textId="77777777" w:rsidR="00C9161D" w:rsidRPr="004F623E" w:rsidRDefault="00C9161D" w:rsidP="00574437">
            <w:pPr>
              <w:kinsoku w:val="0"/>
              <w:overflowPunct w:val="0"/>
              <w:autoSpaceDE w:val="0"/>
              <w:autoSpaceDN w:val="0"/>
              <w:ind w:left="1213"/>
              <w:jc w:val="left"/>
              <w:rPr>
                <w:kern w:val="22"/>
                <w:szCs w:val="22"/>
              </w:rPr>
            </w:pPr>
            <w:r w:rsidRPr="004F623E">
              <w:rPr>
                <w:kern w:val="22"/>
                <w:szCs w:val="22"/>
              </w:rPr>
              <w:t>Distr.</w:t>
            </w:r>
          </w:p>
          <w:p w14:paraId="42DB81AD" w14:textId="77777777" w:rsidR="00C9161D" w:rsidRPr="004F623E" w:rsidRDefault="00D36D86" w:rsidP="00574437">
            <w:pPr>
              <w:kinsoku w:val="0"/>
              <w:overflowPunct w:val="0"/>
              <w:autoSpaceDE w:val="0"/>
              <w:autoSpaceDN w:val="0"/>
              <w:ind w:left="1213"/>
              <w:jc w:val="left"/>
              <w:rPr>
                <w:kern w:val="22"/>
                <w:szCs w:val="22"/>
              </w:rPr>
            </w:pPr>
            <w:sdt>
              <w:sdtPr>
                <w:rPr>
                  <w:kern w:val="22"/>
                  <w:szCs w:val="22"/>
                </w:rPr>
                <w:alias w:val="Status"/>
                <w:tag w:val=""/>
                <w:id w:val="307985777"/>
                <w:placeholder>
                  <w:docPart w:val="ADE2EAE43192421FBB726632095B3CBB"/>
                </w:placeholder>
                <w:dataBinding w:prefixMappings="xmlns:ns0='http://purl.org/dc/elements/1.1/' xmlns:ns1='http://schemas.openxmlformats.org/package/2006/metadata/core-properties' " w:xpath="/ns1:coreProperties[1]/ns1:contentStatus[1]" w:storeItemID="{6C3C8BC8-F283-45AE-878A-BAB7291924A1}"/>
                <w:text/>
              </w:sdtPr>
              <w:sdtEndPr/>
              <w:sdtContent>
                <w:r w:rsidR="009E5ACA" w:rsidRPr="004F623E">
                  <w:rPr>
                    <w:kern w:val="22"/>
                    <w:szCs w:val="22"/>
                    <w:lang w:val="en-US"/>
                  </w:rPr>
                  <w:t>GENERAL</w:t>
                </w:r>
              </w:sdtContent>
            </w:sdt>
          </w:p>
          <w:p w14:paraId="7A0AA0B0" w14:textId="77777777" w:rsidR="00C9161D" w:rsidRPr="004F623E" w:rsidRDefault="00C9161D" w:rsidP="00574437">
            <w:pPr>
              <w:kinsoku w:val="0"/>
              <w:overflowPunct w:val="0"/>
              <w:autoSpaceDE w:val="0"/>
              <w:autoSpaceDN w:val="0"/>
              <w:ind w:left="1213"/>
              <w:jc w:val="left"/>
              <w:rPr>
                <w:kern w:val="22"/>
                <w:szCs w:val="22"/>
              </w:rPr>
            </w:pPr>
          </w:p>
          <w:p w14:paraId="04C36DC9" w14:textId="283737A9" w:rsidR="00C9161D" w:rsidRPr="004F623E" w:rsidRDefault="00D36D86" w:rsidP="00574437">
            <w:pPr>
              <w:kinsoku w:val="0"/>
              <w:overflowPunct w:val="0"/>
              <w:autoSpaceDE w:val="0"/>
              <w:autoSpaceDN w:val="0"/>
              <w:ind w:left="1213"/>
              <w:jc w:val="left"/>
              <w:rPr>
                <w:kern w:val="22"/>
                <w:szCs w:val="22"/>
              </w:rPr>
            </w:pPr>
            <w:sdt>
              <w:sdtPr>
                <w:rPr>
                  <w:bCs/>
                  <w:kern w:val="22"/>
                </w:rPr>
                <w:alias w:val="Subject"/>
                <w:tag w:val=""/>
                <w:id w:val="2137136483"/>
                <w:placeholder>
                  <w:docPart w:val="5F1646299CFC497FBD0DBE10082E0C77"/>
                </w:placeholder>
                <w:dataBinding w:prefixMappings="xmlns:ns0='http://purl.org/dc/elements/1.1/' xmlns:ns1='http://schemas.openxmlformats.org/package/2006/metadata/core-properties' " w:xpath="/ns1:coreProperties[1]/ns0:subject[1]" w:storeItemID="{6C3C8BC8-F283-45AE-878A-BAB7291924A1}"/>
                <w:text/>
              </w:sdtPr>
              <w:sdtEndPr/>
              <w:sdtContent>
                <w:r w:rsidR="009E5ACA" w:rsidRPr="002D00B8">
                  <w:rPr>
                    <w:bCs/>
                    <w:kern w:val="22"/>
                    <w:lang w:val="en-US"/>
                  </w:rPr>
                  <w:t>CBD/</w:t>
                </w:r>
                <w:r w:rsidR="00432884" w:rsidRPr="002D00B8">
                  <w:rPr>
                    <w:bCs/>
                    <w:kern w:val="22"/>
                    <w:lang w:val="en-US"/>
                  </w:rPr>
                  <w:t>CP</w:t>
                </w:r>
                <w:r w:rsidR="009E5ACA" w:rsidRPr="002D00B8">
                  <w:rPr>
                    <w:bCs/>
                    <w:kern w:val="22"/>
                    <w:lang w:val="en-US"/>
                  </w:rPr>
                  <w:t>/</w:t>
                </w:r>
                <w:r w:rsidR="00432884" w:rsidRPr="002D00B8">
                  <w:rPr>
                    <w:bCs/>
                    <w:kern w:val="22"/>
                    <w:lang w:val="en-US"/>
                  </w:rPr>
                  <w:t>LG/</w:t>
                </w:r>
                <w:r w:rsidR="009E5ACA" w:rsidRPr="002D00B8">
                  <w:rPr>
                    <w:bCs/>
                    <w:kern w:val="22"/>
                    <w:lang w:val="en-US"/>
                  </w:rPr>
                  <w:t>2019/</w:t>
                </w:r>
                <w:r w:rsidR="0057433C" w:rsidRPr="002D00B8">
                  <w:rPr>
                    <w:bCs/>
                    <w:kern w:val="22"/>
                    <w:lang w:val="en-US"/>
                  </w:rPr>
                  <w:t>1</w:t>
                </w:r>
                <w:r w:rsidR="009E5ACA" w:rsidRPr="002D00B8">
                  <w:rPr>
                    <w:bCs/>
                    <w:kern w:val="22"/>
                    <w:lang w:val="en-US"/>
                  </w:rPr>
                  <w:t>/</w:t>
                </w:r>
                <w:r w:rsidR="00E74918" w:rsidRPr="002D00B8">
                  <w:rPr>
                    <w:bCs/>
                    <w:kern w:val="22"/>
                    <w:lang w:val="en-US"/>
                  </w:rPr>
                  <w:t>4</w:t>
                </w:r>
              </w:sdtContent>
            </w:sdt>
          </w:p>
          <w:p w14:paraId="58577695" w14:textId="7E6BAE14" w:rsidR="00C9161D" w:rsidRPr="004F623E" w:rsidRDefault="00D36D86" w:rsidP="00574437">
            <w:pPr>
              <w:kinsoku w:val="0"/>
              <w:overflowPunct w:val="0"/>
              <w:autoSpaceDE w:val="0"/>
              <w:autoSpaceDN w:val="0"/>
              <w:ind w:left="1213"/>
              <w:jc w:val="left"/>
              <w:rPr>
                <w:kern w:val="22"/>
                <w:szCs w:val="22"/>
              </w:rPr>
            </w:pPr>
            <w:sdt>
              <w:sdtPr>
                <w:rPr>
                  <w:kern w:val="22"/>
                  <w:szCs w:val="22"/>
                </w:rPr>
                <w:alias w:val="Publish Date"/>
                <w:tag w:val=""/>
                <w:id w:val="276757068"/>
                <w:placeholder>
                  <w:docPart w:val="0E8C501BBE954700A0C458443305DA39"/>
                </w:placeholder>
                <w:dataBinding w:prefixMappings="xmlns:ns0='http://schemas.microsoft.com/office/2006/coverPageProps' " w:xpath="/ns0:CoverPageProperties[1]/ns0:PublishDate[1]" w:storeItemID="{55AF091B-3C7A-41E3-B477-F2FDAA23CFDA}"/>
                <w:date w:fullDate="2019-10-07T00:00:00Z">
                  <w:dateFormat w:val="d MMMM yyyy"/>
                  <w:lid w:val="en-US"/>
                  <w:storeMappedDataAs w:val="dateTime"/>
                  <w:calendar w:val="gregorian"/>
                </w:date>
              </w:sdtPr>
              <w:sdtEndPr/>
              <w:sdtContent>
                <w:r w:rsidR="00695AC7">
                  <w:rPr>
                    <w:kern w:val="22"/>
                    <w:szCs w:val="22"/>
                  </w:rPr>
                  <w:t>7 October</w:t>
                </w:r>
                <w:r w:rsidR="00B65434" w:rsidRPr="004F623E">
                  <w:rPr>
                    <w:kern w:val="22"/>
                    <w:szCs w:val="22"/>
                    <w:lang w:val="en-US"/>
                  </w:rPr>
                  <w:t xml:space="preserve"> 2019</w:t>
                </w:r>
              </w:sdtContent>
            </w:sdt>
          </w:p>
          <w:p w14:paraId="2E6D25AB" w14:textId="77777777" w:rsidR="00C9161D" w:rsidRPr="004F623E" w:rsidRDefault="00C9161D" w:rsidP="00574437">
            <w:pPr>
              <w:kinsoku w:val="0"/>
              <w:overflowPunct w:val="0"/>
              <w:autoSpaceDE w:val="0"/>
              <w:autoSpaceDN w:val="0"/>
              <w:ind w:left="1213"/>
              <w:jc w:val="left"/>
              <w:rPr>
                <w:kern w:val="22"/>
                <w:szCs w:val="22"/>
              </w:rPr>
            </w:pPr>
          </w:p>
          <w:p w14:paraId="2C4AEE69" w14:textId="5A076B98" w:rsidR="00C9161D" w:rsidRPr="004F623E" w:rsidRDefault="00C9161D" w:rsidP="00574437">
            <w:pPr>
              <w:kinsoku w:val="0"/>
              <w:overflowPunct w:val="0"/>
              <w:autoSpaceDE w:val="0"/>
              <w:autoSpaceDN w:val="0"/>
              <w:ind w:left="1213"/>
              <w:jc w:val="left"/>
              <w:rPr>
                <w:kern w:val="22"/>
                <w:szCs w:val="22"/>
              </w:rPr>
            </w:pPr>
            <w:r w:rsidRPr="004F623E">
              <w:rPr>
                <w:kern w:val="22"/>
                <w:szCs w:val="22"/>
              </w:rPr>
              <w:t>ENGLISH</w:t>
            </w:r>
            <w:r w:rsidR="00172AF6" w:rsidRPr="004F623E">
              <w:rPr>
                <w:kern w:val="22"/>
                <w:szCs w:val="22"/>
              </w:rPr>
              <w:t xml:space="preserve"> ONLY</w:t>
            </w:r>
          </w:p>
          <w:p w14:paraId="51A8EB17" w14:textId="77777777" w:rsidR="00C9161D" w:rsidRPr="004F623E" w:rsidRDefault="00C9161D" w:rsidP="00574437">
            <w:pPr>
              <w:kinsoku w:val="0"/>
              <w:overflowPunct w:val="0"/>
              <w:autoSpaceDE w:val="0"/>
              <w:autoSpaceDN w:val="0"/>
              <w:ind w:left="1213"/>
              <w:jc w:val="left"/>
              <w:rPr>
                <w:kern w:val="22"/>
              </w:rPr>
            </w:pPr>
          </w:p>
        </w:tc>
      </w:tr>
    </w:tbl>
    <w:p w14:paraId="03AC6BBC" w14:textId="5D786452" w:rsidR="00362642" w:rsidRPr="004F623E" w:rsidRDefault="00AE3619" w:rsidP="00EA046B">
      <w:pPr>
        <w:pStyle w:val="Cornernotation"/>
        <w:kinsoku w:val="0"/>
        <w:overflowPunct w:val="0"/>
        <w:autoSpaceDE w:val="0"/>
        <w:autoSpaceDN w:val="0"/>
        <w:ind w:left="227" w:right="4784" w:hanging="227"/>
        <w:rPr>
          <w:caps/>
          <w:kern w:val="22"/>
          <w:lang w:eastAsia="ko-KR"/>
        </w:rPr>
      </w:pPr>
      <w:bookmarkStart w:id="1" w:name="_Hlk2766040"/>
      <w:r w:rsidRPr="004F623E">
        <w:rPr>
          <w:caps/>
          <w:kern w:val="22"/>
          <w:lang w:eastAsia="ko-KR"/>
        </w:rPr>
        <w:t xml:space="preserve">liaison group </w:t>
      </w:r>
      <w:r w:rsidR="00C30FD5" w:rsidRPr="004F623E">
        <w:rPr>
          <w:caps/>
          <w:kern w:val="22"/>
          <w:lang w:eastAsia="ko-KR"/>
        </w:rPr>
        <w:t>ON</w:t>
      </w:r>
      <w:r w:rsidRPr="004F623E">
        <w:rPr>
          <w:caps/>
          <w:kern w:val="22"/>
          <w:lang w:eastAsia="ko-KR"/>
        </w:rPr>
        <w:t xml:space="preserve"> the cartagena protocol on biosafety </w:t>
      </w:r>
    </w:p>
    <w:p w14:paraId="4E1CC20F" w14:textId="77777777" w:rsidR="00A370CB" w:rsidRPr="004F623E" w:rsidRDefault="003C4BCC" w:rsidP="00362642">
      <w:pPr>
        <w:pStyle w:val="Cornernotation"/>
        <w:kinsoku w:val="0"/>
        <w:overflowPunct w:val="0"/>
        <w:autoSpaceDE w:val="0"/>
        <w:autoSpaceDN w:val="0"/>
        <w:ind w:left="227" w:right="4217" w:hanging="227"/>
        <w:rPr>
          <w:kern w:val="22"/>
          <w:lang w:eastAsia="ko-KR"/>
        </w:rPr>
      </w:pPr>
      <w:bookmarkStart w:id="2" w:name="_Hlk2766324"/>
      <w:bookmarkEnd w:id="1"/>
      <w:r w:rsidRPr="004F623E">
        <w:rPr>
          <w:kern w:val="22"/>
          <w:lang w:eastAsia="ko-KR"/>
        </w:rPr>
        <w:t>Thirteenth meeting</w:t>
      </w:r>
    </w:p>
    <w:p w14:paraId="08ADCE83" w14:textId="523B75A3" w:rsidR="00C9161D" w:rsidRPr="004F623E" w:rsidRDefault="00AE3619" w:rsidP="00362642">
      <w:pPr>
        <w:pStyle w:val="Cornernotation"/>
        <w:kinsoku w:val="0"/>
        <w:overflowPunct w:val="0"/>
        <w:autoSpaceDE w:val="0"/>
        <w:autoSpaceDN w:val="0"/>
        <w:ind w:left="227" w:right="4217" w:hanging="227"/>
        <w:rPr>
          <w:kern w:val="22"/>
          <w:lang w:eastAsia="ko-KR"/>
        </w:rPr>
      </w:pPr>
      <w:r w:rsidRPr="004F623E">
        <w:rPr>
          <w:kern w:val="22"/>
          <w:lang w:eastAsia="ko-KR"/>
        </w:rPr>
        <w:t>Montreal</w:t>
      </w:r>
      <w:r w:rsidR="00362642" w:rsidRPr="004F623E">
        <w:rPr>
          <w:kern w:val="22"/>
          <w:lang w:eastAsia="ko-KR"/>
        </w:rPr>
        <w:t xml:space="preserve">, </w:t>
      </w:r>
      <w:r w:rsidR="002A3859" w:rsidRPr="004F623E">
        <w:rPr>
          <w:kern w:val="22"/>
          <w:lang w:eastAsia="ko-KR"/>
        </w:rPr>
        <w:t>22-25 October</w:t>
      </w:r>
      <w:r w:rsidRPr="004F623E">
        <w:rPr>
          <w:kern w:val="22"/>
          <w:lang w:eastAsia="ko-KR"/>
        </w:rPr>
        <w:t xml:space="preserve"> </w:t>
      </w:r>
      <w:r w:rsidR="00362642" w:rsidRPr="004F623E">
        <w:rPr>
          <w:rFonts w:eastAsia="Batang"/>
          <w:color w:val="000000"/>
          <w:kern w:val="22"/>
          <w:lang w:eastAsia="ko-KR"/>
        </w:rPr>
        <w:t>2019</w:t>
      </w:r>
    </w:p>
    <w:bookmarkEnd w:id="2" w:displacedByCustomXml="next"/>
    <w:sdt>
      <w:sdtPr>
        <w:alias w:val="Title"/>
        <w:tag w:val=""/>
        <w:id w:val="1283308774"/>
        <w:placeholder>
          <w:docPart w:val="02A4B51E60E840629F2126439934A452"/>
        </w:placeholder>
        <w:dataBinding w:prefixMappings="xmlns:ns0='http://purl.org/dc/elements/1.1/' xmlns:ns1='http://schemas.openxmlformats.org/package/2006/metadata/core-properties' " w:xpath="/ns1:coreProperties[1]/ns0:title[1]" w:storeItemID="{6C3C8BC8-F283-45AE-878A-BAB7291924A1}"/>
        <w:text/>
      </w:sdtPr>
      <w:sdtEndPr/>
      <w:sdtContent>
        <w:p w14:paraId="43DE539D" w14:textId="015DC4CB" w:rsidR="00432884" w:rsidRPr="004F623E" w:rsidRDefault="00634F8B" w:rsidP="00432884">
          <w:pPr>
            <w:pStyle w:val="Heading1"/>
          </w:pPr>
          <w:r>
            <w:t>ACTION PLAN FOR CAPACITY-BUILDING FOR THE IMPLEMENATION OF THE CARTAGENA PROTOCOL AND ITS SUPPLEMENTARY PROTOCOL</w:t>
          </w:r>
        </w:p>
      </w:sdtContent>
    </w:sdt>
    <w:p w14:paraId="433A803B" w14:textId="493DDE94" w:rsidR="00432884" w:rsidRPr="004F623E" w:rsidRDefault="00051E58" w:rsidP="00432884">
      <w:pPr>
        <w:pStyle w:val="Heading2"/>
        <w:rPr>
          <w:b w:val="0"/>
        </w:rPr>
      </w:pPr>
      <w:r w:rsidRPr="004F623E">
        <w:rPr>
          <w:b w:val="0"/>
        </w:rPr>
        <w:t>Note by the Executive Secretary</w:t>
      </w:r>
    </w:p>
    <w:p w14:paraId="60E9AB34" w14:textId="2B7BE013" w:rsidR="00432884" w:rsidRPr="004F623E" w:rsidRDefault="00432884" w:rsidP="00D36D86">
      <w:pPr>
        <w:pStyle w:val="Heading1"/>
      </w:pPr>
      <w:r w:rsidRPr="00A97056">
        <w:t>introduction</w:t>
      </w:r>
    </w:p>
    <w:p w14:paraId="580ABEF0" w14:textId="7ADAEC7D" w:rsidR="00D516B9" w:rsidRPr="00A97056" w:rsidRDefault="003E483F" w:rsidP="002D00B8">
      <w:pPr>
        <w:pStyle w:val="ListParagraph"/>
        <w:numPr>
          <w:ilvl w:val="0"/>
          <w:numId w:val="6"/>
        </w:numPr>
        <w:spacing w:before="120" w:after="120" w:line="240" w:lineRule="auto"/>
        <w:ind w:left="0" w:firstLine="0"/>
        <w:contextualSpacing w:val="0"/>
        <w:jc w:val="both"/>
        <w:rPr>
          <w:rFonts w:ascii="Times New Roman" w:hAnsi="Times New Roman" w:cs="Times New Roman"/>
        </w:rPr>
      </w:pPr>
      <w:r w:rsidRPr="004F623E">
        <w:rPr>
          <w:rFonts w:ascii="Times New Roman" w:hAnsi="Times New Roman" w:cs="Times New Roman"/>
        </w:rPr>
        <w:t xml:space="preserve">In its decision </w:t>
      </w:r>
      <w:hyperlink r:id="rId12" w:history="1">
        <w:r w:rsidRPr="00000FC1">
          <w:rPr>
            <w:rStyle w:val="Hyperlink"/>
            <w:rFonts w:ascii="Times New Roman" w:hAnsi="Times New Roman" w:cs="Times New Roman"/>
            <w:sz w:val="22"/>
          </w:rPr>
          <w:t>BS-VI</w:t>
        </w:r>
        <w:r w:rsidR="00EA6DF6" w:rsidRPr="00000FC1">
          <w:rPr>
            <w:rStyle w:val="Hyperlink"/>
            <w:rFonts w:ascii="Times New Roman" w:hAnsi="Times New Roman" w:cs="Times New Roman"/>
            <w:sz w:val="22"/>
          </w:rPr>
          <w:t>/</w:t>
        </w:r>
        <w:r w:rsidRPr="00000FC1">
          <w:rPr>
            <w:rStyle w:val="Hyperlink"/>
            <w:rFonts w:ascii="Times New Roman" w:hAnsi="Times New Roman" w:cs="Times New Roman"/>
            <w:sz w:val="22"/>
          </w:rPr>
          <w:t>3</w:t>
        </w:r>
      </w:hyperlink>
      <w:r w:rsidRPr="004F623E">
        <w:rPr>
          <w:rFonts w:ascii="Times New Roman" w:hAnsi="Times New Roman" w:cs="Times New Roman"/>
        </w:rPr>
        <w:t xml:space="preserve">, the Conference of the Parties serving as the meeting of the Parties to the Cartagena Protocol (COP-MOP) adopted the </w:t>
      </w:r>
      <w:r w:rsidR="00EA6DF6" w:rsidRPr="004F623E">
        <w:rPr>
          <w:rFonts w:ascii="Times New Roman" w:hAnsi="Times New Roman" w:cs="Times New Roman"/>
        </w:rPr>
        <w:t xml:space="preserve">Framework and Action Plan for Capacity-Building for the Effective Implementation of the Cartagena Protocol for the period 2012-2020 (Framework and Action Plan for </w:t>
      </w:r>
      <w:r w:rsidR="00A97056">
        <w:rPr>
          <w:rFonts w:ascii="Times New Roman" w:hAnsi="Times New Roman" w:cs="Times New Roman"/>
        </w:rPr>
        <w:t>Capacity-building</w:t>
      </w:r>
      <w:r w:rsidR="00EA6DF6" w:rsidRPr="004F623E">
        <w:rPr>
          <w:rFonts w:ascii="Times New Roman" w:hAnsi="Times New Roman" w:cs="Times New Roman"/>
        </w:rPr>
        <w:t>).</w:t>
      </w:r>
    </w:p>
    <w:p w14:paraId="4C02042C" w14:textId="2DF77096" w:rsidR="00760F0B" w:rsidRPr="00A97056" w:rsidRDefault="005F1BFF" w:rsidP="002D00B8">
      <w:pPr>
        <w:pStyle w:val="ListParagraph"/>
        <w:numPr>
          <w:ilvl w:val="0"/>
          <w:numId w:val="6"/>
        </w:numPr>
        <w:spacing w:before="120" w:after="120" w:line="240" w:lineRule="auto"/>
        <w:ind w:left="0" w:firstLine="0"/>
        <w:contextualSpacing w:val="0"/>
        <w:jc w:val="both"/>
      </w:pPr>
      <w:r w:rsidRPr="004F623E">
        <w:rPr>
          <w:rFonts w:ascii="Times New Roman" w:hAnsi="Times New Roman" w:cs="Times New Roman"/>
        </w:rPr>
        <w:t xml:space="preserve">In its decision </w:t>
      </w:r>
      <w:hyperlink r:id="rId13" w:history="1">
        <w:r w:rsidRPr="00000FC1">
          <w:rPr>
            <w:rStyle w:val="Hyperlink"/>
            <w:rFonts w:ascii="Times New Roman" w:hAnsi="Times New Roman" w:cs="Times New Roman"/>
            <w:sz w:val="22"/>
          </w:rPr>
          <w:t>CP-9/3</w:t>
        </w:r>
      </w:hyperlink>
      <w:r w:rsidRPr="004F623E">
        <w:rPr>
          <w:rFonts w:ascii="Times New Roman" w:hAnsi="Times New Roman" w:cs="Times New Roman"/>
        </w:rPr>
        <w:t xml:space="preserve">, the </w:t>
      </w:r>
      <w:r w:rsidR="00000FC1" w:rsidRPr="004F623E">
        <w:rPr>
          <w:rFonts w:ascii="Times New Roman" w:hAnsi="Times New Roman" w:cs="Times New Roman"/>
        </w:rPr>
        <w:t>Conference of the Parties serving as the meeting of the Parties to the Protocol</w:t>
      </w:r>
      <w:r w:rsidRPr="004F623E">
        <w:rPr>
          <w:rFonts w:ascii="Times New Roman" w:hAnsi="Times New Roman" w:cs="Times New Roman"/>
        </w:rPr>
        <w:t xml:space="preserve"> </w:t>
      </w:r>
      <w:r w:rsidR="000C7450" w:rsidRPr="004F623E">
        <w:rPr>
          <w:rFonts w:ascii="Times New Roman" w:hAnsi="Times New Roman" w:cs="Times New Roman"/>
        </w:rPr>
        <w:t>took note of the status of implementation of the Framework and Action Plan for Capacity-Building</w:t>
      </w:r>
      <w:r w:rsidR="00E05EAC" w:rsidRPr="004F623E">
        <w:rPr>
          <w:rFonts w:ascii="Times New Roman" w:hAnsi="Times New Roman" w:cs="Times New Roman"/>
        </w:rPr>
        <w:t xml:space="preserve"> an</w:t>
      </w:r>
      <w:r w:rsidR="007E7F1F" w:rsidRPr="004F623E">
        <w:rPr>
          <w:rFonts w:ascii="Times New Roman" w:hAnsi="Times New Roman" w:cs="Times New Roman"/>
        </w:rPr>
        <w:t>d</w:t>
      </w:r>
      <w:r w:rsidR="008C79D7" w:rsidRPr="004F623E">
        <w:rPr>
          <w:rFonts w:ascii="Times New Roman" w:hAnsi="Times New Roman" w:cs="Times New Roman"/>
        </w:rPr>
        <w:t xml:space="preserve"> acknowledged the need for a specific action plan for capacity-building for implementation of the Cartagena Protocol and its Supplementary Protocol </w:t>
      </w:r>
      <w:r w:rsidR="009508BD" w:rsidRPr="004F623E">
        <w:rPr>
          <w:rFonts w:ascii="Times New Roman" w:hAnsi="Times New Roman" w:cs="Times New Roman"/>
        </w:rPr>
        <w:t xml:space="preserve">(post-2020 </w:t>
      </w:r>
      <w:r w:rsidR="002C4BBF" w:rsidRPr="004F623E">
        <w:rPr>
          <w:rFonts w:ascii="Times New Roman" w:hAnsi="Times New Roman" w:cs="Times New Roman"/>
        </w:rPr>
        <w:t>c</w:t>
      </w:r>
      <w:r w:rsidR="009508BD" w:rsidRPr="004F623E">
        <w:rPr>
          <w:rFonts w:ascii="Times New Roman" w:hAnsi="Times New Roman" w:cs="Times New Roman"/>
        </w:rPr>
        <w:t>apacity</w:t>
      </w:r>
      <w:r w:rsidR="00000FC1">
        <w:rPr>
          <w:rFonts w:ascii="Times New Roman" w:hAnsi="Times New Roman" w:cs="Times New Roman"/>
        </w:rPr>
        <w:t>-</w:t>
      </w:r>
      <w:r w:rsidR="002C4BBF" w:rsidRPr="004F623E">
        <w:rPr>
          <w:rFonts w:ascii="Times New Roman" w:hAnsi="Times New Roman" w:cs="Times New Roman"/>
        </w:rPr>
        <w:t>b</w:t>
      </w:r>
      <w:r w:rsidR="009508BD" w:rsidRPr="004F623E">
        <w:rPr>
          <w:rFonts w:ascii="Times New Roman" w:hAnsi="Times New Roman" w:cs="Times New Roman"/>
        </w:rPr>
        <w:t xml:space="preserve">uilding </w:t>
      </w:r>
      <w:r w:rsidR="002C4BBF" w:rsidRPr="004F623E">
        <w:rPr>
          <w:rFonts w:ascii="Times New Roman" w:hAnsi="Times New Roman" w:cs="Times New Roman"/>
        </w:rPr>
        <w:t>a</w:t>
      </w:r>
      <w:r w:rsidR="009508BD" w:rsidRPr="004F623E">
        <w:rPr>
          <w:rFonts w:ascii="Times New Roman" w:hAnsi="Times New Roman" w:cs="Times New Roman"/>
        </w:rPr>
        <w:t xml:space="preserve">ction </w:t>
      </w:r>
      <w:r w:rsidR="002C4BBF" w:rsidRPr="004F623E">
        <w:rPr>
          <w:rFonts w:ascii="Times New Roman" w:hAnsi="Times New Roman" w:cs="Times New Roman"/>
        </w:rPr>
        <w:t>p</w:t>
      </w:r>
      <w:r w:rsidR="009508BD" w:rsidRPr="004F623E">
        <w:rPr>
          <w:rFonts w:ascii="Times New Roman" w:hAnsi="Times New Roman" w:cs="Times New Roman"/>
        </w:rPr>
        <w:t xml:space="preserve">lan) </w:t>
      </w:r>
      <w:r w:rsidR="008C79D7" w:rsidRPr="004F623E">
        <w:rPr>
          <w:rFonts w:ascii="Times New Roman" w:hAnsi="Times New Roman" w:cs="Times New Roman"/>
        </w:rPr>
        <w:t xml:space="preserve">that is aligned with the </w:t>
      </w:r>
      <w:r w:rsidR="00E04272" w:rsidRPr="004F623E">
        <w:rPr>
          <w:rFonts w:ascii="Times New Roman" w:hAnsi="Times New Roman" w:cs="Times New Roman"/>
        </w:rPr>
        <w:t>post-2020 Implementation Plan</w:t>
      </w:r>
      <w:r w:rsidR="008C79D7" w:rsidRPr="004F623E">
        <w:rPr>
          <w:rFonts w:ascii="Times New Roman" w:hAnsi="Times New Roman" w:cs="Times New Roman"/>
        </w:rPr>
        <w:t xml:space="preserve"> and complementary to the long-term strategic framework for capacity-building beyond 2020</w:t>
      </w:r>
      <w:r w:rsidR="00AC2258" w:rsidRPr="004F623E">
        <w:rPr>
          <w:rFonts w:ascii="Times New Roman" w:hAnsi="Times New Roman" w:cs="Times New Roman"/>
        </w:rPr>
        <w:t xml:space="preserve">. The </w:t>
      </w:r>
      <w:r w:rsidR="00000FC1" w:rsidRPr="004F623E">
        <w:rPr>
          <w:rFonts w:ascii="Times New Roman" w:hAnsi="Times New Roman" w:cs="Times New Roman"/>
        </w:rPr>
        <w:t>Conference of the Parties serving as the meeting of the Parties to the Protocol</w:t>
      </w:r>
      <w:r w:rsidR="00000FC1">
        <w:rPr>
          <w:rFonts w:ascii="Times New Roman" w:hAnsi="Times New Roman" w:cs="Times New Roman"/>
        </w:rPr>
        <w:t xml:space="preserve"> </w:t>
      </w:r>
      <w:r w:rsidR="00AC2258" w:rsidRPr="004F623E">
        <w:rPr>
          <w:rFonts w:ascii="Times New Roman" w:hAnsi="Times New Roman" w:cs="Times New Roman"/>
        </w:rPr>
        <w:t>also</w:t>
      </w:r>
      <w:r w:rsidR="000C7450" w:rsidRPr="004F623E">
        <w:rPr>
          <w:rFonts w:ascii="Times New Roman" w:hAnsi="Times New Roman" w:cs="Times New Roman"/>
        </w:rPr>
        <w:t xml:space="preserve"> welcomed the indicative schedule of activities for the development of the </w:t>
      </w:r>
      <w:r w:rsidR="00CA5049" w:rsidRPr="004F623E">
        <w:rPr>
          <w:rFonts w:ascii="Times New Roman" w:hAnsi="Times New Roman" w:cs="Times New Roman"/>
        </w:rPr>
        <w:t xml:space="preserve">post-2020 </w:t>
      </w:r>
      <w:r w:rsidR="00DA009B" w:rsidRPr="004F623E">
        <w:rPr>
          <w:rFonts w:ascii="Times New Roman" w:hAnsi="Times New Roman" w:cs="Times New Roman"/>
        </w:rPr>
        <w:t>c</w:t>
      </w:r>
      <w:r w:rsidR="00CA5049" w:rsidRPr="004F623E">
        <w:rPr>
          <w:rFonts w:ascii="Times New Roman" w:hAnsi="Times New Roman" w:cs="Times New Roman"/>
        </w:rPr>
        <w:t>apacity</w:t>
      </w:r>
      <w:r w:rsidR="00000FC1">
        <w:rPr>
          <w:rFonts w:ascii="Times New Roman" w:hAnsi="Times New Roman" w:cs="Times New Roman"/>
        </w:rPr>
        <w:noBreakHyphen/>
      </w:r>
      <w:r w:rsidR="00DA009B" w:rsidRPr="004F623E">
        <w:rPr>
          <w:rFonts w:ascii="Times New Roman" w:hAnsi="Times New Roman" w:cs="Times New Roman"/>
        </w:rPr>
        <w:t>b</w:t>
      </w:r>
      <w:r w:rsidR="00CA5049" w:rsidRPr="004F623E">
        <w:rPr>
          <w:rFonts w:ascii="Times New Roman" w:hAnsi="Times New Roman" w:cs="Times New Roman"/>
        </w:rPr>
        <w:t xml:space="preserve">uilding </w:t>
      </w:r>
      <w:r w:rsidR="00DA009B" w:rsidRPr="004F623E">
        <w:rPr>
          <w:rFonts w:ascii="Times New Roman" w:hAnsi="Times New Roman" w:cs="Times New Roman"/>
        </w:rPr>
        <w:t>a</w:t>
      </w:r>
      <w:r w:rsidR="00CA5049" w:rsidRPr="004F623E">
        <w:rPr>
          <w:rFonts w:ascii="Times New Roman" w:hAnsi="Times New Roman" w:cs="Times New Roman"/>
        </w:rPr>
        <w:t xml:space="preserve">ction </w:t>
      </w:r>
      <w:r w:rsidR="00DA009B" w:rsidRPr="004F623E">
        <w:rPr>
          <w:rFonts w:ascii="Times New Roman" w:hAnsi="Times New Roman" w:cs="Times New Roman"/>
        </w:rPr>
        <w:t>p</w:t>
      </w:r>
      <w:r w:rsidR="00CA5049" w:rsidRPr="004F623E">
        <w:rPr>
          <w:rFonts w:ascii="Times New Roman" w:hAnsi="Times New Roman" w:cs="Times New Roman"/>
        </w:rPr>
        <w:t>lan</w:t>
      </w:r>
      <w:r w:rsidR="00B5163D" w:rsidRPr="004F623E">
        <w:rPr>
          <w:rFonts w:ascii="Times New Roman" w:hAnsi="Times New Roman" w:cs="Times New Roman"/>
        </w:rPr>
        <w:t>, as</w:t>
      </w:r>
      <w:r w:rsidR="00CA5049" w:rsidRPr="004F623E">
        <w:rPr>
          <w:rFonts w:ascii="Times New Roman" w:hAnsi="Times New Roman" w:cs="Times New Roman"/>
        </w:rPr>
        <w:t xml:space="preserve"> </w:t>
      </w:r>
      <w:r w:rsidR="000C7450" w:rsidRPr="004F623E">
        <w:rPr>
          <w:rFonts w:ascii="Times New Roman" w:hAnsi="Times New Roman" w:cs="Times New Roman"/>
        </w:rPr>
        <w:t>contained in the annex to decision CP-9/3</w:t>
      </w:r>
      <w:r w:rsidR="008C79D7" w:rsidRPr="004F623E">
        <w:rPr>
          <w:rFonts w:ascii="Times New Roman" w:hAnsi="Times New Roman" w:cs="Times New Roman"/>
        </w:rPr>
        <w:t xml:space="preserve">. </w:t>
      </w:r>
    </w:p>
    <w:p w14:paraId="42239731" w14:textId="5930B075" w:rsidR="00D516B9" w:rsidRPr="00A97056" w:rsidRDefault="00760F0B" w:rsidP="002D00B8">
      <w:pPr>
        <w:pStyle w:val="ListParagraph"/>
        <w:numPr>
          <w:ilvl w:val="0"/>
          <w:numId w:val="6"/>
        </w:numPr>
        <w:spacing w:before="120" w:after="120" w:line="240" w:lineRule="auto"/>
        <w:ind w:left="0" w:firstLine="0"/>
        <w:contextualSpacing w:val="0"/>
        <w:jc w:val="both"/>
        <w:rPr>
          <w:rFonts w:ascii="Times New Roman" w:hAnsi="Times New Roman" w:cs="Times New Roman"/>
        </w:rPr>
      </w:pPr>
      <w:r w:rsidRPr="004F623E">
        <w:rPr>
          <w:rFonts w:ascii="Times New Roman" w:hAnsi="Times New Roman" w:cs="Times New Roman"/>
        </w:rPr>
        <w:t xml:space="preserve">The </w:t>
      </w:r>
      <w:r w:rsidR="008F6C2A" w:rsidRPr="004F623E">
        <w:rPr>
          <w:rFonts w:ascii="Times New Roman" w:hAnsi="Times New Roman" w:cs="Times New Roman"/>
        </w:rPr>
        <w:t>Conference of the Parties serving as the meeting of the Parties to the Protocol</w:t>
      </w:r>
      <w:r w:rsidR="008F6C2A" w:rsidRPr="004F623E" w:rsidDel="008F6C2A">
        <w:rPr>
          <w:rFonts w:ascii="Times New Roman" w:hAnsi="Times New Roman" w:cs="Times New Roman"/>
        </w:rPr>
        <w:t xml:space="preserve"> </w:t>
      </w:r>
      <w:r w:rsidRPr="004F623E">
        <w:rPr>
          <w:rFonts w:ascii="Times New Roman" w:hAnsi="Times New Roman" w:cs="Times New Roman"/>
        </w:rPr>
        <w:t xml:space="preserve">requested the Liaison Group, at its thirteenth meeting, to contribute to the development of the draft </w:t>
      </w:r>
      <w:r w:rsidR="003835A5" w:rsidRPr="004F623E">
        <w:rPr>
          <w:rFonts w:ascii="Times New Roman" w:hAnsi="Times New Roman" w:cs="Times New Roman"/>
        </w:rPr>
        <w:t xml:space="preserve">post-2020 </w:t>
      </w:r>
      <w:r w:rsidR="00A97056">
        <w:rPr>
          <w:rFonts w:ascii="Times New Roman" w:hAnsi="Times New Roman" w:cs="Times New Roman"/>
        </w:rPr>
        <w:t>capacity-building</w:t>
      </w:r>
      <w:r w:rsidR="003835A5" w:rsidRPr="004F623E">
        <w:rPr>
          <w:rFonts w:ascii="Times New Roman" w:hAnsi="Times New Roman" w:cs="Times New Roman"/>
        </w:rPr>
        <w:t xml:space="preserve"> </w:t>
      </w:r>
      <w:r w:rsidR="00DA009B" w:rsidRPr="004F623E">
        <w:rPr>
          <w:rFonts w:ascii="Times New Roman" w:hAnsi="Times New Roman" w:cs="Times New Roman"/>
        </w:rPr>
        <w:t>a</w:t>
      </w:r>
      <w:r w:rsidR="003835A5" w:rsidRPr="004F623E">
        <w:rPr>
          <w:rFonts w:ascii="Times New Roman" w:hAnsi="Times New Roman" w:cs="Times New Roman"/>
        </w:rPr>
        <w:t xml:space="preserve">ction </w:t>
      </w:r>
      <w:r w:rsidR="00DA009B" w:rsidRPr="004F623E">
        <w:rPr>
          <w:rFonts w:ascii="Times New Roman" w:hAnsi="Times New Roman" w:cs="Times New Roman"/>
        </w:rPr>
        <w:t>p</w:t>
      </w:r>
      <w:r w:rsidR="003835A5" w:rsidRPr="004F623E">
        <w:rPr>
          <w:rFonts w:ascii="Times New Roman" w:hAnsi="Times New Roman" w:cs="Times New Roman"/>
        </w:rPr>
        <w:t>lan</w:t>
      </w:r>
      <w:r w:rsidR="00822ECC" w:rsidRPr="004F623E">
        <w:rPr>
          <w:rFonts w:ascii="Times New Roman" w:hAnsi="Times New Roman" w:cs="Times New Roman"/>
        </w:rPr>
        <w:t xml:space="preserve">, and, at its fourteenth meeting, to review the final draft of the </w:t>
      </w:r>
      <w:r w:rsidR="00771822" w:rsidRPr="004F623E">
        <w:rPr>
          <w:rFonts w:ascii="Times New Roman" w:hAnsi="Times New Roman" w:cs="Times New Roman"/>
        </w:rPr>
        <w:t xml:space="preserve">post-2020 </w:t>
      </w:r>
      <w:r w:rsidR="00A97056">
        <w:rPr>
          <w:rFonts w:ascii="Times New Roman" w:hAnsi="Times New Roman" w:cs="Times New Roman"/>
        </w:rPr>
        <w:t>capacity-building</w:t>
      </w:r>
      <w:r w:rsidR="00771822" w:rsidRPr="004F623E">
        <w:rPr>
          <w:rFonts w:ascii="Times New Roman" w:hAnsi="Times New Roman" w:cs="Times New Roman"/>
        </w:rPr>
        <w:t xml:space="preserve"> </w:t>
      </w:r>
      <w:r w:rsidR="00DA009B" w:rsidRPr="004F623E">
        <w:rPr>
          <w:rFonts w:ascii="Times New Roman" w:hAnsi="Times New Roman" w:cs="Times New Roman"/>
        </w:rPr>
        <w:t>a</w:t>
      </w:r>
      <w:r w:rsidR="00771822" w:rsidRPr="004F623E">
        <w:rPr>
          <w:rFonts w:ascii="Times New Roman" w:hAnsi="Times New Roman" w:cs="Times New Roman"/>
        </w:rPr>
        <w:t xml:space="preserve">ction </w:t>
      </w:r>
      <w:r w:rsidR="00DA009B" w:rsidRPr="004F623E">
        <w:rPr>
          <w:rFonts w:ascii="Times New Roman" w:hAnsi="Times New Roman" w:cs="Times New Roman"/>
        </w:rPr>
        <w:t>p</w:t>
      </w:r>
      <w:r w:rsidR="00771822" w:rsidRPr="004F623E">
        <w:rPr>
          <w:rFonts w:ascii="Times New Roman" w:hAnsi="Times New Roman" w:cs="Times New Roman"/>
        </w:rPr>
        <w:t>lan</w:t>
      </w:r>
      <w:r w:rsidR="00822ECC" w:rsidRPr="004F623E">
        <w:rPr>
          <w:rFonts w:ascii="Times New Roman" w:hAnsi="Times New Roman" w:cs="Times New Roman"/>
        </w:rPr>
        <w:t>, taking into account information provided in the fourth national reports under the Cartagena Protocol.</w:t>
      </w:r>
    </w:p>
    <w:p w14:paraId="35966F87" w14:textId="3BEE5DBC" w:rsidR="00822ECC" w:rsidRPr="00A97056" w:rsidRDefault="00D844F2" w:rsidP="002D00B8">
      <w:pPr>
        <w:pStyle w:val="ListParagraph"/>
        <w:numPr>
          <w:ilvl w:val="0"/>
          <w:numId w:val="6"/>
        </w:numPr>
        <w:spacing w:before="120" w:after="120" w:line="240" w:lineRule="auto"/>
        <w:ind w:left="0" w:firstLine="0"/>
        <w:contextualSpacing w:val="0"/>
        <w:jc w:val="both"/>
      </w:pPr>
      <w:r w:rsidRPr="004F623E">
        <w:rPr>
          <w:rFonts w:ascii="Times New Roman" w:hAnsi="Times New Roman" w:cs="Times New Roman"/>
        </w:rPr>
        <w:t>This note provides</w:t>
      </w:r>
      <w:r w:rsidR="00235731" w:rsidRPr="004F623E">
        <w:rPr>
          <w:rFonts w:ascii="Times New Roman" w:hAnsi="Times New Roman" w:cs="Times New Roman"/>
        </w:rPr>
        <w:t xml:space="preserve"> an overview of possible elements that may be relevant </w:t>
      </w:r>
      <w:r w:rsidR="002269FE" w:rsidRPr="004F623E">
        <w:rPr>
          <w:rFonts w:ascii="Times New Roman" w:hAnsi="Times New Roman" w:cs="Times New Roman"/>
        </w:rPr>
        <w:t>to</w:t>
      </w:r>
      <w:r w:rsidR="00235731" w:rsidRPr="004F623E">
        <w:rPr>
          <w:rFonts w:ascii="Times New Roman" w:hAnsi="Times New Roman" w:cs="Times New Roman"/>
        </w:rPr>
        <w:t xml:space="preserve"> the </w:t>
      </w:r>
      <w:r w:rsidR="001036A8" w:rsidRPr="004F623E">
        <w:rPr>
          <w:rFonts w:ascii="Times New Roman" w:hAnsi="Times New Roman" w:cs="Times New Roman"/>
        </w:rPr>
        <w:t xml:space="preserve">development of the post-2020 </w:t>
      </w:r>
      <w:r w:rsidR="00DA009B" w:rsidRPr="004F623E">
        <w:rPr>
          <w:rFonts w:ascii="Times New Roman" w:hAnsi="Times New Roman" w:cs="Times New Roman"/>
        </w:rPr>
        <w:t>c</w:t>
      </w:r>
      <w:r w:rsidR="001036A8" w:rsidRPr="004F623E">
        <w:rPr>
          <w:rFonts w:ascii="Times New Roman" w:hAnsi="Times New Roman" w:cs="Times New Roman"/>
        </w:rPr>
        <w:t>apacity-</w:t>
      </w:r>
      <w:r w:rsidR="00DA009B" w:rsidRPr="004F623E">
        <w:rPr>
          <w:rFonts w:ascii="Times New Roman" w:hAnsi="Times New Roman" w:cs="Times New Roman"/>
        </w:rPr>
        <w:t>b</w:t>
      </w:r>
      <w:r w:rsidR="001036A8" w:rsidRPr="004F623E">
        <w:rPr>
          <w:rFonts w:ascii="Times New Roman" w:hAnsi="Times New Roman" w:cs="Times New Roman"/>
        </w:rPr>
        <w:t xml:space="preserve">uilding </w:t>
      </w:r>
      <w:r w:rsidR="00DA009B" w:rsidRPr="004F623E">
        <w:rPr>
          <w:rFonts w:ascii="Times New Roman" w:hAnsi="Times New Roman" w:cs="Times New Roman"/>
        </w:rPr>
        <w:t>a</w:t>
      </w:r>
      <w:r w:rsidR="001036A8" w:rsidRPr="004F623E">
        <w:rPr>
          <w:rFonts w:ascii="Times New Roman" w:hAnsi="Times New Roman" w:cs="Times New Roman"/>
        </w:rPr>
        <w:t xml:space="preserve">ction </w:t>
      </w:r>
      <w:r w:rsidR="00DA009B" w:rsidRPr="004F623E">
        <w:rPr>
          <w:rFonts w:ascii="Times New Roman" w:hAnsi="Times New Roman" w:cs="Times New Roman"/>
        </w:rPr>
        <w:t>p</w:t>
      </w:r>
      <w:r w:rsidR="001036A8" w:rsidRPr="004F623E">
        <w:rPr>
          <w:rFonts w:ascii="Times New Roman" w:hAnsi="Times New Roman" w:cs="Times New Roman"/>
        </w:rPr>
        <w:t xml:space="preserve">lan, related processes and next steps. In </w:t>
      </w:r>
      <w:r w:rsidR="001036A8" w:rsidRPr="00524D49">
        <w:rPr>
          <w:rFonts w:ascii="Times New Roman" w:hAnsi="Times New Roman" w:cs="Times New Roman"/>
        </w:rPr>
        <w:t>s</w:t>
      </w:r>
      <w:r w:rsidRPr="00524D49">
        <w:rPr>
          <w:rFonts w:ascii="Times New Roman" w:hAnsi="Times New Roman" w:cs="Times New Roman"/>
        </w:rPr>
        <w:t>ection I</w:t>
      </w:r>
      <w:r w:rsidR="00CA534E" w:rsidRPr="00524D49">
        <w:rPr>
          <w:rFonts w:ascii="Times New Roman" w:hAnsi="Times New Roman" w:cs="Times New Roman"/>
        </w:rPr>
        <w:t>I</w:t>
      </w:r>
      <w:r w:rsidRPr="00524D49">
        <w:rPr>
          <w:rFonts w:ascii="Times New Roman" w:hAnsi="Times New Roman" w:cs="Times New Roman"/>
        </w:rPr>
        <w:t xml:space="preserve">, an overview of </w:t>
      </w:r>
      <w:r w:rsidR="004E7C05" w:rsidRPr="00524D49">
        <w:rPr>
          <w:rFonts w:ascii="Times New Roman" w:hAnsi="Times New Roman" w:cs="Times New Roman"/>
        </w:rPr>
        <w:t>views submitted on elem</w:t>
      </w:r>
      <w:r w:rsidR="005C3C0B" w:rsidRPr="00524D49">
        <w:rPr>
          <w:rFonts w:ascii="Times New Roman" w:hAnsi="Times New Roman" w:cs="Times New Roman"/>
        </w:rPr>
        <w:t>e</w:t>
      </w:r>
      <w:r w:rsidR="004E7C05" w:rsidRPr="00524D49">
        <w:rPr>
          <w:rFonts w:ascii="Times New Roman" w:hAnsi="Times New Roman" w:cs="Times New Roman"/>
        </w:rPr>
        <w:t xml:space="preserve">nts of the post-2020 </w:t>
      </w:r>
      <w:r w:rsidR="002E4DC1" w:rsidRPr="00524D49">
        <w:rPr>
          <w:rFonts w:ascii="Times New Roman" w:hAnsi="Times New Roman" w:cs="Times New Roman"/>
        </w:rPr>
        <w:t>c</w:t>
      </w:r>
      <w:r w:rsidR="004E7C05" w:rsidRPr="00524D49">
        <w:rPr>
          <w:rFonts w:ascii="Times New Roman" w:hAnsi="Times New Roman" w:cs="Times New Roman"/>
        </w:rPr>
        <w:t>apacity-</w:t>
      </w:r>
      <w:r w:rsidR="002E4DC1" w:rsidRPr="00524D49">
        <w:rPr>
          <w:rFonts w:ascii="Times New Roman" w:hAnsi="Times New Roman" w:cs="Times New Roman"/>
        </w:rPr>
        <w:t>b</w:t>
      </w:r>
      <w:r w:rsidR="004E7C05" w:rsidRPr="00524D49">
        <w:rPr>
          <w:rFonts w:ascii="Times New Roman" w:hAnsi="Times New Roman" w:cs="Times New Roman"/>
        </w:rPr>
        <w:t xml:space="preserve">uilding </w:t>
      </w:r>
      <w:r w:rsidR="002E4DC1" w:rsidRPr="00524D49">
        <w:rPr>
          <w:rFonts w:ascii="Times New Roman" w:hAnsi="Times New Roman" w:cs="Times New Roman"/>
        </w:rPr>
        <w:t>a</w:t>
      </w:r>
      <w:r w:rsidR="004E7C05" w:rsidRPr="00524D49">
        <w:rPr>
          <w:rFonts w:ascii="Times New Roman" w:hAnsi="Times New Roman" w:cs="Times New Roman"/>
        </w:rPr>
        <w:t xml:space="preserve">ction </w:t>
      </w:r>
      <w:r w:rsidR="002E4DC1" w:rsidRPr="00524D49">
        <w:rPr>
          <w:rFonts w:ascii="Times New Roman" w:hAnsi="Times New Roman" w:cs="Times New Roman"/>
        </w:rPr>
        <w:t>p</w:t>
      </w:r>
      <w:r w:rsidR="004E7C05" w:rsidRPr="00524D49">
        <w:rPr>
          <w:rFonts w:ascii="Times New Roman" w:hAnsi="Times New Roman" w:cs="Times New Roman"/>
        </w:rPr>
        <w:t xml:space="preserve">lan and </w:t>
      </w:r>
      <w:r w:rsidR="009278B9" w:rsidRPr="00524D49">
        <w:rPr>
          <w:rFonts w:ascii="Times New Roman" w:hAnsi="Times New Roman" w:cs="Times New Roman"/>
        </w:rPr>
        <w:t>other relevant information</w:t>
      </w:r>
      <w:r w:rsidR="00A60F16" w:rsidRPr="00524D49">
        <w:rPr>
          <w:rFonts w:ascii="Times New Roman" w:hAnsi="Times New Roman" w:cs="Times New Roman"/>
        </w:rPr>
        <w:t xml:space="preserve"> </w:t>
      </w:r>
      <w:r w:rsidR="000C74F7" w:rsidRPr="00524D49">
        <w:rPr>
          <w:rFonts w:ascii="Times New Roman" w:hAnsi="Times New Roman" w:cs="Times New Roman"/>
        </w:rPr>
        <w:t>is</w:t>
      </w:r>
      <w:r w:rsidR="00AC1F46" w:rsidRPr="00524D49">
        <w:rPr>
          <w:rFonts w:ascii="Times New Roman" w:hAnsi="Times New Roman" w:cs="Times New Roman"/>
        </w:rPr>
        <w:t xml:space="preserve"> presented</w:t>
      </w:r>
      <w:r w:rsidR="00A60F16" w:rsidRPr="00524D49">
        <w:rPr>
          <w:rFonts w:ascii="Times New Roman" w:hAnsi="Times New Roman" w:cs="Times New Roman"/>
        </w:rPr>
        <w:t xml:space="preserve">. </w:t>
      </w:r>
      <w:r w:rsidR="00C72B8D" w:rsidRPr="00565C69">
        <w:rPr>
          <w:rFonts w:ascii="Times New Roman" w:hAnsi="Times New Roman" w:cs="Times New Roman"/>
        </w:rPr>
        <w:t>S</w:t>
      </w:r>
      <w:r w:rsidR="004E7C05" w:rsidRPr="00565C69">
        <w:rPr>
          <w:rFonts w:ascii="Times New Roman" w:hAnsi="Times New Roman" w:cs="Times New Roman"/>
        </w:rPr>
        <w:t>ection III</w:t>
      </w:r>
      <w:r w:rsidR="00AB25D4" w:rsidRPr="00565C69">
        <w:rPr>
          <w:rFonts w:ascii="Times New Roman" w:hAnsi="Times New Roman" w:cs="Times New Roman"/>
        </w:rPr>
        <w:t xml:space="preserve"> provides</w:t>
      </w:r>
      <w:r w:rsidR="004E7C05" w:rsidRPr="00565C69">
        <w:rPr>
          <w:rFonts w:ascii="Times New Roman" w:hAnsi="Times New Roman" w:cs="Times New Roman"/>
        </w:rPr>
        <w:t xml:space="preserve"> an overview of</w:t>
      </w:r>
      <w:r w:rsidR="00C95169" w:rsidRPr="00565C69">
        <w:rPr>
          <w:rFonts w:ascii="Times New Roman" w:hAnsi="Times New Roman" w:cs="Times New Roman"/>
        </w:rPr>
        <w:t xml:space="preserve"> related </w:t>
      </w:r>
      <w:r w:rsidR="004E7C05" w:rsidRPr="00565C69">
        <w:rPr>
          <w:rFonts w:ascii="Times New Roman" w:hAnsi="Times New Roman" w:cs="Times New Roman"/>
        </w:rPr>
        <w:t>processes</w:t>
      </w:r>
      <w:r w:rsidR="000C74F7" w:rsidRPr="00565C69">
        <w:rPr>
          <w:rFonts w:ascii="Times New Roman" w:hAnsi="Times New Roman" w:cs="Times New Roman"/>
        </w:rPr>
        <w:t xml:space="preserve"> of relevance to the development of the post-2020 capacity-building action plan</w:t>
      </w:r>
      <w:r w:rsidR="004E7C05" w:rsidRPr="00565C69">
        <w:rPr>
          <w:rFonts w:ascii="Times New Roman" w:hAnsi="Times New Roman" w:cs="Times New Roman"/>
        </w:rPr>
        <w:t xml:space="preserve">. Section IV provides </w:t>
      </w:r>
      <w:r w:rsidRPr="00565C69">
        <w:rPr>
          <w:rFonts w:ascii="Times New Roman" w:hAnsi="Times New Roman" w:cs="Times New Roman"/>
        </w:rPr>
        <w:t xml:space="preserve">an overview of next steps and </w:t>
      </w:r>
      <w:r w:rsidR="00BD4314" w:rsidRPr="00565C69">
        <w:rPr>
          <w:rFonts w:ascii="Times New Roman" w:hAnsi="Times New Roman" w:cs="Times New Roman"/>
        </w:rPr>
        <w:t>suggestions for consideration by the Liaison Group</w:t>
      </w:r>
      <w:r w:rsidRPr="004F623E">
        <w:rPr>
          <w:rFonts w:ascii="Times New Roman" w:hAnsi="Times New Roman" w:cs="Times New Roman"/>
        </w:rPr>
        <w:t xml:space="preserve">. </w:t>
      </w:r>
      <w:r w:rsidR="00647B8C">
        <w:rPr>
          <w:rFonts w:ascii="Times New Roman" w:hAnsi="Times New Roman" w:cs="Times New Roman"/>
        </w:rPr>
        <w:t xml:space="preserve">The annex to the document contains a draft of the action plan. </w:t>
      </w:r>
    </w:p>
    <w:p w14:paraId="360A8BDC" w14:textId="26013624" w:rsidR="005B4257" w:rsidRPr="00A97056" w:rsidRDefault="005B4257" w:rsidP="002D00B8">
      <w:pPr>
        <w:pStyle w:val="Heading1"/>
        <w:numPr>
          <w:ilvl w:val="0"/>
          <w:numId w:val="5"/>
        </w:numPr>
        <w:tabs>
          <w:tab w:val="clear" w:pos="720"/>
          <w:tab w:val="left" w:pos="1134"/>
        </w:tabs>
        <w:ind w:left="1134"/>
        <w:jc w:val="left"/>
      </w:pPr>
      <w:r w:rsidRPr="004F623E">
        <w:t xml:space="preserve">VIEWS SUBMITTED ON ELEMENTS OF THE </w:t>
      </w:r>
      <w:r w:rsidR="00A54F15" w:rsidRPr="004F623E">
        <w:t xml:space="preserve">POST-2020 </w:t>
      </w:r>
      <w:r w:rsidRPr="004F623E">
        <w:t>CAPACITY</w:t>
      </w:r>
      <w:r w:rsidR="00437ED3">
        <w:noBreakHyphen/>
      </w:r>
      <w:r w:rsidRPr="004F623E">
        <w:t>BUILDING</w:t>
      </w:r>
      <w:r w:rsidR="005A511F" w:rsidRPr="004F623E">
        <w:t xml:space="preserve"> </w:t>
      </w:r>
      <w:r w:rsidR="00A54F15" w:rsidRPr="004F623E">
        <w:t xml:space="preserve">ACTION PLAN </w:t>
      </w:r>
      <w:r w:rsidR="00C41060" w:rsidRPr="004F623E">
        <w:t xml:space="preserve">AND </w:t>
      </w:r>
      <w:r w:rsidR="00037A62" w:rsidRPr="004F623E">
        <w:t xml:space="preserve">OTHER </w:t>
      </w:r>
      <w:r w:rsidR="0040380E" w:rsidRPr="004F623E">
        <w:t>RELEVANT</w:t>
      </w:r>
      <w:r w:rsidR="00437ED3">
        <w:t> </w:t>
      </w:r>
      <w:r w:rsidR="0040380E" w:rsidRPr="004F623E">
        <w:t>INFORMATION</w:t>
      </w:r>
    </w:p>
    <w:p w14:paraId="3F45DF6D" w14:textId="29FE8A41" w:rsidR="00B731E4" w:rsidRPr="00A97056" w:rsidRDefault="005B4257" w:rsidP="002D00B8">
      <w:pPr>
        <w:pStyle w:val="ListParagraph"/>
        <w:numPr>
          <w:ilvl w:val="0"/>
          <w:numId w:val="6"/>
        </w:numPr>
        <w:spacing w:before="120" w:after="120" w:line="240" w:lineRule="auto"/>
        <w:ind w:left="0" w:firstLine="0"/>
        <w:contextualSpacing w:val="0"/>
        <w:jc w:val="both"/>
        <w:rPr>
          <w:rFonts w:ascii="Times New Roman" w:hAnsi="Times New Roman" w:cs="Times New Roman"/>
        </w:rPr>
      </w:pPr>
      <w:r w:rsidRPr="004F623E">
        <w:rPr>
          <w:rFonts w:ascii="Times New Roman" w:hAnsi="Times New Roman" w:cs="Times New Roman"/>
        </w:rPr>
        <w:t xml:space="preserve">The </w:t>
      </w:r>
      <w:r w:rsidR="00437ED3" w:rsidRPr="004F623E">
        <w:rPr>
          <w:rFonts w:ascii="Times New Roman" w:hAnsi="Times New Roman" w:cs="Times New Roman"/>
        </w:rPr>
        <w:t>Conference of the Parties serving as the meeting of the Parties to the Cartagena Protocol</w:t>
      </w:r>
      <w:r w:rsidRPr="004F623E">
        <w:rPr>
          <w:rFonts w:ascii="Times New Roman" w:hAnsi="Times New Roman" w:cs="Times New Roman"/>
        </w:rPr>
        <w:t>, in its decision CP-9/3, invited Parties,</w:t>
      </w:r>
      <w:r w:rsidR="00754C4B" w:rsidRPr="004F623E">
        <w:rPr>
          <w:rFonts w:ascii="Times New Roman" w:hAnsi="Times New Roman" w:cs="Times New Roman"/>
        </w:rPr>
        <w:t xml:space="preserve"> indigenous peoples and local communities (</w:t>
      </w:r>
      <w:r w:rsidRPr="004F623E">
        <w:rPr>
          <w:rFonts w:ascii="Times New Roman" w:hAnsi="Times New Roman" w:cs="Times New Roman"/>
        </w:rPr>
        <w:t>IPLCs</w:t>
      </w:r>
      <w:r w:rsidR="00754C4B" w:rsidRPr="004F623E">
        <w:rPr>
          <w:rFonts w:ascii="Times New Roman" w:hAnsi="Times New Roman" w:cs="Times New Roman"/>
        </w:rPr>
        <w:t>)</w:t>
      </w:r>
      <w:r w:rsidRPr="004F623E">
        <w:rPr>
          <w:rFonts w:ascii="Times New Roman" w:hAnsi="Times New Roman" w:cs="Times New Roman"/>
        </w:rPr>
        <w:t xml:space="preserve"> and relevant organizations to submit views on possible elements of the post-2020 </w:t>
      </w:r>
      <w:r w:rsidR="0040380E" w:rsidRPr="004F623E">
        <w:rPr>
          <w:rFonts w:ascii="Times New Roman" w:hAnsi="Times New Roman" w:cs="Times New Roman"/>
        </w:rPr>
        <w:t>c</w:t>
      </w:r>
      <w:r w:rsidRPr="004F623E">
        <w:rPr>
          <w:rFonts w:ascii="Times New Roman" w:hAnsi="Times New Roman" w:cs="Times New Roman"/>
        </w:rPr>
        <w:t>apacity-</w:t>
      </w:r>
      <w:r w:rsidR="0040380E" w:rsidRPr="004F623E">
        <w:rPr>
          <w:rFonts w:ascii="Times New Roman" w:hAnsi="Times New Roman" w:cs="Times New Roman"/>
        </w:rPr>
        <w:t>b</w:t>
      </w:r>
      <w:r w:rsidRPr="004F623E">
        <w:rPr>
          <w:rFonts w:ascii="Times New Roman" w:hAnsi="Times New Roman" w:cs="Times New Roman"/>
        </w:rPr>
        <w:t>uilding</w:t>
      </w:r>
      <w:r w:rsidR="00436EEF" w:rsidRPr="004F623E">
        <w:rPr>
          <w:rFonts w:ascii="Times New Roman" w:hAnsi="Times New Roman" w:cs="Times New Roman"/>
        </w:rPr>
        <w:t xml:space="preserve"> </w:t>
      </w:r>
      <w:r w:rsidR="0040380E" w:rsidRPr="004F623E">
        <w:rPr>
          <w:rFonts w:ascii="Times New Roman" w:hAnsi="Times New Roman" w:cs="Times New Roman"/>
        </w:rPr>
        <w:t>a</w:t>
      </w:r>
      <w:r w:rsidR="00436EEF" w:rsidRPr="004F623E">
        <w:rPr>
          <w:rFonts w:ascii="Times New Roman" w:hAnsi="Times New Roman" w:cs="Times New Roman"/>
        </w:rPr>
        <w:t xml:space="preserve">ction </w:t>
      </w:r>
      <w:r w:rsidR="0040380E" w:rsidRPr="004F623E">
        <w:rPr>
          <w:rFonts w:ascii="Times New Roman" w:hAnsi="Times New Roman" w:cs="Times New Roman"/>
        </w:rPr>
        <w:t>p</w:t>
      </w:r>
      <w:r w:rsidR="00436EEF" w:rsidRPr="004F623E">
        <w:rPr>
          <w:rFonts w:ascii="Times New Roman" w:hAnsi="Times New Roman" w:cs="Times New Roman"/>
        </w:rPr>
        <w:t>lan</w:t>
      </w:r>
      <w:r w:rsidRPr="004F623E">
        <w:rPr>
          <w:rFonts w:ascii="Times New Roman" w:hAnsi="Times New Roman" w:cs="Times New Roman"/>
        </w:rPr>
        <w:t>. Through notification CBD-2019-0</w:t>
      </w:r>
      <w:r w:rsidR="00F73109" w:rsidRPr="004F623E">
        <w:rPr>
          <w:rFonts w:ascii="Times New Roman" w:hAnsi="Times New Roman" w:cs="Times New Roman"/>
        </w:rPr>
        <w:t>27</w:t>
      </w:r>
      <w:r w:rsidRPr="004F623E">
        <w:rPr>
          <w:rFonts w:ascii="Times New Roman" w:hAnsi="Times New Roman" w:cs="Times New Roman"/>
        </w:rPr>
        <w:t>, views were invited. The views have been synthesized in section III of document CBD/CP/LG/2019/1/INF/1.</w:t>
      </w:r>
      <w:r w:rsidR="009508BD" w:rsidRPr="004F623E">
        <w:rPr>
          <w:rFonts w:ascii="Times New Roman" w:hAnsi="Times New Roman" w:cs="Times New Roman"/>
        </w:rPr>
        <w:t xml:space="preserve"> </w:t>
      </w:r>
      <w:r w:rsidR="00275D96" w:rsidRPr="004F623E">
        <w:rPr>
          <w:rFonts w:ascii="Times New Roman" w:hAnsi="Times New Roman" w:cs="Times New Roman"/>
        </w:rPr>
        <w:t>A summary of the</w:t>
      </w:r>
      <w:r w:rsidR="008741A7" w:rsidRPr="004F623E">
        <w:rPr>
          <w:rFonts w:ascii="Times New Roman" w:hAnsi="Times New Roman" w:cs="Times New Roman"/>
        </w:rPr>
        <w:t>se</w:t>
      </w:r>
      <w:r w:rsidR="00275D96" w:rsidRPr="004F623E">
        <w:rPr>
          <w:rFonts w:ascii="Times New Roman" w:hAnsi="Times New Roman" w:cs="Times New Roman"/>
        </w:rPr>
        <w:t xml:space="preserve"> views is provided in subsection A below. </w:t>
      </w:r>
    </w:p>
    <w:p w14:paraId="2CA51FBD" w14:textId="2534C2F0" w:rsidR="00A54F15" w:rsidRPr="00A97056" w:rsidRDefault="00B731E4" w:rsidP="002D00B8">
      <w:pPr>
        <w:pStyle w:val="ListParagraph"/>
        <w:numPr>
          <w:ilvl w:val="0"/>
          <w:numId w:val="6"/>
        </w:numPr>
        <w:spacing w:before="120" w:after="120" w:line="240" w:lineRule="auto"/>
        <w:ind w:left="0" w:firstLine="0"/>
        <w:contextualSpacing w:val="0"/>
        <w:jc w:val="both"/>
        <w:rPr>
          <w:rFonts w:ascii="Times New Roman" w:hAnsi="Times New Roman" w:cs="Times New Roman"/>
        </w:rPr>
      </w:pPr>
      <w:r w:rsidRPr="009A7A73">
        <w:rPr>
          <w:rFonts w:ascii="Times New Roman" w:hAnsi="Times New Roman" w:cs="Times New Roman"/>
        </w:rPr>
        <w:lastRenderedPageBreak/>
        <w:t>In addition to the views submitted</w:t>
      </w:r>
      <w:r w:rsidR="00B954B6" w:rsidRPr="009A7A73">
        <w:rPr>
          <w:rFonts w:ascii="Times New Roman" w:hAnsi="Times New Roman" w:cs="Times New Roman"/>
        </w:rPr>
        <w:t xml:space="preserve"> through the abovementioned dedicated process</w:t>
      </w:r>
      <w:r w:rsidRPr="009A7A73">
        <w:rPr>
          <w:rFonts w:ascii="Times New Roman" w:hAnsi="Times New Roman" w:cs="Times New Roman"/>
        </w:rPr>
        <w:t xml:space="preserve">, </w:t>
      </w:r>
      <w:r w:rsidR="002A34FA" w:rsidRPr="009A7A73">
        <w:rPr>
          <w:rFonts w:ascii="Times New Roman" w:hAnsi="Times New Roman" w:cs="Times New Roman"/>
        </w:rPr>
        <w:t>o</w:t>
      </w:r>
      <w:r w:rsidR="009508BD" w:rsidRPr="009A7A73">
        <w:rPr>
          <w:rFonts w:ascii="Times New Roman" w:hAnsi="Times New Roman" w:cs="Times New Roman"/>
        </w:rPr>
        <w:t>utcomes of other processes</w:t>
      </w:r>
      <w:r w:rsidR="005C296F" w:rsidRPr="009A7A73">
        <w:rPr>
          <w:rFonts w:ascii="Times New Roman" w:hAnsi="Times New Roman" w:cs="Times New Roman"/>
        </w:rPr>
        <w:t xml:space="preserve">, where they address capacity-building, </w:t>
      </w:r>
      <w:r w:rsidRPr="009A7A73">
        <w:rPr>
          <w:rFonts w:ascii="Times New Roman" w:hAnsi="Times New Roman" w:cs="Times New Roman"/>
        </w:rPr>
        <w:t>may be of</w:t>
      </w:r>
      <w:r w:rsidR="00F51E6C" w:rsidRPr="009A7A73">
        <w:rPr>
          <w:rFonts w:ascii="Times New Roman" w:hAnsi="Times New Roman" w:cs="Times New Roman"/>
        </w:rPr>
        <w:t xml:space="preserve"> relevance to </w:t>
      </w:r>
      <w:r w:rsidR="009508BD" w:rsidRPr="009A7A73">
        <w:rPr>
          <w:rFonts w:ascii="Times New Roman" w:hAnsi="Times New Roman" w:cs="Times New Roman"/>
        </w:rPr>
        <w:t xml:space="preserve">the development of the post-2020 </w:t>
      </w:r>
      <w:r w:rsidR="00495181" w:rsidRPr="009A7A73">
        <w:rPr>
          <w:rFonts w:ascii="Times New Roman" w:hAnsi="Times New Roman" w:cs="Times New Roman"/>
        </w:rPr>
        <w:t>c</w:t>
      </w:r>
      <w:r w:rsidR="009508BD" w:rsidRPr="009A7A73">
        <w:rPr>
          <w:rFonts w:ascii="Times New Roman" w:hAnsi="Times New Roman" w:cs="Times New Roman"/>
        </w:rPr>
        <w:t>apacity</w:t>
      </w:r>
      <w:r w:rsidR="00495181" w:rsidRPr="009A7A73">
        <w:rPr>
          <w:rFonts w:ascii="Times New Roman" w:hAnsi="Times New Roman" w:cs="Times New Roman"/>
        </w:rPr>
        <w:t>-b</w:t>
      </w:r>
      <w:r w:rsidR="009508BD" w:rsidRPr="009A7A73">
        <w:rPr>
          <w:rFonts w:ascii="Times New Roman" w:hAnsi="Times New Roman" w:cs="Times New Roman"/>
        </w:rPr>
        <w:t xml:space="preserve">uilding </w:t>
      </w:r>
      <w:r w:rsidR="00495181" w:rsidRPr="009A7A73">
        <w:rPr>
          <w:rFonts w:ascii="Times New Roman" w:hAnsi="Times New Roman" w:cs="Times New Roman"/>
        </w:rPr>
        <w:t>a</w:t>
      </w:r>
      <w:r w:rsidR="009508BD" w:rsidRPr="009A7A73">
        <w:rPr>
          <w:rFonts w:ascii="Times New Roman" w:hAnsi="Times New Roman" w:cs="Times New Roman"/>
        </w:rPr>
        <w:t xml:space="preserve">ction </w:t>
      </w:r>
      <w:r w:rsidR="00495181" w:rsidRPr="009A7A73">
        <w:rPr>
          <w:rFonts w:ascii="Times New Roman" w:hAnsi="Times New Roman" w:cs="Times New Roman"/>
        </w:rPr>
        <w:t>p</w:t>
      </w:r>
      <w:r w:rsidR="009508BD" w:rsidRPr="009A7A73">
        <w:rPr>
          <w:rFonts w:ascii="Times New Roman" w:hAnsi="Times New Roman" w:cs="Times New Roman"/>
        </w:rPr>
        <w:t>lan</w:t>
      </w:r>
      <w:r w:rsidR="005C296F" w:rsidRPr="009A7A73">
        <w:rPr>
          <w:rFonts w:ascii="Times New Roman" w:hAnsi="Times New Roman" w:cs="Times New Roman"/>
        </w:rPr>
        <w:t xml:space="preserve">, </w:t>
      </w:r>
      <w:r w:rsidR="00587317" w:rsidRPr="009A7A73">
        <w:rPr>
          <w:rFonts w:ascii="Times New Roman" w:hAnsi="Times New Roman" w:cs="Times New Roman"/>
        </w:rPr>
        <w:t xml:space="preserve">such as </w:t>
      </w:r>
      <w:r w:rsidR="009A7A73" w:rsidRPr="006101F9">
        <w:rPr>
          <w:rFonts w:ascii="Times New Roman" w:hAnsi="Times New Roman" w:cs="Times New Roman"/>
        </w:rPr>
        <w:t>views submitted</w:t>
      </w:r>
      <w:r w:rsidR="009A7A73" w:rsidRPr="009A7A73">
        <w:rPr>
          <w:rFonts w:ascii="Times New Roman" w:hAnsi="Times New Roman" w:cs="Times New Roman"/>
        </w:rPr>
        <w:t xml:space="preserve"> on capacities and needs regarding detection and identification of living modified organisms further to decision CP-9/11, </w:t>
      </w:r>
      <w:r w:rsidR="00587317" w:rsidRPr="009A7A73">
        <w:rPr>
          <w:rFonts w:ascii="Times New Roman" w:hAnsi="Times New Roman" w:cs="Times New Roman"/>
        </w:rPr>
        <w:t>the</w:t>
      </w:r>
      <w:r w:rsidR="00FD3EA4" w:rsidRPr="009A7A73">
        <w:rPr>
          <w:rFonts w:ascii="Times New Roman" w:hAnsi="Times New Roman" w:cs="Times New Roman"/>
        </w:rPr>
        <w:t xml:space="preserve"> outcomes of the</w:t>
      </w:r>
      <w:r w:rsidR="00587317" w:rsidRPr="009A7A73">
        <w:rPr>
          <w:rFonts w:ascii="Times New Roman" w:hAnsi="Times New Roman" w:cs="Times New Roman"/>
        </w:rPr>
        <w:t xml:space="preserve"> </w:t>
      </w:r>
      <w:r w:rsidR="00453017" w:rsidRPr="009A7A73">
        <w:rPr>
          <w:rFonts w:ascii="Times New Roman" w:hAnsi="Times New Roman" w:cs="Times New Roman"/>
        </w:rPr>
        <w:t xml:space="preserve">latest </w:t>
      </w:r>
      <w:r w:rsidR="00587317" w:rsidRPr="009A7A73">
        <w:rPr>
          <w:rFonts w:ascii="Times New Roman" w:hAnsi="Times New Roman" w:cs="Times New Roman"/>
        </w:rPr>
        <w:t xml:space="preserve">review of the implementation of the Framework and Action Plan on </w:t>
      </w:r>
      <w:r w:rsidR="00A97056">
        <w:rPr>
          <w:rFonts w:ascii="Times New Roman" w:hAnsi="Times New Roman" w:cs="Times New Roman"/>
        </w:rPr>
        <w:t>Capacity-building</w:t>
      </w:r>
      <w:r w:rsidR="008A3397" w:rsidRPr="009A7A73">
        <w:rPr>
          <w:rFonts w:ascii="Times New Roman" w:hAnsi="Times New Roman" w:cs="Times New Roman"/>
        </w:rPr>
        <w:t>,</w:t>
      </w:r>
      <w:r w:rsidR="00587317" w:rsidRPr="009A7A73">
        <w:rPr>
          <w:rFonts w:ascii="Times New Roman" w:hAnsi="Times New Roman" w:cs="Times New Roman"/>
        </w:rPr>
        <w:t xml:space="preserve"> </w:t>
      </w:r>
      <w:r w:rsidR="001215CE" w:rsidRPr="009A7A73">
        <w:rPr>
          <w:rFonts w:ascii="Times New Roman" w:hAnsi="Times New Roman" w:cs="Times New Roman"/>
        </w:rPr>
        <w:t xml:space="preserve">as well as </w:t>
      </w:r>
      <w:r w:rsidR="00587317" w:rsidRPr="009A7A73">
        <w:rPr>
          <w:rFonts w:ascii="Times New Roman" w:hAnsi="Times New Roman" w:cs="Times New Roman"/>
        </w:rPr>
        <w:t>the third assessment and review of the Protocol and the mid-term evaluation of the Strategic Plan</w:t>
      </w:r>
      <w:r w:rsidR="00275D96" w:rsidRPr="009A7A73">
        <w:rPr>
          <w:rFonts w:ascii="Times New Roman" w:hAnsi="Times New Roman" w:cs="Times New Roman"/>
        </w:rPr>
        <w:t>.</w:t>
      </w:r>
      <w:r w:rsidR="00701821" w:rsidRPr="009A7A73">
        <w:rPr>
          <w:rFonts w:ascii="Times New Roman" w:hAnsi="Times New Roman" w:cs="Times New Roman"/>
        </w:rPr>
        <w:t xml:space="preserve"> </w:t>
      </w:r>
      <w:r w:rsidR="00EE685D" w:rsidRPr="009A7A73">
        <w:rPr>
          <w:rFonts w:ascii="Times New Roman" w:hAnsi="Times New Roman" w:cs="Times New Roman"/>
        </w:rPr>
        <w:t>Information on the relevant outcomes of these processes</w:t>
      </w:r>
      <w:r w:rsidR="00E5677F" w:rsidRPr="009A7A73">
        <w:rPr>
          <w:rFonts w:ascii="Times New Roman" w:hAnsi="Times New Roman" w:cs="Times New Roman"/>
        </w:rPr>
        <w:t xml:space="preserve"> </w:t>
      </w:r>
      <w:r w:rsidR="00DD6FBB" w:rsidRPr="009A7A73">
        <w:rPr>
          <w:rFonts w:ascii="Times New Roman" w:hAnsi="Times New Roman" w:cs="Times New Roman"/>
        </w:rPr>
        <w:t>is</w:t>
      </w:r>
      <w:r w:rsidR="00275D96" w:rsidRPr="009A7A73">
        <w:rPr>
          <w:rFonts w:ascii="Times New Roman" w:hAnsi="Times New Roman" w:cs="Times New Roman"/>
        </w:rPr>
        <w:t xml:space="preserve"> presented in subsection B</w:t>
      </w:r>
      <w:r w:rsidR="00680830" w:rsidRPr="009A7A73">
        <w:rPr>
          <w:rFonts w:ascii="Times New Roman" w:hAnsi="Times New Roman" w:cs="Times New Roman"/>
        </w:rPr>
        <w:t xml:space="preserve"> below.</w:t>
      </w:r>
      <w:r w:rsidR="00275D96" w:rsidRPr="004F623E">
        <w:rPr>
          <w:rFonts w:ascii="Times New Roman" w:hAnsi="Times New Roman" w:cs="Times New Roman"/>
        </w:rPr>
        <w:t xml:space="preserve"> </w:t>
      </w:r>
    </w:p>
    <w:p w14:paraId="3901FED0" w14:textId="74273F09" w:rsidR="005B4257" w:rsidRPr="00A97056" w:rsidRDefault="00437ED3" w:rsidP="002D00B8">
      <w:pPr>
        <w:pStyle w:val="Heading2"/>
      </w:pPr>
      <w:r>
        <w:rPr>
          <w:i w:val="0"/>
        </w:rPr>
        <w:t>A.</w:t>
      </w:r>
      <w:r>
        <w:rPr>
          <w:i w:val="0"/>
        </w:rPr>
        <w:tab/>
      </w:r>
      <w:r w:rsidR="00A54F15" w:rsidRPr="002D00B8">
        <w:rPr>
          <w:i w:val="0"/>
        </w:rPr>
        <w:t>Views submitted o</w:t>
      </w:r>
      <w:r w:rsidR="000A1714" w:rsidRPr="002D00B8">
        <w:rPr>
          <w:i w:val="0"/>
        </w:rPr>
        <w:t>n</w:t>
      </w:r>
      <w:r w:rsidR="00A54F15" w:rsidRPr="002D00B8">
        <w:rPr>
          <w:i w:val="0"/>
        </w:rPr>
        <w:t xml:space="preserve"> elements of the post-2020 </w:t>
      </w:r>
      <w:r w:rsidR="00463BEA" w:rsidRPr="002D00B8">
        <w:rPr>
          <w:i w:val="0"/>
        </w:rPr>
        <w:t>c</w:t>
      </w:r>
      <w:r w:rsidR="00A54F15" w:rsidRPr="002D00B8">
        <w:rPr>
          <w:i w:val="0"/>
        </w:rPr>
        <w:t>apacity-</w:t>
      </w:r>
      <w:r w:rsidR="00463BEA" w:rsidRPr="002D00B8">
        <w:rPr>
          <w:i w:val="0"/>
        </w:rPr>
        <w:t>b</w:t>
      </w:r>
      <w:r w:rsidR="00A54F15" w:rsidRPr="002D00B8">
        <w:rPr>
          <w:i w:val="0"/>
        </w:rPr>
        <w:t xml:space="preserve">uilding </w:t>
      </w:r>
      <w:r w:rsidR="00463BEA" w:rsidRPr="002D00B8">
        <w:rPr>
          <w:i w:val="0"/>
        </w:rPr>
        <w:t>a</w:t>
      </w:r>
      <w:r w:rsidR="00A54F15" w:rsidRPr="002D00B8">
        <w:rPr>
          <w:i w:val="0"/>
        </w:rPr>
        <w:t xml:space="preserve">ction </w:t>
      </w:r>
      <w:r w:rsidR="00463BEA" w:rsidRPr="002D00B8">
        <w:rPr>
          <w:i w:val="0"/>
        </w:rPr>
        <w:t>p</w:t>
      </w:r>
      <w:r w:rsidR="00A54F15" w:rsidRPr="002D00B8">
        <w:rPr>
          <w:i w:val="0"/>
        </w:rPr>
        <w:t>lan</w:t>
      </w:r>
    </w:p>
    <w:p w14:paraId="44CA18E0" w14:textId="1F8BA1F5" w:rsidR="005B4257" w:rsidRPr="00A97056" w:rsidRDefault="00822B5D" w:rsidP="002D00B8">
      <w:pPr>
        <w:pStyle w:val="ListParagraph"/>
        <w:numPr>
          <w:ilvl w:val="0"/>
          <w:numId w:val="6"/>
        </w:numPr>
        <w:spacing w:before="120" w:after="120" w:line="240" w:lineRule="auto"/>
        <w:ind w:left="0" w:firstLine="0"/>
        <w:contextualSpacing w:val="0"/>
        <w:jc w:val="both"/>
        <w:rPr>
          <w:rFonts w:ascii="Times New Roman" w:hAnsi="Times New Roman" w:cs="Times New Roman"/>
        </w:rPr>
      </w:pPr>
      <w:r w:rsidRPr="004F623E">
        <w:rPr>
          <w:rFonts w:ascii="Times New Roman" w:hAnsi="Times New Roman" w:cs="Times New Roman"/>
        </w:rPr>
        <w:t xml:space="preserve">Several views stressed the importance of ensuring that the post-2020 </w:t>
      </w:r>
      <w:r w:rsidR="00A97056">
        <w:rPr>
          <w:rFonts w:ascii="Times New Roman" w:hAnsi="Times New Roman" w:cs="Times New Roman"/>
        </w:rPr>
        <w:t>capacity-building</w:t>
      </w:r>
      <w:r w:rsidRPr="004F623E">
        <w:rPr>
          <w:rFonts w:ascii="Times New Roman" w:hAnsi="Times New Roman" w:cs="Times New Roman"/>
        </w:rPr>
        <w:t xml:space="preserve"> </w:t>
      </w:r>
      <w:r w:rsidR="0079532C" w:rsidRPr="004F623E">
        <w:rPr>
          <w:rFonts w:ascii="Times New Roman" w:hAnsi="Times New Roman" w:cs="Times New Roman"/>
        </w:rPr>
        <w:t>a</w:t>
      </w:r>
      <w:r w:rsidRPr="004F623E">
        <w:rPr>
          <w:rFonts w:ascii="Times New Roman" w:hAnsi="Times New Roman" w:cs="Times New Roman"/>
        </w:rPr>
        <w:t xml:space="preserve">ction </w:t>
      </w:r>
      <w:r w:rsidR="0079532C" w:rsidRPr="004F623E">
        <w:rPr>
          <w:rFonts w:ascii="Times New Roman" w:hAnsi="Times New Roman" w:cs="Times New Roman"/>
        </w:rPr>
        <w:t>p</w:t>
      </w:r>
      <w:r w:rsidRPr="004F623E">
        <w:rPr>
          <w:rFonts w:ascii="Times New Roman" w:hAnsi="Times New Roman" w:cs="Times New Roman"/>
        </w:rPr>
        <w:t xml:space="preserve">lan is consistent with the post-2020 Implementation Plan. These views are in </w:t>
      </w:r>
      <w:r w:rsidR="005B4257" w:rsidRPr="004F623E">
        <w:rPr>
          <w:rFonts w:ascii="Times New Roman" w:hAnsi="Times New Roman" w:cs="Times New Roman"/>
        </w:rPr>
        <w:t>line with decision CP-</w:t>
      </w:r>
      <w:r w:rsidR="007C6325" w:rsidRPr="004F623E">
        <w:rPr>
          <w:rFonts w:ascii="Times New Roman" w:hAnsi="Times New Roman" w:cs="Times New Roman"/>
        </w:rPr>
        <w:t>9/3</w:t>
      </w:r>
      <w:r w:rsidR="005B4257" w:rsidRPr="004F623E">
        <w:rPr>
          <w:rFonts w:ascii="Times New Roman" w:hAnsi="Times New Roman" w:cs="Times New Roman"/>
        </w:rPr>
        <w:t xml:space="preserve">, in which the </w:t>
      </w:r>
      <w:r w:rsidR="00437ED3" w:rsidRPr="004F623E">
        <w:rPr>
          <w:rFonts w:ascii="Times New Roman" w:hAnsi="Times New Roman" w:cs="Times New Roman"/>
        </w:rPr>
        <w:t>Conference of the Parties serving as the meeting of the Parties to the Cartagena Protocol</w:t>
      </w:r>
      <w:r w:rsidR="00437ED3" w:rsidRPr="004F623E" w:rsidDel="00437ED3">
        <w:rPr>
          <w:rFonts w:ascii="Times New Roman" w:hAnsi="Times New Roman" w:cs="Times New Roman"/>
        </w:rPr>
        <w:t xml:space="preserve"> </w:t>
      </w:r>
      <w:r w:rsidR="005B4257" w:rsidRPr="004F623E">
        <w:rPr>
          <w:rFonts w:ascii="Times New Roman" w:hAnsi="Times New Roman" w:cs="Times New Roman"/>
        </w:rPr>
        <w:t>acknowledged th</w:t>
      </w:r>
      <w:r w:rsidR="005A3E28" w:rsidRPr="004F623E">
        <w:rPr>
          <w:rFonts w:ascii="Times New Roman" w:hAnsi="Times New Roman" w:cs="Times New Roman"/>
        </w:rPr>
        <w:t>e need for consistency between the two instruments</w:t>
      </w:r>
      <w:r w:rsidRPr="004F623E">
        <w:rPr>
          <w:rFonts w:ascii="Times New Roman" w:hAnsi="Times New Roman" w:cs="Times New Roman"/>
        </w:rPr>
        <w:t xml:space="preserve">. </w:t>
      </w:r>
    </w:p>
    <w:p w14:paraId="7F0791D4" w14:textId="7124869F" w:rsidR="005B4257" w:rsidRPr="00A97056" w:rsidRDefault="00BD18C2" w:rsidP="002D00B8">
      <w:pPr>
        <w:pStyle w:val="ListParagraph"/>
        <w:numPr>
          <w:ilvl w:val="0"/>
          <w:numId w:val="6"/>
        </w:numPr>
        <w:spacing w:before="120" w:after="120" w:line="240" w:lineRule="auto"/>
        <w:ind w:left="0" w:firstLine="0"/>
        <w:contextualSpacing w:val="0"/>
        <w:jc w:val="both"/>
        <w:rPr>
          <w:rFonts w:ascii="Times New Roman" w:hAnsi="Times New Roman" w:cs="Times New Roman"/>
        </w:rPr>
      </w:pPr>
      <w:proofErr w:type="gramStart"/>
      <w:r w:rsidRPr="004F623E">
        <w:rPr>
          <w:rFonts w:ascii="Times New Roman" w:hAnsi="Times New Roman" w:cs="Times New Roman"/>
        </w:rPr>
        <w:t>A number of</w:t>
      </w:r>
      <w:proofErr w:type="gramEnd"/>
      <w:r w:rsidR="005B4257" w:rsidRPr="004F623E">
        <w:rPr>
          <w:rFonts w:ascii="Times New Roman" w:hAnsi="Times New Roman" w:cs="Times New Roman"/>
        </w:rPr>
        <w:t xml:space="preserve"> views supported maintaining certain parts of the Framework and Action Plan for Capacity-Building in the </w:t>
      </w:r>
      <w:r w:rsidR="006919FA" w:rsidRPr="004F623E">
        <w:rPr>
          <w:rFonts w:ascii="Times New Roman" w:hAnsi="Times New Roman" w:cs="Times New Roman"/>
        </w:rPr>
        <w:t xml:space="preserve">post-2020 </w:t>
      </w:r>
      <w:r w:rsidR="00A97056">
        <w:rPr>
          <w:rFonts w:ascii="Times New Roman" w:hAnsi="Times New Roman" w:cs="Times New Roman"/>
        </w:rPr>
        <w:t>capacity-building</w:t>
      </w:r>
      <w:r w:rsidR="006919FA" w:rsidRPr="004F623E">
        <w:rPr>
          <w:rFonts w:ascii="Times New Roman" w:hAnsi="Times New Roman" w:cs="Times New Roman"/>
        </w:rPr>
        <w:t xml:space="preserve"> </w:t>
      </w:r>
      <w:r w:rsidR="0079532C" w:rsidRPr="004F623E">
        <w:rPr>
          <w:rFonts w:ascii="Times New Roman" w:hAnsi="Times New Roman" w:cs="Times New Roman"/>
        </w:rPr>
        <w:t>a</w:t>
      </w:r>
      <w:r w:rsidR="006919FA" w:rsidRPr="004F623E">
        <w:rPr>
          <w:rFonts w:ascii="Times New Roman" w:hAnsi="Times New Roman" w:cs="Times New Roman"/>
        </w:rPr>
        <w:t xml:space="preserve">ction </w:t>
      </w:r>
      <w:r w:rsidR="0079532C" w:rsidRPr="004F623E">
        <w:rPr>
          <w:rFonts w:ascii="Times New Roman" w:hAnsi="Times New Roman" w:cs="Times New Roman"/>
        </w:rPr>
        <w:t>p</w:t>
      </w:r>
      <w:r w:rsidR="006919FA" w:rsidRPr="004F623E">
        <w:rPr>
          <w:rFonts w:ascii="Times New Roman" w:hAnsi="Times New Roman" w:cs="Times New Roman"/>
        </w:rPr>
        <w:t>lan</w:t>
      </w:r>
      <w:r w:rsidR="005B4257" w:rsidRPr="004F623E">
        <w:rPr>
          <w:rFonts w:ascii="Times New Roman" w:hAnsi="Times New Roman" w:cs="Times New Roman"/>
        </w:rPr>
        <w:t xml:space="preserve">. </w:t>
      </w:r>
      <w:r w:rsidR="0079532C" w:rsidRPr="004F623E">
        <w:rPr>
          <w:rFonts w:ascii="Times New Roman" w:hAnsi="Times New Roman" w:cs="Times New Roman"/>
        </w:rPr>
        <w:t xml:space="preserve">In the </w:t>
      </w:r>
      <w:r w:rsidR="005B4257" w:rsidRPr="004F623E">
        <w:rPr>
          <w:rFonts w:ascii="Times New Roman" w:hAnsi="Times New Roman" w:cs="Times New Roman"/>
        </w:rPr>
        <w:t>views submitte</w:t>
      </w:r>
      <w:r w:rsidR="0079532C" w:rsidRPr="004F623E">
        <w:rPr>
          <w:rFonts w:ascii="Times New Roman" w:hAnsi="Times New Roman" w:cs="Times New Roman"/>
        </w:rPr>
        <w:t>d,</w:t>
      </w:r>
      <w:r w:rsidR="005B4257" w:rsidRPr="004F623E">
        <w:rPr>
          <w:rFonts w:ascii="Times New Roman" w:hAnsi="Times New Roman" w:cs="Times New Roman"/>
        </w:rPr>
        <w:t xml:space="preserve"> </w:t>
      </w:r>
      <w:r w:rsidR="00D35C87" w:rsidRPr="004F623E">
        <w:rPr>
          <w:rFonts w:ascii="Times New Roman" w:hAnsi="Times New Roman" w:cs="Times New Roman"/>
        </w:rPr>
        <w:t>suggestio</w:t>
      </w:r>
      <w:r w:rsidR="00453017" w:rsidRPr="004F623E">
        <w:rPr>
          <w:rFonts w:ascii="Times New Roman" w:hAnsi="Times New Roman" w:cs="Times New Roman"/>
        </w:rPr>
        <w:t>n</w:t>
      </w:r>
      <w:r w:rsidR="00D35C87" w:rsidRPr="004F623E">
        <w:rPr>
          <w:rFonts w:ascii="Times New Roman" w:hAnsi="Times New Roman" w:cs="Times New Roman"/>
        </w:rPr>
        <w:t>s for capacity-building activities in the following</w:t>
      </w:r>
      <w:r w:rsidR="005B4257" w:rsidRPr="004F623E">
        <w:rPr>
          <w:rFonts w:ascii="Times New Roman" w:hAnsi="Times New Roman" w:cs="Times New Roman"/>
        </w:rPr>
        <w:t xml:space="preserve"> areas </w:t>
      </w:r>
      <w:r w:rsidR="00D35C87" w:rsidRPr="004F623E">
        <w:rPr>
          <w:rFonts w:ascii="Times New Roman" w:hAnsi="Times New Roman" w:cs="Times New Roman"/>
        </w:rPr>
        <w:t>were made</w:t>
      </w:r>
      <w:r w:rsidR="005B4257" w:rsidRPr="004F623E">
        <w:rPr>
          <w:rFonts w:ascii="Times New Roman" w:hAnsi="Times New Roman" w:cs="Times New Roman"/>
        </w:rPr>
        <w:t xml:space="preserve">: national biosafety frameworks (legal, policy and institutional aspects); simplified procedure; risk assessment and risk management; handling, transport, packaging and identification; information sharing </w:t>
      </w:r>
      <w:r w:rsidR="00805D51" w:rsidRPr="004F623E">
        <w:rPr>
          <w:rFonts w:ascii="Times New Roman" w:hAnsi="Times New Roman" w:cs="Times New Roman"/>
        </w:rPr>
        <w:t xml:space="preserve">(Biosafety Clearing-House </w:t>
      </w:r>
      <w:r w:rsidR="005B4257" w:rsidRPr="004F623E">
        <w:rPr>
          <w:rFonts w:ascii="Times New Roman" w:hAnsi="Times New Roman" w:cs="Times New Roman"/>
        </w:rPr>
        <w:t>(BCH)</w:t>
      </w:r>
      <w:r w:rsidR="00805D51" w:rsidRPr="004F623E">
        <w:rPr>
          <w:rFonts w:ascii="Times New Roman" w:hAnsi="Times New Roman" w:cs="Times New Roman"/>
        </w:rPr>
        <w:t>)</w:t>
      </w:r>
      <w:r w:rsidR="005B4257" w:rsidRPr="004F623E">
        <w:rPr>
          <w:rFonts w:ascii="Times New Roman" w:hAnsi="Times New Roman" w:cs="Times New Roman"/>
        </w:rPr>
        <w:t xml:space="preserve">; public awareness, education and participation; socio-economic considerations; liability and redress; biotechnologies and biosafety (focusing on capacities concerning new and emerging technologies and the </w:t>
      </w:r>
      <w:r w:rsidR="00805D51" w:rsidRPr="004F623E">
        <w:rPr>
          <w:rFonts w:ascii="Times New Roman" w:hAnsi="Times New Roman" w:cs="Times New Roman"/>
        </w:rPr>
        <w:t>impact</w:t>
      </w:r>
      <w:r w:rsidR="005B4257" w:rsidRPr="004F623E">
        <w:rPr>
          <w:rFonts w:ascii="Times New Roman" w:hAnsi="Times New Roman" w:cs="Times New Roman"/>
        </w:rPr>
        <w:t xml:space="preserve">s of the </w:t>
      </w:r>
      <w:r w:rsidR="00A455DE" w:rsidRPr="004F623E">
        <w:rPr>
          <w:rFonts w:ascii="Times New Roman" w:hAnsi="Times New Roman" w:cs="Times New Roman"/>
        </w:rPr>
        <w:t>living modified organisms (</w:t>
      </w:r>
      <w:r w:rsidR="005B4257" w:rsidRPr="004F623E">
        <w:rPr>
          <w:rFonts w:ascii="Times New Roman" w:hAnsi="Times New Roman" w:cs="Times New Roman"/>
        </w:rPr>
        <w:t>LMOs</w:t>
      </w:r>
      <w:r w:rsidR="00A455DE" w:rsidRPr="004F623E">
        <w:rPr>
          <w:rFonts w:ascii="Times New Roman" w:hAnsi="Times New Roman" w:cs="Times New Roman"/>
        </w:rPr>
        <w:t>)</w:t>
      </w:r>
      <w:r w:rsidR="005B4257" w:rsidRPr="004F623E">
        <w:rPr>
          <w:rFonts w:ascii="Times New Roman" w:hAnsi="Times New Roman" w:cs="Times New Roman"/>
        </w:rPr>
        <w:t xml:space="preserve"> produced through such technologies). </w:t>
      </w:r>
    </w:p>
    <w:p w14:paraId="7DFBBAEE" w14:textId="214D83FD" w:rsidR="006A7281" w:rsidRPr="00A97056" w:rsidRDefault="005B4257" w:rsidP="002D00B8">
      <w:pPr>
        <w:pStyle w:val="ListParagraph"/>
        <w:numPr>
          <w:ilvl w:val="0"/>
          <w:numId w:val="6"/>
        </w:numPr>
        <w:spacing w:before="120" w:after="120" w:line="240" w:lineRule="auto"/>
        <w:ind w:left="0" w:firstLine="0"/>
        <w:contextualSpacing w:val="0"/>
        <w:jc w:val="both"/>
        <w:rPr>
          <w:rFonts w:ascii="Times New Roman" w:eastAsia="Times New Roman" w:hAnsi="Times New Roman" w:cs="Times New Roman"/>
          <w:b/>
          <w:szCs w:val="24"/>
          <w:lang w:val="en-GB" w:eastAsia="en-US"/>
        </w:rPr>
      </w:pPr>
      <w:r w:rsidRPr="004F623E">
        <w:rPr>
          <w:rFonts w:ascii="Times New Roman" w:hAnsi="Times New Roman" w:cs="Times New Roman"/>
        </w:rPr>
        <w:t xml:space="preserve">The views submitted also addressed the modalities for capacity-building, stressing the importance of conducting trainings, including training-of-trainers, and online activities and underlined the importance of scientific and technical cooperation in this regard. </w:t>
      </w:r>
    </w:p>
    <w:p w14:paraId="6897A357" w14:textId="205EDD99" w:rsidR="004D3BFC" w:rsidRPr="00A97056" w:rsidRDefault="00437ED3" w:rsidP="002D00B8">
      <w:pPr>
        <w:pStyle w:val="Heading2"/>
        <w:ind w:left="1134" w:hanging="567"/>
        <w:jc w:val="left"/>
      </w:pPr>
      <w:r>
        <w:rPr>
          <w:i w:val="0"/>
        </w:rPr>
        <w:t>B.</w:t>
      </w:r>
      <w:r>
        <w:rPr>
          <w:i w:val="0"/>
        </w:rPr>
        <w:tab/>
      </w:r>
      <w:r w:rsidR="00073451" w:rsidRPr="002D00B8">
        <w:rPr>
          <w:i w:val="0"/>
        </w:rPr>
        <w:t>Other</w:t>
      </w:r>
      <w:r w:rsidR="000A1714" w:rsidRPr="002D00B8">
        <w:rPr>
          <w:i w:val="0"/>
        </w:rPr>
        <w:t xml:space="preserve"> </w:t>
      </w:r>
      <w:r w:rsidR="00073451" w:rsidRPr="002D00B8">
        <w:rPr>
          <w:i w:val="0"/>
        </w:rPr>
        <w:t xml:space="preserve">information of </w:t>
      </w:r>
      <w:r w:rsidR="000A1714" w:rsidRPr="002D00B8">
        <w:rPr>
          <w:i w:val="0"/>
        </w:rPr>
        <w:t xml:space="preserve">potential relevance to the development of the post-2020 </w:t>
      </w:r>
      <w:r w:rsidR="00073451" w:rsidRPr="002D00B8">
        <w:rPr>
          <w:i w:val="0"/>
        </w:rPr>
        <w:t>c</w:t>
      </w:r>
      <w:r w:rsidR="000A1714" w:rsidRPr="002D00B8">
        <w:rPr>
          <w:i w:val="0"/>
        </w:rPr>
        <w:t>apacity</w:t>
      </w:r>
      <w:r>
        <w:rPr>
          <w:i w:val="0"/>
        </w:rPr>
        <w:noBreakHyphen/>
      </w:r>
      <w:r w:rsidR="00073451" w:rsidRPr="002D00B8">
        <w:rPr>
          <w:i w:val="0"/>
        </w:rPr>
        <w:t>b</w:t>
      </w:r>
      <w:r w:rsidR="000A1714" w:rsidRPr="002D00B8">
        <w:rPr>
          <w:i w:val="0"/>
        </w:rPr>
        <w:t xml:space="preserve">uilding </w:t>
      </w:r>
      <w:r w:rsidR="00073451" w:rsidRPr="002D00B8">
        <w:rPr>
          <w:i w:val="0"/>
        </w:rPr>
        <w:t>a</w:t>
      </w:r>
      <w:r w:rsidR="000A1714" w:rsidRPr="002D00B8">
        <w:rPr>
          <w:i w:val="0"/>
        </w:rPr>
        <w:t xml:space="preserve">ction </w:t>
      </w:r>
      <w:r w:rsidR="00073451" w:rsidRPr="002D00B8">
        <w:rPr>
          <w:i w:val="0"/>
        </w:rPr>
        <w:t>p</w:t>
      </w:r>
      <w:r w:rsidR="000A1714" w:rsidRPr="002D00B8">
        <w:rPr>
          <w:i w:val="0"/>
        </w:rPr>
        <w:t>lan</w:t>
      </w:r>
    </w:p>
    <w:p w14:paraId="326AA40F" w14:textId="726806AD" w:rsidR="009A7A73" w:rsidRPr="002D00B8" w:rsidRDefault="00437ED3" w:rsidP="002D00B8">
      <w:pPr>
        <w:pStyle w:val="ListParagraph"/>
        <w:spacing w:before="120" w:after="120" w:line="240" w:lineRule="auto"/>
        <w:ind w:left="1134" w:hanging="567"/>
        <w:contextualSpacing w:val="0"/>
        <w:jc w:val="both"/>
        <w:rPr>
          <w:i/>
        </w:rPr>
      </w:pPr>
      <w:r>
        <w:rPr>
          <w:rFonts w:ascii="Times New Roman" w:hAnsi="Times New Roman" w:cs="Times New Roman"/>
          <w:i/>
        </w:rPr>
        <w:t>1.</w:t>
      </w:r>
      <w:r>
        <w:rPr>
          <w:rFonts w:ascii="Times New Roman" w:hAnsi="Times New Roman" w:cs="Times New Roman"/>
          <w:i/>
        </w:rPr>
        <w:tab/>
      </w:r>
      <w:r w:rsidR="009A7A73">
        <w:rPr>
          <w:rFonts w:ascii="Times New Roman" w:hAnsi="Times New Roman" w:cs="Times New Roman"/>
          <w:i/>
        </w:rPr>
        <w:t>Views submitted on capacities and needs regarding detection and identification of living modified organisms</w:t>
      </w:r>
    </w:p>
    <w:p w14:paraId="3DB92CFE" w14:textId="1BD521B9" w:rsidR="009A7A73" w:rsidRPr="00A97056" w:rsidRDefault="009A7A73" w:rsidP="002D00B8">
      <w:pPr>
        <w:pStyle w:val="ListParagraph"/>
        <w:numPr>
          <w:ilvl w:val="0"/>
          <w:numId w:val="6"/>
        </w:numPr>
        <w:spacing w:before="120" w:after="120" w:line="240" w:lineRule="auto"/>
        <w:ind w:left="0" w:firstLine="0"/>
        <w:contextualSpacing w:val="0"/>
        <w:jc w:val="both"/>
        <w:rPr>
          <w:rFonts w:ascii="Times New Roman" w:hAnsi="Times New Roman" w:cs="Times New Roman"/>
        </w:rPr>
      </w:pPr>
      <w:r w:rsidRPr="00421A84">
        <w:rPr>
          <w:rFonts w:ascii="Times New Roman" w:hAnsi="Times New Roman" w:cs="Times New Roman"/>
          <w:lang w:val="en-GB"/>
        </w:rPr>
        <w:t>In decision CP-9/11</w:t>
      </w:r>
      <w:r>
        <w:rPr>
          <w:rFonts w:ascii="Times New Roman" w:hAnsi="Times New Roman" w:cs="Times New Roman"/>
          <w:lang w:val="en-GB"/>
        </w:rPr>
        <w:t>,</w:t>
      </w:r>
      <w:r w:rsidRPr="00421A84">
        <w:rPr>
          <w:rFonts w:ascii="Times New Roman" w:hAnsi="Times New Roman" w:cs="Times New Roman"/>
          <w:lang w:val="en-GB"/>
        </w:rPr>
        <w:t xml:space="preserve"> Parties</w:t>
      </w:r>
      <w:r>
        <w:rPr>
          <w:rFonts w:ascii="Times New Roman" w:hAnsi="Times New Roman" w:cs="Times New Roman"/>
          <w:lang w:val="en-GB"/>
        </w:rPr>
        <w:t xml:space="preserve"> were </w:t>
      </w:r>
      <w:r w:rsidRPr="006B4058">
        <w:rPr>
          <w:rFonts w:ascii="Times New Roman" w:hAnsi="Times New Roman" w:cs="Times New Roman"/>
          <w:lang w:val="en-GB"/>
        </w:rPr>
        <w:t>invited</w:t>
      </w:r>
      <w:r w:rsidRPr="00421A84">
        <w:rPr>
          <w:rFonts w:ascii="Times New Roman" w:hAnsi="Times New Roman" w:cs="Times New Roman"/>
          <w:lang w:val="en-GB"/>
        </w:rPr>
        <w:t xml:space="preserve"> to submit views on, among other things, their capacities and needs regard</w:t>
      </w:r>
      <w:r w:rsidR="00524D49">
        <w:rPr>
          <w:rFonts w:ascii="Times New Roman" w:hAnsi="Times New Roman" w:cs="Times New Roman"/>
          <w:lang w:val="en-GB"/>
        </w:rPr>
        <w:t>ing</w:t>
      </w:r>
      <w:r w:rsidRPr="00421A84">
        <w:rPr>
          <w:rFonts w:ascii="Times New Roman" w:hAnsi="Times New Roman" w:cs="Times New Roman"/>
          <w:lang w:val="en-GB"/>
        </w:rPr>
        <w:t xml:space="preserve"> detection and identification of living modified organisms</w:t>
      </w:r>
      <w:r>
        <w:rPr>
          <w:rFonts w:ascii="Times New Roman" w:hAnsi="Times New Roman" w:cs="Times New Roman"/>
          <w:lang w:val="en-GB"/>
        </w:rPr>
        <w:t>.</w:t>
      </w:r>
      <w:r w:rsidRPr="00421A84">
        <w:rPr>
          <w:rFonts w:ascii="Times New Roman" w:hAnsi="Times New Roman" w:cs="Times New Roman"/>
          <w:lang w:val="en-GB"/>
        </w:rPr>
        <w:t xml:space="preserve"> </w:t>
      </w:r>
      <w:r>
        <w:rPr>
          <w:rFonts w:ascii="Times New Roman" w:hAnsi="Times New Roman" w:cs="Times New Roman"/>
          <w:lang w:val="en-GB"/>
        </w:rPr>
        <w:t>T</w:t>
      </w:r>
      <w:r w:rsidRPr="00421A84">
        <w:rPr>
          <w:rFonts w:ascii="Times New Roman" w:hAnsi="Times New Roman" w:cs="Times New Roman"/>
          <w:lang w:val="en-GB"/>
        </w:rPr>
        <w:t xml:space="preserve">he Executive Secretary </w:t>
      </w:r>
      <w:r>
        <w:rPr>
          <w:rFonts w:ascii="Times New Roman" w:hAnsi="Times New Roman" w:cs="Times New Roman"/>
          <w:lang w:val="en-GB"/>
        </w:rPr>
        <w:t xml:space="preserve">was </w:t>
      </w:r>
      <w:r w:rsidRPr="006B4058">
        <w:rPr>
          <w:rFonts w:ascii="Times New Roman" w:hAnsi="Times New Roman" w:cs="Times New Roman"/>
          <w:lang w:val="en-GB"/>
        </w:rPr>
        <w:t xml:space="preserve">requested </w:t>
      </w:r>
      <w:r w:rsidRPr="00421A84">
        <w:rPr>
          <w:rFonts w:ascii="Times New Roman" w:hAnsi="Times New Roman" w:cs="Times New Roman"/>
          <w:lang w:val="en-GB"/>
        </w:rPr>
        <w:t>to reflect the information submitted in the post-2020 capacity-building action plan, as appropriate</w:t>
      </w:r>
      <w:r>
        <w:rPr>
          <w:rFonts w:ascii="Times New Roman" w:hAnsi="Times New Roman" w:cs="Times New Roman"/>
          <w:lang w:val="en-GB"/>
        </w:rPr>
        <w:t xml:space="preserve">. </w:t>
      </w:r>
    </w:p>
    <w:p w14:paraId="6F1FE622" w14:textId="5A7B67E2" w:rsidR="000768E0" w:rsidRPr="00A97056" w:rsidRDefault="009A7A73" w:rsidP="002D00B8">
      <w:pPr>
        <w:pStyle w:val="ListParagraph"/>
        <w:numPr>
          <w:ilvl w:val="0"/>
          <w:numId w:val="6"/>
        </w:numPr>
        <w:spacing w:before="120" w:after="120" w:line="240" w:lineRule="auto"/>
        <w:ind w:left="0" w:firstLine="0"/>
        <w:contextualSpacing w:val="0"/>
        <w:jc w:val="both"/>
      </w:pPr>
      <w:r>
        <w:rPr>
          <w:rFonts w:ascii="Times New Roman" w:hAnsi="Times New Roman" w:cs="Times New Roman"/>
        </w:rPr>
        <w:t xml:space="preserve">Through notification 2019-056 (dated 23 July 2019), the Executive Secretary invited Parties to submit information by completing an online survey </w:t>
      </w:r>
      <w:r w:rsidRPr="009A7A73">
        <w:rPr>
          <w:rFonts w:ascii="Times New Roman" w:hAnsi="Times New Roman" w:cs="Times New Roman"/>
        </w:rPr>
        <w:t>to provide an overview of their national situation regarding the detection and identification of LMOs, including capacity-building needs and challenges.</w:t>
      </w:r>
      <w:r w:rsidR="00B03F84">
        <w:rPr>
          <w:rFonts w:ascii="Times New Roman" w:hAnsi="Times New Roman" w:cs="Times New Roman"/>
        </w:rPr>
        <w:t xml:space="preserve"> In response, thirty-four Parties completed the survey.</w:t>
      </w:r>
      <w:r w:rsidR="003C7073" w:rsidRPr="002D00B8">
        <w:rPr>
          <w:rStyle w:val="FootnoteReference"/>
          <w:rFonts w:ascii="Times New Roman" w:hAnsi="Times New Roman" w:cs="Times New Roman"/>
          <w:u w:val="none"/>
          <w:vertAlign w:val="superscript"/>
        </w:rPr>
        <w:footnoteReference w:id="1"/>
      </w:r>
      <w:r w:rsidR="00B03F84">
        <w:rPr>
          <w:rFonts w:ascii="Times New Roman" w:hAnsi="Times New Roman" w:cs="Times New Roman"/>
        </w:rPr>
        <w:t xml:space="preserve"> </w:t>
      </w:r>
    </w:p>
    <w:p w14:paraId="1CF2E003" w14:textId="4B4D3359" w:rsidR="003C7073" w:rsidRPr="00A97056" w:rsidRDefault="000768E0" w:rsidP="002D00B8">
      <w:pPr>
        <w:pStyle w:val="ListParagraph"/>
        <w:numPr>
          <w:ilvl w:val="0"/>
          <w:numId w:val="6"/>
        </w:numPr>
        <w:spacing w:before="120" w:after="120" w:line="240" w:lineRule="auto"/>
        <w:ind w:left="0" w:firstLine="0"/>
        <w:contextualSpacing w:val="0"/>
        <w:jc w:val="both"/>
      </w:pPr>
      <w:r w:rsidRPr="003C7073">
        <w:rPr>
          <w:rFonts w:ascii="Times New Roman" w:hAnsi="Times New Roman" w:cs="Times New Roman"/>
        </w:rPr>
        <w:t xml:space="preserve">To identify whether challenges exist, </w:t>
      </w:r>
      <w:r w:rsidR="00060B3D" w:rsidRPr="003C7073">
        <w:rPr>
          <w:rFonts w:ascii="Times New Roman" w:hAnsi="Times New Roman" w:cs="Times New Roman"/>
        </w:rPr>
        <w:t xml:space="preserve">Parties were asked to </w:t>
      </w:r>
      <w:r w:rsidR="003C7073" w:rsidRPr="00421A84">
        <w:rPr>
          <w:rFonts w:ascii="Times New Roman" w:hAnsi="Times New Roman" w:cs="Times New Roman"/>
        </w:rPr>
        <w:t xml:space="preserve">select general categories of challenges that best describe their national situation and then further describe the challenges that are faced. In general, respondents highlighted the lack of financing as a primary concern that impacts the other challenges faced in the detection and identification of LMOs including insufficient funds for the high cost of consumables (e.g. rapid test kits, reagents, etc.) and validation/reference materials, as well as the </w:t>
      </w:r>
      <w:r w:rsidR="00524D49">
        <w:rPr>
          <w:rFonts w:ascii="Times New Roman" w:hAnsi="Times New Roman" w:cs="Times New Roman"/>
        </w:rPr>
        <w:t>ongoing</w:t>
      </w:r>
      <w:r w:rsidR="003C7073" w:rsidRPr="00421A84">
        <w:rPr>
          <w:rFonts w:ascii="Times New Roman" w:hAnsi="Times New Roman" w:cs="Times New Roman"/>
        </w:rPr>
        <w:t xml:space="preserve"> maintenance and operations of laboratory facilities and funding for training of personnel.</w:t>
      </w:r>
    </w:p>
    <w:p w14:paraId="47FEC108" w14:textId="6BB7CCE6" w:rsidR="003C7073" w:rsidRPr="00A97056" w:rsidRDefault="003C7073" w:rsidP="002D00B8">
      <w:pPr>
        <w:pStyle w:val="ListParagraph"/>
        <w:numPr>
          <w:ilvl w:val="0"/>
          <w:numId w:val="6"/>
        </w:numPr>
        <w:spacing w:before="120" w:after="120" w:line="240" w:lineRule="auto"/>
        <w:ind w:left="0" w:firstLine="0"/>
        <w:contextualSpacing w:val="0"/>
        <w:jc w:val="both"/>
      </w:pPr>
      <w:r w:rsidRPr="00421A84">
        <w:rPr>
          <w:rFonts w:ascii="Times New Roman" w:hAnsi="Times New Roman" w:cs="Times New Roman"/>
        </w:rPr>
        <w:t xml:space="preserve">Other important challenges that were described included: access to validation and reference materials; constraints on the ability and availability to purchase consumables and equipment; lack of </w:t>
      </w:r>
      <w:proofErr w:type="gramStart"/>
      <w:r w:rsidRPr="00421A84">
        <w:rPr>
          <w:rFonts w:ascii="Times New Roman" w:hAnsi="Times New Roman" w:cs="Times New Roman"/>
        </w:rPr>
        <w:t>sufficient</w:t>
      </w:r>
      <w:proofErr w:type="gramEnd"/>
      <w:r w:rsidRPr="00421A84">
        <w:rPr>
          <w:rFonts w:ascii="Times New Roman" w:hAnsi="Times New Roman" w:cs="Times New Roman"/>
        </w:rPr>
        <w:t xml:space="preserve"> laboratory personnel and training programmes for laboratory personnel and border agents; lack of validated methodologies for detecting new LMOs; and lack of functional legal instruments.</w:t>
      </w:r>
    </w:p>
    <w:p w14:paraId="5C4202CC" w14:textId="053C7F28" w:rsidR="003C7073" w:rsidRPr="00A97056" w:rsidRDefault="003C7073" w:rsidP="002D00B8">
      <w:pPr>
        <w:pStyle w:val="ListParagraph"/>
        <w:numPr>
          <w:ilvl w:val="0"/>
          <w:numId w:val="6"/>
        </w:numPr>
        <w:spacing w:before="120" w:after="120" w:line="240" w:lineRule="auto"/>
        <w:ind w:left="0" w:firstLine="0"/>
        <w:contextualSpacing w:val="0"/>
        <w:jc w:val="both"/>
      </w:pPr>
      <w:r w:rsidRPr="00421A84">
        <w:rPr>
          <w:rFonts w:ascii="Times New Roman" w:hAnsi="Times New Roman" w:cs="Times New Roman"/>
        </w:rPr>
        <w:t xml:space="preserve">Parties were also asked to indicate categories of potential solutions and provide more detailed descriptions of how the identified challenges could be overcome. Training programmes for laboratory personnel and border control agents was highlighted </w:t>
      </w:r>
      <w:proofErr w:type="gramStart"/>
      <w:r w:rsidRPr="00421A84">
        <w:rPr>
          <w:rFonts w:ascii="Times New Roman" w:hAnsi="Times New Roman" w:cs="Times New Roman"/>
        </w:rPr>
        <w:t>as a way to</w:t>
      </w:r>
      <w:proofErr w:type="gramEnd"/>
      <w:r w:rsidRPr="00421A84">
        <w:rPr>
          <w:rFonts w:ascii="Times New Roman" w:hAnsi="Times New Roman" w:cs="Times New Roman"/>
        </w:rPr>
        <w:t xml:space="preserve"> overcome some of the challenges. Another suggestion was to set up regional networks of laboratories to facilitate sharing of information on LMOs, sharing</w:t>
      </w:r>
      <w:r w:rsidR="00524D49">
        <w:rPr>
          <w:rFonts w:ascii="Times New Roman" w:hAnsi="Times New Roman" w:cs="Times New Roman"/>
        </w:rPr>
        <w:t xml:space="preserve"> of</w:t>
      </w:r>
      <w:r w:rsidRPr="00421A84">
        <w:rPr>
          <w:rFonts w:ascii="Times New Roman" w:hAnsi="Times New Roman" w:cs="Times New Roman"/>
        </w:rPr>
        <w:t xml:space="preserve"> reference materials</w:t>
      </w:r>
      <w:r w:rsidR="00421A84">
        <w:rPr>
          <w:rFonts w:ascii="Times New Roman" w:hAnsi="Times New Roman" w:cs="Times New Roman"/>
        </w:rPr>
        <w:t xml:space="preserve"> </w:t>
      </w:r>
      <w:r w:rsidRPr="00421A84">
        <w:rPr>
          <w:rFonts w:ascii="Times New Roman" w:hAnsi="Times New Roman" w:cs="Times New Roman"/>
        </w:rPr>
        <w:t>and building expertise specific for each region.</w:t>
      </w:r>
    </w:p>
    <w:p w14:paraId="7280797B" w14:textId="7CE6CEB6" w:rsidR="009A7A73" w:rsidRPr="002D00B8" w:rsidRDefault="003C7073" w:rsidP="002D00B8">
      <w:pPr>
        <w:pStyle w:val="ListParagraph"/>
        <w:numPr>
          <w:ilvl w:val="0"/>
          <w:numId w:val="6"/>
        </w:numPr>
        <w:spacing w:before="120" w:after="120" w:line="240" w:lineRule="auto"/>
        <w:ind w:left="0" w:firstLine="0"/>
        <w:contextualSpacing w:val="0"/>
        <w:jc w:val="both"/>
        <w:rPr>
          <w:i/>
        </w:rPr>
      </w:pPr>
      <w:r w:rsidRPr="00421A84">
        <w:rPr>
          <w:rFonts w:ascii="Times New Roman" w:hAnsi="Times New Roman" w:cs="Times New Roman"/>
        </w:rPr>
        <w:t xml:space="preserve">Other suggestions included greater budget allocations to improve access to reagents, equipment, training and validated/reference materials; </w:t>
      </w:r>
      <w:r w:rsidR="00524D49">
        <w:rPr>
          <w:rFonts w:ascii="Times New Roman" w:hAnsi="Times New Roman" w:cs="Times New Roman"/>
        </w:rPr>
        <w:t xml:space="preserve">and </w:t>
      </w:r>
      <w:r w:rsidRPr="00421A84">
        <w:rPr>
          <w:rFonts w:ascii="Times New Roman" w:hAnsi="Times New Roman" w:cs="Times New Roman"/>
        </w:rPr>
        <w:t>developing or improving national legal frameworks for biosafety and national institutions, including through mainstreaming to help policymakers better understand the importance of biosafety.</w:t>
      </w:r>
    </w:p>
    <w:p w14:paraId="273E8268" w14:textId="3D950A43" w:rsidR="00BE16A5" w:rsidRPr="00A97056" w:rsidRDefault="00437ED3" w:rsidP="002D00B8">
      <w:pPr>
        <w:pStyle w:val="ListParagraph"/>
        <w:spacing w:before="120" w:after="120" w:line="240" w:lineRule="auto"/>
        <w:ind w:left="1080"/>
        <w:contextualSpacing w:val="0"/>
      </w:pPr>
      <w:r>
        <w:rPr>
          <w:rFonts w:ascii="Times New Roman" w:hAnsi="Times New Roman" w:cs="Times New Roman"/>
          <w:i/>
        </w:rPr>
        <w:t>2.</w:t>
      </w:r>
      <w:r>
        <w:rPr>
          <w:rFonts w:ascii="Times New Roman" w:hAnsi="Times New Roman" w:cs="Times New Roman"/>
          <w:i/>
        </w:rPr>
        <w:tab/>
      </w:r>
      <w:r w:rsidR="00BE16A5" w:rsidRPr="004F623E">
        <w:rPr>
          <w:rFonts w:ascii="Times New Roman" w:hAnsi="Times New Roman" w:cs="Times New Roman"/>
          <w:i/>
        </w:rPr>
        <w:t>Status of implementation of the Framework and Action Plan for Capacity-Building</w:t>
      </w:r>
    </w:p>
    <w:p w14:paraId="12F0BE4A" w14:textId="19B786C8" w:rsidR="002F6D26" w:rsidRPr="00A97056" w:rsidRDefault="009069AC" w:rsidP="002D00B8">
      <w:pPr>
        <w:pStyle w:val="ListParagraph"/>
        <w:numPr>
          <w:ilvl w:val="0"/>
          <w:numId w:val="6"/>
        </w:numPr>
        <w:spacing w:before="120" w:after="120" w:line="240" w:lineRule="auto"/>
        <w:ind w:left="0" w:firstLine="0"/>
        <w:contextualSpacing w:val="0"/>
        <w:jc w:val="both"/>
        <w:rPr>
          <w:rFonts w:ascii="Times New Roman" w:hAnsi="Times New Roman" w:cs="Times New Roman"/>
        </w:rPr>
      </w:pPr>
      <w:r w:rsidRPr="004F623E">
        <w:rPr>
          <w:rFonts w:ascii="Times New Roman" w:hAnsi="Times New Roman" w:cs="Times New Roman"/>
        </w:rPr>
        <w:t>At its twelfth meeting, held from 5 to 7 September 2018, t</w:t>
      </w:r>
      <w:r w:rsidR="00C663E3" w:rsidRPr="004F623E">
        <w:rPr>
          <w:rFonts w:ascii="Times New Roman" w:hAnsi="Times New Roman" w:cs="Times New Roman"/>
        </w:rPr>
        <w:t>he Liaison Group</w:t>
      </w:r>
      <w:r w:rsidR="00087A3F" w:rsidRPr="004F623E">
        <w:rPr>
          <w:rFonts w:ascii="Times New Roman" w:hAnsi="Times New Roman" w:cs="Times New Roman"/>
        </w:rPr>
        <w:t xml:space="preserve"> </w:t>
      </w:r>
      <w:r w:rsidR="00C663E3" w:rsidRPr="004F623E">
        <w:rPr>
          <w:rFonts w:ascii="Times New Roman" w:hAnsi="Times New Roman" w:cs="Times New Roman"/>
        </w:rPr>
        <w:t>considered a report on the status of implementation of the Framework and Action Plan for Capacity-Building</w:t>
      </w:r>
      <w:r w:rsidR="007C68F5" w:rsidRPr="004F623E">
        <w:rPr>
          <w:rFonts w:ascii="Times New Roman" w:hAnsi="Times New Roman" w:cs="Times New Roman"/>
        </w:rPr>
        <w:t xml:space="preserve"> and reached conclusions in this regard (se</w:t>
      </w:r>
      <w:r w:rsidR="00913B3B" w:rsidRPr="004F623E">
        <w:rPr>
          <w:rFonts w:ascii="Times New Roman" w:hAnsi="Times New Roman" w:cs="Times New Roman"/>
        </w:rPr>
        <w:t xml:space="preserve">e paragraphs </w:t>
      </w:r>
      <w:r w:rsidR="002F6D26" w:rsidRPr="004F623E">
        <w:rPr>
          <w:rFonts w:ascii="Times New Roman" w:hAnsi="Times New Roman" w:cs="Times New Roman"/>
        </w:rPr>
        <w:t>25</w:t>
      </w:r>
      <w:r w:rsidR="00913B3B" w:rsidRPr="004F623E">
        <w:rPr>
          <w:rFonts w:ascii="Times New Roman" w:hAnsi="Times New Roman" w:cs="Times New Roman"/>
        </w:rPr>
        <w:t xml:space="preserve"> to </w:t>
      </w:r>
      <w:r w:rsidR="002F6D26" w:rsidRPr="004F623E">
        <w:rPr>
          <w:rFonts w:ascii="Times New Roman" w:hAnsi="Times New Roman" w:cs="Times New Roman"/>
        </w:rPr>
        <w:t>29</w:t>
      </w:r>
      <w:r w:rsidR="00913B3B" w:rsidRPr="004F623E">
        <w:rPr>
          <w:rFonts w:ascii="Times New Roman" w:hAnsi="Times New Roman" w:cs="Times New Roman"/>
        </w:rPr>
        <w:t xml:space="preserve"> </w:t>
      </w:r>
      <w:r w:rsidR="007C68F5" w:rsidRPr="004F623E">
        <w:rPr>
          <w:rFonts w:ascii="Times New Roman" w:hAnsi="Times New Roman" w:cs="Times New Roman"/>
        </w:rPr>
        <w:t>of the report</w:t>
      </w:r>
      <w:r w:rsidR="004E4F29" w:rsidRPr="004F623E">
        <w:rPr>
          <w:rFonts w:ascii="Times New Roman" w:hAnsi="Times New Roman" w:cs="Times New Roman"/>
        </w:rPr>
        <w:t xml:space="preserve"> of the meeting</w:t>
      </w:r>
      <w:r w:rsidR="00913B3B" w:rsidRPr="004F623E">
        <w:rPr>
          <w:rFonts w:ascii="Times New Roman" w:hAnsi="Times New Roman" w:cs="Times New Roman"/>
        </w:rPr>
        <w:t>, document CBD/CP/LG-CB/12/3</w:t>
      </w:r>
      <w:r w:rsidR="007C68F5" w:rsidRPr="004F623E">
        <w:rPr>
          <w:rFonts w:ascii="Times New Roman" w:hAnsi="Times New Roman" w:cs="Times New Roman"/>
        </w:rPr>
        <w:t>)</w:t>
      </w:r>
      <w:r w:rsidR="00C663E3" w:rsidRPr="004F623E">
        <w:rPr>
          <w:rFonts w:ascii="Times New Roman" w:hAnsi="Times New Roman" w:cs="Times New Roman"/>
        </w:rPr>
        <w:t xml:space="preserve">. </w:t>
      </w:r>
      <w:r w:rsidR="007C68F5" w:rsidRPr="004F623E">
        <w:rPr>
          <w:rFonts w:ascii="Times New Roman" w:hAnsi="Times New Roman" w:cs="Times New Roman"/>
        </w:rPr>
        <w:t xml:space="preserve">A number of these conclusions were subsequently reflected in the decision on capacity-building (decision CP-9/3) adopted by the Conference of the Parties serving as the meeting of the Parties to the Protocol. </w:t>
      </w:r>
      <w:proofErr w:type="gramStart"/>
      <w:r w:rsidR="007C68F5" w:rsidRPr="004F623E">
        <w:rPr>
          <w:rFonts w:ascii="Times New Roman" w:hAnsi="Times New Roman" w:cs="Times New Roman"/>
        </w:rPr>
        <w:t>In particular, paragraphs</w:t>
      </w:r>
      <w:proofErr w:type="gramEnd"/>
      <w:r w:rsidR="007C68F5" w:rsidRPr="004F623E">
        <w:rPr>
          <w:rFonts w:ascii="Times New Roman" w:hAnsi="Times New Roman" w:cs="Times New Roman"/>
        </w:rPr>
        <w:t xml:space="preserve"> 3 and 4 of the decision provide as follows:</w:t>
      </w:r>
    </w:p>
    <w:p w14:paraId="2198C35F" w14:textId="30BA6359" w:rsidR="007C68F5" w:rsidRPr="00A97056" w:rsidRDefault="007C68F5" w:rsidP="002D00B8">
      <w:pPr>
        <w:pStyle w:val="ListParagraph"/>
        <w:spacing w:before="120" w:after="120" w:line="240" w:lineRule="auto"/>
        <w:contextualSpacing w:val="0"/>
        <w:jc w:val="both"/>
      </w:pPr>
      <w:r w:rsidRPr="004F623E">
        <w:rPr>
          <w:rFonts w:ascii="Times New Roman" w:hAnsi="Times New Roman" w:cs="Times New Roman"/>
          <w:i/>
        </w:rPr>
        <w:t>The Conference of the Parties serving as the meeting of the Parties to the Cartagena Protocol on Biosafety,</w:t>
      </w:r>
      <w:r w:rsidRPr="004F623E">
        <w:rPr>
          <w:rFonts w:ascii="Times New Roman" w:hAnsi="Times New Roman" w:cs="Times New Roman"/>
        </w:rPr>
        <w:t xml:space="preserve"> …</w:t>
      </w:r>
    </w:p>
    <w:p w14:paraId="19ED631E" w14:textId="79822C1D" w:rsidR="007C68F5" w:rsidRPr="00A97056" w:rsidRDefault="007C68F5" w:rsidP="002D00B8">
      <w:pPr>
        <w:pStyle w:val="ListParagraph"/>
        <w:spacing w:before="120" w:after="120" w:line="240" w:lineRule="auto"/>
        <w:ind w:firstLine="720"/>
        <w:contextualSpacing w:val="0"/>
        <w:jc w:val="both"/>
      </w:pPr>
      <w:r w:rsidRPr="004F623E">
        <w:rPr>
          <w:rFonts w:ascii="Times New Roman" w:hAnsi="Times New Roman" w:cs="Times New Roman"/>
        </w:rPr>
        <w:t xml:space="preserve">3. </w:t>
      </w:r>
      <w:r w:rsidRPr="004F623E">
        <w:rPr>
          <w:rFonts w:ascii="Times New Roman" w:hAnsi="Times New Roman" w:cs="Times New Roman"/>
        </w:rPr>
        <w:tab/>
      </w:r>
      <w:r w:rsidRPr="004F623E">
        <w:rPr>
          <w:rFonts w:ascii="Times New Roman" w:hAnsi="Times New Roman" w:cs="Times New Roman"/>
          <w:i/>
        </w:rPr>
        <w:t>Urges</w:t>
      </w:r>
      <w:r w:rsidRPr="004F623E">
        <w:rPr>
          <w:rFonts w:ascii="Times New Roman" w:hAnsi="Times New Roman" w:cs="Times New Roman"/>
        </w:rPr>
        <w:t xml:space="preserve"> Parties, for the remaining period of the Framework and Action Plan, to prioritize and focus on, as appropriate, operational objectives relating to the development of national biosafety legislation, risk assessment, detection and identification of living modified organisms, and public awareness, education and participation, and takes note of the importance of biosafety mainstreaming and sharing of information and experience for further strengthening national biosafety frameworks in the remaining period of the Framework and Action Plan and beyond;</w:t>
      </w:r>
    </w:p>
    <w:p w14:paraId="6EA86E9E" w14:textId="11E34C20" w:rsidR="007C68F5" w:rsidRPr="004F623E" w:rsidRDefault="007C68F5" w:rsidP="002D00B8">
      <w:pPr>
        <w:pStyle w:val="ListParagraph"/>
        <w:spacing w:before="120" w:after="120" w:line="240" w:lineRule="auto"/>
        <w:ind w:firstLine="720"/>
        <w:contextualSpacing w:val="0"/>
        <w:jc w:val="both"/>
        <w:rPr>
          <w:rFonts w:ascii="Times New Roman" w:hAnsi="Times New Roman" w:cs="Times New Roman"/>
        </w:rPr>
      </w:pPr>
      <w:r w:rsidRPr="004F623E">
        <w:rPr>
          <w:rFonts w:ascii="Times New Roman" w:hAnsi="Times New Roman" w:cs="Times New Roman"/>
        </w:rPr>
        <w:t xml:space="preserve">4. </w:t>
      </w:r>
      <w:r w:rsidRPr="004F623E">
        <w:rPr>
          <w:rFonts w:ascii="Times New Roman" w:hAnsi="Times New Roman" w:cs="Times New Roman"/>
        </w:rPr>
        <w:tab/>
      </w:r>
      <w:r w:rsidRPr="004F623E">
        <w:rPr>
          <w:rFonts w:ascii="Times New Roman" w:hAnsi="Times New Roman" w:cs="Times New Roman"/>
          <w:i/>
        </w:rPr>
        <w:t>Also urges</w:t>
      </w:r>
      <w:r w:rsidRPr="004F623E">
        <w:rPr>
          <w:rFonts w:ascii="Times New Roman" w:hAnsi="Times New Roman" w:cs="Times New Roman"/>
        </w:rPr>
        <w:t xml:space="preserve"> Parties to prioritize, as appropriate, capacity-building activities on liability and redress as set out under focal area 4 of the Framework and Action Plan, in the remaining period of the Framework and Action Plan, in view of the recent entry into force of the Nagoya – Kuala Lumpur Supplementary Protocol on Liability and Redress;</w:t>
      </w:r>
    </w:p>
    <w:p w14:paraId="5FB5E813" w14:textId="57EC1734" w:rsidR="00CD5956" w:rsidRPr="00A97056" w:rsidRDefault="00EE1107" w:rsidP="002D00B8">
      <w:pPr>
        <w:pStyle w:val="ListParagraph"/>
        <w:numPr>
          <w:ilvl w:val="0"/>
          <w:numId w:val="6"/>
        </w:numPr>
        <w:spacing w:before="120" w:after="120" w:line="240" w:lineRule="auto"/>
        <w:ind w:left="0" w:firstLine="0"/>
        <w:contextualSpacing w:val="0"/>
        <w:jc w:val="both"/>
        <w:rPr>
          <w:rFonts w:ascii="Times New Roman" w:hAnsi="Times New Roman" w:cs="Times New Roman"/>
        </w:rPr>
      </w:pPr>
      <w:r w:rsidRPr="004F623E">
        <w:rPr>
          <w:rFonts w:ascii="Times New Roman" w:hAnsi="Times New Roman" w:cs="Times New Roman"/>
        </w:rPr>
        <w:t>The</w:t>
      </w:r>
      <w:r w:rsidR="00E25829">
        <w:rPr>
          <w:rFonts w:ascii="Times New Roman" w:hAnsi="Times New Roman" w:cs="Times New Roman"/>
        </w:rPr>
        <w:t xml:space="preserve"> Liaison</w:t>
      </w:r>
      <w:r w:rsidRPr="004F623E">
        <w:rPr>
          <w:rFonts w:ascii="Times New Roman" w:hAnsi="Times New Roman" w:cs="Times New Roman"/>
        </w:rPr>
        <w:t xml:space="preserve"> Group</w:t>
      </w:r>
      <w:r w:rsidR="00E25829">
        <w:rPr>
          <w:rFonts w:ascii="Times New Roman" w:hAnsi="Times New Roman" w:cs="Times New Roman"/>
        </w:rPr>
        <w:t xml:space="preserve"> also</w:t>
      </w:r>
      <w:r w:rsidRPr="004F623E">
        <w:rPr>
          <w:rFonts w:ascii="Times New Roman" w:hAnsi="Times New Roman" w:cs="Times New Roman"/>
        </w:rPr>
        <w:t xml:space="preserve"> noted the importance of adequate funding to ensure sustainable support to Parties in this regard and noted the importance of cooperation, </w:t>
      </w:r>
      <w:r w:rsidR="00087A3F" w:rsidRPr="004F623E">
        <w:rPr>
          <w:rFonts w:ascii="Times New Roman" w:hAnsi="Times New Roman" w:cs="Times New Roman"/>
        </w:rPr>
        <w:t>partnerships and</w:t>
      </w:r>
      <w:r w:rsidRPr="004F623E">
        <w:rPr>
          <w:rFonts w:ascii="Times New Roman" w:hAnsi="Times New Roman" w:cs="Times New Roman"/>
        </w:rPr>
        <w:t xml:space="preserve"> synergies</w:t>
      </w:r>
      <w:r w:rsidR="00E25829">
        <w:rPr>
          <w:rFonts w:ascii="Times New Roman" w:hAnsi="Times New Roman" w:cs="Times New Roman"/>
        </w:rPr>
        <w:t xml:space="preserve"> (see paragraphs 27-28 of </w:t>
      </w:r>
      <w:r w:rsidR="00E25829" w:rsidRPr="00E25829">
        <w:rPr>
          <w:rFonts w:ascii="Times New Roman" w:hAnsi="Times New Roman" w:cs="Times New Roman"/>
        </w:rPr>
        <w:t>CBD/CP/LG-CB/12/3</w:t>
      </w:r>
      <w:r w:rsidR="00E25829">
        <w:rPr>
          <w:rFonts w:ascii="Times New Roman" w:hAnsi="Times New Roman" w:cs="Times New Roman"/>
        </w:rPr>
        <w:t>)</w:t>
      </w:r>
      <w:r w:rsidRPr="004F623E">
        <w:rPr>
          <w:rFonts w:ascii="Times New Roman" w:hAnsi="Times New Roman" w:cs="Times New Roman"/>
        </w:rPr>
        <w:t>.</w:t>
      </w:r>
      <w:r w:rsidR="00C663E3" w:rsidRPr="004F623E">
        <w:rPr>
          <w:rFonts w:ascii="Times New Roman" w:hAnsi="Times New Roman" w:cs="Times New Roman"/>
        </w:rPr>
        <w:t xml:space="preserve"> </w:t>
      </w:r>
    </w:p>
    <w:p w14:paraId="71936A20" w14:textId="24C37DB8" w:rsidR="00A904E5" w:rsidRPr="00D36D86" w:rsidRDefault="00D36D86" w:rsidP="00D36D86">
      <w:pPr>
        <w:pStyle w:val="ListParagraph"/>
        <w:spacing w:before="120" w:after="120" w:line="240" w:lineRule="auto"/>
        <w:ind w:left="1080" w:hanging="513"/>
        <w:contextualSpacing w:val="0"/>
        <w:rPr>
          <w:rFonts w:ascii="Times New Roman" w:hAnsi="Times New Roman" w:cs="Times New Roman"/>
          <w:i/>
        </w:rPr>
      </w:pPr>
      <w:r>
        <w:rPr>
          <w:rFonts w:ascii="Times New Roman" w:hAnsi="Times New Roman" w:cs="Times New Roman"/>
          <w:i/>
        </w:rPr>
        <w:t>3.</w:t>
      </w:r>
      <w:r>
        <w:rPr>
          <w:rFonts w:ascii="Times New Roman" w:hAnsi="Times New Roman" w:cs="Times New Roman"/>
          <w:i/>
        </w:rPr>
        <w:tab/>
      </w:r>
      <w:bookmarkStart w:id="3" w:name="_GoBack"/>
      <w:bookmarkEnd w:id="3"/>
      <w:r w:rsidR="00412CEB" w:rsidRPr="004F623E">
        <w:rPr>
          <w:rFonts w:ascii="Times New Roman" w:hAnsi="Times New Roman" w:cs="Times New Roman"/>
          <w:i/>
        </w:rPr>
        <w:t>Third assessment and review of the effectiveness of the Protocol and mid-term evaluation of the Strategic Plan 2011-2020</w:t>
      </w:r>
    </w:p>
    <w:p w14:paraId="51CC4875" w14:textId="77BEA3F1" w:rsidR="004F5B0B" w:rsidRPr="00A97056" w:rsidRDefault="00747483" w:rsidP="002D00B8">
      <w:pPr>
        <w:pStyle w:val="ListParagraph"/>
        <w:numPr>
          <w:ilvl w:val="0"/>
          <w:numId w:val="6"/>
        </w:numPr>
        <w:spacing w:before="120" w:after="120" w:line="240" w:lineRule="auto"/>
        <w:ind w:left="0" w:firstLine="0"/>
        <w:contextualSpacing w:val="0"/>
        <w:jc w:val="both"/>
        <w:rPr>
          <w:rFonts w:ascii="Times New Roman" w:hAnsi="Times New Roman" w:cs="Times New Roman"/>
        </w:rPr>
      </w:pPr>
      <w:r w:rsidRPr="004F623E">
        <w:rPr>
          <w:rFonts w:ascii="Times New Roman" w:hAnsi="Times New Roman" w:cs="Times New Roman"/>
        </w:rPr>
        <w:t xml:space="preserve">The </w:t>
      </w:r>
      <w:r w:rsidR="00437ED3" w:rsidRPr="004F623E">
        <w:rPr>
          <w:rFonts w:ascii="Times New Roman" w:hAnsi="Times New Roman" w:cs="Times New Roman"/>
        </w:rPr>
        <w:t>Conference of the Parties serving as the meeting of the Parties to the Cartagena Protocol</w:t>
      </w:r>
      <w:r w:rsidR="00437ED3" w:rsidRPr="004F623E" w:rsidDel="00437ED3">
        <w:rPr>
          <w:rFonts w:ascii="Times New Roman" w:hAnsi="Times New Roman" w:cs="Times New Roman"/>
        </w:rPr>
        <w:t xml:space="preserve"> </w:t>
      </w:r>
      <w:r w:rsidRPr="004F623E">
        <w:rPr>
          <w:rFonts w:ascii="Times New Roman" w:hAnsi="Times New Roman" w:cs="Times New Roman"/>
        </w:rPr>
        <w:t>conducted t</w:t>
      </w:r>
      <w:r w:rsidR="005C431D" w:rsidRPr="004F623E">
        <w:rPr>
          <w:rFonts w:ascii="Times New Roman" w:hAnsi="Times New Roman" w:cs="Times New Roman"/>
        </w:rPr>
        <w:t>he third assessment and review of the effectiveness of the Protocol and the mid-term evaluation of the Strategic Plan</w:t>
      </w:r>
      <w:r w:rsidR="004D2CD1" w:rsidRPr="004F623E">
        <w:rPr>
          <w:rFonts w:ascii="Times New Roman" w:hAnsi="Times New Roman" w:cs="Times New Roman"/>
        </w:rPr>
        <w:t>, at its eighth meeting,</w:t>
      </w:r>
      <w:r w:rsidR="005C431D" w:rsidRPr="004F623E">
        <w:rPr>
          <w:rFonts w:ascii="Times New Roman" w:hAnsi="Times New Roman" w:cs="Times New Roman"/>
        </w:rPr>
        <w:t xml:space="preserve"> held </w:t>
      </w:r>
      <w:r w:rsidR="004D2CD1" w:rsidRPr="004F623E">
        <w:rPr>
          <w:rFonts w:ascii="Times New Roman" w:hAnsi="Times New Roman" w:cs="Times New Roman"/>
        </w:rPr>
        <w:t xml:space="preserve">from </w:t>
      </w:r>
      <w:r w:rsidR="00E47233" w:rsidRPr="004F623E">
        <w:rPr>
          <w:rFonts w:ascii="Times New Roman" w:hAnsi="Times New Roman" w:cs="Times New Roman"/>
        </w:rPr>
        <w:t>4 to 17</w:t>
      </w:r>
      <w:r w:rsidR="005C431D" w:rsidRPr="004F623E">
        <w:rPr>
          <w:rFonts w:ascii="Times New Roman" w:hAnsi="Times New Roman" w:cs="Times New Roman"/>
        </w:rPr>
        <w:t xml:space="preserve"> December 2016</w:t>
      </w:r>
      <w:r w:rsidRPr="004F623E">
        <w:rPr>
          <w:rFonts w:ascii="Times New Roman" w:hAnsi="Times New Roman" w:cs="Times New Roman"/>
        </w:rPr>
        <w:t xml:space="preserve">, and </w:t>
      </w:r>
      <w:r w:rsidR="005C431D" w:rsidRPr="004F623E">
        <w:rPr>
          <w:rFonts w:ascii="Times New Roman" w:hAnsi="Times New Roman" w:cs="Times New Roman"/>
        </w:rPr>
        <w:t xml:space="preserve">adopted </w:t>
      </w:r>
      <w:r w:rsidR="00CF0134" w:rsidRPr="004F623E">
        <w:rPr>
          <w:rFonts w:ascii="Times New Roman" w:hAnsi="Times New Roman" w:cs="Times New Roman"/>
        </w:rPr>
        <w:t>decision</w:t>
      </w:r>
      <w:r w:rsidR="00446792" w:rsidRPr="004F623E">
        <w:rPr>
          <w:rFonts w:ascii="Times New Roman" w:hAnsi="Times New Roman" w:cs="Times New Roman"/>
        </w:rPr>
        <w:t xml:space="preserve"> CP-VIII/15</w:t>
      </w:r>
      <w:r w:rsidR="00D14281" w:rsidRPr="004F623E">
        <w:rPr>
          <w:rFonts w:ascii="Times New Roman" w:hAnsi="Times New Roman" w:cs="Times New Roman"/>
        </w:rPr>
        <w:t xml:space="preserve"> on this matter.</w:t>
      </w:r>
      <w:r w:rsidR="00CE177D" w:rsidRPr="004F623E">
        <w:rPr>
          <w:rFonts w:ascii="Times New Roman" w:hAnsi="Times New Roman" w:cs="Times New Roman"/>
        </w:rPr>
        <w:t xml:space="preserve"> In the decision, </w:t>
      </w:r>
      <w:r w:rsidR="00446792" w:rsidRPr="004F623E">
        <w:rPr>
          <w:rFonts w:ascii="Times New Roman" w:hAnsi="Times New Roman" w:cs="Times New Roman"/>
        </w:rPr>
        <w:t xml:space="preserve">the </w:t>
      </w:r>
      <w:r w:rsidR="00437ED3" w:rsidRPr="004F623E">
        <w:rPr>
          <w:rFonts w:ascii="Times New Roman" w:hAnsi="Times New Roman" w:cs="Times New Roman"/>
        </w:rPr>
        <w:t>Conference of the Parties serving as the meeting of the Parties to the Cartagena Protocol</w:t>
      </w:r>
      <w:r w:rsidR="00437ED3" w:rsidRPr="004F623E" w:rsidDel="00437ED3">
        <w:rPr>
          <w:rFonts w:ascii="Times New Roman" w:hAnsi="Times New Roman" w:cs="Times New Roman"/>
        </w:rPr>
        <w:t xml:space="preserve"> </w:t>
      </w:r>
      <w:r w:rsidR="00C90B74" w:rsidRPr="004F623E">
        <w:rPr>
          <w:rFonts w:ascii="Times New Roman" w:hAnsi="Times New Roman" w:cs="Times New Roman"/>
        </w:rPr>
        <w:t xml:space="preserve">noted the progress made by Parties in the implementation of the Protocol and </w:t>
      </w:r>
      <w:r w:rsidR="00087A3F" w:rsidRPr="004F623E">
        <w:rPr>
          <w:rFonts w:ascii="Times New Roman" w:hAnsi="Times New Roman" w:cs="Times New Roman"/>
        </w:rPr>
        <w:t>identified the following</w:t>
      </w:r>
      <w:r w:rsidR="00C90B74" w:rsidRPr="004F623E">
        <w:rPr>
          <w:rFonts w:ascii="Times New Roman" w:hAnsi="Times New Roman" w:cs="Times New Roman"/>
        </w:rPr>
        <w:t xml:space="preserve"> areas where capacity-building progress had been slow: </w:t>
      </w:r>
      <w:r w:rsidR="00087A3F" w:rsidRPr="004F623E">
        <w:rPr>
          <w:rFonts w:ascii="Times New Roman" w:hAnsi="Times New Roman" w:cs="Times New Roman"/>
        </w:rPr>
        <w:t xml:space="preserve">(a) the development of modalities for cooperation and </w:t>
      </w:r>
      <w:r w:rsidR="00087A3F" w:rsidRPr="004F623E">
        <w:rPr>
          <w:rFonts w:ascii="Times New Roman" w:hAnsi="Times New Roman" w:cs="Times New Roman"/>
          <w:lang w:val="en-GB"/>
        </w:rPr>
        <w:t>guidance in identifying living modified organisms or specific traits that may have adverse effects on the conservation and sustainable use of biological diversity, taking also into account risks to human health; (b) capacity-building for risk assessment and risk management; (c) socioeconomic considerations; and (d) capacity-building to take appropriate measures in cases of unintentional release of living modified organisms that may have adverse effects on the conservation and sustainable use of biological diversity, taking also into account risks to human health.</w:t>
      </w:r>
    </w:p>
    <w:p w14:paraId="077BFABA" w14:textId="725E8A4C" w:rsidR="00A97644" w:rsidRPr="00A97056" w:rsidRDefault="00087A3F" w:rsidP="002D00B8">
      <w:pPr>
        <w:pStyle w:val="ListParagraph"/>
        <w:numPr>
          <w:ilvl w:val="0"/>
          <w:numId w:val="6"/>
        </w:numPr>
        <w:spacing w:before="120" w:after="120" w:line="240" w:lineRule="auto"/>
        <w:ind w:left="0" w:firstLine="0"/>
        <w:contextualSpacing w:val="0"/>
        <w:jc w:val="both"/>
        <w:rPr>
          <w:rFonts w:ascii="Times New Roman" w:hAnsi="Times New Roman" w:cs="Times New Roman"/>
        </w:rPr>
      </w:pPr>
      <w:r w:rsidRPr="004F623E">
        <w:rPr>
          <w:rFonts w:ascii="Times New Roman" w:hAnsi="Times New Roman" w:cs="Times New Roman"/>
        </w:rPr>
        <w:t xml:space="preserve">The </w:t>
      </w:r>
      <w:r w:rsidR="00437ED3" w:rsidRPr="004F623E">
        <w:rPr>
          <w:rFonts w:ascii="Times New Roman" w:hAnsi="Times New Roman" w:cs="Times New Roman"/>
        </w:rPr>
        <w:t>Conference of the Parties serving as the meeting of the Parties to the Cartagena Protocol</w:t>
      </w:r>
      <w:r w:rsidR="00437ED3" w:rsidRPr="004F623E" w:rsidDel="00437ED3">
        <w:rPr>
          <w:rFonts w:ascii="Times New Roman" w:hAnsi="Times New Roman" w:cs="Times New Roman"/>
        </w:rPr>
        <w:t xml:space="preserve"> </w:t>
      </w:r>
      <w:r w:rsidRPr="004F623E">
        <w:rPr>
          <w:rFonts w:ascii="Times New Roman" w:hAnsi="Times New Roman" w:cs="Times New Roman"/>
        </w:rPr>
        <w:t>noted with concern that only approximately half of the Parties ha</w:t>
      </w:r>
      <w:r w:rsidR="007E673D" w:rsidRPr="004F623E">
        <w:rPr>
          <w:rFonts w:ascii="Times New Roman" w:hAnsi="Times New Roman" w:cs="Times New Roman"/>
        </w:rPr>
        <w:t>d</w:t>
      </w:r>
      <w:r w:rsidRPr="004F623E">
        <w:rPr>
          <w:rFonts w:ascii="Times New Roman" w:hAnsi="Times New Roman" w:cs="Times New Roman"/>
        </w:rPr>
        <w:t xml:space="preserve"> fully put in place legal, administrative and other measures for the implementation of the Protocol and urge</w:t>
      </w:r>
      <w:r w:rsidR="007E673D" w:rsidRPr="004F623E">
        <w:rPr>
          <w:rFonts w:ascii="Times New Roman" w:hAnsi="Times New Roman" w:cs="Times New Roman"/>
        </w:rPr>
        <w:t xml:space="preserve">d </w:t>
      </w:r>
      <w:r w:rsidRPr="004F623E">
        <w:rPr>
          <w:rFonts w:ascii="Times New Roman" w:hAnsi="Times New Roman" w:cs="Times New Roman"/>
        </w:rPr>
        <w:t>Parties that ha</w:t>
      </w:r>
      <w:r w:rsidR="00FC7A2A" w:rsidRPr="004F623E">
        <w:rPr>
          <w:rFonts w:ascii="Times New Roman" w:hAnsi="Times New Roman" w:cs="Times New Roman"/>
        </w:rPr>
        <w:t>d</w:t>
      </w:r>
      <w:r w:rsidRPr="004F623E">
        <w:rPr>
          <w:rFonts w:ascii="Times New Roman" w:hAnsi="Times New Roman" w:cs="Times New Roman"/>
        </w:rPr>
        <w:t xml:space="preserve"> not yet fully done so to put in place their national biosafety frameworks</w:t>
      </w:r>
      <w:r w:rsidR="008F40DA" w:rsidRPr="004F623E">
        <w:rPr>
          <w:rFonts w:ascii="Times New Roman" w:hAnsi="Times New Roman" w:cs="Times New Roman"/>
        </w:rPr>
        <w:t>,</w:t>
      </w:r>
      <w:r w:rsidR="00611966" w:rsidRPr="004F623E">
        <w:rPr>
          <w:rFonts w:ascii="Times New Roman" w:hAnsi="Times New Roman" w:cs="Times New Roman"/>
        </w:rPr>
        <w:t xml:space="preserve"> in particular biosafety legislation, as a matter of priority.</w:t>
      </w:r>
    </w:p>
    <w:p w14:paraId="6539374B" w14:textId="1DC5661C" w:rsidR="00A97644" w:rsidRPr="00A97056" w:rsidRDefault="00244FDE" w:rsidP="002D00B8">
      <w:pPr>
        <w:pStyle w:val="ListParagraph"/>
        <w:numPr>
          <w:ilvl w:val="0"/>
          <w:numId w:val="6"/>
        </w:numPr>
        <w:spacing w:before="120" w:after="120" w:line="240" w:lineRule="auto"/>
        <w:ind w:left="0" w:firstLine="0"/>
        <w:contextualSpacing w:val="0"/>
        <w:jc w:val="both"/>
        <w:rPr>
          <w:rFonts w:ascii="Times New Roman" w:hAnsi="Times New Roman" w:cs="Times New Roman"/>
        </w:rPr>
      </w:pPr>
      <w:r w:rsidRPr="004F623E">
        <w:rPr>
          <w:rFonts w:ascii="Times New Roman" w:hAnsi="Times New Roman" w:cs="Times New Roman"/>
        </w:rPr>
        <w:t xml:space="preserve">The </w:t>
      </w:r>
      <w:r w:rsidR="00437ED3" w:rsidRPr="004F623E">
        <w:rPr>
          <w:rFonts w:ascii="Times New Roman" w:hAnsi="Times New Roman" w:cs="Times New Roman"/>
        </w:rPr>
        <w:t>Conference of the Parties serving as the meeting of the Parties to the Cartagena Protocol</w:t>
      </w:r>
      <w:r w:rsidR="00437ED3" w:rsidRPr="004F623E" w:rsidDel="00437ED3">
        <w:rPr>
          <w:rFonts w:ascii="Times New Roman" w:hAnsi="Times New Roman" w:cs="Times New Roman"/>
        </w:rPr>
        <w:t xml:space="preserve"> </w:t>
      </w:r>
      <w:r w:rsidRPr="004F623E">
        <w:rPr>
          <w:rFonts w:ascii="Times New Roman" w:hAnsi="Times New Roman" w:cs="Times New Roman"/>
        </w:rPr>
        <w:t>c</w:t>
      </w:r>
      <w:r w:rsidR="0061235A" w:rsidRPr="004F623E">
        <w:rPr>
          <w:rFonts w:ascii="Times New Roman" w:hAnsi="Times New Roman" w:cs="Times New Roman"/>
        </w:rPr>
        <w:t>all</w:t>
      </w:r>
      <w:r w:rsidR="00E80CCF" w:rsidRPr="004F623E">
        <w:rPr>
          <w:rFonts w:ascii="Times New Roman" w:hAnsi="Times New Roman" w:cs="Times New Roman"/>
        </w:rPr>
        <w:t>ed</w:t>
      </w:r>
      <w:r w:rsidR="0061235A" w:rsidRPr="004F623E">
        <w:rPr>
          <w:rFonts w:ascii="Times New Roman" w:hAnsi="Times New Roman" w:cs="Times New Roman"/>
        </w:rPr>
        <w:t xml:space="preserve"> upon Parties, for the remaining period of the Strategic Plan, to consider prioritizing the</w:t>
      </w:r>
      <w:r w:rsidR="00AE74C6" w:rsidRPr="004F623E">
        <w:rPr>
          <w:rFonts w:ascii="Times New Roman" w:hAnsi="Times New Roman" w:cs="Times New Roman"/>
        </w:rPr>
        <w:t xml:space="preserve"> </w:t>
      </w:r>
      <w:r w:rsidR="0061235A" w:rsidRPr="004F623E">
        <w:rPr>
          <w:rFonts w:ascii="Times New Roman" w:hAnsi="Times New Roman" w:cs="Times New Roman"/>
        </w:rPr>
        <w:t>operational objectives relating to the development of biosafety legislation, risk assessment, risk management, detection and identification of living modified organisms, and public awareness, education and training in view of their critical importance in facilitating the implementation of the Protocol</w:t>
      </w:r>
      <w:r w:rsidR="00A97644" w:rsidRPr="004F623E">
        <w:rPr>
          <w:rFonts w:ascii="Times New Roman" w:hAnsi="Times New Roman" w:cs="Times New Roman"/>
        </w:rPr>
        <w:t>.</w:t>
      </w:r>
      <w:r w:rsidR="00A97644" w:rsidRPr="002D00B8">
        <w:rPr>
          <w:rStyle w:val="FootnoteReference"/>
          <w:rFonts w:ascii="Times New Roman" w:hAnsi="Times New Roman" w:cs="Times New Roman"/>
          <w:u w:val="none"/>
          <w:vertAlign w:val="superscript"/>
        </w:rPr>
        <w:footnoteReference w:id="2"/>
      </w:r>
    </w:p>
    <w:p w14:paraId="4EF441FC" w14:textId="28331D3F" w:rsidR="00AF64E4" w:rsidRPr="004F623E" w:rsidRDefault="001808A0" w:rsidP="002D00B8">
      <w:pPr>
        <w:pStyle w:val="ListParagraph"/>
        <w:numPr>
          <w:ilvl w:val="0"/>
          <w:numId w:val="6"/>
        </w:numPr>
        <w:spacing w:before="120" w:after="120" w:line="240" w:lineRule="auto"/>
        <w:ind w:left="0" w:firstLine="0"/>
        <w:contextualSpacing w:val="0"/>
        <w:jc w:val="both"/>
      </w:pPr>
      <w:r w:rsidRPr="004F623E">
        <w:rPr>
          <w:rFonts w:ascii="Times New Roman" w:hAnsi="Times New Roman" w:cs="Times New Roman"/>
        </w:rPr>
        <w:t xml:space="preserve">The </w:t>
      </w:r>
      <w:r w:rsidR="00437ED3" w:rsidRPr="004F623E">
        <w:rPr>
          <w:rFonts w:ascii="Times New Roman" w:hAnsi="Times New Roman" w:cs="Times New Roman"/>
        </w:rPr>
        <w:t>Conference of the Parties serving as the meeting of the Parties to the Cartagena Protocol</w:t>
      </w:r>
      <w:r w:rsidR="00437ED3" w:rsidRPr="004F623E" w:rsidDel="00437ED3">
        <w:rPr>
          <w:rFonts w:ascii="Times New Roman" w:hAnsi="Times New Roman" w:cs="Times New Roman"/>
        </w:rPr>
        <w:t xml:space="preserve"> </w:t>
      </w:r>
      <w:r w:rsidRPr="004F623E">
        <w:rPr>
          <w:rFonts w:ascii="Times New Roman" w:hAnsi="Times New Roman" w:cs="Times New Roman"/>
        </w:rPr>
        <w:t>noted</w:t>
      </w:r>
      <w:r w:rsidR="004F5B0B" w:rsidRPr="004F623E">
        <w:rPr>
          <w:rFonts w:ascii="Times New Roman" w:hAnsi="Times New Roman" w:cs="Times New Roman"/>
        </w:rPr>
        <w:t xml:space="preserve"> that a lack of awareness and political support for biosafety issues contributes to limited access to and uptake of funding for biosafety and urge</w:t>
      </w:r>
      <w:r w:rsidR="00CD04B0" w:rsidRPr="004F623E">
        <w:rPr>
          <w:rFonts w:ascii="Times New Roman" w:hAnsi="Times New Roman" w:cs="Times New Roman"/>
        </w:rPr>
        <w:t>d</w:t>
      </w:r>
      <w:r w:rsidR="004F5B0B" w:rsidRPr="004F623E">
        <w:rPr>
          <w:rFonts w:ascii="Times New Roman" w:hAnsi="Times New Roman" w:cs="Times New Roman"/>
        </w:rPr>
        <w:t xml:space="preserve"> Parties to enhance efforts to raise awareness of key biosafety-related issues among policy- and decision makers</w:t>
      </w:r>
      <w:r w:rsidR="00990AC8" w:rsidRPr="004F623E">
        <w:rPr>
          <w:rFonts w:ascii="Times New Roman" w:hAnsi="Times New Roman" w:cs="Times New Roman"/>
        </w:rPr>
        <w:t>.</w:t>
      </w:r>
      <w:r w:rsidR="00CD04B0" w:rsidRPr="002D00B8">
        <w:rPr>
          <w:rStyle w:val="FootnoteReference"/>
          <w:rFonts w:ascii="Times New Roman" w:hAnsi="Times New Roman" w:cs="Times New Roman"/>
          <w:u w:val="none"/>
          <w:vertAlign w:val="superscript"/>
        </w:rPr>
        <w:footnoteReference w:id="3"/>
      </w:r>
    </w:p>
    <w:p w14:paraId="26F1464A" w14:textId="2E195727" w:rsidR="00780288" w:rsidRPr="00A97056" w:rsidRDefault="00743CBB" w:rsidP="002D00B8">
      <w:pPr>
        <w:pStyle w:val="Heading1"/>
        <w:numPr>
          <w:ilvl w:val="0"/>
          <w:numId w:val="5"/>
        </w:numPr>
        <w:tabs>
          <w:tab w:val="clear" w:pos="720"/>
          <w:tab w:val="left" w:pos="1701"/>
        </w:tabs>
        <w:ind w:left="1701"/>
        <w:jc w:val="left"/>
      </w:pPr>
      <w:r>
        <w:t>BACKGROUND</w:t>
      </w:r>
      <w:r w:rsidR="00A77545" w:rsidRPr="004F623E">
        <w:t xml:space="preserve"> TO THE DEVELOPMENT OF </w:t>
      </w:r>
      <w:r w:rsidR="00E41470" w:rsidRPr="004F623E">
        <w:t>THE POST-2020 CAPACITY</w:t>
      </w:r>
      <w:r w:rsidR="00437ED3">
        <w:noBreakHyphen/>
      </w:r>
      <w:r w:rsidR="00E41470" w:rsidRPr="004F623E">
        <w:t>BUILDING ACTION PLAN</w:t>
      </w:r>
    </w:p>
    <w:p w14:paraId="6C12D810" w14:textId="1D31400C" w:rsidR="00692382" w:rsidRDefault="00EE696C" w:rsidP="002D00B8">
      <w:pPr>
        <w:pStyle w:val="ListParagraph"/>
        <w:numPr>
          <w:ilvl w:val="0"/>
          <w:numId w:val="6"/>
        </w:numPr>
        <w:spacing w:before="120" w:after="120" w:line="240" w:lineRule="auto"/>
        <w:ind w:left="0" w:firstLine="0"/>
        <w:contextualSpacing w:val="0"/>
        <w:jc w:val="both"/>
        <w:rPr>
          <w:rFonts w:ascii="Times New Roman" w:hAnsi="Times New Roman" w:cs="Times New Roman"/>
        </w:rPr>
      </w:pPr>
      <w:bookmarkStart w:id="4" w:name="_Hlk20486532"/>
      <w:r>
        <w:rPr>
          <w:rFonts w:ascii="Times New Roman" w:hAnsi="Times New Roman" w:cs="Times New Roman"/>
        </w:rPr>
        <w:t xml:space="preserve">The </w:t>
      </w:r>
      <w:r w:rsidR="00437ED3">
        <w:rPr>
          <w:rFonts w:ascii="Times New Roman" w:hAnsi="Times New Roman" w:cs="Times New Roman"/>
        </w:rPr>
        <w:t>a</w:t>
      </w:r>
      <w:r w:rsidR="00AC2176" w:rsidRPr="004F623E">
        <w:rPr>
          <w:rFonts w:ascii="Times New Roman" w:hAnsi="Times New Roman" w:cs="Times New Roman"/>
        </w:rPr>
        <w:t>nnex below contains a draft of the post-2020 capacity-building action plan. The draft has been prepared by drawing on</w:t>
      </w:r>
      <w:r w:rsidR="00692382">
        <w:rPr>
          <w:rFonts w:ascii="Times New Roman" w:hAnsi="Times New Roman" w:cs="Times New Roman"/>
        </w:rPr>
        <w:t>:</w:t>
      </w:r>
    </w:p>
    <w:p w14:paraId="6F78099C" w14:textId="0572CDC7" w:rsidR="00456207" w:rsidRPr="00A97056" w:rsidRDefault="00437ED3" w:rsidP="002D00B8">
      <w:pPr>
        <w:pStyle w:val="ListParagraph"/>
        <w:numPr>
          <w:ilvl w:val="1"/>
          <w:numId w:val="26"/>
        </w:numPr>
        <w:spacing w:before="120" w:after="120" w:line="240" w:lineRule="auto"/>
        <w:ind w:left="0" w:firstLine="709"/>
        <w:contextualSpacing w:val="0"/>
        <w:jc w:val="both"/>
        <w:rPr>
          <w:rFonts w:ascii="Times New Roman" w:hAnsi="Times New Roman" w:cs="Times New Roman"/>
        </w:rPr>
      </w:pPr>
      <w:r>
        <w:rPr>
          <w:rFonts w:ascii="Times New Roman" w:hAnsi="Times New Roman" w:cs="Times New Roman"/>
        </w:rPr>
        <w:t>I</w:t>
      </w:r>
      <w:r w:rsidR="00456207" w:rsidRPr="00A97056">
        <w:rPr>
          <w:rFonts w:ascii="Times New Roman" w:hAnsi="Times New Roman" w:cs="Times New Roman"/>
        </w:rPr>
        <w:t>nput provided in the views submitted following decision CP-9/3;</w:t>
      </w:r>
    </w:p>
    <w:p w14:paraId="42B9C742" w14:textId="204CEE5D" w:rsidR="00692382" w:rsidRPr="00A97056" w:rsidRDefault="00437ED3" w:rsidP="002D00B8">
      <w:pPr>
        <w:pStyle w:val="ListParagraph"/>
        <w:numPr>
          <w:ilvl w:val="1"/>
          <w:numId w:val="26"/>
        </w:numPr>
        <w:spacing w:before="120" w:after="120" w:line="240" w:lineRule="auto"/>
        <w:ind w:left="0" w:firstLine="709"/>
        <w:contextualSpacing w:val="0"/>
        <w:jc w:val="both"/>
        <w:rPr>
          <w:rFonts w:ascii="Times New Roman" w:hAnsi="Times New Roman" w:cs="Times New Roman"/>
        </w:rPr>
      </w:pPr>
      <w:r>
        <w:rPr>
          <w:rFonts w:ascii="Times New Roman" w:hAnsi="Times New Roman" w:cs="Times New Roman"/>
        </w:rPr>
        <w:t>R</w:t>
      </w:r>
      <w:r w:rsidR="00AC2176" w:rsidRPr="00A97056">
        <w:rPr>
          <w:rFonts w:ascii="Times New Roman" w:hAnsi="Times New Roman" w:cs="Times New Roman"/>
        </w:rPr>
        <w:t>elevant activities from the current Framework and Action Plan</w:t>
      </w:r>
      <w:r w:rsidR="00E74918" w:rsidRPr="00A97056">
        <w:rPr>
          <w:rFonts w:ascii="Times New Roman" w:hAnsi="Times New Roman" w:cs="Times New Roman"/>
        </w:rPr>
        <w:t xml:space="preserve"> on capacity-building</w:t>
      </w:r>
      <w:r w:rsidR="00692382" w:rsidRPr="00A97056">
        <w:rPr>
          <w:rFonts w:ascii="Times New Roman" w:hAnsi="Times New Roman" w:cs="Times New Roman"/>
        </w:rPr>
        <w:t>,</w:t>
      </w:r>
      <w:r w:rsidR="00AC2176" w:rsidRPr="00A97056">
        <w:rPr>
          <w:rFonts w:ascii="Times New Roman" w:hAnsi="Times New Roman" w:cs="Times New Roman"/>
        </w:rPr>
        <w:t xml:space="preserve"> as suggested in the submissions</w:t>
      </w:r>
      <w:r w:rsidR="00580450" w:rsidRPr="00A97056">
        <w:rPr>
          <w:rFonts w:ascii="Times New Roman" w:hAnsi="Times New Roman" w:cs="Times New Roman"/>
        </w:rPr>
        <w:t>;</w:t>
      </w:r>
    </w:p>
    <w:p w14:paraId="4F81FBC4" w14:textId="221E707F" w:rsidR="00437ED3" w:rsidRPr="00A97056" w:rsidRDefault="00437ED3" w:rsidP="002D00B8">
      <w:pPr>
        <w:pStyle w:val="ListParagraph"/>
        <w:numPr>
          <w:ilvl w:val="1"/>
          <w:numId w:val="26"/>
        </w:numPr>
        <w:spacing w:before="120" w:after="120" w:line="240" w:lineRule="auto"/>
        <w:ind w:left="0" w:firstLine="709"/>
        <w:contextualSpacing w:val="0"/>
        <w:jc w:val="both"/>
        <w:rPr>
          <w:rFonts w:ascii="Times New Roman" w:hAnsi="Times New Roman" w:cs="Times New Roman"/>
        </w:rPr>
      </w:pPr>
      <w:r>
        <w:rPr>
          <w:rFonts w:ascii="Times New Roman" w:hAnsi="Times New Roman" w:cs="Times New Roman"/>
        </w:rPr>
        <w:t>A</w:t>
      </w:r>
      <w:r w:rsidR="00A95720" w:rsidRPr="00A97056">
        <w:rPr>
          <w:rFonts w:ascii="Times New Roman" w:hAnsi="Times New Roman" w:cs="Times New Roman"/>
        </w:rPr>
        <w:t>ctivities outlined in the programme of work on public awareness, education and participation</w:t>
      </w:r>
      <w:r w:rsidR="00580450" w:rsidRPr="00A97056">
        <w:rPr>
          <w:rFonts w:ascii="Times New Roman" w:hAnsi="Times New Roman" w:cs="Times New Roman"/>
        </w:rPr>
        <w:t>;</w:t>
      </w:r>
    </w:p>
    <w:p w14:paraId="6439502D" w14:textId="013952B9" w:rsidR="00F34D4E" w:rsidRPr="002D00B8" w:rsidRDefault="00437ED3" w:rsidP="002D00B8">
      <w:pPr>
        <w:pStyle w:val="ListParagraph"/>
        <w:numPr>
          <w:ilvl w:val="1"/>
          <w:numId w:val="26"/>
        </w:numPr>
        <w:spacing w:before="120" w:after="120" w:line="240" w:lineRule="auto"/>
        <w:ind w:left="0" w:firstLine="709"/>
        <w:contextualSpacing w:val="0"/>
        <w:jc w:val="both"/>
      </w:pPr>
      <w:r>
        <w:rPr>
          <w:rFonts w:ascii="Times New Roman" w:hAnsi="Times New Roman" w:cs="Times New Roman"/>
        </w:rPr>
        <w:t>C</w:t>
      </w:r>
      <w:r w:rsidR="00580450" w:rsidRPr="002D00B8">
        <w:rPr>
          <w:rFonts w:ascii="Times New Roman" w:hAnsi="Times New Roman" w:cs="Times New Roman"/>
        </w:rPr>
        <w:t>apacity needs regarding the detection and identification of living modified organisms as requested by decision CP-9/11.</w:t>
      </w:r>
      <w:bookmarkEnd w:id="4"/>
    </w:p>
    <w:p w14:paraId="0B4824D3" w14:textId="03EC0AE9" w:rsidR="006B0DA3" w:rsidRPr="00A97056" w:rsidRDefault="006B0DA3" w:rsidP="002D00B8">
      <w:pPr>
        <w:pStyle w:val="ListParagraph"/>
        <w:numPr>
          <w:ilvl w:val="0"/>
          <w:numId w:val="6"/>
        </w:numPr>
        <w:spacing w:before="120" w:after="120" w:line="240" w:lineRule="auto"/>
        <w:ind w:left="0" w:firstLine="0"/>
        <w:contextualSpacing w:val="0"/>
        <w:jc w:val="both"/>
        <w:rPr>
          <w:rFonts w:ascii="Times New Roman" w:hAnsi="Times New Roman" w:cs="Times New Roman"/>
        </w:rPr>
      </w:pPr>
      <w:r>
        <w:rPr>
          <w:rFonts w:ascii="Times New Roman" w:hAnsi="Times New Roman" w:cs="Times New Roman"/>
        </w:rPr>
        <w:t xml:space="preserve">The draft has also been developed bearing in mind the need for complementarity between the capacity-building action plan and the Implementation </w:t>
      </w:r>
      <w:r w:rsidR="00C4446B">
        <w:rPr>
          <w:rFonts w:ascii="Times New Roman" w:hAnsi="Times New Roman" w:cs="Times New Roman"/>
        </w:rPr>
        <w:t>P</w:t>
      </w:r>
      <w:r>
        <w:rPr>
          <w:rFonts w:ascii="Times New Roman" w:hAnsi="Times New Roman" w:cs="Times New Roman"/>
        </w:rPr>
        <w:t xml:space="preserve">lan </w:t>
      </w:r>
      <w:r w:rsidRPr="00BB1E0B">
        <w:rPr>
          <w:rFonts w:ascii="Times New Roman" w:hAnsi="Times New Roman" w:cs="Times New Roman"/>
        </w:rPr>
        <w:t>as well as between the capacity-building action plan and the long-term strategic framework for capacity</w:t>
      </w:r>
      <w:r w:rsidR="00B67B86">
        <w:rPr>
          <w:rFonts w:ascii="Times New Roman" w:hAnsi="Times New Roman" w:cs="Times New Roman"/>
        </w:rPr>
        <w:t>-</w:t>
      </w:r>
      <w:r w:rsidRPr="00BB1E0B">
        <w:rPr>
          <w:rFonts w:ascii="Times New Roman" w:hAnsi="Times New Roman" w:cs="Times New Roman"/>
        </w:rPr>
        <w:t>building beyond 2020 being developed further to decision 14/24</w:t>
      </w:r>
      <w:r>
        <w:rPr>
          <w:rFonts w:ascii="Times New Roman" w:hAnsi="Times New Roman" w:cs="Times New Roman"/>
        </w:rPr>
        <w:t>.</w:t>
      </w:r>
    </w:p>
    <w:p w14:paraId="4C897719" w14:textId="116B4D9C" w:rsidR="006B0DA3" w:rsidRPr="00A97056" w:rsidRDefault="006B0DA3" w:rsidP="002D00B8">
      <w:pPr>
        <w:pStyle w:val="ListParagraph"/>
        <w:numPr>
          <w:ilvl w:val="0"/>
          <w:numId w:val="6"/>
        </w:numPr>
        <w:spacing w:before="120" w:after="120" w:line="240" w:lineRule="auto"/>
        <w:ind w:left="0" w:firstLine="0"/>
        <w:contextualSpacing w:val="0"/>
        <w:jc w:val="both"/>
      </w:pPr>
      <w:r>
        <w:rPr>
          <w:rFonts w:ascii="Times New Roman" w:hAnsi="Times New Roman" w:cs="Times New Roman"/>
        </w:rPr>
        <w:t xml:space="preserve">The draft capacity-building action plan begins </w:t>
      </w:r>
      <w:r w:rsidRPr="00C4446B">
        <w:rPr>
          <w:rFonts w:ascii="Times New Roman" w:hAnsi="Times New Roman" w:cs="Times New Roman"/>
        </w:rPr>
        <w:t xml:space="preserve">with a </w:t>
      </w:r>
      <w:r w:rsidRPr="00421A84">
        <w:rPr>
          <w:rFonts w:ascii="Times New Roman" w:hAnsi="Times New Roman" w:cs="Times New Roman"/>
        </w:rPr>
        <w:t>placeholder</w:t>
      </w:r>
      <w:r w:rsidRPr="00C4446B">
        <w:rPr>
          <w:rFonts w:ascii="Times New Roman" w:hAnsi="Times New Roman" w:cs="Times New Roman"/>
        </w:rPr>
        <w:t xml:space="preserve"> for the</w:t>
      </w:r>
      <w:r>
        <w:rPr>
          <w:rFonts w:ascii="Times New Roman" w:hAnsi="Times New Roman" w:cs="Times New Roman"/>
        </w:rPr>
        <w:t xml:space="preserve"> development of a possible narrative chapeau. The chapeau could address, for example, linkages between the capacity-building action plan and the Implementation Plan as well as with the long-term strategic framework for capacity-building.</w:t>
      </w:r>
      <w:r w:rsidR="00BB1E0B">
        <w:rPr>
          <w:rFonts w:ascii="Times New Roman" w:hAnsi="Times New Roman" w:cs="Times New Roman"/>
        </w:rPr>
        <w:t xml:space="preserve"> Furthermore,</w:t>
      </w:r>
      <w:r>
        <w:rPr>
          <w:rFonts w:ascii="Times New Roman" w:hAnsi="Times New Roman" w:cs="Times New Roman"/>
        </w:rPr>
        <w:t xml:space="preserve"> </w:t>
      </w:r>
      <w:r w:rsidR="00BB1E0B">
        <w:rPr>
          <w:rFonts w:ascii="Times New Roman" w:hAnsi="Times New Roman" w:cs="Times New Roman"/>
        </w:rPr>
        <w:t>a</w:t>
      </w:r>
      <w:r w:rsidRPr="004F623E">
        <w:rPr>
          <w:rFonts w:ascii="Times New Roman" w:hAnsi="Times New Roman" w:cs="Times New Roman"/>
        </w:rPr>
        <w:t xml:space="preserve">mong the views submitted, there was support for retaining some of the general sections of </w:t>
      </w:r>
      <w:r w:rsidR="00BB1E0B">
        <w:rPr>
          <w:rFonts w:ascii="Times New Roman" w:hAnsi="Times New Roman" w:cs="Times New Roman"/>
        </w:rPr>
        <w:t xml:space="preserve">the current </w:t>
      </w:r>
      <w:r w:rsidRPr="004F623E">
        <w:rPr>
          <w:rFonts w:ascii="Times New Roman" w:hAnsi="Times New Roman" w:cs="Times New Roman"/>
        </w:rPr>
        <w:t>Framework and Action Plan</w:t>
      </w:r>
      <w:r w:rsidR="00421A84">
        <w:rPr>
          <w:rFonts w:ascii="Times New Roman" w:hAnsi="Times New Roman" w:cs="Times New Roman"/>
        </w:rPr>
        <w:t xml:space="preserve">, </w:t>
      </w:r>
      <w:r w:rsidR="00421A84" w:rsidRPr="00421A84">
        <w:rPr>
          <w:rFonts w:ascii="Times New Roman" w:hAnsi="Times New Roman" w:cs="Times New Roman"/>
        </w:rPr>
        <w:t xml:space="preserve">including language from </w:t>
      </w:r>
      <w:r w:rsidR="00421A84">
        <w:rPr>
          <w:rFonts w:ascii="Times New Roman" w:hAnsi="Times New Roman" w:cs="Times New Roman"/>
        </w:rPr>
        <w:t>its</w:t>
      </w:r>
      <w:r w:rsidR="00421A84" w:rsidRPr="00421A84">
        <w:rPr>
          <w:rFonts w:ascii="Times New Roman" w:hAnsi="Times New Roman" w:cs="Times New Roman"/>
        </w:rPr>
        <w:t xml:space="preserve"> sections on objectives, focal areas, resources for implementation and monitoring and evaluation</w:t>
      </w:r>
      <w:r w:rsidRPr="004F623E">
        <w:rPr>
          <w:rFonts w:ascii="Times New Roman" w:hAnsi="Times New Roman" w:cs="Times New Roman"/>
        </w:rPr>
        <w:t xml:space="preserve">. </w:t>
      </w:r>
      <w:r w:rsidR="00BB1E0B">
        <w:rPr>
          <w:rFonts w:ascii="Times New Roman" w:hAnsi="Times New Roman" w:cs="Times New Roman"/>
        </w:rPr>
        <w:t>These aspects could also be addressed</w:t>
      </w:r>
      <w:r>
        <w:rPr>
          <w:rFonts w:ascii="Times New Roman" w:hAnsi="Times New Roman" w:cs="Times New Roman"/>
        </w:rPr>
        <w:t xml:space="preserve"> in the chapeau. </w:t>
      </w:r>
    </w:p>
    <w:p w14:paraId="31EA2F24" w14:textId="5C8D1FA7" w:rsidR="006B0DA3" w:rsidRPr="00A97056" w:rsidRDefault="006B0DA3" w:rsidP="002D00B8">
      <w:pPr>
        <w:pStyle w:val="ListParagraph"/>
        <w:numPr>
          <w:ilvl w:val="0"/>
          <w:numId w:val="6"/>
        </w:numPr>
        <w:spacing w:before="120" w:after="120" w:line="240" w:lineRule="auto"/>
        <w:ind w:left="0" w:firstLine="0"/>
        <w:contextualSpacing w:val="0"/>
        <w:jc w:val="both"/>
        <w:rPr>
          <w:rFonts w:ascii="Times New Roman" w:hAnsi="Times New Roman" w:cs="Times New Roman"/>
        </w:rPr>
      </w:pPr>
      <w:r>
        <w:rPr>
          <w:rFonts w:ascii="Times New Roman" w:hAnsi="Times New Roman" w:cs="Times New Roman"/>
        </w:rPr>
        <w:t xml:space="preserve">The draft action plan also includes a table of capacity-building </w:t>
      </w:r>
      <w:r w:rsidRPr="00C4446B">
        <w:rPr>
          <w:rFonts w:ascii="Times New Roman" w:hAnsi="Times New Roman" w:cs="Times New Roman"/>
        </w:rPr>
        <w:t>activities</w:t>
      </w:r>
      <w:r>
        <w:rPr>
          <w:rFonts w:ascii="Times New Roman" w:hAnsi="Times New Roman" w:cs="Times New Roman"/>
        </w:rPr>
        <w:t xml:space="preserve">. </w:t>
      </w:r>
      <w:r w:rsidRPr="004F623E">
        <w:rPr>
          <w:rFonts w:ascii="Times New Roman" w:hAnsi="Times New Roman" w:cs="Times New Roman"/>
        </w:rPr>
        <w:t>The</w:t>
      </w:r>
      <w:r>
        <w:rPr>
          <w:rFonts w:ascii="Times New Roman" w:hAnsi="Times New Roman" w:cs="Times New Roman"/>
        </w:rPr>
        <w:t>se</w:t>
      </w:r>
      <w:r w:rsidRPr="004F623E">
        <w:rPr>
          <w:rFonts w:ascii="Times New Roman" w:hAnsi="Times New Roman" w:cs="Times New Roman"/>
        </w:rPr>
        <w:t xml:space="preserve"> </w:t>
      </w:r>
      <w:r w:rsidRPr="00C4446B">
        <w:rPr>
          <w:rFonts w:ascii="Times New Roman" w:hAnsi="Times New Roman" w:cs="Times New Roman"/>
        </w:rPr>
        <w:t>activities</w:t>
      </w:r>
      <w:r w:rsidRPr="004F623E">
        <w:rPr>
          <w:rFonts w:ascii="Times New Roman" w:hAnsi="Times New Roman" w:cs="Times New Roman"/>
        </w:rPr>
        <w:t xml:space="preserve"> have been </w:t>
      </w:r>
      <w:r w:rsidRPr="00F00FBE">
        <w:rPr>
          <w:rFonts w:ascii="Times New Roman" w:hAnsi="Times New Roman" w:cs="Times New Roman"/>
        </w:rPr>
        <w:t xml:space="preserve">presented in alignment with the goals of the draft Implementation Plan, </w:t>
      </w:r>
      <w:r w:rsidRPr="00BB1E0B">
        <w:rPr>
          <w:rFonts w:ascii="Times New Roman" w:hAnsi="Times New Roman" w:cs="Times New Roman"/>
        </w:rPr>
        <w:t>as requested by decision CP-9/3</w:t>
      </w:r>
      <w:r w:rsidR="003172E6">
        <w:rPr>
          <w:rFonts w:ascii="Times New Roman" w:hAnsi="Times New Roman" w:cs="Times New Roman"/>
        </w:rPr>
        <w:t xml:space="preserve"> and are</w:t>
      </w:r>
      <w:r w:rsidR="000B10BE">
        <w:rPr>
          <w:rFonts w:ascii="Times New Roman" w:hAnsi="Times New Roman" w:cs="Times New Roman"/>
        </w:rPr>
        <w:t xml:space="preserve"> intended to</w:t>
      </w:r>
      <w:r>
        <w:rPr>
          <w:rFonts w:ascii="Times New Roman" w:hAnsi="Times New Roman" w:cs="Times New Roman"/>
        </w:rPr>
        <w:t xml:space="preserve"> complement the I</w:t>
      </w:r>
      <w:r w:rsidR="000B10BE">
        <w:rPr>
          <w:rFonts w:ascii="Times New Roman" w:hAnsi="Times New Roman" w:cs="Times New Roman"/>
        </w:rPr>
        <w:t xml:space="preserve">mplementation </w:t>
      </w:r>
      <w:r>
        <w:rPr>
          <w:rFonts w:ascii="Times New Roman" w:hAnsi="Times New Roman" w:cs="Times New Roman"/>
        </w:rPr>
        <w:t>P</w:t>
      </w:r>
      <w:r w:rsidR="000B10BE">
        <w:rPr>
          <w:rFonts w:ascii="Times New Roman" w:hAnsi="Times New Roman" w:cs="Times New Roman"/>
        </w:rPr>
        <w:t>lan</w:t>
      </w:r>
      <w:r>
        <w:rPr>
          <w:rFonts w:ascii="Times New Roman" w:hAnsi="Times New Roman" w:cs="Times New Roman"/>
        </w:rPr>
        <w:t xml:space="preserve"> by outlining the capacity-building </w:t>
      </w:r>
      <w:r w:rsidRPr="000B10BE">
        <w:rPr>
          <w:rFonts w:ascii="Times New Roman" w:hAnsi="Times New Roman" w:cs="Times New Roman"/>
        </w:rPr>
        <w:t>activities</w:t>
      </w:r>
      <w:r>
        <w:rPr>
          <w:rFonts w:ascii="Times New Roman" w:hAnsi="Times New Roman" w:cs="Times New Roman"/>
        </w:rPr>
        <w:t xml:space="preserve"> needed to support Parties to achieve the goals in the Implementation Plan. </w:t>
      </w:r>
    </w:p>
    <w:p w14:paraId="001528CD" w14:textId="169318B5" w:rsidR="00675CBA" w:rsidRPr="00A97056" w:rsidRDefault="00675CBA" w:rsidP="002D00B8">
      <w:pPr>
        <w:pStyle w:val="ListParagraph"/>
        <w:numPr>
          <w:ilvl w:val="0"/>
          <w:numId w:val="6"/>
        </w:numPr>
        <w:spacing w:before="120" w:after="120" w:line="240" w:lineRule="auto"/>
        <w:ind w:left="0" w:firstLine="0"/>
        <w:contextualSpacing w:val="0"/>
        <w:jc w:val="both"/>
        <w:rPr>
          <w:rFonts w:ascii="Times New Roman" w:hAnsi="Times New Roman" w:cs="Times New Roman"/>
        </w:rPr>
      </w:pPr>
      <w:r w:rsidRPr="00DA6AB8">
        <w:rPr>
          <w:rFonts w:ascii="Times New Roman" w:hAnsi="Times New Roman" w:cs="Times New Roman"/>
        </w:rPr>
        <w:t xml:space="preserve">The capacity-building activities are set out in </w:t>
      </w:r>
      <w:r w:rsidR="00CA08D3">
        <w:rPr>
          <w:rFonts w:ascii="Times New Roman" w:hAnsi="Times New Roman" w:cs="Times New Roman"/>
        </w:rPr>
        <w:t xml:space="preserve">the </w:t>
      </w:r>
      <w:r w:rsidR="00723DA0">
        <w:rPr>
          <w:rFonts w:ascii="Times New Roman" w:hAnsi="Times New Roman" w:cs="Times New Roman"/>
        </w:rPr>
        <w:t xml:space="preserve">fourth </w:t>
      </w:r>
      <w:r w:rsidRPr="00DA6AB8">
        <w:rPr>
          <w:rFonts w:ascii="Times New Roman" w:hAnsi="Times New Roman" w:cs="Times New Roman"/>
        </w:rPr>
        <w:t xml:space="preserve">column of the table in the </w:t>
      </w:r>
      <w:r w:rsidR="00A97056">
        <w:rPr>
          <w:rFonts w:ascii="Times New Roman" w:hAnsi="Times New Roman" w:cs="Times New Roman"/>
        </w:rPr>
        <w:t>a</w:t>
      </w:r>
      <w:r w:rsidRPr="00DA6AB8">
        <w:rPr>
          <w:rFonts w:ascii="Times New Roman" w:hAnsi="Times New Roman" w:cs="Times New Roman"/>
        </w:rPr>
        <w:t xml:space="preserve">nnex. </w:t>
      </w:r>
      <w:r w:rsidR="00723DA0">
        <w:rPr>
          <w:rFonts w:ascii="Times New Roman" w:hAnsi="Times New Roman" w:cs="Times New Roman"/>
        </w:rPr>
        <w:t>The first three c</w:t>
      </w:r>
      <w:r w:rsidRPr="00DA6AB8">
        <w:rPr>
          <w:rFonts w:ascii="Times New Roman" w:hAnsi="Times New Roman" w:cs="Times New Roman"/>
        </w:rPr>
        <w:t>olumns of the table reproduce the areas, goals and objectives of the post-2020 Implementation Plan. This presentation shows the alignment between the Implementation Plan and the capacity-building activities that support the achievement of the goals of the Implementation Plan</w:t>
      </w:r>
      <w:r w:rsidR="00791D84">
        <w:rPr>
          <w:rFonts w:ascii="Times New Roman" w:hAnsi="Times New Roman" w:cs="Times New Roman"/>
        </w:rPr>
        <w:t>. The presentation</w:t>
      </w:r>
      <w:r w:rsidRPr="00DA6AB8">
        <w:rPr>
          <w:rFonts w:ascii="Times New Roman" w:hAnsi="Times New Roman" w:cs="Times New Roman"/>
        </w:rPr>
        <w:t xml:space="preserve"> is</w:t>
      </w:r>
      <w:r w:rsidR="00F5744A">
        <w:rPr>
          <w:rFonts w:ascii="Times New Roman" w:hAnsi="Times New Roman" w:cs="Times New Roman"/>
        </w:rPr>
        <w:t xml:space="preserve"> also</w:t>
      </w:r>
      <w:r w:rsidRPr="00DA6AB8">
        <w:rPr>
          <w:rFonts w:ascii="Times New Roman" w:hAnsi="Times New Roman" w:cs="Times New Roman"/>
        </w:rPr>
        <w:t xml:space="preserve"> intended to </w:t>
      </w:r>
      <w:r w:rsidR="00F5744A">
        <w:rPr>
          <w:rFonts w:ascii="Times New Roman" w:hAnsi="Times New Roman" w:cs="Times New Roman"/>
        </w:rPr>
        <w:t>help</w:t>
      </w:r>
      <w:r w:rsidRPr="00DA6AB8">
        <w:rPr>
          <w:rFonts w:ascii="Times New Roman" w:hAnsi="Times New Roman" w:cs="Times New Roman"/>
        </w:rPr>
        <w:t xml:space="preserve"> avoid </w:t>
      </w:r>
      <w:r w:rsidR="00F5744A">
        <w:rPr>
          <w:rFonts w:ascii="Times New Roman" w:hAnsi="Times New Roman" w:cs="Times New Roman"/>
        </w:rPr>
        <w:t>the two plans becoming</w:t>
      </w:r>
      <w:r w:rsidRPr="00DA6AB8">
        <w:rPr>
          <w:rFonts w:ascii="Times New Roman" w:hAnsi="Times New Roman" w:cs="Times New Roman"/>
        </w:rPr>
        <w:t xml:space="preserve"> disjointed </w:t>
      </w:r>
      <w:r w:rsidR="006E0000">
        <w:rPr>
          <w:rFonts w:ascii="Times New Roman" w:hAnsi="Times New Roman" w:cs="Times New Roman"/>
        </w:rPr>
        <w:t>as they are</w:t>
      </w:r>
      <w:r w:rsidRPr="00DA6AB8">
        <w:rPr>
          <w:rFonts w:ascii="Times New Roman" w:hAnsi="Times New Roman" w:cs="Times New Roman"/>
        </w:rPr>
        <w:t xml:space="preserve"> further develop</w:t>
      </w:r>
      <w:r w:rsidR="006E0000">
        <w:rPr>
          <w:rFonts w:ascii="Times New Roman" w:hAnsi="Times New Roman" w:cs="Times New Roman"/>
        </w:rPr>
        <w:t>ed</w:t>
      </w:r>
      <w:r w:rsidRPr="00DA6AB8">
        <w:rPr>
          <w:rFonts w:ascii="Times New Roman" w:hAnsi="Times New Roman" w:cs="Times New Roman"/>
        </w:rPr>
        <w:t>.</w:t>
      </w:r>
      <w:r>
        <w:rPr>
          <w:rFonts w:ascii="Times New Roman" w:hAnsi="Times New Roman" w:cs="Times New Roman"/>
        </w:rPr>
        <w:t xml:space="preserve"> </w:t>
      </w:r>
    </w:p>
    <w:p w14:paraId="724EB12F" w14:textId="1A445F32" w:rsidR="00C6212B" w:rsidRPr="00755B78" w:rsidRDefault="00580450" w:rsidP="002D00B8">
      <w:pPr>
        <w:pStyle w:val="ListParagraph"/>
        <w:numPr>
          <w:ilvl w:val="0"/>
          <w:numId w:val="6"/>
        </w:numPr>
        <w:spacing w:before="120" w:after="120" w:line="240" w:lineRule="auto"/>
        <w:ind w:left="0" w:firstLine="0"/>
        <w:contextualSpacing w:val="0"/>
        <w:jc w:val="both"/>
        <w:rPr>
          <w:rFonts w:ascii="Times New Roman" w:hAnsi="Times New Roman" w:cs="Times New Roman"/>
        </w:rPr>
      </w:pPr>
      <w:r>
        <w:rPr>
          <w:rFonts w:ascii="Times New Roman" w:hAnsi="Times New Roman" w:cs="Times New Roman"/>
        </w:rPr>
        <w:t xml:space="preserve">In </w:t>
      </w:r>
      <w:r w:rsidR="00BB1E0B">
        <w:rPr>
          <w:rFonts w:ascii="Times New Roman" w:hAnsi="Times New Roman" w:cs="Times New Roman"/>
        </w:rPr>
        <w:t>developing the draft of the capacity-building action plan</w:t>
      </w:r>
      <w:r w:rsidRPr="00BB1E0B">
        <w:rPr>
          <w:rFonts w:ascii="Times New Roman" w:hAnsi="Times New Roman" w:cs="Times New Roman"/>
        </w:rPr>
        <w:t>,</w:t>
      </w:r>
      <w:r w:rsidR="00427151" w:rsidRPr="00D7675C">
        <w:rPr>
          <w:rFonts w:ascii="Times New Roman" w:hAnsi="Times New Roman" w:cs="Times New Roman"/>
        </w:rPr>
        <w:t xml:space="preserve"> </w:t>
      </w:r>
      <w:r w:rsidR="00E64A2F">
        <w:rPr>
          <w:rFonts w:ascii="Times New Roman" w:hAnsi="Times New Roman" w:cs="Times New Roman"/>
        </w:rPr>
        <w:t xml:space="preserve">the Secretariat sought to avoid </w:t>
      </w:r>
      <w:r w:rsidR="00427151" w:rsidRPr="00D7675C">
        <w:rPr>
          <w:rFonts w:ascii="Times New Roman" w:hAnsi="Times New Roman" w:cs="Times New Roman"/>
        </w:rPr>
        <w:t>o</w:t>
      </w:r>
      <w:r w:rsidR="002676BC" w:rsidRPr="00D7675C">
        <w:rPr>
          <w:rFonts w:ascii="Times New Roman" w:hAnsi="Times New Roman" w:cs="Times New Roman"/>
        </w:rPr>
        <w:t xml:space="preserve">verlap and inconsistencies between activity descriptions. </w:t>
      </w:r>
      <w:r w:rsidR="008378DD">
        <w:rPr>
          <w:rFonts w:ascii="Times New Roman" w:hAnsi="Times New Roman" w:cs="Times New Roman"/>
        </w:rPr>
        <w:t>F</w:t>
      </w:r>
      <w:r w:rsidR="002676BC" w:rsidRPr="00D7675C">
        <w:rPr>
          <w:rFonts w:ascii="Times New Roman" w:hAnsi="Times New Roman" w:cs="Times New Roman"/>
        </w:rPr>
        <w:t xml:space="preserve">or some goals (e.g. goal </w:t>
      </w:r>
      <w:r w:rsidR="00D76A28" w:rsidRPr="00D7675C">
        <w:rPr>
          <w:rFonts w:ascii="Times New Roman" w:hAnsi="Times New Roman" w:cs="Times New Roman"/>
        </w:rPr>
        <w:t xml:space="preserve">A.1. on national biosafety frameworks; and </w:t>
      </w:r>
      <w:r w:rsidR="002676BC" w:rsidRPr="00D7675C">
        <w:rPr>
          <w:rFonts w:ascii="Times New Roman" w:hAnsi="Times New Roman" w:cs="Times New Roman"/>
        </w:rPr>
        <w:t>B.3. on public awareness, education and participation)</w:t>
      </w:r>
      <w:r w:rsidR="009A0A35">
        <w:rPr>
          <w:rFonts w:ascii="Times New Roman" w:hAnsi="Times New Roman" w:cs="Times New Roman"/>
        </w:rPr>
        <w:t>,</w:t>
      </w:r>
      <w:r w:rsidR="002676BC" w:rsidRPr="00D7675C">
        <w:rPr>
          <w:rFonts w:ascii="Times New Roman" w:hAnsi="Times New Roman" w:cs="Times New Roman"/>
        </w:rPr>
        <w:t xml:space="preserve"> </w:t>
      </w:r>
      <w:r w:rsidR="00CF2277" w:rsidRPr="00D7675C">
        <w:rPr>
          <w:rFonts w:ascii="Times New Roman" w:hAnsi="Times New Roman" w:cs="Times New Roman"/>
        </w:rPr>
        <w:t>existing</w:t>
      </w:r>
      <w:r w:rsidR="002676BC" w:rsidRPr="00D7675C">
        <w:rPr>
          <w:rFonts w:ascii="Times New Roman" w:hAnsi="Times New Roman" w:cs="Times New Roman"/>
        </w:rPr>
        <w:t xml:space="preserve"> activit</w:t>
      </w:r>
      <w:r w:rsidR="00CF2277" w:rsidRPr="00D7675C">
        <w:rPr>
          <w:rFonts w:ascii="Times New Roman" w:hAnsi="Times New Roman" w:cs="Times New Roman"/>
        </w:rPr>
        <w:t xml:space="preserve">y </w:t>
      </w:r>
      <w:r w:rsidR="005830FC" w:rsidRPr="00D7675C">
        <w:rPr>
          <w:rFonts w:ascii="Times New Roman" w:hAnsi="Times New Roman" w:cs="Times New Roman"/>
        </w:rPr>
        <w:t xml:space="preserve">descriptions </w:t>
      </w:r>
      <w:r w:rsidR="005638D3" w:rsidRPr="00D7675C">
        <w:rPr>
          <w:rFonts w:ascii="Times New Roman" w:hAnsi="Times New Roman" w:cs="Times New Roman"/>
        </w:rPr>
        <w:t xml:space="preserve">from different sources </w:t>
      </w:r>
      <w:r w:rsidR="00CF2277" w:rsidRPr="00D7675C">
        <w:rPr>
          <w:rFonts w:ascii="Times New Roman" w:hAnsi="Times New Roman" w:cs="Times New Roman"/>
        </w:rPr>
        <w:t xml:space="preserve">were </w:t>
      </w:r>
      <w:r w:rsidR="00DE2D45" w:rsidRPr="00D7675C">
        <w:rPr>
          <w:rFonts w:ascii="Times New Roman" w:hAnsi="Times New Roman" w:cs="Times New Roman"/>
        </w:rPr>
        <w:t>merged to a reduced number of activities</w:t>
      </w:r>
      <w:r w:rsidR="002676BC" w:rsidRPr="00D7675C">
        <w:rPr>
          <w:rFonts w:ascii="Times New Roman" w:hAnsi="Times New Roman" w:cs="Times New Roman"/>
        </w:rPr>
        <w:t xml:space="preserve">. The activities associated </w:t>
      </w:r>
      <w:r w:rsidR="00C6212B">
        <w:rPr>
          <w:rFonts w:ascii="Times New Roman" w:hAnsi="Times New Roman" w:cs="Times New Roman"/>
        </w:rPr>
        <w:t xml:space="preserve">with the following goals were combined, as they were closely related: </w:t>
      </w:r>
    </w:p>
    <w:p w14:paraId="3D9B6BEB" w14:textId="1CB620DE" w:rsidR="00A97056" w:rsidRPr="00A97056" w:rsidRDefault="00A97056" w:rsidP="002D00B8">
      <w:pPr>
        <w:pStyle w:val="ListParagraph"/>
        <w:numPr>
          <w:ilvl w:val="1"/>
          <w:numId w:val="28"/>
        </w:numPr>
        <w:spacing w:before="120" w:after="120" w:line="240" w:lineRule="auto"/>
        <w:ind w:left="0" w:firstLine="687"/>
        <w:contextualSpacing w:val="0"/>
        <w:jc w:val="both"/>
        <w:rPr>
          <w:rFonts w:ascii="Times New Roman" w:hAnsi="Times New Roman" w:cs="Times New Roman"/>
        </w:rPr>
      </w:pPr>
      <w:r>
        <w:rPr>
          <w:rFonts w:ascii="Times New Roman" w:hAnsi="Times New Roman" w:cs="Times New Roman"/>
        </w:rPr>
        <w:t>T</w:t>
      </w:r>
      <w:r w:rsidR="00C6212B" w:rsidRPr="00A97056">
        <w:rPr>
          <w:rFonts w:ascii="Times New Roman" w:hAnsi="Times New Roman" w:cs="Times New Roman"/>
        </w:rPr>
        <w:t>he activities related to goal 2 (</w:t>
      </w:r>
      <w:r w:rsidR="00420226" w:rsidRPr="00A97056">
        <w:rPr>
          <w:rFonts w:ascii="Times New Roman" w:hAnsi="Times New Roman" w:cs="Times New Roman"/>
        </w:rPr>
        <w:t>BCH</w:t>
      </w:r>
      <w:r w:rsidR="00C6212B" w:rsidRPr="00A97056">
        <w:rPr>
          <w:rFonts w:ascii="Times New Roman" w:hAnsi="Times New Roman" w:cs="Times New Roman"/>
        </w:rPr>
        <w:t>) and goal 3 (</w:t>
      </w:r>
      <w:r w:rsidR="000C4010" w:rsidRPr="00A97056">
        <w:rPr>
          <w:rFonts w:ascii="Times New Roman" w:hAnsi="Times New Roman" w:cs="Times New Roman"/>
        </w:rPr>
        <w:t>national reports</w:t>
      </w:r>
      <w:r w:rsidR="00C6212B" w:rsidRPr="00A97056">
        <w:rPr>
          <w:rFonts w:ascii="Times New Roman" w:hAnsi="Times New Roman" w:cs="Times New Roman"/>
        </w:rPr>
        <w:t>);</w:t>
      </w:r>
    </w:p>
    <w:p w14:paraId="3172D5F3" w14:textId="2E0B971C" w:rsidR="00B87BDC" w:rsidRPr="00A97056" w:rsidRDefault="00A97056" w:rsidP="002D00B8">
      <w:pPr>
        <w:pStyle w:val="ListParagraph"/>
        <w:numPr>
          <w:ilvl w:val="1"/>
          <w:numId w:val="28"/>
        </w:numPr>
        <w:spacing w:before="120" w:after="120" w:line="240" w:lineRule="auto"/>
        <w:ind w:left="0" w:firstLine="687"/>
        <w:contextualSpacing w:val="0"/>
        <w:jc w:val="both"/>
      </w:pPr>
      <w:r>
        <w:rPr>
          <w:rFonts w:ascii="Times New Roman" w:hAnsi="Times New Roman" w:cs="Times New Roman"/>
        </w:rPr>
        <w:t>T</w:t>
      </w:r>
      <w:r w:rsidR="00494893" w:rsidRPr="002D00B8">
        <w:rPr>
          <w:rFonts w:ascii="Times New Roman" w:hAnsi="Times New Roman" w:cs="Times New Roman"/>
        </w:rPr>
        <w:t xml:space="preserve">he activities related to </w:t>
      </w:r>
      <w:r w:rsidR="002676BC" w:rsidRPr="002D00B8">
        <w:rPr>
          <w:rFonts w:ascii="Times New Roman" w:hAnsi="Times New Roman" w:cs="Times New Roman"/>
        </w:rPr>
        <w:t>goal 6 (</w:t>
      </w:r>
      <w:r w:rsidR="00D52901" w:rsidRPr="002D00B8">
        <w:rPr>
          <w:rFonts w:ascii="Times New Roman" w:hAnsi="Times New Roman" w:cs="Times New Roman"/>
        </w:rPr>
        <w:t>detection and identification</w:t>
      </w:r>
      <w:r w:rsidR="002676BC" w:rsidRPr="002D00B8">
        <w:rPr>
          <w:rFonts w:ascii="Times New Roman" w:hAnsi="Times New Roman" w:cs="Times New Roman"/>
        </w:rPr>
        <w:t>), goal 7 (</w:t>
      </w:r>
      <w:r w:rsidR="00D52901" w:rsidRPr="002D00B8">
        <w:rPr>
          <w:rFonts w:ascii="Times New Roman" w:hAnsi="Times New Roman" w:cs="Times New Roman"/>
        </w:rPr>
        <w:t>illegal and unintentional transboundary movements</w:t>
      </w:r>
      <w:r w:rsidR="002676BC" w:rsidRPr="002D00B8">
        <w:rPr>
          <w:rFonts w:ascii="Times New Roman" w:hAnsi="Times New Roman" w:cs="Times New Roman"/>
        </w:rPr>
        <w:t>) and goal 8 (</w:t>
      </w:r>
      <w:r w:rsidR="00D52901" w:rsidRPr="002D00B8">
        <w:rPr>
          <w:rFonts w:ascii="Times New Roman" w:hAnsi="Times New Roman" w:cs="Times New Roman"/>
        </w:rPr>
        <w:t>handling, transport, packaging and identification</w:t>
      </w:r>
      <w:r w:rsidR="002676BC" w:rsidRPr="002D00B8">
        <w:rPr>
          <w:rFonts w:ascii="Times New Roman" w:hAnsi="Times New Roman" w:cs="Times New Roman"/>
        </w:rPr>
        <w:t>).</w:t>
      </w:r>
    </w:p>
    <w:p w14:paraId="7ABAF8E8" w14:textId="0DB0D388" w:rsidR="00096597" w:rsidRPr="00A97056" w:rsidRDefault="00D35215" w:rsidP="002D00B8">
      <w:pPr>
        <w:pStyle w:val="ListParagraph"/>
        <w:numPr>
          <w:ilvl w:val="0"/>
          <w:numId w:val="6"/>
        </w:numPr>
        <w:spacing w:before="120" w:after="120" w:line="240" w:lineRule="auto"/>
        <w:ind w:left="0" w:firstLine="0"/>
        <w:contextualSpacing w:val="0"/>
        <w:jc w:val="both"/>
      </w:pPr>
      <w:r w:rsidRPr="00D7675C">
        <w:rPr>
          <w:rFonts w:ascii="Times New Roman" w:hAnsi="Times New Roman" w:cs="Times New Roman"/>
        </w:rPr>
        <w:t xml:space="preserve">Where the available </w:t>
      </w:r>
      <w:r w:rsidR="00A24421" w:rsidRPr="00D7675C">
        <w:rPr>
          <w:rFonts w:ascii="Times New Roman" w:hAnsi="Times New Roman" w:cs="Times New Roman"/>
        </w:rPr>
        <w:t>sources of information</w:t>
      </w:r>
      <w:r w:rsidRPr="00D7675C">
        <w:rPr>
          <w:rFonts w:ascii="Times New Roman" w:hAnsi="Times New Roman" w:cs="Times New Roman"/>
        </w:rPr>
        <w:t xml:space="preserve"> did not </w:t>
      </w:r>
      <w:r w:rsidR="00861945" w:rsidRPr="00D7675C">
        <w:rPr>
          <w:rFonts w:ascii="Times New Roman" w:hAnsi="Times New Roman" w:cs="Times New Roman"/>
        </w:rPr>
        <w:t>contain descriptions of</w:t>
      </w:r>
      <w:r w:rsidRPr="00D7675C">
        <w:rPr>
          <w:rFonts w:ascii="Times New Roman" w:hAnsi="Times New Roman" w:cs="Times New Roman"/>
        </w:rPr>
        <w:t xml:space="preserve"> capacity-building activities </w:t>
      </w:r>
      <w:r w:rsidR="00800331" w:rsidRPr="00D7675C">
        <w:rPr>
          <w:rFonts w:ascii="Times New Roman" w:hAnsi="Times New Roman" w:cs="Times New Roman"/>
        </w:rPr>
        <w:t>(</w:t>
      </w:r>
      <w:r w:rsidRPr="00D7675C">
        <w:rPr>
          <w:rFonts w:ascii="Times New Roman" w:hAnsi="Times New Roman" w:cs="Times New Roman"/>
        </w:rPr>
        <w:t xml:space="preserve">e.g. on activities in relation to goal </w:t>
      </w:r>
      <w:r w:rsidR="00800331" w:rsidRPr="00D7675C">
        <w:rPr>
          <w:rFonts w:ascii="Times New Roman" w:hAnsi="Times New Roman" w:cs="Times New Roman"/>
        </w:rPr>
        <w:t>A.</w:t>
      </w:r>
      <w:r w:rsidRPr="00D7675C">
        <w:rPr>
          <w:rFonts w:ascii="Times New Roman" w:hAnsi="Times New Roman" w:cs="Times New Roman"/>
        </w:rPr>
        <w:t>2. on national reporting; and goal A.3. on compliance), activitie</w:t>
      </w:r>
      <w:r w:rsidR="00BD0BCE">
        <w:rPr>
          <w:rFonts w:ascii="Times New Roman" w:hAnsi="Times New Roman" w:cs="Times New Roman"/>
        </w:rPr>
        <w:t>s</w:t>
      </w:r>
      <w:r w:rsidRPr="00D7675C">
        <w:rPr>
          <w:rFonts w:ascii="Times New Roman" w:hAnsi="Times New Roman" w:cs="Times New Roman"/>
        </w:rPr>
        <w:t xml:space="preserve"> </w:t>
      </w:r>
      <w:r w:rsidR="00BC3DB2" w:rsidRPr="00D7675C">
        <w:rPr>
          <w:rFonts w:ascii="Times New Roman" w:hAnsi="Times New Roman" w:cs="Times New Roman"/>
        </w:rPr>
        <w:t xml:space="preserve">were proposed </w:t>
      </w:r>
      <w:r w:rsidR="00FA00CF" w:rsidRPr="00D7675C">
        <w:rPr>
          <w:rFonts w:ascii="Times New Roman" w:hAnsi="Times New Roman" w:cs="Times New Roman"/>
        </w:rPr>
        <w:t xml:space="preserve">by the Secretariat </w:t>
      </w:r>
      <w:r w:rsidR="00B93E02">
        <w:rPr>
          <w:rFonts w:ascii="Times New Roman" w:hAnsi="Times New Roman" w:cs="Times New Roman"/>
        </w:rPr>
        <w:t>in alignment with</w:t>
      </w:r>
      <w:r w:rsidR="00AB21DC" w:rsidRPr="00D7675C">
        <w:rPr>
          <w:rFonts w:ascii="Times New Roman" w:hAnsi="Times New Roman" w:cs="Times New Roman"/>
        </w:rPr>
        <w:t xml:space="preserve"> ongoing efforts in these areas.</w:t>
      </w:r>
    </w:p>
    <w:p w14:paraId="7DEDA044" w14:textId="0113A1F2" w:rsidR="00BD0BCE" w:rsidRPr="00A97056" w:rsidRDefault="00763C2A" w:rsidP="002D00B8">
      <w:pPr>
        <w:pStyle w:val="ListParagraph"/>
        <w:numPr>
          <w:ilvl w:val="0"/>
          <w:numId w:val="6"/>
        </w:numPr>
        <w:spacing w:before="120" w:after="120" w:line="240" w:lineRule="auto"/>
        <w:ind w:left="0" w:firstLine="0"/>
        <w:contextualSpacing w:val="0"/>
        <w:jc w:val="both"/>
        <w:rPr>
          <w:rFonts w:ascii="Times New Roman" w:hAnsi="Times New Roman" w:cs="Times New Roman"/>
        </w:rPr>
      </w:pPr>
      <w:r>
        <w:rPr>
          <w:rFonts w:ascii="Times New Roman" w:hAnsi="Times New Roman" w:cs="Times New Roman"/>
        </w:rPr>
        <w:t xml:space="preserve">In developing the draft </w:t>
      </w:r>
      <w:r w:rsidR="0015163B">
        <w:rPr>
          <w:rFonts w:ascii="Times New Roman" w:hAnsi="Times New Roman" w:cs="Times New Roman"/>
        </w:rPr>
        <w:t>of the capacity-building action plan, the Secretariat endeavoured to describe key areas for capacity-</w:t>
      </w:r>
      <w:r w:rsidR="009A4F98">
        <w:rPr>
          <w:rFonts w:ascii="Times New Roman" w:hAnsi="Times New Roman" w:cs="Times New Roman"/>
        </w:rPr>
        <w:t xml:space="preserve">building without </w:t>
      </w:r>
      <w:r w:rsidR="00213796">
        <w:rPr>
          <w:rFonts w:ascii="Times New Roman" w:hAnsi="Times New Roman" w:cs="Times New Roman"/>
        </w:rPr>
        <w:t xml:space="preserve">providing detailed specifics on the modalities for </w:t>
      </w:r>
      <w:r w:rsidR="00AE1C2D">
        <w:rPr>
          <w:rFonts w:ascii="Times New Roman" w:hAnsi="Times New Roman" w:cs="Times New Roman"/>
        </w:rPr>
        <w:t>capacity-building.</w:t>
      </w:r>
      <w:r w:rsidR="002B73F9">
        <w:rPr>
          <w:rFonts w:ascii="Times New Roman" w:hAnsi="Times New Roman" w:cs="Times New Roman"/>
        </w:rPr>
        <w:t xml:space="preserve"> For example, capacity-building activity </w:t>
      </w:r>
      <w:r w:rsidR="004738A4">
        <w:rPr>
          <w:rFonts w:ascii="Times New Roman" w:hAnsi="Times New Roman" w:cs="Times New Roman"/>
        </w:rPr>
        <w:t>2 under goal A.5</w:t>
      </w:r>
      <w:r w:rsidR="002B73F9">
        <w:rPr>
          <w:rFonts w:ascii="Times New Roman" w:hAnsi="Times New Roman" w:cs="Times New Roman"/>
        </w:rPr>
        <w:t xml:space="preserve"> refers to </w:t>
      </w:r>
      <w:r w:rsidR="00DB3690">
        <w:rPr>
          <w:rFonts w:ascii="Times New Roman" w:hAnsi="Times New Roman" w:cs="Times New Roman"/>
        </w:rPr>
        <w:t xml:space="preserve">“technical training on risk assessment and risk management” without specifying whether </w:t>
      </w:r>
      <w:r w:rsidR="00374A7D">
        <w:rPr>
          <w:rFonts w:ascii="Times New Roman" w:hAnsi="Times New Roman" w:cs="Times New Roman"/>
        </w:rPr>
        <w:t xml:space="preserve">this is done through </w:t>
      </w:r>
      <w:r w:rsidR="003A434C">
        <w:rPr>
          <w:rFonts w:ascii="Times New Roman" w:hAnsi="Times New Roman" w:cs="Times New Roman"/>
        </w:rPr>
        <w:t xml:space="preserve">the </w:t>
      </w:r>
      <w:r w:rsidR="00E36B0C">
        <w:rPr>
          <w:rFonts w:ascii="Times New Roman" w:hAnsi="Times New Roman" w:cs="Times New Roman"/>
        </w:rPr>
        <w:t xml:space="preserve">training-of-trainers, </w:t>
      </w:r>
      <w:r w:rsidR="00F81648">
        <w:rPr>
          <w:rFonts w:ascii="Times New Roman" w:hAnsi="Times New Roman" w:cs="Times New Roman"/>
        </w:rPr>
        <w:t xml:space="preserve">face-to-face workshops, </w:t>
      </w:r>
      <w:r w:rsidR="00E36B0C">
        <w:rPr>
          <w:rFonts w:ascii="Times New Roman" w:hAnsi="Times New Roman" w:cs="Times New Roman"/>
        </w:rPr>
        <w:t>online</w:t>
      </w:r>
      <w:r w:rsidR="00F81648">
        <w:rPr>
          <w:rFonts w:ascii="Times New Roman" w:hAnsi="Times New Roman" w:cs="Times New Roman"/>
        </w:rPr>
        <w:t xml:space="preserve"> webinars</w:t>
      </w:r>
      <w:r w:rsidR="003A434C">
        <w:rPr>
          <w:rFonts w:ascii="Times New Roman" w:hAnsi="Times New Roman" w:cs="Times New Roman"/>
        </w:rPr>
        <w:t xml:space="preserve"> or other means</w:t>
      </w:r>
      <w:r w:rsidR="004A154C">
        <w:rPr>
          <w:rFonts w:ascii="Times New Roman" w:hAnsi="Times New Roman" w:cs="Times New Roman"/>
        </w:rPr>
        <w:t xml:space="preserve"> and whether </w:t>
      </w:r>
      <w:r w:rsidR="00FE473F">
        <w:rPr>
          <w:rFonts w:ascii="Times New Roman" w:hAnsi="Times New Roman" w:cs="Times New Roman"/>
        </w:rPr>
        <w:t xml:space="preserve">the capacity-building is at the national, </w:t>
      </w:r>
      <w:proofErr w:type="spellStart"/>
      <w:r w:rsidR="00FE473F">
        <w:rPr>
          <w:rFonts w:ascii="Times New Roman" w:hAnsi="Times New Roman" w:cs="Times New Roman"/>
        </w:rPr>
        <w:t>subregional</w:t>
      </w:r>
      <w:proofErr w:type="spellEnd"/>
      <w:r w:rsidR="00FE473F">
        <w:rPr>
          <w:rFonts w:ascii="Times New Roman" w:hAnsi="Times New Roman" w:cs="Times New Roman"/>
        </w:rPr>
        <w:t xml:space="preserve">, regional or international level. </w:t>
      </w:r>
      <w:r w:rsidR="00000C89">
        <w:rPr>
          <w:rFonts w:ascii="Times New Roman" w:hAnsi="Times New Roman" w:cs="Times New Roman"/>
        </w:rPr>
        <w:t xml:space="preserve">The </w:t>
      </w:r>
      <w:r w:rsidR="00DA0A9D">
        <w:rPr>
          <w:rFonts w:ascii="Times New Roman" w:hAnsi="Times New Roman" w:cs="Times New Roman"/>
        </w:rPr>
        <w:t>appropriate</w:t>
      </w:r>
      <w:r w:rsidR="00000C89">
        <w:rPr>
          <w:rFonts w:ascii="Times New Roman" w:hAnsi="Times New Roman" w:cs="Times New Roman"/>
        </w:rPr>
        <w:t xml:space="preserve"> modality for </w:t>
      </w:r>
      <w:r w:rsidR="00570161">
        <w:rPr>
          <w:rFonts w:ascii="Times New Roman" w:hAnsi="Times New Roman" w:cs="Times New Roman"/>
        </w:rPr>
        <w:t xml:space="preserve">carrying out </w:t>
      </w:r>
      <w:r w:rsidR="00DA0A9D">
        <w:rPr>
          <w:rFonts w:ascii="Times New Roman" w:hAnsi="Times New Roman" w:cs="Times New Roman"/>
        </w:rPr>
        <w:t xml:space="preserve">a </w:t>
      </w:r>
      <w:r w:rsidR="00570161">
        <w:rPr>
          <w:rFonts w:ascii="Times New Roman" w:hAnsi="Times New Roman" w:cs="Times New Roman"/>
        </w:rPr>
        <w:t xml:space="preserve">capacity-building </w:t>
      </w:r>
      <w:r w:rsidR="00DA0A9D">
        <w:rPr>
          <w:rFonts w:ascii="Times New Roman" w:hAnsi="Times New Roman" w:cs="Times New Roman"/>
        </w:rPr>
        <w:t xml:space="preserve">activity can vary greatly </w:t>
      </w:r>
      <w:r w:rsidR="00C9374D">
        <w:rPr>
          <w:rFonts w:ascii="Times New Roman" w:hAnsi="Times New Roman" w:cs="Times New Roman"/>
        </w:rPr>
        <w:t xml:space="preserve">depending on the Party or Parties concerned and can </w:t>
      </w:r>
      <w:r w:rsidR="00EF4D14">
        <w:rPr>
          <w:rFonts w:ascii="Times New Roman" w:hAnsi="Times New Roman" w:cs="Times New Roman"/>
        </w:rPr>
        <w:t xml:space="preserve">change over time as new tools become available. </w:t>
      </w:r>
      <w:r w:rsidR="000F2151">
        <w:rPr>
          <w:rFonts w:ascii="Times New Roman" w:hAnsi="Times New Roman" w:cs="Times New Roman"/>
        </w:rPr>
        <w:t xml:space="preserve">Accordingly, the capacity-building activities </w:t>
      </w:r>
      <w:r w:rsidR="006A369F">
        <w:rPr>
          <w:rFonts w:ascii="Times New Roman" w:hAnsi="Times New Roman" w:cs="Times New Roman"/>
        </w:rPr>
        <w:t xml:space="preserve">included in the draft </w:t>
      </w:r>
      <w:r w:rsidR="001800A7">
        <w:rPr>
          <w:rFonts w:ascii="Times New Roman" w:hAnsi="Times New Roman" w:cs="Times New Roman"/>
        </w:rPr>
        <w:t xml:space="preserve">action plan are presented </w:t>
      </w:r>
      <w:r w:rsidR="005104F3">
        <w:rPr>
          <w:rFonts w:ascii="Times New Roman" w:hAnsi="Times New Roman" w:cs="Times New Roman"/>
        </w:rPr>
        <w:t>in more general terms t</w:t>
      </w:r>
      <w:r w:rsidR="00A74101">
        <w:rPr>
          <w:rFonts w:ascii="Times New Roman" w:hAnsi="Times New Roman" w:cs="Times New Roman"/>
        </w:rPr>
        <w:t xml:space="preserve">o avoid limiting the </w:t>
      </w:r>
      <w:r w:rsidR="006660E6">
        <w:rPr>
          <w:rFonts w:ascii="Times New Roman" w:hAnsi="Times New Roman" w:cs="Times New Roman"/>
        </w:rPr>
        <w:t>methods for under</w:t>
      </w:r>
      <w:r w:rsidR="00CE566C">
        <w:rPr>
          <w:rFonts w:ascii="Times New Roman" w:hAnsi="Times New Roman" w:cs="Times New Roman"/>
        </w:rPr>
        <w:t>taking the</w:t>
      </w:r>
      <w:r w:rsidR="005104F3">
        <w:rPr>
          <w:rFonts w:ascii="Times New Roman" w:hAnsi="Times New Roman" w:cs="Times New Roman"/>
        </w:rPr>
        <w:t>se</w:t>
      </w:r>
      <w:r w:rsidR="00CE566C">
        <w:rPr>
          <w:rFonts w:ascii="Times New Roman" w:hAnsi="Times New Roman" w:cs="Times New Roman"/>
        </w:rPr>
        <w:t xml:space="preserve"> activities</w:t>
      </w:r>
      <w:r w:rsidR="00D13CA0">
        <w:rPr>
          <w:rFonts w:ascii="Times New Roman" w:hAnsi="Times New Roman" w:cs="Times New Roman"/>
        </w:rPr>
        <w:t xml:space="preserve">. </w:t>
      </w:r>
      <w:r w:rsidR="006E2CC2" w:rsidRPr="004E785E">
        <w:rPr>
          <w:rFonts w:ascii="Times New Roman" w:hAnsi="Times New Roman" w:cs="Times New Roman"/>
        </w:rPr>
        <w:t xml:space="preserve">More information on options for modalities of capacity-building </w:t>
      </w:r>
      <w:r w:rsidR="00B715A2" w:rsidRPr="004E785E">
        <w:rPr>
          <w:rFonts w:ascii="Times New Roman" w:hAnsi="Times New Roman" w:cs="Times New Roman"/>
        </w:rPr>
        <w:t>could be included in a narrative chapeau to the action plan and/or in the long-term strategic framework for capacity</w:t>
      </w:r>
      <w:r w:rsidR="00B67B86">
        <w:rPr>
          <w:rFonts w:ascii="Times New Roman" w:hAnsi="Times New Roman" w:cs="Times New Roman"/>
        </w:rPr>
        <w:t>-</w:t>
      </w:r>
      <w:r w:rsidR="00B715A2" w:rsidRPr="004E785E">
        <w:rPr>
          <w:rFonts w:ascii="Times New Roman" w:hAnsi="Times New Roman" w:cs="Times New Roman"/>
        </w:rPr>
        <w:t xml:space="preserve">building beyond 2020. </w:t>
      </w:r>
      <w:r w:rsidR="00D35215" w:rsidRPr="004E785E">
        <w:rPr>
          <w:rFonts w:ascii="Times New Roman" w:hAnsi="Times New Roman" w:cs="Times New Roman"/>
        </w:rPr>
        <w:t xml:space="preserve"> </w:t>
      </w:r>
    </w:p>
    <w:p w14:paraId="2D0D13CD" w14:textId="69386135" w:rsidR="00675CBA" w:rsidRPr="00A97056" w:rsidRDefault="00675CBA" w:rsidP="002D00B8">
      <w:pPr>
        <w:pStyle w:val="ListParagraph"/>
        <w:numPr>
          <w:ilvl w:val="0"/>
          <w:numId w:val="5"/>
        </w:numPr>
        <w:spacing w:before="120" w:after="120" w:line="240" w:lineRule="auto"/>
        <w:ind w:left="0" w:firstLine="0"/>
        <w:contextualSpacing w:val="0"/>
        <w:jc w:val="center"/>
        <w:rPr>
          <w:rFonts w:ascii="Times New Roman" w:hAnsi="Times New Roman" w:cs="Times New Roman"/>
        </w:rPr>
      </w:pPr>
      <w:r>
        <w:rPr>
          <w:rFonts w:ascii="Times New Roman" w:hAnsi="Times New Roman" w:cs="Times New Roman"/>
          <w:b/>
        </w:rPr>
        <w:t>SUGGESTIONS FOR CONSIDERATION BY THE LIAISON GROUP</w:t>
      </w:r>
    </w:p>
    <w:p w14:paraId="1CF4E16B" w14:textId="2547EAD8" w:rsidR="009C63F2" w:rsidRPr="00A97056" w:rsidRDefault="007A32E5" w:rsidP="002D00B8">
      <w:pPr>
        <w:pStyle w:val="ListParagraph"/>
        <w:numPr>
          <w:ilvl w:val="0"/>
          <w:numId w:val="6"/>
        </w:numPr>
        <w:spacing w:before="120" w:after="120" w:line="240" w:lineRule="auto"/>
        <w:ind w:left="0" w:firstLine="0"/>
        <w:contextualSpacing w:val="0"/>
        <w:jc w:val="both"/>
        <w:rPr>
          <w:rFonts w:ascii="Times New Roman" w:hAnsi="Times New Roman" w:cs="Times New Roman"/>
        </w:rPr>
      </w:pPr>
      <w:r>
        <w:rPr>
          <w:rFonts w:ascii="Times New Roman" w:hAnsi="Times New Roman" w:cs="Times New Roman"/>
        </w:rPr>
        <w:t xml:space="preserve">The Liaison Group may wish to consider the draft action plan for capacity-building presented in </w:t>
      </w:r>
      <w:r w:rsidR="00A97056">
        <w:rPr>
          <w:rFonts w:ascii="Times New Roman" w:hAnsi="Times New Roman" w:cs="Times New Roman"/>
        </w:rPr>
        <w:t>a</w:t>
      </w:r>
      <w:r>
        <w:rPr>
          <w:rFonts w:ascii="Times New Roman" w:hAnsi="Times New Roman" w:cs="Times New Roman"/>
        </w:rPr>
        <w:t xml:space="preserve">nnex I, including the possible development of a narrative chapeau and the capacity-building </w:t>
      </w:r>
      <w:r w:rsidR="006D7398">
        <w:rPr>
          <w:rFonts w:ascii="Times New Roman" w:hAnsi="Times New Roman" w:cs="Times New Roman"/>
        </w:rPr>
        <w:t xml:space="preserve">activities </w:t>
      </w:r>
      <w:r>
        <w:rPr>
          <w:rFonts w:ascii="Times New Roman" w:hAnsi="Times New Roman" w:cs="Times New Roman"/>
        </w:rPr>
        <w:t xml:space="preserve">presented in </w:t>
      </w:r>
      <w:r w:rsidR="00BB1E0B">
        <w:rPr>
          <w:rFonts w:ascii="Times New Roman" w:hAnsi="Times New Roman" w:cs="Times New Roman"/>
        </w:rPr>
        <w:t xml:space="preserve">the fourth </w:t>
      </w:r>
      <w:r w:rsidRPr="00344B31">
        <w:rPr>
          <w:rFonts w:ascii="Times New Roman" w:hAnsi="Times New Roman" w:cs="Times New Roman"/>
        </w:rPr>
        <w:t>column</w:t>
      </w:r>
      <w:r w:rsidRPr="00EA6ED8">
        <w:rPr>
          <w:rFonts w:ascii="Times New Roman" w:hAnsi="Times New Roman" w:cs="Times New Roman"/>
        </w:rPr>
        <w:t xml:space="preserve"> of the table.</w:t>
      </w:r>
    </w:p>
    <w:p w14:paraId="3F938381" w14:textId="530939DB" w:rsidR="001770F3" w:rsidRPr="00A97056" w:rsidRDefault="009C63F2" w:rsidP="002D00B8">
      <w:pPr>
        <w:pStyle w:val="ListParagraph"/>
        <w:numPr>
          <w:ilvl w:val="0"/>
          <w:numId w:val="6"/>
        </w:numPr>
        <w:spacing w:before="120" w:after="120" w:line="240" w:lineRule="auto"/>
        <w:ind w:left="0" w:firstLine="0"/>
        <w:contextualSpacing w:val="0"/>
        <w:jc w:val="both"/>
      </w:pPr>
      <w:r w:rsidRPr="00D07C32">
        <w:t xml:space="preserve">The Liaison Group may also wish to consider the next steps for the development of the action plan. </w:t>
      </w:r>
      <w:r w:rsidRPr="00EA6ED8">
        <w:rPr>
          <w:rFonts w:ascii="Times New Roman" w:hAnsi="Times New Roman" w:cs="Times New Roman"/>
        </w:rPr>
        <w:t>T</w:t>
      </w:r>
      <w:r w:rsidR="00503041" w:rsidRPr="00EA6ED8">
        <w:rPr>
          <w:rFonts w:ascii="Times New Roman" w:hAnsi="Times New Roman" w:cs="Times New Roman"/>
        </w:rPr>
        <w:t>he indicative schedule of</w:t>
      </w:r>
      <w:r w:rsidR="00503041" w:rsidRPr="00503041">
        <w:rPr>
          <w:rFonts w:ascii="Times New Roman" w:hAnsi="Times New Roman" w:cs="Times New Roman"/>
        </w:rPr>
        <w:t xml:space="preserve"> activities in decision CP-9/3</w:t>
      </w:r>
      <w:r>
        <w:rPr>
          <w:rFonts w:ascii="Times New Roman" w:hAnsi="Times New Roman" w:cs="Times New Roman"/>
        </w:rPr>
        <w:t xml:space="preserve"> foresees that</w:t>
      </w:r>
      <w:r w:rsidR="00503041" w:rsidRPr="00503041">
        <w:rPr>
          <w:rFonts w:ascii="Times New Roman" w:hAnsi="Times New Roman" w:cs="Times New Roman"/>
        </w:rPr>
        <w:t xml:space="preserve"> the Liaison Group is to </w:t>
      </w:r>
      <w:r w:rsidR="00BB3FAE">
        <w:rPr>
          <w:rFonts w:ascii="Times New Roman" w:hAnsi="Times New Roman" w:cs="Times New Roman"/>
        </w:rPr>
        <w:t>r</w:t>
      </w:r>
      <w:r w:rsidR="00503041" w:rsidRPr="00503041">
        <w:rPr>
          <w:rFonts w:ascii="Times New Roman" w:hAnsi="Times New Roman" w:cs="Times New Roman"/>
        </w:rPr>
        <w:t xml:space="preserve">eview the </w:t>
      </w:r>
      <w:r w:rsidR="009E06B6">
        <w:rPr>
          <w:rFonts w:ascii="Times New Roman" w:hAnsi="Times New Roman" w:cs="Times New Roman"/>
        </w:rPr>
        <w:t xml:space="preserve">next </w:t>
      </w:r>
      <w:r w:rsidR="00503041" w:rsidRPr="00503041">
        <w:rPr>
          <w:rFonts w:ascii="Times New Roman" w:hAnsi="Times New Roman" w:cs="Times New Roman"/>
        </w:rPr>
        <w:t xml:space="preserve">draft </w:t>
      </w:r>
      <w:r w:rsidR="009E06B6">
        <w:rPr>
          <w:rFonts w:ascii="Times New Roman" w:hAnsi="Times New Roman" w:cs="Times New Roman"/>
        </w:rPr>
        <w:t xml:space="preserve">of the </w:t>
      </w:r>
      <w:r w:rsidR="00503041" w:rsidRPr="00503041">
        <w:rPr>
          <w:rFonts w:ascii="Times New Roman" w:hAnsi="Times New Roman" w:cs="Times New Roman"/>
        </w:rPr>
        <w:t xml:space="preserve">action plan for capacity-building at its </w:t>
      </w:r>
      <w:r w:rsidR="00F52580">
        <w:rPr>
          <w:rFonts w:ascii="Times New Roman" w:hAnsi="Times New Roman" w:cs="Times New Roman"/>
        </w:rPr>
        <w:t>fourteenth</w:t>
      </w:r>
      <w:r w:rsidR="00503041" w:rsidRPr="00503041">
        <w:rPr>
          <w:rFonts w:ascii="Times New Roman" w:hAnsi="Times New Roman" w:cs="Times New Roman"/>
        </w:rPr>
        <w:t xml:space="preserve"> meeting, </w:t>
      </w:r>
      <w:proofErr w:type="gramStart"/>
      <w:r w:rsidR="00503041" w:rsidRPr="00503041">
        <w:rPr>
          <w:rFonts w:ascii="Times New Roman" w:hAnsi="Times New Roman" w:cs="Times New Roman"/>
        </w:rPr>
        <w:t>taking into account</w:t>
      </w:r>
      <w:proofErr w:type="gramEnd"/>
      <w:r w:rsidR="00503041" w:rsidRPr="00503041">
        <w:rPr>
          <w:rFonts w:ascii="Times New Roman" w:hAnsi="Times New Roman" w:cs="Times New Roman"/>
        </w:rPr>
        <w:t xml:space="preserve"> information from the fourth national reports. The</w:t>
      </w:r>
      <w:r>
        <w:rPr>
          <w:rFonts w:ascii="Times New Roman" w:hAnsi="Times New Roman" w:cs="Times New Roman"/>
        </w:rPr>
        <w:t>reafter, the indicative</w:t>
      </w:r>
      <w:r w:rsidR="00503041" w:rsidRPr="00503041">
        <w:rPr>
          <w:rFonts w:ascii="Times New Roman" w:hAnsi="Times New Roman" w:cs="Times New Roman"/>
        </w:rPr>
        <w:t xml:space="preserve"> schedule foresees </w:t>
      </w:r>
      <w:r>
        <w:rPr>
          <w:rFonts w:ascii="Times New Roman" w:hAnsi="Times New Roman" w:cs="Times New Roman"/>
        </w:rPr>
        <w:t>the submission of</w:t>
      </w:r>
      <w:r w:rsidR="00503041" w:rsidRPr="00503041">
        <w:rPr>
          <w:rFonts w:ascii="Times New Roman" w:hAnsi="Times New Roman" w:cs="Times New Roman"/>
        </w:rPr>
        <w:t xml:space="preserve"> views on the </w:t>
      </w:r>
      <w:r w:rsidR="00E84AB5">
        <w:rPr>
          <w:rFonts w:ascii="Times New Roman" w:hAnsi="Times New Roman" w:cs="Times New Roman"/>
        </w:rPr>
        <w:t xml:space="preserve">final </w:t>
      </w:r>
      <w:r w:rsidR="00503041" w:rsidRPr="00503041">
        <w:rPr>
          <w:rFonts w:ascii="Times New Roman" w:hAnsi="Times New Roman" w:cs="Times New Roman"/>
        </w:rPr>
        <w:t>draft</w:t>
      </w:r>
      <w:r w:rsidR="00E84AB5">
        <w:rPr>
          <w:rFonts w:ascii="Times New Roman" w:hAnsi="Times New Roman" w:cs="Times New Roman"/>
        </w:rPr>
        <w:t xml:space="preserve"> of the</w:t>
      </w:r>
      <w:r w:rsidR="00503041" w:rsidRPr="00503041">
        <w:rPr>
          <w:rFonts w:ascii="Times New Roman" w:hAnsi="Times New Roman" w:cs="Times New Roman"/>
        </w:rPr>
        <w:t xml:space="preserve"> post-2020 capacity-building action plan, </w:t>
      </w:r>
      <w:r w:rsidR="00E84AB5" w:rsidRPr="00E84AB5">
        <w:rPr>
          <w:rFonts w:ascii="Times New Roman" w:hAnsi="Times New Roman" w:cs="Times New Roman"/>
        </w:rPr>
        <w:t xml:space="preserve">after which the action plan </w:t>
      </w:r>
      <w:bookmarkStart w:id="5" w:name="_Hlk20487823"/>
      <w:r>
        <w:rPr>
          <w:rFonts w:ascii="Times New Roman" w:hAnsi="Times New Roman" w:cs="Times New Roman"/>
        </w:rPr>
        <w:t>would</w:t>
      </w:r>
      <w:r w:rsidRPr="00E84AB5">
        <w:rPr>
          <w:rFonts w:ascii="Times New Roman" w:hAnsi="Times New Roman" w:cs="Times New Roman"/>
        </w:rPr>
        <w:t xml:space="preserve"> </w:t>
      </w:r>
      <w:r w:rsidR="00E84AB5" w:rsidRPr="00E84AB5">
        <w:rPr>
          <w:rFonts w:ascii="Times New Roman" w:hAnsi="Times New Roman" w:cs="Times New Roman"/>
        </w:rPr>
        <w:t xml:space="preserve">be </w:t>
      </w:r>
      <w:r w:rsidR="004B3882">
        <w:rPr>
          <w:rFonts w:ascii="Times New Roman" w:hAnsi="Times New Roman" w:cs="Times New Roman"/>
        </w:rPr>
        <w:t xml:space="preserve">presented for </w:t>
      </w:r>
      <w:r w:rsidR="00E84AB5" w:rsidRPr="00E84AB5">
        <w:rPr>
          <w:rFonts w:ascii="Times New Roman" w:hAnsi="Times New Roman" w:cs="Times New Roman"/>
        </w:rPr>
        <w:t>consider</w:t>
      </w:r>
      <w:r w:rsidR="004B3882">
        <w:rPr>
          <w:rFonts w:ascii="Times New Roman" w:hAnsi="Times New Roman" w:cs="Times New Roman"/>
        </w:rPr>
        <w:t>ation</w:t>
      </w:r>
      <w:r w:rsidR="00E84AB5" w:rsidRPr="00E84AB5">
        <w:rPr>
          <w:rFonts w:ascii="Times New Roman" w:hAnsi="Times New Roman" w:cs="Times New Roman"/>
        </w:rPr>
        <w:t xml:space="preserve"> by</w:t>
      </w:r>
      <w:r w:rsidR="00BB3FAE">
        <w:rPr>
          <w:rFonts w:ascii="Times New Roman" w:hAnsi="Times New Roman" w:cs="Times New Roman"/>
        </w:rPr>
        <w:t xml:space="preserve"> the Subsidiary Body on Implementation, at its third meeting</w:t>
      </w:r>
      <w:r w:rsidR="00E84AB5" w:rsidRPr="00E84AB5">
        <w:rPr>
          <w:rFonts w:ascii="Times New Roman" w:hAnsi="Times New Roman" w:cs="Times New Roman"/>
        </w:rPr>
        <w:t>.</w:t>
      </w:r>
      <w:bookmarkEnd w:id="5"/>
    </w:p>
    <w:p w14:paraId="4D269E4D" w14:textId="18EA18A3" w:rsidR="005E0E0A" w:rsidRPr="00A97056" w:rsidRDefault="009C63F2" w:rsidP="002D00B8">
      <w:pPr>
        <w:pStyle w:val="ListParagraph"/>
        <w:numPr>
          <w:ilvl w:val="0"/>
          <w:numId w:val="6"/>
        </w:numPr>
        <w:spacing w:before="120" w:after="120" w:line="240" w:lineRule="auto"/>
        <w:ind w:left="0" w:firstLine="0"/>
        <w:contextualSpacing w:val="0"/>
        <w:jc w:val="both"/>
      </w:pPr>
      <w:r w:rsidRPr="009C63F2">
        <w:rPr>
          <w:rFonts w:ascii="Times New Roman" w:hAnsi="Times New Roman" w:cs="Times New Roman"/>
        </w:rPr>
        <w:t>There is now more clarity on the calendar of meetings</w:t>
      </w:r>
      <w:r w:rsidR="00E0020F">
        <w:rPr>
          <w:rFonts w:ascii="Times New Roman" w:hAnsi="Times New Roman" w:cs="Times New Roman"/>
        </w:rPr>
        <w:t xml:space="preserve"> than at the time of adoption of decision CP</w:t>
      </w:r>
      <w:r w:rsidR="00437ED3">
        <w:rPr>
          <w:rFonts w:ascii="Times New Roman" w:hAnsi="Times New Roman" w:cs="Times New Roman"/>
        </w:rPr>
        <w:noBreakHyphen/>
      </w:r>
      <w:r w:rsidR="00E0020F">
        <w:rPr>
          <w:rFonts w:ascii="Times New Roman" w:hAnsi="Times New Roman" w:cs="Times New Roman"/>
        </w:rPr>
        <w:t>9/3. T</w:t>
      </w:r>
      <w:r>
        <w:rPr>
          <w:rFonts w:ascii="Times New Roman" w:hAnsi="Times New Roman" w:cs="Times New Roman"/>
        </w:rPr>
        <w:t xml:space="preserve">he fourteenth meeting of the Liaison Group is </w:t>
      </w:r>
      <w:r w:rsidRPr="002551DD">
        <w:rPr>
          <w:rFonts w:ascii="Times New Roman" w:hAnsi="Times New Roman" w:cs="Times New Roman"/>
        </w:rPr>
        <w:t>tentatively planned for April 2020</w:t>
      </w:r>
      <w:r>
        <w:rPr>
          <w:rFonts w:ascii="Times New Roman" w:hAnsi="Times New Roman" w:cs="Times New Roman"/>
        </w:rPr>
        <w:t xml:space="preserve"> while the</w:t>
      </w:r>
      <w:r w:rsidRPr="009C63F2">
        <w:rPr>
          <w:rFonts w:ascii="Times New Roman" w:hAnsi="Times New Roman" w:cs="Times New Roman"/>
        </w:rPr>
        <w:t xml:space="preserve"> </w:t>
      </w:r>
      <w:r>
        <w:rPr>
          <w:rFonts w:ascii="Times New Roman" w:hAnsi="Times New Roman" w:cs="Times New Roman"/>
        </w:rPr>
        <w:t>third meeting of the Subsidiary Body on Implementation</w:t>
      </w:r>
      <w:r w:rsidRPr="009C63F2">
        <w:rPr>
          <w:rFonts w:ascii="Times New Roman" w:hAnsi="Times New Roman" w:cs="Times New Roman"/>
        </w:rPr>
        <w:t xml:space="preserve"> will be held </w:t>
      </w:r>
      <w:r>
        <w:rPr>
          <w:rFonts w:ascii="Times New Roman" w:hAnsi="Times New Roman" w:cs="Times New Roman"/>
        </w:rPr>
        <w:t>from 25 to 29</w:t>
      </w:r>
      <w:r w:rsidRPr="009C63F2">
        <w:rPr>
          <w:rFonts w:ascii="Times New Roman" w:hAnsi="Times New Roman" w:cs="Times New Roman"/>
        </w:rPr>
        <w:t xml:space="preserve"> May 2020.</w:t>
      </w:r>
      <w:r>
        <w:rPr>
          <w:rFonts w:ascii="Times New Roman" w:hAnsi="Times New Roman" w:cs="Times New Roman"/>
        </w:rPr>
        <w:t xml:space="preserve"> </w:t>
      </w:r>
      <w:r w:rsidR="00AB379D" w:rsidRPr="009C63F2">
        <w:rPr>
          <w:rFonts w:ascii="Times New Roman" w:hAnsi="Times New Roman" w:cs="Times New Roman"/>
        </w:rPr>
        <w:t>T</w:t>
      </w:r>
      <w:r w:rsidR="003E03CA" w:rsidRPr="009C63F2">
        <w:rPr>
          <w:rFonts w:ascii="Times New Roman" w:hAnsi="Times New Roman" w:cs="Times New Roman"/>
        </w:rPr>
        <w:t>his leaves</w:t>
      </w:r>
      <w:r w:rsidR="00D10E54" w:rsidRPr="009C63F2">
        <w:rPr>
          <w:rFonts w:ascii="Times New Roman" w:hAnsi="Times New Roman" w:cs="Times New Roman"/>
        </w:rPr>
        <w:t xml:space="preserve"> in</w:t>
      </w:r>
      <w:r w:rsidR="00FB593E" w:rsidRPr="009C63F2">
        <w:rPr>
          <w:rFonts w:ascii="Times New Roman" w:hAnsi="Times New Roman" w:cs="Times New Roman"/>
        </w:rPr>
        <w:t>sufficient</w:t>
      </w:r>
      <w:r w:rsidR="00D10E54" w:rsidRPr="009C63F2">
        <w:rPr>
          <w:rFonts w:ascii="Times New Roman" w:hAnsi="Times New Roman" w:cs="Times New Roman"/>
        </w:rPr>
        <w:t xml:space="preserve"> time</w:t>
      </w:r>
      <w:r w:rsidR="00FB593E" w:rsidRPr="009C63F2">
        <w:rPr>
          <w:rFonts w:ascii="Times New Roman" w:hAnsi="Times New Roman" w:cs="Times New Roman"/>
        </w:rPr>
        <w:t xml:space="preserve"> for </w:t>
      </w:r>
      <w:r>
        <w:rPr>
          <w:rFonts w:ascii="Times New Roman" w:hAnsi="Times New Roman" w:cs="Times New Roman"/>
        </w:rPr>
        <w:t>the submission of</w:t>
      </w:r>
      <w:r w:rsidR="00FB593E" w:rsidRPr="009C63F2">
        <w:rPr>
          <w:rFonts w:ascii="Times New Roman" w:hAnsi="Times New Roman" w:cs="Times New Roman"/>
        </w:rPr>
        <w:t xml:space="preserve"> </w:t>
      </w:r>
      <w:r w:rsidR="00503041" w:rsidRPr="009C63F2">
        <w:rPr>
          <w:rFonts w:ascii="Times New Roman" w:hAnsi="Times New Roman" w:cs="Times New Roman"/>
        </w:rPr>
        <w:t>view</w:t>
      </w:r>
      <w:r>
        <w:rPr>
          <w:rFonts w:ascii="Times New Roman" w:hAnsi="Times New Roman" w:cs="Times New Roman"/>
        </w:rPr>
        <w:t>s and revision</w:t>
      </w:r>
      <w:r w:rsidR="00503041" w:rsidRPr="009C63F2">
        <w:rPr>
          <w:rFonts w:ascii="Times New Roman" w:hAnsi="Times New Roman" w:cs="Times New Roman"/>
        </w:rPr>
        <w:t xml:space="preserve"> of the </w:t>
      </w:r>
      <w:r w:rsidR="00CF00DE" w:rsidRPr="009C63F2">
        <w:rPr>
          <w:rFonts w:ascii="Times New Roman" w:hAnsi="Times New Roman" w:cs="Times New Roman"/>
        </w:rPr>
        <w:t xml:space="preserve">final draft of the </w:t>
      </w:r>
      <w:r w:rsidR="00503041" w:rsidRPr="009C63F2">
        <w:rPr>
          <w:rFonts w:ascii="Times New Roman" w:hAnsi="Times New Roman" w:cs="Times New Roman"/>
        </w:rPr>
        <w:t xml:space="preserve">post-2020 </w:t>
      </w:r>
      <w:r w:rsidR="00A97056">
        <w:rPr>
          <w:rFonts w:ascii="Times New Roman" w:hAnsi="Times New Roman" w:cs="Times New Roman"/>
        </w:rPr>
        <w:t>capacity-building</w:t>
      </w:r>
      <w:r w:rsidR="00503041" w:rsidRPr="009C63F2">
        <w:rPr>
          <w:rFonts w:ascii="Times New Roman" w:hAnsi="Times New Roman" w:cs="Times New Roman"/>
        </w:rPr>
        <w:t xml:space="preserve"> action plan</w:t>
      </w:r>
      <w:r w:rsidR="00D10E54" w:rsidRPr="009C63F2">
        <w:rPr>
          <w:rFonts w:ascii="Times New Roman" w:hAnsi="Times New Roman" w:cs="Times New Roman"/>
        </w:rPr>
        <w:t xml:space="preserve"> </w:t>
      </w:r>
      <w:r>
        <w:rPr>
          <w:rFonts w:ascii="Times New Roman" w:hAnsi="Times New Roman" w:cs="Times New Roman"/>
        </w:rPr>
        <w:t>between</w:t>
      </w:r>
      <w:r w:rsidRPr="009C63F2">
        <w:rPr>
          <w:rFonts w:ascii="Times New Roman" w:hAnsi="Times New Roman" w:cs="Times New Roman"/>
        </w:rPr>
        <w:t xml:space="preserve"> </w:t>
      </w:r>
      <w:r w:rsidR="00D10E54" w:rsidRPr="009C63F2">
        <w:rPr>
          <w:rFonts w:ascii="Times New Roman" w:hAnsi="Times New Roman" w:cs="Times New Roman"/>
        </w:rPr>
        <w:t>the fourteenth meeting of the Liaison Group</w:t>
      </w:r>
      <w:r w:rsidR="0069253A" w:rsidRPr="009C63F2">
        <w:rPr>
          <w:rFonts w:ascii="Times New Roman" w:hAnsi="Times New Roman" w:cs="Times New Roman"/>
        </w:rPr>
        <w:t xml:space="preserve"> </w:t>
      </w:r>
      <w:r w:rsidR="0083445F" w:rsidRPr="009C63F2">
        <w:rPr>
          <w:rFonts w:ascii="Times New Roman" w:hAnsi="Times New Roman" w:cs="Times New Roman"/>
        </w:rPr>
        <w:t xml:space="preserve">and </w:t>
      </w:r>
      <w:r>
        <w:rPr>
          <w:rFonts w:ascii="Times New Roman" w:hAnsi="Times New Roman" w:cs="Times New Roman"/>
        </w:rPr>
        <w:t>the</w:t>
      </w:r>
      <w:r w:rsidR="00FB593E" w:rsidRPr="009C63F2">
        <w:rPr>
          <w:rFonts w:ascii="Times New Roman" w:hAnsi="Times New Roman" w:cs="Times New Roman"/>
        </w:rPr>
        <w:t xml:space="preserve"> third meeting</w:t>
      </w:r>
      <w:r>
        <w:rPr>
          <w:rFonts w:ascii="Times New Roman" w:hAnsi="Times New Roman" w:cs="Times New Roman"/>
        </w:rPr>
        <w:t xml:space="preserve"> of the Subsidiary Body on Implementation</w:t>
      </w:r>
      <w:r w:rsidR="00503041" w:rsidRPr="009C63F2">
        <w:rPr>
          <w:rFonts w:ascii="Times New Roman" w:hAnsi="Times New Roman" w:cs="Times New Roman"/>
        </w:rPr>
        <w:t>.</w:t>
      </w:r>
    </w:p>
    <w:p w14:paraId="058B072B" w14:textId="67BFF41D" w:rsidR="00DF52F3" w:rsidRPr="00A97056" w:rsidRDefault="009C63F2" w:rsidP="002D00B8">
      <w:pPr>
        <w:pStyle w:val="ListParagraph"/>
        <w:numPr>
          <w:ilvl w:val="0"/>
          <w:numId w:val="6"/>
        </w:numPr>
        <w:spacing w:before="120" w:after="120" w:line="240" w:lineRule="auto"/>
        <w:ind w:left="0" w:firstLine="0"/>
        <w:contextualSpacing w:val="0"/>
        <w:jc w:val="both"/>
      </w:pPr>
      <w:r>
        <w:rPr>
          <w:rFonts w:ascii="Times New Roman" w:hAnsi="Times New Roman" w:cs="Times New Roman"/>
        </w:rPr>
        <w:t xml:space="preserve">Accordingly, </w:t>
      </w:r>
      <w:r w:rsidR="00A4325B">
        <w:rPr>
          <w:rFonts w:ascii="Times New Roman" w:hAnsi="Times New Roman" w:cs="Times New Roman"/>
        </w:rPr>
        <w:t>it is intended tha</w:t>
      </w:r>
      <w:r w:rsidR="00AD72B0">
        <w:rPr>
          <w:rFonts w:ascii="Times New Roman" w:hAnsi="Times New Roman" w:cs="Times New Roman"/>
        </w:rPr>
        <w:t>t</w:t>
      </w:r>
      <w:r w:rsidR="00DF52F3">
        <w:rPr>
          <w:rFonts w:ascii="Times New Roman" w:hAnsi="Times New Roman" w:cs="Times New Roman"/>
        </w:rPr>
        <w:t xml:space="preserve"> </w:t>
      </w:r>
      <w:r w:rsidR="005E0E0A" w:rsidRPr="00DF52F3">
        <w:rPr>
          <w:rFonts w:ascii="Times New Roman" w:hAnsi="Times New Roman" w:cs="Times New Roman"/>
        </w:rPr>
        <w:t>the review of the capacity-building action plan</w:t>
      </w:r>
      <w:r w:rsidR="00AD72B0">
        <w:rPr>
          <w:rFonts w:ascii="Times New Roman" w:hAnsi="Times New Roman" w:cs="Times New Roman"/>
        </w:rPr>
        <w:t xml:space="preserve"> be undertaken</w:t>
      </w:r>
      <w:r w:rsidR="005E0E0A" w:rsidRPr="00DF52F3">
        <w:rPr>
          <w:rFonts w:ascii="Times New Roman" w:hAnsi="Times New Roman" w:cs="Times New Roman"/>
        </w:rPr>
        <w:t xml:space="preserve"> </w:t>
      </w:r>
      <w:r w:rsidR="00DF52F3">
        <w:rPr>
          <w:rFonts w:ascii="Times New Roman" w:hAnsi="Times New Roman" w:cs="Times New Roman"/>
        </w:rPr>
        <w:t>at the same time as</w:t>
      </w:r>
      <w:r w:rsidR="00DF52F3" w:rsidRPr="00DF52F3">
        <w:rPr>
          <w:rFonts w:ascii="Times New Roman" w:hAnsi="Times New Roman" w:cs="Times New Roman"/>
        </w:rPr>
        <w:t xml:space="preserve"> </w:t>
      </w:r>
      <w:r w:rsidR="005E0E0A" w:rsidRPr="00DF52F3">
        <w:rPr>
          <w:rFonts w:ascii="Times New Roman" w:hAnsi="Times New Roman" w:cs="Times New Roman"/>
        </w:rPr>
        <w:t>the peer review of the Implementation Plan</w:t>
      </w:r>
      <w:r w:rsidR="00DF52F3">
        <w:rPr>
          <w:rFonts w:ascii="Times New Roman" w:hAnsi="Times New Roman" w:cs="Times New Roman"/>
        </w:rPr>
        <w:t>. With this approach, views on both documents would be invited following the thirteenth meeting of the Liaison Group.</w:t>
      </w:r>
      <w:r w:rsidR="005E0E0A" w:rsidRPr="00DF52F3">
        <w:rPr>
          <w:rFonts w:ascii="Times New Roman" w:hAnsi="Times New Roman" w:cs="Times New Roman"/>
        </w:rPr>
        <w:t xml:space="preserve"> </w:t>
      </w:r>
      <w:r w:rsidR="00DF52F3">
        <w:rPr>
          <w:rFonts w:ascii="Times New Roman" w:hAnsi="Times New Roman" w:cs="Times New Roman"/>
        </w:rPr>
        <w:t>C</w:t>
      </w:r>
      <w:r w:rsidR="005E0E0A" w:rsidRPr="00DF52F3">
        <w:rPr>
          <w:rFonts w:ascii="Times New Roman" w:hAnsi="Times New Roman" w:cs="Times New Roman"/>
        </w:rPr>
        <w:t xml:space="preserve">ombining the </w:t>
      </w:r>
      <w:r w:rsidR="00DF52F3">
        <w:rPr>
          <w:rFonts w:ascii="Times New Roman" w:hAnsi="Times New Roman" w:cs="Times New Roman"/>
        </w:rPr>
        <w:t>review of both the action plan and the Implementation Plan would assist in maintaining complementarity between the two documents and</w:t>
      </w:r>
      <w:r w:rsidR="00DF52F3" w:rsidRPr="00DF52F3">
        <w:rPr>
          <w:rFonts w:ascii="Times New Roman" w:hAnsi="Times New Roman" w:cs="Times New Roman"/>
        </w:rPr>
        <w:t xml:space="preserve"> </w:t>
      </w:r>
      <w:r w:rsidR="00B90376" w:rsidRPr="00DF52F3">
        <w:rPr>
          <w:rFonts w:ascii="Times New Roman" w:hAnsi="Times New Roman" w:cs="Times New Roman"/>
        </w:rPr>
        <w:t xml:space="preserve">ease the burden on Parties and observers </w:t>
      </w:r>
      <w:r w:rsidR="00DF52F3">
        <w:rPr>
          <w:rFonts w:ascii="Times New Roman" w:hAnsi="Times New Roman" w:cs="Times New Roman"/>
        </w:rPr>
        <w:t>in submitting</w:t>
      </w:r>
      <w:r w:rsidR="00B90376" w:rsidRPr="00DF52F3">
        <w:rPr>
          <w:rFonts w:ascii="Times New Roman" w:hAnsi="Times New Roman" w:cs="Times New Roman"/>
        </w:rPr>
        <w:t xml:space="preserve"> their views. </w:t>
      </w:r>
    </w:p>
    <w:p w14:paraId="20C25A55" w14:textId="47CD0166" w:rsidR="00DF52F3" w:rsidRDefault="00DF52F3" w:rsidP="002D00B8">
      <w:pPr>
        <w:pStyle w:val="ListParagraph"/>
        <w:numPr>
          <w:ilvl w:val="0"/>
          <w:numId w:val="6"/>
        </w:numPr>
        <w:spacing w:before="120" w:after="120" w:line="240" w:lineRule="auto"/>
        <w:ind w:left="0" w:firstLine="0"/>
        <w:contextualSpacing w:val="0"/>
        <w:jc w:val="both"/>
        <w:rPr>
          <w:rFonts w:ascii="Times New Roman" w:hAnsi="Times New Roman" w:cs="Times New Roman"/>
        </w:rPr>
      </w:pPr>
      <w:r>
        <w:rPr>
          <w:rFonts w:ascii="Times New Roman" w:hAnsi="Times New Roman" w:cs="Times New Roman"/>
        </w:rPr>
        <w:t xml:space="preserve">The two plans would be revised </w:t>
      </w:r>
      <w:proofErr w:type="gramStart"/>
      <w:r>
        <w:rPr>
          <w:rFonts w:ascii="Times New Roman" w:hAnsi="Times New Roman" w:cs="Times New Roman"/>
        </w:rPr>
        <w:t>in light of</w:t>
      </w:r>
      <w:proofErr w:type="gramEnd"/>
      <w:r>
        <w:rPr>
          <w:rFonts w:ascii="Times New Roman" w:hAnsi="Times New Roman" w:cs="Times New Roman"/>
        </w:rPr>
        <w:t xml:space="preserve"> the submissions received and revised drafts made available for consideration by the Liaison Group at its fourteenth meeting. At that time, the Liaison Group will have information from the fourth national reports on the implementation of the Protocol as well as from the assessment and review of the Protocol and the final evaluation of the Strategic Plan that can also be </w:t>
      </w:r>
      <w:proofErr w:type="gramStart"/>
      <w:r>
        <w:rPr>
          <w:rFonts w:ascii="Times New Roman" w:hAnsi="Times New Roman" w:cs="Times New Roman"/>
        </w:rPr>
        <w:t>taken into account</w:t>
      </w:r>
      <w:proofErr w:type="gramEnd"/>
      <w:r>
        <w:rPr>
          <w:rFonts w:ascii="Times New Roman" w:hAnsi="Times New Roman" w:cs="Times New Roman"/>
        </w:rPr>
        <w:t>.</w:t>
      </w:r>
    </w:p>
    <w:p w14:paraId="50CD8CAA" w14:textId="77777777" w:rsidR="00BE355C" w:rsidRPr="004F623E" w:rsidRDefault="00BE355C" w:rsidP="002D00B8">
      <w:pPr>
        <w:spacing w:before="120" w:after="120"/>
        <w:rPr>
          <w:rFonts w:eastAsiaTheme="minorEastAsia"/>
          <w:szCs w:val="22"/>
          <w:lang w:val="en-CA" w:eastAsia="ja-JP"/>
        </w:rPr>
      </w:pPr>
    </w:p>
    <w:p w14:paraId="6D92D178" w14:textId="347AEC3E" w:rsidR="00EC5718" w:rsidRPr="004F623E" w:rsidRDefault="00EC5718" w:rsidP="002D00B8">
      <w:pPr>
        <w:kinsoku w:val="0"/>
        <w:overflowPunct w:val="0"/>
        <w:autoSpaceDE w:val="0"/>
        <w:autoSpaceDN w:val="0"/>
        <w:spacing w:before="120" w:after="120"/>
        <w:rPr>
          <w:kern w:val="22"/>
        </w:rPr>
      </w:pPr>
    </w:p>
    <w:p w14:paraId="4CB119FD" w14:textId="77777777" w:rsidR="00CC02A3" w:rsidRPr="004F623E" w:rsidRDefault="00CC02A3" w:rsidP="002D00B8">
      <w:pPr>
        <w:spacing w:before="120" w:after="120"/>
        <w:jc w:val="left"/>
        <w:rPr>
          <w:kern w:val="22"/>
        </w:rPr>
        <w:sectPr w:rsidR="00CC02A3" w:rsidRPr="004F623E" w:rsidSect="00000FC1">
          <w:headerReference w:type="even" r:id="rId14"/>
          <w:headerReference w:type="default" r:id="rId15"/>
          <w:pgSz w:w="12240" w:h="15840"/>
          <w:pgMar w:top="567" w:right="1389" w:bottom="1134" w:left="1389" w:header="709" w:footer="709" w:gutter="0"/>
          <w:cols w:space="708"/>
          <w:titlePg/>
          <w:docGrid w:linePitch="360"/>
        </w:sectPr>
      </w:pPr>
    </w:p>
    <w:p w14:paraId="6C56F89C" w14:textId="6572EC6B" w:rsidR="00A8120A" w:rsidRPr="008A77E5" w:rsidRDefault="00A8120A" w:rsidP="00A8120A">
      <w:pPr>
        <w:kinsoku w:val="0"/>
        <w:overflowPunct w:val="0"/>
        <w:autoSpaceDE w:val="0"/>
        <w:autoSpaceDN w:val="0"/>
        <w:jc w:val="center"/>
        <w:rPr>
          <w:i/>
          <w:kern w:val="22"/>
        </w:rPr>
      </w:pPr>
      <w:r w:rsidRPr="008A77E5">
        <w:rPr>
          <w:i/>
          <w:kern w:val="22"/>
        </w:rPr>
        <w:t>Annex</w:t>
      </w:r>
    </w:p>
    <w:p w14:paraId="2B67B6BA" w14:textId="1CF529CF" w:rsidR="00A8120A" w:rsidRPr="008A77E5" w:rsidRDefault="005F272B" w:rsidP="00A8120A">
      <w:pPr>
        <w:kinsoku w:val="0"/>
        <w:overflowPunct w:val="0"/>
        <w:autoSpaceDE w:val="0"/>
        <w:autoSpaceDN w:val="0"/>
        <w:jc w:val="center"/>
        <w:rPr>
          <w:i/>
          <w:kern w:val="22"/>
        </w:rPr>
      </w:pPr>
      <w:r w:rsidRPr="008A77E5">
        <w:rPr>
          <w:i/>
          <w:kern w:val="22"/>
        </w:rPr>
        <w:t>Draft post-2020 capacity-building action-plan</w:t>
      </w:r>
    </w:p>
    <w:p w14:paraId="50B6871B" w14:textId="2D80C115" w:rsidR="005F272B" w:rsidRPr="008A77E5" w:rsidRDefault="005F272B" w:rsidP="002D00B8">
      <w:pPr>
        <w:pStyle w:val="Heading1"/>
      </w:pPr>
      <w:r w:rsidRPr="008A77E5">
        <w:t>Action plan for capacity-building for the implementation of the Cartagena Protocol and its Supplementary Protocol (2021-2030)</w:t>
      </w:r>
    </w:p>
    <w:p w14:paraId="30CF2FE5" w14:textId="11390B48" w:rsidR="00A8120A" w:rsidRPr="00A15F2E" w:rsidRDefault="005F272B" w:rsidP="005F272B">
      <w:pPr>
        <w:kinsoku w:val="0"/>
        <w:overflowPunct w:val="0"/>
        <w:autoSpaceDE w:val="0"/>
        <w:autoSpaceDN w:val="0"/>
        <w:ind w:firstLine="720"/>
        <w:rPr>
          <w:i/>
          <w:kern w:val="22"/>
        </w:rPr>
      </w:pPr>
      <w:r w:rsidRPr="00A15F2E">
        <w:rPr>
          <w:i/>
          <w:kern w:val="22"/>
        </w:rPr>
        <w:t>{Narrative c</w:t>
      </w:r>
      <w:r w:rsidR="00A8120A" w:rsidRPr="00A15F2E">
        <w:rPr>
          <w:i/>
          <w:kern w:val="22"/>
        </w:rPr>
        <w:t>hapea</w:t>
      </w:r>
      <w:r w:rsidRPr="00A15F2E">
        <w:rPr>
          <w:i/>
          <w:kern w:val="22"/>
        </w:rPr>
        <w:t>u to the table that could address:</w:t>
      </w:r>
    </w:p>
    <w:p w14:paraId="547283E6" w14:textId="6A5D9D35" w:rsidR="005F272B" w:rsidRPr="00A15F2E" w:rsidRDefault="005F272B" w:rsidP="005F272B">
      <w:pPr>
        <w:pStyle w:val="ListParagraph"/>
        <w:kinsoku w:val="0"/>
        <w:overflowPunct w:val="0"/>
        <w:autoSpaceDE w:val="0"/>
        <w:autoSpaceDN w:val="0"/>
        <w:ind w:left="2340"/>
        <w:rPr>
          <w:i/>
          <w:kern w:val="22"/>
        </w:rPr>
      </w:pPr>
    </w:p>
    <w:p w14:paraId="2D71588E" w14:textId="7E00CAA0" w:rsidR="008A77E5" w:rsidRPr="00A15F2E" w:rsidRDefault="008A77E5" w:rsidP="008A77E5">
      <w:pPr>
        <w:pStyle w:val="ListParagraph"/>
        <w:numPr>
          <w:ilvl w:val="2"/>
          <w:numId w:val="16"/>
        </w:numPr>
        <w:rPr>
          <w:rFonts w:ascii="Times" w:hAnsi="Times" w:cs="Times"/>
          <w:i/>
        </w:rPr>
      </w:pPr>
      <w:r w:rsidRPr="00A15F2E">
        <w:rPr>
          <w:rFonts w:ascii="Times" w:hAnsi="Times" w:cs="Times"/>
          <w:i/>
        </w:rPr>
        <w:t>The relationship between the action plan for capacity-building and the Implementation Plan;</w:t>
      </w:r>
    </w:p>
    <w:p w14:paraId="705F0917" w14:textId="71455FFD" w:rsidR="008A77E5" w:rsidRPr="00A15F2E" w:rsidRDefault="008A77E5" w:rsidP="008A77E5">
      <w:pPr>
        <w:pStyle w:val="ListParagraph"/>
        <w:numPr>
          <w:ilvl w:val="2"/>
          <w:numId w:val="16"/>
        </w:numPr>
        <w:rPr>
          <w:rFonts w:ascii="Times" w:hAnsi="Times" w:cs="Times"/>
          <w:i/>
        </w:rPr>
      </w:pPr>
      <w:r w:rsidRPr="00A15F2E">
        <w:rPr>
          <w:rFonts w:ascii="Times" w:hAnsi="Times" w:cs="Times"/>
          <w:i/>
        </w:rPr>
        <w:t>The relationship between the action plan for capacity-building and the long-term strategic framework for capacity-building beyond 2020</w:t>
      </w:r>
    </w:p>
    <w:p w14:paraId="6666C6D0" w14:textId="77777777" w:rsidR="00967201" w:rsidRPr="00A15F2E" w:rsidRDefault="00A432DA" w:rsidP="005F272B">
      <w:pPr>
        <w:pStyle w:val="ListParagraph"/>
        <w:numPr>
          <w:ilvl w:val="2"/>
          <w:numId w:val="16"/>
        </w:numPr>
        <w:kinsoku w:val="0"/>
        <w:overflowPunct w:val="0"/>
        <w:autoSpaceDE w:val="0"/>
        <w:autoSpaceDN w:val="0"/>
        <w:rPr>
          <w:i/>
          <w:kern w:val="22"/>
        </w:rPr>
      </w:pPr>
      <w:r w:rsidRPr="00A15F2E">
        <w:rPr>
          <w:rFonts w:ascii="Times New Roman" w:hAnsi="Times New Roman" w:cs="Times New Roman"/>
          <w:i/>
        </w:rPr>
        <w:t xml:space="preserve">Linkage between goals and objectives of the Implementation Plan and the capacity-building activities </w:t>
      </w:r>
      <w:r w:rsidR="008A77E5" w:rsidRPr="00A15F2E">
        <w:rPr>
          <w:rFonts w:ascii="Times New Roman" w:hAnsi="Times New Roman" w:cs="Times New Roman"/>
          <w:i/>
        </w:rPr>
        <w:t xml:space="preserve"> </w:t>
      </w:r>
    </w:p>
    <w:p w14:paraId="09044B0D" w14:textId="05D0C636" w:rsidR="00967201" w:rsidRPr="00A15F2E" w:rsidRDefault="008A77E5" w:rsidP="005F272B">
      <w:pPr>
        <w:pStyle w:val="ListParagraph"/>
        <w:numPr>
          <w:ilvl w:val="2"/>
          <w:numId w:val="16"/>
        </w:numPr>
        <w:kinsoku w:val="0"/>
        <w:overflowPunct w:val="0"/>
        <w:autoSpaceDE w:val="0"/>
        <w:autoSpaceDN w:val="0"/>
        <w:rPr>
          <w:i/>
          <w:kern w:val="22"/>
        </w:rPr>
      </w:pPr>
      <w:r w:rsidRPr="00A15F2E">
        <w:rPr>
          <w:rFonts w:ascii="Times New Roman" w:hAnsi="Times New Roman" w:cs="Times New Roman"/>
          <w:i/>
        </w:rPr>
        <w:t>resources for implementation</w:t>
      </w:r>
      <w:r w:rsidR="00967201" w:rsidRPr="00A15F2E">
        <w:rPr>
          <w:rFonts w:ascii="Times New Roman" w:hAnsi="Times New Roman" w:cs="Times New Roman"/>
          <w:i/>
        </w:rPr>
        <w:t>;</w:t>
      </w:r>
    </w:p>
    <w:p w14:paraId="196B1102" w14:textId="5A21EF8C" w:rsidR="005F272B" w:rsidRPr="00A15F2E" w:rsidRDefault="008A77E5" w:rsidP="005F272B">
      <w:pPr>
        <w:pStyle w:val="ListParagraph"/>
        <w:numPr>
          <w:ilvl w:val="2"/>
          <w:numId w:val="16"/>
        </w:numPr>
        <w:kinsoku w:val="0"/>
        <w:overflowPunct w:val="0"/>
        <w:autoSpaceDE w:val="0"/>
        <w:autoSpaceDN w:val="0"/>
        <w:rPr>
          <w:i/>
          <w:kern w:val="22"/>
        </w:rPr>
      </w:pPr>
      <w:r w:rsidRPr="00A15F2E">
        <w:rPr>
          <w:rFonts w:ascii="Times New Roman" w:hAnsi="Times New Roman" w:cs="Times New Roman"/>
          <w:i/>
        </w:rPr>
        <w:t>monitoring and evaluation</w:t>
      </w:r>
      <w:r w:rsidR="00C8196F" w:rsidRPr="00A15F2E">
        <w:rPr>
          <w:rFonts w:ascii="Times New Roman" w:hAnsi="Times New Roman" w:cs="Times New Roman"/>
          <w:i/>
        </w:rPr>
        <w:t>}</w:t>
      </w:r>
    </w:p>
    <w:tbl>
      <w:tblPr>
        <w:tblStyle w:val="TableGrid"/>
        <w:tblW w:w="0" w:type="auto"/>
        <w:tblLook w:val="04A0" w:firstRow="1" w:lastRow="0" w:firstColumn="1" w:lastColumn="0" w:noHBand="0" w:noVBand="1"/>
      </w:tblPr>
      <w:tblGrid>
        <w:gridCol w:w="2580"/>
        <w:gridCol w:w="2524"/>
        <w:gridCol w:w="2971"/>
        <w:gridCol w:w="5690"/>
      </w:tblGrid>
      <w:tr w:rsidR="00A8120A" w:rsidRPr="00F606DC" w14:paraId="2979C31B" w14:textId="77777777" w:rsidTr="002D00B8">
        <w:trPr>
          <w:trHeight w:val="312"/>
          <w:tblHeader/>
        </w:trPr>
        <w:tc>
          <w:tcPr>
            <w:tcW w:w="8075" w:type="dxa"/>
            <w:gridSpan w:val="3"/>
          </w:tcPr>
          <w:p w14:paraId="174E0853" w14:textId="77777777" w:rsidR="00A8120A" w:rsidRPr="00F606DC" w:rsidRDefault="00A8120A" w:rsidP="007F721B">
            <w:pPr>
              <w:kinsoku w:val="0"/>
              <w:overflowPunct w:val="0"/>
              <w:autoSpaceDE w:val="0"/>
              <w:autoSpaceDN w:val="0"/>
              <w:jc w:val="center"/>
              <w:rPr>
                <w:b/>
                <w:kern w:val="22"/>
              </w:rPr>
            </w:pPr>
            <w:r w:rsidRPr="003D03C4">
              <w:rPr>
                <w:b/>
                <w:kern w:val="22"/>
              </w:rPr>
              <w:t>Draft Implementation Plan</w:t>
            </w:r>
            <w:r>
              <w:rPr>
                <w:b/>
                <w:kern w:val="22"/>
              </w:rPr>
              <w:t>*</w:t>
            </w:r>
            <w:r w:rsidRPr="00F606DC">
              <w:rPr>
                <w:b/>
                <w:kern w:val="22"/>
              </w:rPr>
              <w:t xml:space="preserve"> </w:t>
            </w:r>
          </w:p>
        </w:tc>
        <w:tc>
          <w:tcPr>
            <w:tcW w:w="5690" w:type="dxa"/>
          </w:tcPr>
          <w:p w14:paraId="104E5E06" w14:textId="453EBA10" w:rsidR="00A8120A" w:rsidRPr="00F606DC" w:rsidRDefault="00A97056" w:rsidP="00A97056">
            <w:pPr>
              <w:kinsoku w:val="0"/>
              <w:overflowPunct w:val="0"/>
              <w:autoSpaceDE w:val="0"/>
              <w:autoSpaceDN w:val="0"/>
              <w:jc w:val="center"/>
              <w:rPr>
                <w:b/>
                <w:kern w:val="22"/>
              </w:rPr>
            </w:pPr>
            <w:r>
              <w:rPr>
                <w:b/>
                <w:kern w:val="22"/>
              </w:rPr>
              <w:t>Capacity-building</w:t>
            </w:r>
            <w:r w:rsidR="00A8120A" w:rsidRPr="00F606DC">
              <w:rPr>
                <w:b/>
                <w:kern w:val="22"/>
              </w:rPr>
              <w:t xml:space="preserve"> </w:t>
            </w:r>
            <w:r w:rsidR="00A8120A" w:rsidRPr="00C4446B">
              <w:rPr>
                <w:b/>
                <w:kern w:val="22"/>
              </w:rPr>
              <w:t>activity</w:t>
            </w:r>
            <w:r w:rsidR="00A8120A" w:rsidRPr="00F606DC">
              <w:rPr>
                <w:i/>
                <w:kern w:val="22"/>
                <w:sz w:val="20"/>
                <w:szCs w:val="20"/>
              </w:rPr>
              <w:t xml:space="preserve"> </w:t>
            </w:r>
          </w:p>
        </w:tc>
      </w:tr>
      <w:tr w:rsidR="00A8120A" w:rsidRPr="00F606DC" w14:paraId="1A61C93C" w14:textId="77777777" w:rsidTr="002D00B8">
        <w:trPr>
          <w:trHeight w:val="312"/>
          <w:tblHeader/>
        </w:trPr>
        <w:tc>
          <w:tcPr>
            <w:tcW w:w="2580" w:type="dxa"/>
          </w:tcPr>
          <w:p w14:paraId="3F3E9BC1" w14:textId="77777777" w:rsidR="00A8120A" w:rsidRPr="00F606DC" w:rsidRDefault="00A8120A" w:rsidP="007F721B">
            <w:pPr>
              <w:kinsoku w:val="0"/>
              <w:overflowPunct w:val="0"/>
              <w:autoSpaceDE w:val="0"/>
              <w:autoSpaceDN w:val="0"/>
              <w:jc w:val="center"/>
              <w:rPr>
                <w:b/>
                <w:kern w:val="22"/>
              </w:rPr>
            </w:pPr>
          </w:p>
        </w:tc>
        <w:tc>
          <w:tcPr>
            <w:tcW w:w="2524" w:type="dxa"/>
          </w:tcPr>
          <w:p w14:paraId="5FEA16C0" w14:textId="77777777" w:rsidR="00A8120A" w:rsidRPr="00F606DC" w:rsidRDefault="00A8120A" w:rsidP="007F721B">
            <w:pPr>
              <w:kinsoku w:val="0"/>
              <w:overflowPunct w:val="0"/>
              <w:autoSpaceDE w:val="0"/>
              <w:autoSpaceDN w:val="0"/>
              <w:jc w:val="center"/>
              <w:rPr>
                <w:b/>
                <w:kern w:val="22"/>
              </w:rPr>
            </w:pPr>
            <w:r>
              <w:rPr>
                <w:b/>
                <w:kern w:val="22"/>
              </w:rPr>
              <w:t>Goals</w:t>
            </w:r>
          </w:p>
        </w:tc>
        <w:tc>
          <w:tcPr>
            <w:tcW w:w="2971" w:type="dxa"/>
          </w:tcPr>
          <w:p w14:paraId="3277A336" w14:textId="77777777" w:rsidR="00A8120A" w:rsidRPr="00F606DC" w:rsidRDefault="00A8120A" w:rsidP="007F721B">
            <w:pPr>
              <w:kinsoku w:val="0"/>
              <w:overflowPunct w:val="0"/>
              <w:autoSpaceDE w:val="0"/>
              <w:autoSpaceDN w:val="0"/>
              <w:jc w:val="center"/>
              <w:rPr>
                <w:b/>
                <w:kern w:val="22"/>
              </w:rPr>
            </w:pPr>
            <w:r>
              <w:rPr>
                <w:b/>
                <w:kern w:val="22"/>
              </w:rPr>
              <w:t>Objectives</w:t>
            </w:r>
          </w:p>
        </w:tc>
        <w:tc>
          <w:tcPr>
            <w:tcW w:w="5690" w:type="dxa"/>
          </w:tcPr>
          <w:p w14:paraId="32BD11D4" w14:textId="77777777" w:rsidR="00A8120A" w:rsidRPr="00F606DC" w:rsidRDefault="00A8120A" w:rsidP="007F721B">
            <w:pPr>
              <w:kinsoku w:val="0"/>
              <w:overflowPunct w:val="0"/>
              <w:autoSpaceDE w:val="0"/>
              <w:autoSpaceDN w:val="0"/>
              <w:jc w:val="center"/>
              <w:rPr>
                <w:b/>
                <w:kern w:val="22"/>
              </w:rPr>
            </w:pPr>
          </w:p>
        </w:tc>
      </w:tr>
      <w:tr w:rsidR="00A8120A" w:rsidRPr="00F606DC" w14:paraId="18FC563C" w14:textId="77777777" w:rsidTr="002D00B8">
        <w:trPr>
          <w:trHeight w:val="1707"/>
        </w:trPr>
        <w:tc>
          <w:tcPr>
            <w:tcW w:w="2580" w:type="dxa"/>
            <w:vMerge w:val="restart"/>
            <w:noWrap/>
          </w:tcPr>
          <w:p w14:paraId="3471C6C2" w14:textId="77777777" w:rsidR="00A8120A" w:rsidRPr="00F606DC" w:rsidRDefault="00A8120A" w:rsidP="002D00B8">
            <w:pPr>
              <w:kinsoku w:val="0"/>
              <w:overflowPunct w:val="0"/>
              <w:autoSpaceDE w:val="0"/>
              <w:autoSpaceDN w:val="0"/>
              <w:jc w:val="left"/>
              <w:rPr>
                <w:b/>
                <w:bCs/>
                <w:color w:val="A6A6A6"/>
                <w:kern w:val="22"/>
                <w:lang w:val="en-US"/>
              </w:rPr>
            </w:pPr>
            <w:r w:rsidRPr="00F606DC">
              <w:rPr>
                <w:b/>
                <w:bCs/>
                <w:color w:val="000000"/>
                <w:lang w:val="en-CA" w:eastAsia="en-CA"/>
              </w:rPr>
              <w:t>A. Areas for implementation</w:t>
            </w:r>
          </w:p>
        </w:tc>
        <w:tc>
          <w:tcPr>
            <w:tcW w:w="2524" w:type="dxa"/>
            <w:vMerge w:val="restart"/>
          </w:tcPr>
          <w:p w14:paraId="0BE2D0A7" w14:textId="111B23FD" w:rsidR="00A8120A" w:rsidRPr="00F606DC" w:rsidRDefault="001A762A" w:rsidP="002D00B8">
            <w:pPr>
              <w:kinsoku w:val="0"/>
              <w:overflowPunct w:val="0"/>
              <w:autoSpaceDE w:val="0"/>
              <w:autoSpaceDN w:val="0"/>
              <w:jc w:val="left"/>
              <w:rPr>
                <w:color w:val="A6A6A6"/>
                <w:kern w:val="22"/>
              </w:rPr>
            </w:pPr>
            <w:r>
              <w:rPr>
                <w:color w:val="000000"/>
                <w:lang w:val="en-CA" w:eastAsia="en-CA"/>
              </w:rPr>
              <w:t>A.</w:t>
            </w:r>
            <w:r w:rsidR="00A8120A" w:rsidRPr="00F606DC">
              <w:rPr>
                <w:color w:val="000000"/>
                <w:lang w:val="en-CA" w:eastAsia="en-CA"/>
              </w:rPr>
              <w:t>1. Parties have in place functional national biosafety frameworks</w:t>
            </w:r>
          </w:p>
        </w:tc>
        <w:tc>
          <w:tcPr>
            <w:tcW w:w="2971" w:type="dxa"/>
          </w:tcPr>
          <w:p w14:paraId="176B57C9" w14:textId="5CAB7EFE" w:rsidR="00A8120A" w:rsidRPr="00F606DC" w:rsidRDefault="001A762A" w:rsidP="002D00B8">
            <w:pPr>
              <w:kinsoku w:val="0"/>
              <w:overflowPunct w:val="0"/>
              <w:autoSpaceDE w:val="0"/>
              <w:autoSpaceDN w:val="0"/>
              <w:jc w:val="left"/>
              <w:rPr>
                <w:color w:val="A6A6A6"/>
                <w:kern w:val="22"/>
              </w:rPr>
            </w:pPr>
            <w:r>
              <w:rPr>
                <w:lang w:val="en-CA" w:eastAsia="en-CA"/>
              </w:rPr>
              <w:t>A.</w:t>
            </w:r>
            <w:r w:rsidR="00A8120A" w:rsidRPr="00F606DC">
              <w:rPr>
                <w:lang w:val="en-CA" w:eastAsia="en-CA"/>
              </w:rPr>
              <w:t xml:space="preserve">1.1. </w:t>
            </w:r>
            <w:r w:rsidR="00A8120A" w:rsidRPr="00714FDE">
              <w:rPr>
                <w:lang w:val="en-CA" w:eastAsia="en-CA"/>
              </w:rPr>
              <w:t xml:space="preserve">Parties to the Cartagena Protocol have adopted </w:t>
            </w:r>
            <w:r w:rsidR="00A8120A" w:rsidRPr="004F11C8">
              <w:rPr>
                <w:lang w:val="en-CA" w:eastAsia="en-CA"/>
              </w:rPr>
              <w:t xml:space="preserve">and implemented legal, administrative and other </w:t>
            </w:r>
            <w:r w:rsidR="00A8120A" w:rsidRPr="00714FDE">
              <w:rPr>
                <w:lang w:val="en-CA" w:eastAsia="en-CA"/>
              </w:rPr>
              <w:t xml:space="preserve">measures to </w:t>
            </w:r>
            <w:r w:rsidR="00A8120A" w:rsidRPr="004F11C8">
              <w:rPr>
                <w:lang w:val="en-CA" w:eastAsia="en-CA"/>
              </w:rPr>
              <w:t>fulfill</w:t>
            </w:r>
            <w:r w:rsidR="00A8120A" w:rsidRPr="00714FDE">
              <w:rPr>
                <w:lang w:val="en-CA" w:eastAsia="en-CA"/>
              </w:rPr>
              <w:t xml:space="preserve"> </w:t>
            </w:r>
            <w:r w:rsidR="00A8120A" w:rsidRPr="00627427">
              <w:rPr>
                <w:lang w:val="en-CA" w:eastAsia="en-CA"/>
              </w:rPr>
              <w:t>their obligations under the Protocol</w:t>
            </w:r>
          </w:p>
        </w:tc>
        <w:tc>
          <w:tcPr>
            <w:tcW w:w="5690" w:type="dxa"/>
            <w:vMerge w:val="restart"/>
          </w:tcPr>
          <w:p w14:paraId="1BA31415" w14:textId="1274CCC9" w:rsidR="00EA6E1C" w:rsidRDefault="00EA6E1C" w:rsidP="002D00B8">
            <w:pPr>
              <w:kinsoku w:val="0"/>
              <w:overflowPunct w:val="0"/>
              <w:autoSpaceDE w:val="0"/>
              <w:autoSpaceDN w:val="0"/>
              <w:jc w:val="left"/>
              <w:rPr>
                <w:kern w:val="22"/>
              </w:rPr>
            </w:pPr>
            <w:r w:rsidRPr="006C30E0">
              <w:rPr>
                <w:b/>
              </w:rPr>
              <w:t>CB activities under goal A.1:</w:t>
            </w:r>
          </w:p>
          <w:p w14:paraId="5F795D06" w14:textId="410D911A" w:rsidR="00A8120A" w:rsidRPr="00F606DC" w:rsidRDefault="00EA6E1C" w:rsidP="002D00B8">
            <w:pPr>
              <w:kinsoku w:val="0"/>
              <w:overflowPunct w:val="0"/>
              <w:autoSpaceDE w:val="0"/>
              <w:autoSpaceDN w:val="0"/>
              <w:spacing w:before="60"/>
              <w:jc w:val="left"/>
              <w:rPr>
                <w:kern w:val="22"/>
              </w:rPr>
            </w:pPr>
            <w:r>
              <w:rPr>
                <w:kern w:val="22"/>
              </w:rPr>
              <w:t>1</w:t>
            </w:r>
            <w:r w:rsidR="00A8120A" w:rsidRPr="00F606DC">
              <w:rPr>
                <w:kern w:val="22"/>
              </w:rPr>
              <w:t xml:space="preserve">. </w:t>
            </w:r>
            <w:r w:rsidR="00313A60">
              <w:rPr>
                <w:kern w:val="22"/>
              </w:rPr>
              <w:t>Strengthen capacities for d</w:t>
            </w:r>
            <w:r w:rsidR="00A8120A" w:rsidRPr="00F606DC">
              <w:rPr>
                <w:kern w:val="22"/>
              </w:rPr>
              <w:t>evelop</w:t>
            </w:r>
            <w:r w:rsidR="006A458A">
              <w:rPr>
                <w:kern w:val="22"/>
              </w:rPr>
              <w:t>ing</w:t>
            </w:r>
            <w:r w:rsidR="00A8120A">
              <w:rPr>
                <w:kern w:val="22"/>
              </w:rPr>
              <w:t>, adopt</w:t>
            </w:r>
            <w:r w:rsidR="006A458A">
              <w:rPr>
                <w:kern w:val="22"/>
              </w:rPr>
              <w:t>ing</w:t>
            </w:r>
            <w:r w:rsidR="00A8120A" w:rsidRPr="00F606DC">
              <w:rPr>
                <w:kern w:val="22"/>
              </w:rPr>
              <w:t xml:space="preserve"> and implement</w:t>
            </w:r>
            <w:r w:rsidR="00313A60">
              <w:rPr>
                <w:kern w:val="22"/>
              </w:rPr>
              <w:t>ing</w:t>
            </w:r>
            <w:r w:rsidR="00A8120A" w:rsidRPr="00F606DC">
              <w:rPr>
                <w:kern w:val="22"/>
              </w:rPr>
              <w:t xml:space="preserve"> </w:t>
            </w:r>
            <w:r w:rsidR="00A8120A">
              <w:rPr>
                <w:kern w:val="22"/>
              </w:rPr>
              <w:t>domestic</w:t>
            </w:r>
            <w:r w:rsidR="00A8120A" w:rsidRPr="00F606DC">
              <w:rPr>
                <w:kern w:val="22"/>
              </w:rPr>
              <w:t xml:space="preserve"> </w:t>
            </w:r>
            <w:r w:rsidR="00A8120A">
              <w:rPr>
                <w:kern w:val="22"/>
              </w:rPr>
              <w:t>legal, administrative and other measures to fully implement the Protocol, including by mainstreaming biosafety into relevant legislation, policies, programmes and plans</w:t>
            </w:r>
          </w:p>
          <w:p w14:paraId="6F39D70F" w14:textId="40846EAF" w:rsidR="00A8120A" w:rsidRPr="00F606DC" w:rsidRDefault="00EA6E1C" w:rsidP="002D00B8">
            <w:pPr>
              <w:kinsoku w:val="0"/>
              <w:overflowPunct w:val="0"/>
              <w:autoSpaceDE w:val="0"/>
              <w:autoSpaceDN w:val="0"/>
              <w:spacing w:before="60"/>
              <w:jc w:val="left"/>
              <w:rPr>
                <w:kern w:val="22"/>
              </w:rPr>
            </w:pPr>
            <w:r>
              <w:rPr>
                <w:kern w:val="22"/>
              </w:rPr>
              <w:t>2</w:t>
            </w:r>
            <w:r w:rsidR="00F91C27">
              <w:rPr>
                <w:kern w:val="22"/>
              </w:rPr>
              <w:t>.</w:t>
            </w:r>
            <w:r w:rsidR="00A8120A">
              <w:rPr>
                <w:kern w:val="22"/>
              </w:rPr>
              <w:t xml:space="preserve"> </w:t>
            </w:r>
            <w:r w:rsidR="003E1E4B">
              <w:rPr>
                <w:kern w:val="22"/>
              </w:rPr>
              <w:t>T</w:t>
            </w:r>
            <w:r w:rsidR="00A8120A">
              <w:rPr>
                <w:kern w:val="22"/>
              </w:rPr>
              <w:t xml:space="preserve">raining, information exchange and access to </w:t>
            </w:r>
            <w:proofErr w:type="gramStart"/>
            <w:r w:rsidR="00A8120A">
              <w:rPr>
                <w:kern w:val="22"/>
              </w:rPr>
              <w:t>sufficient</w:t>
            </w:r>
            <w:proofErr w:type="gramEnd"/>
            <w:r w:rsidR="00A8120A">
              <w:rPr>
                <w:kern w:val="22"/>
              </w:rPr>
              <w:t xml:space="preserve"> resources</w:t>
            </w:r>
            <w:r w:rsidR="003E1E4B">
              <w:rPr>
                <w:kern w:val="22"/>
              </w:rPr>
              <w:t xml:space="preserve"> for competent national authorities </w:t>
            </w:r>
            <w:r w:rsidR="0062645F">
              <w:rPr>
                <w:kern w:val="22"/>
              </w:rPr>
              <w:t xml:space="preserve">to discharge their functions under the Protocol </w:t>
            </w:r>
          </w:p>
        </w:tc>
      </w:tr>
      <w:tr w:rsidR="00A8120A" w:rsidRPr="00F606DC" w14:paraId="267F1A22" w14:textId="77777777" w:rsidTr="002D00B8">
        <w:trPr>
          <w:trHeight w:val="1341"/>
        </w:trPr>
        <w:tc>
          <w:tcPr>
            <w:tcW w:w="2580" w:type="dxa"/>
            <w:vMerge/>
            <w:vAlign w:val="center"/>
          </w:tcPr>
          <w:p w14:paraId="2384F1F9" w14:textId="77777777" w:rsidR="00A8120A" w:rsidRPr="00F606DC" w:rsidRDefault="00A8120A" w:rsidP="007F721B">
            <w:pPr>
              <w:kinsoku w:val="0"/>
              <w:overflowPunct w:val="0"/>
              <w:autoSpaceDE w:val="0"/>
              <w:autoSpaceDN w:val="0"/>
              <w:rPr>
                <w:b/>
                <w:bCs/>
                <w:color w:val="A6A6A6"/>
                <w:kern w:val="22"/>
              </w:rPr>
            </w:pPr>
          </w:p>
        </w:tc>
        <w:tc>
          <w:tcPr>
            <w:tcW w:w="2524" w:type="dxa"/>
            <w:vMerge/>
            <w:vAlign w:val="center"/>
          </w:tcPr>
          <w:p w14:paraId="3E439D72" w14:textId="77777777" w:rsidR="00A8120A" w:rsidRPr="00F606DC" w:rsidRDefault="00A8120A" w:rsidP="007F721B">
            <w:pPr>
              <w:kinsoku w:val="0"/>
              <w:overflowPunct w:val="0"/>
              <w:autoSpaceDE w:val="0"/>
              <w:autoSpaceDN w:val="0"/>
              <w:rPr>
                <w:color w:val="A6A6A6"/>
                <w:kern w:val="22"/>
              </w:rPr>
            </w:pPr>
          </w:p>
        </w:tc>
        <w:tc>
          <w:tcPr>
            <w:tcW w:w="2971" w:type="dxa"/>
          </w:tcPr>
          <w:p w14:paraId="42FBFCE6" w14:textId="60D67658" w:rsidR="00A8120A" w:rsidRPr="00F606DC" w:rsidRDefault="001A762A" w:rsidP="002D00B8">
            <w:pPr>
              <w:kinsoku w:val="0"/>
              <w:overflowPunct w:val="0"/>
              <w:autoSpaceDE w:val="0"/>
              <w:autoSpaceDN w:val="0"/>
              <w:jc w:val="left"/>
              <w:rPr>
                <w:color w:val="A6A6A6"/>
                <w:kern w:val="22"/>
              </w:rPr>
            </w:pPr>
            <w:r>
              <w:rPr>
                <w:lang w:val="en-CA" w:eastAsia="en-CA"/>
              </w:rPr>
              <w:t>A.</w:t>
            </w:r>
            <w:r w:rsidR="00A8120A" w:rsidRPr="00F606DC">
              <w:rPr>
                <w:lang w:val="en-CA" w:eastAsia="en-CA"/>
              </w:rPr>
              <w:t>1.2. Parties have mainstreamed biosafety in national strategies, action plans, programmes, policies or legislation</w:t>
            </w:r>
          </w:p>
        </w:tc>
        <w:tc>
          <w:tcPr>
            <w:tcW w:w="5690" w:type="dxa"/>
            <w:vMerge/>
          </w:tcPr>
          <w:p w14:paraId="5821DF44" w14:textId="77777777" w:rsidR="00A8120A" w:rsidRPr="00F606DC" w:rsidRDefault="00A8120A" w:rsidP="007F721B">
            <w:pPr>
              <w:kinsoku w:val="0"/>
              <w:overflowPunct w:val="0"/>
              <w:autoSpaceDE w:val="0"/>
              <w:autoSpaceDN w:val="0"/>
              <w:rPr>
                <w:kern w:val="22"/>
              </w:rPr>
            </w:pPr>
          </w:p>
        </w:tc>
      </w:tr>
      <w:tr w:rsidR="00A8120A" w:rsidRPr="00F606DC" w14:paraId="3FC9E4DC" w14:textId="77777777" w:rsidTr="002D00B8">
        <w:trPr>
          <w:trHeight w:val="1062"/>
        </w:trPr>
        <w:tc>
          <w:tcPr>
            <w:tcW w:w="2580" w:type="dxa"/>
            <w:vMerge/>
            <w:vAlign w:val="center"/>
          </w:tcPr>
          <w:p w14:paraId="751A4970" w14:textId="77777777" w:rsidR="00A8120A" w:rsidRPr="00F606DC" w:rsidRDefault="00A8120A" w:rsidP="007F721B">
            <w:pPr>
              <w:kinsoku w:val="0"/>
              <w:overflowPunct w:val="0"/>
              <w:autoSpaceDE w:val="0"/>
              <w:autoSpaceDN w:val="0"/>
              <w:rPr>
                <w:b/>
                <w:bCs/>
                <w:color w:val="A6A6A6"/>
                <w:kern w:val="22"/>
              </w:rPr>
            </w:pPr>
          </w:p>
        </w:tc>
        <w:tc>
          <w:tcPr>
            <w:tcW w:w="2524" w:type="dxa"/>
            <w:vMerge/>
            <w:vAlign w:val="center"/>
          </w:tcPr>
          <w:p w14:paraId="0C804BA5" w14:textId="77777777" w:rsidR="00A8120A" w:rsidRPr="00F606DC" w:rsidRDefault="00A8120A" w:rsidP="007F721B">
            <w:pPr>
              <w:kinsoku w:val="0"/>
              <w:overflowPunct w:val="0"/>
              <w:autoSpaceDE w:val="0"/>
              <w:autoSpaceDN w:val="0"/>
              <w:rPr>
                <w:color w:val="A6A6A6"/>
                <w:kern w:val="22"/>
              </w:rPr>
            </w:pPr>
          </w:p>
        </w:tc>
        <w:tc>
          <w:tcPr>
            <w:tcW w:w="2971" w:type="dxa"/>
          </w:tcPr>
          <w:p w14:paraId="30E2B975" w14:textId="3A776ADA" w:rsidR="00A8120A" w:rsidRPr="00F606DC" w:rsidRDefault="001A762A" w:rsidP="002D00B8">
            <w:pPr>
              <w:kinsoku w:val="0"/>
              <w:overflowPunct w:val="0"/>
              <w:autoSpaceDE w:val="0"/>
              <w:autoSpaceDN w:val="0"/>
              <w:jc w:val="left"/>
              <w:rPr>
                <w:color w:val="A6A6A6"/>
                <w:kern w:val="22"/>
              </w:rPr>
            </w:pPr>
            <w:r>
              <w:rPr>
                <w:lang w:val="en-CA" w:eastAsia="en-CA"/>
              </w:rPr>
              <w:t>A.</w:t>
            </w:r>
            <w:r w:rsidR="00A8120A" w:rsidRPr="00F606DC">
              <w:rPr>
                <w:lang w:val="en-CA" w:eastAsia="en-CA"/>
              </w:rPr>
              <w:t xml:space="preserve">1.3. Parties have designated competent national authorities and national focal points for the Protocol </w:t>
            </w:r>
          </w:p>
        </w:tc>
        <w:tc>
          <w:tcPr>
            <w:tcW w:w="5690" w:type="dxa"/>
            <w:vMerge/>
          </w:tcPr>
          <w:p w14:paraId="04F1800B" w14:textId="77777777" w:rsidR="00A8120A" w:rsidRPr="00F606DC" w:rsidRDefault="00A8120A" w:rsidP="007F721B">
            <w:pPr>
              <w:kinsoku w:val="0"/>
              <w:overflowPunct w:val="0"/>
              <w:autoSpaceDE w:val="0"/>
              <w:autoSpaceDN w:val="0"/>
              <w:rPr>
                <w:kern w:val="22"/>
              </w:rPr>
            </w:pPr>
          </w:p>
        </w:tc>
      </w:tr>
      <w:tr w:rsidR="00A8120A" w:rsidRPr="00F606DC" w14:paraId="2CE4DFCE" w14:textId="77777777" w:rsidTr="002D00B8">
        <w:trPr>
          <w:trHeight w:val="1119"/>
        </w:trPr>
        <w:tc>
          <w:tcPr>
            <w:tcW w:w="2580" w:type="dxa"/>
            <w:vMerge/>
            <w:vAlign w:val="center"/>
          </w:tcPr>
          <w:p w14:paraId="3F5DB4F9" w14:textId="77777777" w:rsidR="00A8120A" w:rsidRPr="00F606DC" w:rsidRDefault="00A8120A" w:rsidP="007F721B">
            <w:pPr>
              <w:kinsoku w:val="0"/>
              <w:overflowPunct w:val="0"/>
              <w:autoSpaceDE w:val="0"/>
              <w:autoSpaceDN w:val="0"/>
              <w:rPr>
                <w:b/>
                <w:bCs/>
                <w:color w:val="A6A6A6"/>
                <w:kern w:val="22"/>
              </w:rPr>
            </w:pPr>
          </w:p>
        </w:tc>
        <w:tc>
          <w:tcPr>
            <w:tcW w:w="2524" w:type="dxa"/>
            <w:vMerge/>
            <w:vAlign w:val="center"/>
          </w:tcPr>
          <w:p w14:paraId="08F48143" w14:textId="77777777" w:rsidR="00A8120A" w:rsidRPr="00F606DC" w:rsidRDefault="00A8120A" w:rsidP="007F721B">
            <w:pPr>
              <w:kinsoku w:val="0"/>
              <w:overflowPunct w:val="0"/>
              <w:autoSpaceDE w:val="0"/>
              <w:autoSpaceDN w:val="0"/>
              <w:rPr>
                <w:color w:val="A6A6A6"/>
                <w:kern w:val="22"/>
              </w:rPr>
            </w:pPr>
          </w:p>
        </w:tc>
        <w:tc>
          <w:tcPr>
            <w:tcW w:w="2971" w:type="dxa"/>
          </w:tcPr>
          <w:p w14:paraId="270FA1C9" w14:textId="62963EBC" w:rsidR="00A8120A" w:rsidRPr="00F606DC" w:rsidRDefault="001A762A" w:rsidP="002D00B8">
            <w:pPr>
              <w:kinsoku w:val="0"/>
              <w:overflowPunct w:val="0"/>
              <w:autoSpaceDE w:val="0"/>
              <w:autoSpaceDN w:val="0"/>
              <w:jc w:val="left"/>
              <w:rPr>
                <w:color w:val="A6A6A6"/>
                <w:kern w:val="22"/>
              </w:rPr>
            </w:pPr>
            <w:r>
              <w:rPr>
                <w:lang w:val="en-CA" w:eastAsia="en-CA"/>
              </w:rPr>
              <w:t>A.</w:t>
            </w:r>
            <w:r w:rsidR="00A8120A" w:rsidRPr="008A77E5">
              <w:rPr>
                <w:lang w:val="en-CA" w:eastAsia="en-CA"/>
              </w:rPr>
              <w:t>1.4. Competent national authorities have the necessary budget and adequately trained staff to carry out their tasks</w:t>
            </w:r>
            <w:r w:rsidR="00A8120A" w:rsidRPr="00F606DC">
              <w:rPr>
                <w:lang w:val="en-CA" w:eastAsia="en-CA"/>
              </w:rPr>
              <w:t xml:space="preserve"> </w:t>
            </w:r>
          </w:p>
        </w:tc>
        <w:tc>
          <w:tcPr>
            <w:tcW w:w="5690" w:type="dxa"/>
            <w:vMerge/>
          </w:tcPr>
          <w:p w14:paraId="1DBE6993" w14:textId="77777777" w:rsidR="00A8120A" w:rsidRPr="00F606DC" w:rsidRDefault="00A8120A" w:rsidP="007F721B">
            <w:pPr>
              <w:kinsoku w:val="0"/>
              <w:overflowPunct w:val="0"/>
              <w:autoSpaceDE w:val="0"/>
              <w:autoSpaceDN w:val="0"/>
              <w:rPr>
                <w:kern w:val="22"/>
              </w:rPr>
            </w:pPr>
          </w:p>
        </w:tc>
      </w:tr>
      <w:tr w:rsidR="001C6FC2" w:rsidRPr="00F606DC" w14:paraId="5BB3585E" w14:textId="77777777" w:rsidTr="002D00B8">
        <w:trPr>
          <w:trHeight w:val="1215"/>
        </w:trPr>
        <w:tc>
          <w:tcPr>
            <w:tcW w:w="2580" w:type="dxa"/>
            <w:vMerge/>
            <w:vAlign w:val="center"/>
          </w:tcPr>
          <w:p w14:paraId="38F97413" w14:textId="77777777" w:rsidR="001C6FC2" w:rsidRPr="00C9724F" w:rsidRDefault="001C6FC2" w:rsidP="004D7089">
            <w:pPr>
              <w:kinsoku w:val="0"/>
              <w:overflowPunct w:val="0"/>
              <w:autoSpaceDE w:val="0"/>
              <w:autoSpaceDN w:val="0"/>
              <w:rPr>
                <w:b/>
                <w:bCs/>
                <w:color w:val="A6A6A6"/>
                <w:kern w:val="22"/>
              </w:rPr>
            </w:pPr>
          </w:p>
        </w:tc>
        <w:tc>
          <w:tcPr>
            <w:tcW w:w="2524" w:type="dxa"/>
          </w:tcPr>
          <w:p w14:paraId="54E6BD44" w14:textId="2A764CBC" w:rsidR="001C6FC2" w:rsidRDefault="001C6FC2" w:rsidP="002D00B8">
            <w:pPr>
              <w:kinsoku w:val="0"/>
              <w:overflowPunct w:val="0"/>
              <w:autoSpaceDE w:val="0"/>
              <w:autoSpaceDN w:val="0"/>
              <w:jc w:val="left"/>
              <w:rPr>
                <w:color w:val="000000"/>
                <w:lang w:val="en-CA" w:eastAsia="en-CA"/>
              </w:rPr>
            </w:pPr>
            <w:r>
              <w:rPr>
                <w:color w:val="000000"/>
                <w:lang w:val="en-CA" w:eastAsia="en-CA"/>
              </w:rPr>
              <w:t>A.2</w:t>
            </w:r>
            <w:r w:rsidRPr="00F606DC">
              <w:rPr>
                <w:color w:val="000000"/>
                <w:lang w:val="en-CA" w:eastAsia="en-CA"/>
              </w:rPr>
              <w:t xml:space="preserve">. Parties </w:t>
            </w:r>
            <w:r w:rsidRPr="004F11C8">
              <w:rPr>
                <w:lang w:val="en-CA" w:eastAsia="en-CA"/>
              </w:rPr>
              <w:t>improv</w:t>
            </w:r>
            <w:r>
              <w:rPr>
                <w:lang w:val="en-CA" w:eastAsia="en-CA"/>
              </w:rPr>
              <w:t>e</w:t>
            </w:r>
            <w:r w:rsidRPr="004F11C8">
              <w:rPr>
                <w:lang w:val="en-CA" w:eastAsia="en-CA"/>
              </w:rPr>
              <w:t xml:space="preserve"> the </w:t>
            </w:r>
            <w:r w:rsidRPr="00F606DC">
              <w:rPr>
                <w:color w:val="000000"/>
                <w:lang w:val="en-CA" w:eastAsia="en-CA"/>
              </w:rPr>
              <w:t>availability and exchange of relevant information through the BCH</w:t>
            </w:r>
          </w:p>
        </w:tc>
        <w:tc>
          <w:tcPr>
            <w:tcW w:w="2971" w:type="dxa"/>
          </w:tcPr>
          <w:p w14:paraId="32F7B4AB" w14:textId="176A9819" w:rsidR="001C6FC2" w:rsidRDefault="001C6FC2" w:rsidP="002D00B8">
            <w:pPr>
              <w:kinsoku w:val="0"/>
              <w:overflowPunct w:val="0"/>
              <w:autoSpaceDE w:val="0"/>
              <w:autoSpaceDN w:val="0"/>
              <w:jc w:val="left"/>
              <w:rPr>
                <w:color w:val="000000"/>
                <w:lang w:val="en-CA" w:eastAsia="en-CA"/>
              </w:rPr>
            </w:pPr>
            <w:r>
              <w:rPr>
                <w:lang w:val="en-CA" w:eastAsia="en-CA"/>
              </w:rPr>
              <w:t>A.2</w:t>
            </w:r>
            <w:r w:rsidRPr="00F606DC">
              <w:rPr>
                <w:lang w:val="en-CA" w:eastAsia="en-CA"/>
              </w:rPr>
              <w:t>.1. Parties provide accurate and complete information in the BCH in accordance with their obligations under the Protocol</w:t>
            </w:r>
          </w:p>
        </w:tc>
        <w:tc>
          <w:tcPr>
            <w:tcW w:w="5690" w:type="dxa"/>
            <w:vMerge w:val="restart"/>
          </w:tcPr>
          <w:p w14:paraId="118D1488" w14:textId="3396FA0E" w:rsidR="002A7F81" w:rsidRDefault="002A7F81" w:rsidP="002D00B8">
            <w:pPr>
              <w:kinsoku w:val="0"/>
              <w:overflowPunct w:val="0"/>
              <w:autoSpaceDE w:val="0"/>
              <w:autoSpaceDN w:val="0"/>
              <w:jc w:val="left"/>
              <w:rPr>
                <w:b/>
                <w:kern w:val="22"/>
              </w:rPr>
            </w:pPr>
            <w:r w:rsidRPr="006C30E0">
              <w:rPr>
                <w:b/>
              </w:rPr>
              <w:t>CB activities under goal</w:t>
            </w:r>
            <w:r w:rsidR="00A928E0">
              <w:rPr>
                <w:b/>
              </w:rPr>
              <w:t>s</w:t>
            </w:r>
            <w:r w:rsidRPr="006C30E0">
              <w:rPr>
                <w:b/>
              </w:rPr>
              <w:t xml:space="preserve"> A.</w:t>
            </w:r>
            <w:r>
              <w:rPr>
                <w:b/>
              </w:rPr>
              <w:t>2 and A.3:</w:t>
            </w:r>
          </w:p>
          <w:p w14:paraId="4DFEFC30" w14:textId="4203B3B1" w:rsidR="001C6FC2" w:rsidRPr="00FF6B85" w:rsidRDefault="001C6FC2" w:rsidP="002D00B8">
            <w:pPr>
              <w:kinsoku w:val="0"/>
              <w:overflowPunct w:val="0"/>
              <w:autoSpaceDE w:val="0"/>
              <w:autoSpaceDN w:val="0"/>
              <w:spacing w:before="60"/>
              <w:jc w:val="left"/>
              <w:rPr>
                <w:kern w:val="22"/>
              </w:rPr>
            </w:pPr>
            <w:r>
              <w:rPr>
                <w:kern w:val="22"/>
              </w:rPr>
              <w:t xml:space="preserve">1. </w:t>
            </w:r>
            <w:bookmarkStart w:id="6" w:name="_Hlk20750271"/>
            <w:r w:rsidR="006A458A">
              <w:rPr>
                <w:kern w:val="22"/>
              </w:rPr>
              <w:t>Strengthen capacities for d</w:t>
            </w:r>
            <w:r w:rsidRPr="00FF6B85">
              <w:rPr>
                <w:kern w:val="22"/>
              </w:rPr>
              <w:t>evelop</w:t>
            </w:r>
            <w:r w:rsidR="006A458A">
              <w:rPr>
                <w:kern w:val="22"/>
              </w:rPr>
              <w:t>ing</w:t>
            </w:r>
            <w:r>
              <w:rPr>
                <w:kern w:val="22"/>
              </w:rPr>
              <w:t xml:space="preserve"> and maintain</w:t>
            </w:r>
            <w:r w:rsidR="006A458A">
              <w:rPr>
                <w:kern w:val="22"/>
              </w:rPr>
              <w:t>ing</w:t>
            </w:r>
            <w:r w:rsidRPr="00FF6B85">
              <w:rPr>
                <w:kern w:val="22"/>
              </w:rPr>
              <w:t xml:space="preserve"> systems </w:t>
            </w:r>
            <w:r>
              <w:rPr>
                <w:kern w:val="22"/>
              </w:rPr>
              <w:t>to manage</w:t>
            </w:r>
            <w:r w:rsidRPr="00FF6B85">
              <w:rPr>
                <w:kern w:val="22"/>
              </w:rPr>
              <w:t xml:space="preserve"> information</w:t>
            </w:r>
            <w:r>
              <w:rPr>
                <w:kern w:val="22"/>
              </w:rPr>
              <w:t>,</w:t>
            </w:r>
            <w:r w:rsidRPr="00FF6B85">
              <w:rPr>
                <w:kern w:val="22"/>
              </w:rPr>
              <w:t xml:space="preserve"> submi</w:t>
            </w:r>
            <w:r>
              <w:rPr>
                <w:kern w:val="22"/>
              </w:rPr>
              <w:t>t information</w:t>
            </w:r>
            <w:r w:rsidRPr="00FF6B85">
              <w:rPr>
                <w:kern w:val="22"/>
              </w:rPr>
              <w:t xml:space="preserve"> to the BCH</w:t>
            </w:r>
            <w:bookmarkEnd w:id="6"/>
            <w:r>
              <w:rPr>
                <w:kern w:val="22"/>
              </w:rPr>
              <w:t xml:space="preserve"> and prepare national reports</w:t>
            </w:r>
          </w:p>
          <w:p w14:paraId="09AA5A19" w14:textId="6DBD011A" w:rsidR="001C6FC2" w:rsidRPr="00FF6B85" w:rsidRDefault="001C6FC2" w:rsidP="002D00B8">
            <w:pPr>
              <w:kinsoku w:val="0"/>
              <w:overflowPunct w:val="0"/>
              <w:autoSpaceDE w:val="0"/>
              <w:autoSpaceDN w:val="0"/>
              <w:spacing w:before="60"/>
              <w:jc w:val="left"/>
              <w:rPr>
                <w:kern w:val="22"/>
              </w:rPr>
            </w:pPr>
            <w:r>
              <w:rPr>
                <w:kern w:val="22"/>
              </w:rPr>
              <w:t xml:space="preserve">2. </w:t>
            </w:r>
            <w:r w:rsidR="00A1111B">
              <w:rPr>
                <w:kern w:val="22"/>
              </w:rPr>
              <w:t>Strengthen capacities for e</w:t>
            </w:r>
            <w:r>
              <w:rPr>
                <w:kern w:val="22"/>
              </w:rPr>
              <w:t>nhanc</w:t>
            </w:r>
            <w:r w:rsidR="00A1111B">
              <w:rPr>
                <w:kern w:val="22"/>
              </w:rPr>
              <w:t>ing</w:t>
            </w:r>
            <w:r>
              <w:rPr>
                <w:kern w:val="22"/>
              </w:rPr>
              <w:t xml:space="preserve"> national coordination to gather relevant information across government and from stakeholders</w:t>
            </w:r>
          </w:p>
          <w:p w14:paraId="63DACB3A" w14:textId="06E02D99" w:rsidR="001C6FC2" w:rsidRDefault="001C6FC2" w:rsidP="002D00B8">
            <w:pPr>
              <w:kinsoku w:val="0"/>
              <w:overflowPunct w:val="0"/>
              <w:autoSpaceDE w:val="0"/>
              <w:autoSpaceDN w:val="0"/>
              <w:spacing w:after="60"/>
              <w:jc w:val="left"/>
              <w:rPr>
                <w:kern w:val="22"/>
              </w:rPr>
            </w:pPr>
            <w:r>
              <w:rPr>
                <w:kern w:val="22"/>
              </w:rPr>
              <w:t>3. Develop and disseminate capacity-building materials</w:t>
            </w:r>
            <w:r w:rsidRPr="002D00B8">
              <w:rPr>
                <w:kern w:val="22"/>
              </w:rPr>
              <w:t xml:space="preserve"> on the use of the BCH and management of information using, among others, the BCH Regional Advisors Network</w:t>
            </w:r>
          </w:p>
        </w:tc>
      </w:tr>
      <w:tr w:rsidR="001C6FC2" w:rsidRPr="00F606DC" w14:paraId="05303167" w14:textId="77777777" w:rsidTr="002D00B8">
        <w:trPr>
          <w:trHeight w:val="1215"/>
        </w:trPr>
        <w:tc>
          <w:tcPr>
            <w:tcW w:w="2580" w:type="dxa"/>
            <w:vMerge/>
            <w:vAlign w:val="center"/>
          </w:tcPr>
          <w:p w14:paraId="636AAC8A" w14:textId="77777777" w:rsidR="001C6FC2" w:rsidRPr="00C9724F" w:rsidRDefault="001C6FC2" w:rsidP="004D7089">
            <w:pPr>
              <w:kinsoku w:val="0"/>
              <w:overflowPunct w:val="0"/>
              <w:autoSpaceDE w:val="0"/>
              <w:autoSpaceDN w:val="0"/>
              <w:rPr>
                <w:b/>
                <w:bCs/>
                <w:color w:val="A6A6A6"/>
                <w:kern w:val="22"/>
              </w:rPr>
            </w:pPr>
          </w:p>
        </w:tc>
        <w:tc>
          <w:tcPr>
            <w:tcW w:w="2524" w:type="dxa"/>
          </w:tcPr>
          <w:p w14:paraId="0E6A07A6" w14:textId="6F59BBB7" w:rsidR="001C6FC2" w:rsidRPr="00F606DC" w:rsidRDefault="001C6FC2" w:rsidP="002D00B8">
            <w:pPr>
              <w:kinsoku w:val="0"/>
              <w:overflowPunct w:val="0"/>
              <w:autoSpaceDE w:val="0"/>
              <w:autoSpaceDN w:val="0"/>
              <w:jc w:val="left"/>
              <w:rPr>
                <w:lang w:val="en-CA" w:eastAsia="en-CA"/>
              </w:rPr>
            </w:pPr>
            <w:r>
              <w:rPr>
                <w:color w:val="000000"/>
                <w:lang w:val="en-CA" w:eastAsia="en-CA"/>
              </w:rPr>
              <w:t>A.3</w:t>
            </w:r>
            <w:r w:rsidRPr="00F606DC">
              <w:rPr>
                <w:color w:val="000000"/>
                <w:lang w:val="en-CA" w:eastAsia="en-CA"/>
              </w:rPr>
              <w:t>. Full information on the implementation of the Protocol is made available by Parties</w:t>
            </w:r>
          </w:p>
        </w:tc>
        <w:tc>
          <w:tcPr>
            <w:tcW w:w="2971" w:type="dxa"/>
          </w:tcPr>
          <w:p w14:paraId="14B412CB" w14:textId="60834401" w:rsidR="001C6FC2" w:rsidRPr="00F606DC" w:rsidRDefault="001C6FC2" w:rsidP="002D00B8">
            <w:pPr>
              <w:kinsoku w:val="0"/>
              <w:overflowPunct w:val="0"/>
              <w:autoSpaceDE w:val="0"/>
              <w:autoSpaceDN w:val="0"/>
              <w:jc w:val="left"/>
              <w:rPr>
                <w:lang w:val="en-CA" w:eastAsia="en-CA"/>
              </w:rPr>
            </w:pPr>
            <w:r>
              <w:rPr>
                <w:color w:val="000000"/>
                <w:lang w:val="en-CA" w:eastAsia="en-CA"/>
              </w:rPr>
              <w:t>A.3</w:t>
            </w:r>
            <w:r w:rsidRPr="00F606DC">
              <w:rPr>
                <w:color w:val="000000"/>
                <w:lang w:val="en-CA" w:eastAsia="en-CA"/>
              </w:rPr>
              <w:t>.1. Parties submit complete national reports within the established deadline</w:t>
            </w:r>
          </w:p>
        </w:tc>
        <w:tc>
          <w:tcPr>
            <w:tcW w:w="5690" w:type="dxa"/>
            <w:vMerge/>
          </w:tcPr>
          <w:p w14:paraId="5B41C505" w14:textId="343F9012" w:rsidR="001C6FC2" w:rsidRPr="00CC68E6" w:rsidRDefault="001C6FC2" w:rsidP="002D00B8">
            <w:pPr>
              <w:kinsoku w:val="0"/>
              <w:overflowPunct w:val="0"/>
              <w:autoSpaceDE w:val="0"/>
              <w:autoSpaceDN w:val="0"/>
              <w:jc w:val="left"/>
              <w:rPr>
                <w:color w:val="7030A0"/>
                <w:kern w:val="22"/>
              </w:rPr>
            </w:pPr>
          </w:p>
        </w:tc>
      </w:tr>
      <w:tr w:rsidR="004D7089" w:rsidRPr="00F606DC" w14:paraId="246A581E" w14:textId="77777777" w:rsidTr="002D00B8">
        <w:trPr>
          <w:trHeight w:val="896"/>
        </w:trPr>
        <w:tc>
          <w:tcPr>
            <w:tcW w:w="2580" w:type="dxa"/>
            <w:vMerge/>
            <w:vAlign w:val="center"/>
          </w:tcPr>
          <w:p w14:paraId="24E3F511" w14:textId="77777777" w:rsidR="004D7089" w:rsidRPr="00131BFA" w:rsidRDefault="004D7089" w:rsidP="004D7089">
            <w:pPr>
              <w:kinsoku w:val="0"/>
              <w:overflowPunct w:val="0"/>
              <w:autoSpaceDE w:val="0"/>
              <w:autoSpaceDN w:val="0"/>
              <w:rPr>
                <w:b/>
                <w:bCs/>
                <w:color w:val="A6A6A6"/>
                <w:kern w:val="22"/>
              </w:rPr>
            </w:pPr>
          </w:p>
        </w:tc>
        <w:tc>
          <w:tcPr>
            <w:tcW w:w="2524" w:type="dxa"/>
            <w:vMerge w:val="restart"/>
          </w:tcPr>
          <w:p w14:paraId="583D4CF0" w14:textId="26D4C331" w:rsidR="004D7089" w:rsidRPr="00F606DC" w:rsidRDefault="004D7089" w:rsidP="002D00B8">
            <w:pPr>
              <w:kinsoku w:val="0"/>
              <w:overflowPunct w:val="0"/>
              <w:autoSpaceDE w:val="0"/>
              <w:autoSpaceDN w:val="0"/>
              <w:jc w:val="left"/>
              <w:rPr>
                <w:lang w:val="en-CA" w:eastAsia="en-CA"/>
              </w:rPr>
            </w:pPr>
            <w:r>
              <w:rPr>
                <w:color w:val="000000"/>
                <w:lang w:val="en-CA" w:eastAsia="en-CA"/>
              </w:rPr>
              <w:t>A.</w:t>
            </w:r>
            <w:r w:rsidR="000B2FED">
              <w:rPr>
                <w:color w:val="000000"/>
                <w:lang w:val="en-CA" w:eastAsia="en-CA"/>
              </w:rPr>
              <w:t>4</w:t>
            </w:r>
            <w:r w:rsidRPr="00F606DC">
              <w:rPr>
                <w:color w:val="000000"/>
                <w:lang w:val="en-CA" w:eastAsia="en-CA"/>
              </w:rPr>
              <w:t>. Parties are in full compliance with the requirements of the Protocol</w:t>
            </w:r>
          </w:p>
        </w:tc>
        <w:tc>
          <w:tcPr>
            <w:tcW w:w="2971" w:type="dxa"/>
          </w:tcPr>
          <w:p w14:paraId="42BD8321" w14:textId="4B50E6B2" w:rsidR="004D7089" w:rsidRPr="00F606DC" w:rsidRDefault="004D7089" w:rsidP="002D00B8">
            <w:pPr>
              <w:kinsoku w:val="0"/>
              <w:overflowPunct w:val="0"/>
              <w:autoSpaceDE w:val="0"/>
              <w:autoSpaceDN w:val="0"/>
              <w:jc w:val="left"/>
              <w:rPr>
                <w:lang w:val="en-CA" w:eastAsia="en-CA"/>
              </w:rPr>
            </w:pPr>
            <w:r>
              <w:rPr>
                <w:lang w:val="en-CA" w:eastAsia="en-CA"/>
              </w:rPr>
              <w:t>A.</w:t>
            </w:r>
            <w:r w:rsidR="000B2FED">
              <w:rPr>
                <w:lang w:val="en-CA" w:eastAsia="en-CA"/>
              </w:rPr>
              <w:t>4</w:t>
            </w:r>
            <w:r w:rsidRPr="00F606DC">
              <w:rPr>
                <w:lang w:val="en-CA" w:eastAsia="en-CA"/>
              </w:rPr>
              <w:t>.1. Parties comply with their obligations under the Protocol</w:t>
            </w:r>
          </w:p>
        </w:tc>
        <w:tc>
          <w:tcPr>
            <w:tcW w:w="5690" w:type="dxa"/>
            <w:vMerge w:val="restart"/>
          </w:tcPr>
          <w:p w14:paraId="1535ED02" w14:textId="6141F077" w:rsidR="00A928E0" w:rsidRDefault="00A928E0" w:rsidP="002D00B8">
            <w:pPr>
              <w:kinsoku w:val="0"/>
              <w:overflowPunct w:val="0"/>
              <w:autoSpaceDE w:val="0"/>
              <w:autoSpaceDN w:val="0"/>
              <w:jc w:val="left"/>
              <w:rPr>
                <w:b/>
              </w:rPr>
            </w:pPr>
            <w:r w:rsidRPr="006C30E0">
              <w:rPr>
                <w:b/>
              </w:rPr>
              <w:t>CB activities under goal A.</w:t>
            </w:r>
            <w:r>
              <w:rPr>
                <w:b/>
              </w:rPr>
              <w:t>4:</w:t>
            </w:r>
          </w:p>
          <w:p w14:paraId="7B5C710F" w14:textId="39B2F3AD" w:rsidR="004D7089" w:rsidRPr="00DF31FC" w:rsidRDefault="00A928E0" w:rsidP="002D00B8">
            <w:pPr>
              <w:kinsoku w:val="0"/>
              <w:overflowPunct w:val="0"/>
              <w:autoSpaceDE w:val="0"/>
              <w:autoSpaceDN w:val="0"/>
              <w:spacing w:before="60"/>
              <w:jc w:val="left"/>
              <w:rPr>
                <w:kern w:val="22"/>
                <w:lang w:val="en-CA"/>
              </w:rPr>
            </w:pPr>
            <w:r>
              <w:rPr>
                <w:kern w:val="22"/>
                <w:lang w:val="en-CA"/>
              </w:rPr>
              <w:t>1</w:t>
            </w:r>
            <w:r w:rsidR="004D7089">
              <w:rPr>
                <w:kern w:val="22"/>
                <w:lang w:val="en-CA"/>
              </w:rPr>
              <w:t xml:space="preserve">. </w:t>
            </w:r>
            <w:r w:rsidR="004D7089" w:rsidRPr="002D00B8">
              <w:rPr>
                <w:kern w:val="22"/>
              </w:rPr>
              <w:t>Support</w:t>
            </w:r>
            <w:r w:rsidR="004D7089">
              <w:rPr>
                <w:kern w:val="22"/>
                <w:lang w:val="en-CA"/>
              </w:rPr>
              <w:t xml:space="preserve"> </w:t>
            </w:r>
            <w:r w:rsidR="000D6E74">
              <w:rPr>
                <w:kern w:val="22"/>
                <w:lang w:val="en-CA"/>
              </w:rPr>
              <w:t>for</w:t>
            </w:r>
            <w:r w:rsidR="004D7089">
              <w:rPr>
                <w:kern w:val="22"/>
                <w:lang w:val="en-CA"/>
              </w:rPr>
              <w:t xml:space="preserve"> addressing issues of non-compliance, as identified by the Compliance Committee, including through provision of advice and assistance by the Compliance Committee</w:t>
            </w:r>
          </w:p>
        </w:tc>
      </w:tr>
      <w:tr w:rsidR="004D7089" w:rsidRPr="00F606DC" w14:paraId="69AF8C4B" w14:textId="77777777" w:rsidTr="002D00B8">
        <w:trPr>
          <w:trHeight w:val="943"/>
        </w:trPr>
        <w:tc>
          <w:tcPr>
            <w:tcW w:w="2580" w:type="dxa"/>
            <w:vMerge/>
            <w:vAlign w:val="center"/>
          </w:tcPr>
          <w:p w14:paraId="1EC3408E" w14:textId="77777777" w:rsidR="004D7089" w:rsidRPr="00F606DC" w:rsidRDefault="004D7089" w:rsidP="004D7089">
            <w:pPr>
              <w:kinsoku w:val="0"/>
              <w:overflowPunct w:val="0"/>
              <w:autoSpaceDE w:val="0"/>
              <w:autoSpaceDN w:val="0"/>
              <w:rPr>
                <w:b/>
                <w:bCs/>
                <w:color w:val="A6A6A6"/>
                <w:kern w:val="22"/>
              </w:rPr>
            </w:pPr>
          </w:p>
        </w:tc>
        <w:tc>
          <w:tcPr>
            <w:tcW w:w="2524" w:type="dxa"/>
            <w:vMerge/>
            <w:vAlign w:val="center"/>
          </w:tcPr>
          <w:p w14:paraId="43905044" w14:textId="77777777" w:rsidR="004D7089" w:rsidRPr="00F606DC" w:rsidRDefault="004D7089" w:rsidP="002D00B8">
            <w:pPr>
              <w:kinsoku w:val="0"/>
              <w:overflowPunct w:val="0"/>
              <w:autoSpaceDE w:val="0"/>
              <w:autoSpaceDN w:val="0"/>
              <w:jc w:val="left"/>
              <w:rPr>
                <w:lang w:val="en-CA" w:eastAsia="en-CA"/>
              </w:rPr>
            </w:pPr>
          </w:p>
        </w:tc>
        <w:tc>
          <w:tcPr>
            <w:tcW w:w="2971" w:type="dxa"/>
          </w:tcPr>
          <w:p w14:paraId="126421E3" w14:textId="79AF27D5" w:rsidR="004D7089" w:rsidRPr="00F606DC" w:rsidRDefault="004D7089" w:rsidP="002D00B8">
            <w:pPr>
              <w:kinsoku w:val="0"/>
              <w:overflowPunct w:val="0"/>
              <w:autoSpaceDE w:val="0"/>
              <w:autoSpaceDN w:val="0"/>
              <w:jc w:val="left"/>
              <w:rPr>
                <w:lang w:val="en-CA" w:eastAsia="en-CA"/>
              </w:rPr>
            </w:pPr>
            <w:r>
              <w:rPr>
                <w:lang w:val="en-CA" w:eastAsia="en-CA"/>
              </w:rPr>
              <w:t>A.</w:t>
            </w:r>
            <w:r w:rsidR="000B2FED">
              <w:rPr>
                <w:lang w:val="en-CA" w:eastAsia="en-CA"/>
              </w:rPr>
              <w:t>4</w:t>
            </w:r>
            <w:r w:rsidRPr="00F606DC">
              <w:rPr>
                <w:lang w:val="en-CA" w:eastAsia="en-CA"/>
              </w:rPr>
              <w:t>.2. Parties resolve issues of non-compliance identified by the Compliance Committee</w:t>
            </w:r>
          </w:p>
        </w:tc>
        <w:tc>
          <w:tcPr>
            <w:tcW w:w="5690" w:type="dxa"/>
            <w:vMerge/>
          </w:tcPr>
          <w:p w14:paraId="2674CB7F" w14:textId="77777777" w:rsidR="004D7089" w:rsidRPr="00F606DC" w:rsidRDefault="004D7089" w:rsidP="002D00B8">
            <w:pPr>
              <w:kinsoku w:val="0"/>
              <w:overflowPunct w:val="0"/>
              <w:autoSpaceDE w:val="0"/>
              <w:autoSpaceDN w:val="0"/>
              <w:jc w:val="left"/>
              <w:rPr>
                <w:kern w:val="22"/>
              </w:rPr>
            </w:pPr>
          </w:p>
        </w:tc>
      </w:tr>
      <w:tr w:rsidR="009609F3" w:rsidRPr="00F606DC" w14:paraId="1C7B4577" w14:textId="77777777" w:rsidTr="002D00B8">
        <w:trPr>
          <w:trHeight w:val="978"/>
        </w:trPr>
        <w:tc>
          <w:tcPr>
            <w:tcW w:w="2580" w:type="dxa"/>
            <w:vMerge/>
          </w:tcPr>
          <w:p w14:paraId="4194C3F5" w14:textId="77777777" w:rsidR="009609F3" w:rsidRPr="00F606DC" w:rsidRDefault="009609F3" w:rsidP="004D7089">
            <w:pPr>
              <w:kinsoku w:val="0"/>
              <w:overflowPunct w:val="0"/>
              <w:autoSpaceDE w:val="0"/>
              <w:autoSpaceDN w:val="0"/>
              <w:rPr>
                <w:b/>
                <w:bCs/>
                <w:color w:val="A6A6A6"/>
                <w:kern w:val="22"/>
              </w:rPr>
            </w:pPr>
          </w:p>
        </w:tc>
        <w:tc>
          <w:tcPr>
            <w:tcW w:w="2524" w:type="dxa"/>
            <w:vMerge w:val="restart"/>
          </w:tcPr>
          <w:p w14:paraId="032E5CFB" w14:textId="37AECBBE" w:rsidR="009609F3" w:rsidRPr="00F606DC" w:rsidRDefault="009609F3" w:rsidP="002D00B8">
            <w:pPr>
              <w:kinsoku w:val="0"/>
              <w:overflowPunct w:val="0"/>
              <w:autoSpaceDE w:val="0"/>
              <w:autoSpaceDN w:val="0"/>
              <w:jc w:val="left"/>
              <w:rPr>
                <w:color w:val="000000"/>
                <w:lang w:val="en-CA" w:eastAsia="en-CA"/>
              </w:rPr>
            </w:pPr>
            <w:r>
              <w:rPr>
                <w:lang w:val="en-CA" w:eastAsia="en-CA"/>
              </w:rPr>
              <w:t>A.5</w:t>
            </w:r>
            <w:r w:rsidRPr="00F606DC">
              <w:rPr>
                <w:lang w:val="en-CA" w:eastAsia="en-CA"/>
              </w:rPr>
              <w:t>. Parties carry out scientifically sound risk assessments of LMOs, and manage and control identified risks</w:t>
            </w:r>
          </w:p>
        </w:tc>
        <w:tc>
          <w:tcPr>
            <w:tcW w:w="2971" w:type="dxa"/>
          </w:tcPr>
          <w:p w14:paraId="24B1CDE5" w14:textId="37923F29" w:rsidR="009609F3" w:rsidRPr="00F606DC" w:rsidRDefault="009609F3" w:rsidP="002D00B8">
            <w:pPr>
              <w:kinsoku w:val="0"/>
              <w:overflowPunct w:val="0"/>
              <w:autoSpaceDE w:val="0"/>
              <w:autoSpaceDN w:val="0"/>
              <w:jc w:val="left"/>
              <w:rPr>
                <w:color w:val="000000"/>
                <w:lang w:val="en-CA" w:eastAsia="en-CA"/>
              </w:rPr>
            </w:pPr>
            <w:r>
              <w:rPr>
                <w:lang w:val="en-CA" w:eastAsia="en-CA"/>
              </w:rPr>
              <w:t>A.5</w:t>
            </w:r>
            <w:r w:rsidRPr="00F606DC">
              <w:rPr>
                <w:lang w:val="en-CA" w:eastAsia="en-CA"/>
              </w:rPr>
              <w:t>.1. Parties apply appropriate risk assessment and risk management procedures on LMOs</w:t>
            </w:r>
          </w:p>
        </w:tc>
        <w:tc>
          <w:tcPr>
            <w:tcW w:w="5690" w:type="dxa"/>
            <w:vMerge w:val="restart"/>
          </w:tcPr>
          <w:p w14:paraId="102A4F36" w14:textId="7007BBF0" w:rsidR="009609F3" w:rsidRDefault="009609F3" w:rsidP="002D00B8">
            <w:pPr>
              <w:kinsoku w:val="0"/>
              <w:overflowPunct w:val="0"/>
              <w:autoSpaceDE w:val="0"/>
              <w:autoSpaceDN w:val="0"/>
              <w:jc w:val="left"/>
              <w:rPr>
                <w:b/>
              </w:rPr>
            </w:pPr>
            <w:r w:rsidRPr="006C30E0">
              <w:rPr>
                <w:b/>
              </w:rPr>
              <w:t>CB activities under goal A.</w:t>
            </w:r>
            <w:r>
              <w:rPr>
                <w:b/>
              </w:rPr>
              <w:t>5:</w:t>
            </w:r>
          </w:p>
          <w:p w14:paraId="54349353" w14:textId="73C1CEB6" w:rsidR="009609F3" w:rsidRPr="004047CF" w:rsidRDefault="009609F3" w:rsidP="002D00B8">
            <w:pPr>
              <w:kinsoku w:val="0"/>
              <w:overflowPunct w:val="0"/>
              <w:autoSpaceDE w:val="0"/>
              <w:autoSpaceDN w:val="0"/>
              <w:jc w:val="left"/>
              <w:rPr>
                <w:kern w:val="22"/>
              </w:rPr>
            </w:pPr>
            <w:r w:rsidRPr="004047CF">
              <w:rPr>
                <w:kern w:val="22"/>
              </w:rPr>
              <w:t>1</w:t>
            </w:r>
            <w:r>
              <w:rPr>
                <w:kern w:val="22"/>
              </w:rPr>
              <w:t xml:space="preserve">. </w:t>
            </w:r>
            <w:r w:rsidR="00DF6C9C">
              <w:rPr>
                <w:kern w:val="22"/>
              </w:rPr>
              <w:t>Strengthen capacities for e</w:t>
            </w:r>
            <w:r w:rsidRPr="004047CF">
              <w:rPr>
                <w:kern w:val="22"/>
              </w:rPr>
              <w:t>stablish</w:t>
            </w:r>
            <w:r w:rsidR="00DF6C9C">
              <w:rPr>
                <w:kern w:val="22"/>
              </w:rPr>
              <w:t>ing</w:t>
            </w:r>
            <w:r w:rsidRPr="004047CF">
              <w:rPr>
                <w:kern w:val="22"/>
              </w:rPr>
              <w:t xml:space="preserve"> institutional arrangements (e.g., technical advisory committees) for conducting or reviewing risk assessments</w:t>
            </w:r>
          </w:p>
          <w:p w14:paraId="0004AC6D" w14:textId="1E519984" w:rsidR="009609F3" w:rsidRPr="002D00B8" w:rsidRDefault="009609F3" w:rsidP="002D00B8">
            <w:pPr>
              <w:kinsoku w:val="0"/>
              <w:overflowPunct w:val="0"/>
              <w:autoSpaceDE w:val="0"/>
              <w:autoSpaceDN w:val="0"/>
              <w:spacing w:before="60"/>
              <w:jc w:val="left"/>
              <w:rPr>
                <w:kern w:val="22"/>
              </w:rPr>
            </w:pPr>
            <w:r w:rsidRPr="004047CF">
              <w:rPr>
                <w:kern w:val="22"/>
              </w:rPr>
              <w:t>2</w:t>
            </w:r>
            <w:r>
              <w:rPr>
                <w:kern w:val="22"/>
              </w:rPr>
              <w:t>. Technical training</w:t>
            </w:r>
            <w:r w:rsidRPr="004047CF">
              <w:rPr>
                <w:kern w:val="22"/>
              </w:rPr>
              <w:t xml:space="preserve"> on risk assessment and risk management</w:t>
            </w:r>
            <w:r w:rsidRPr="002D00B8">
              <w:rPr>
                <w:kern w:val="22"/>
              </w:rPr>
              <w:t xml:space="preserve"> </w:t>
            </w:r>
          </w:p>
          <w:p w14:paraId="4E5779D5" w14:textId="53E6F024" w:rsidR="009609F3" w:rsidRPr="004047CF" w:rsidRDefault="009609F3" w:rsidP="002D00B8">
            <w:pPr>
              <w:kinsoku w:val="0"/>
              <w:overflowPunct w:val="0"/>
              <w:autoSpaceDE w:val="0"/>
              <w:autoSpaceDN w:val="0"/>
              <w:spacing w:before="60"/>
              <w:jc w:val="left"/>
              <w:rPr>
                <w:kern w:val="22"/>
              </w:rPr>
            </w:pPr>
            <w:r w:rsidRPr="004047CF">
              <w:rPr>
                <w:kern w:val="22"/>
              </w:rPr>
              <w:t>3</w:t>
            </w:r>
            <w:r>
              <w:rPr>
                <w:kern w:val="22"/>
              </w:rPr>
              <w:t xml:space="preserve">. </w:t>
            </w:r>
            <w:r w:rsidRPr="00A24200">
              <w:rPr>
                <w:kern w:val="22"/>
              </w:rPr>
              <w:t xml:space="preserve">Develop </w:t>
            </w:r>
            <w:r w:rsidRPr="004F11C8">
              <w:rPr>
                <w:kern w:val="22"/>
              </w:rPr>
              <w:t>and disseminate</w:t>
            </w:r>
            <w:r w:rsidRPr="00A24200">
              <w:rPr>
                <w:kern w:val="22"/>
              </w:rPr>
              <w:t xml:space="preserve"> guidance documents</w:t>
            </w:r>
            <w:r w:rsidRPr="004F11C8">
              <w:rPr>
                <w:kern w:val="22"/>
              </w:rPr>
              <w:t>, including relevant scientific and reference materials,</w:t>
            </w:r>
            <w:r w:rsidRPr="00A24200">
              <w:rPr>
                <w:kern w:val="22"/>
              </w:rPr>
              <w:t xml:space="preserve"> on risk assessment and risk management</w:t>
            </w:r>
          </w:p>
          <w:p w14:paraId="0CE9CEFA" w14:textId="17114033" w:rsidR="009609F3" w:rsidRPr="002D00B8" w:rsidRDefault="009609F3" w:rsidP="002D00B8">
            <w:pPr>
              <w:kinsoku w:val="0"/>
              <w:overflowPunct w:val="0"/>
              <w:autoSpaceDE w:val="0"/>
              <w:autoSpaceDN w:val="0"/>
              <w:spacing w:before="60"/>
              <w:jc w:val="left"/>
              <w:rPr>
                <w:kern w:val="22"/>
              </w:rPr>
            </w:pPr>
            <w:r w:rsidRPr="004047CF">
              <w:rPr>
                <w:kern w:val="22"/>
              </w:rPr>
              <w:t>4</w:t>
            </w:r>
            <w:r>
              <w:rPr>
                <w:kern w:val="22"/>
              </w:rPr>
              <w:t xml:space="preserve">. </w:t>
            </w:r>
            <w:r w:rsidRPr="004047CF">
              <w:rPr>
                <w:kern w:val="22"/>
              </w:rPr>
              <w:t xml:space="preserve">Develop </w:t>
            </w:r>
            <w:r w:rsidRPr="00677993">
              <w:rPr>
                <w:kern w:val="22"/>
              </w:rPr>
              <w:t>or</w:t>
            </w:r>
            <w:r>
              <w:rPr>
                <w:kern w:val="22"/>
              </w:rPr>
              <w:t xml:space="preserve"> </w:t>
            </w:r>
            <w:r w:rsidRPr="004047CF">
              <w:rPr>
                <w:kern w:val="22"/>
              </w:rPr>
              <w:t>strengthen technical infrastructure for risk assessment and risk management</w:t>
            </w:r>
          </w:p>
          <w:p w14:paraId="63DF76A1" w14:textId="19DE6FE3" w:rsidR="009609F3" w:rsidRPr="004047CF" w:rsidRDefault="009609F3" w:rsidP="002D00B8">
            <w:pPr>
              <w:kinsoku w:val="0"/>
              <w:overflowPunct w:val="0"/>
              <w:autoSpaceDE w:val="0"/>
              <w:autoSpaceDN w:val="0"/>
              <w:spacing w:before="60"/>
              <w:jc w:val="left"/>
              <w:rPr>
                <w:kern w:val="22"/>
              </w:rPr>
            </w:pPr>
            <w:r>
              <w:rPr>
                <w:kern w:val="22"/>
              </w:rPr>
              <w:t xml:space="preserve">5. </w:t>
            </w:r>
            <w:r w:rsidR="00DF6C9C">
              <w:rPr>
                <w:kern w:val="22"/>
              </w:rPr>
              <w:t>Strengthen capacities for r</w:t>
            </w:r>
            <w:r w:rsidRPr="004047CF">
              <w:rPr>
                <w:kern w:val="22"/>
              </w:rPr>
              <w:t>eview</w:t>
            </w:r>
            <w:r w:rsidR="00DF6C9C">
              <w:rPr>
                <w:kern w:val="22"/>
              </w:rPr>
              <w:t>ing</w:t>
            </w:r>
            <w:r w:rsidRPr="004047CF">
              <w:rPr>
                <w:kern w:val="22"/>
              </w:rPr>
              <w:t xml:space="preserve"> </w:t>
            </w:r>
            <w:r w:rsidRPr="009C1AD3">
              <w:rPr>
                <w:kern w:val="22"/>
              </w:rPr>
              <w:t>e</w:t>
            </w:r>
            <w:r w:rsidRPr="004047CF">
              <w:rPr>
                <w:kern w:val="22"/>
              </w:rPr>
              <w:t xml:space="preserve">xisting </w:t>
            </w:r>
            <w:r w:rsidRPr="003E0BD1">
              <w:rPr>
                <w:kern w:val="22"/>
              </w:rPr>
              <w:t>and acquir</w:t>
            </w:r>
            <w:r w:rsidR="00DF6C9C">
              <w:rPr>
                <w:kern w:val="22"/>
              </w:rPr>
              <w:t>ing</w:t>
            </w:r>
            <w:r w:rsidRPr="003E0BD1">
              <w:rPr>
                <w:kern w:val="22"/>
              </w:rPr>
              <w:t xml:space="preserve"> new </w:t>
            </w:r>
            <w:r w:rsidRPr="004047CF">
              <w:rPr>
                <w:kern w:val="22"/>
              </w:rPr>
              <w:t>data on biodiversity for specific ecological areas relevant to risk assessment and risk management</w:t>
            </w:r>
            <w:r>
              <w:rPr>
                <w:kern w:val="22"/>
              </w:rPr>
              <w:t xml:space="preserve"> </w:t>
            </w:r>
            <w:r w:rsidRPr="004047CF">
              <w:rPr>
                <w:kern w:val="22"/>
              </w:rPr>
              <w:t>(e.g., botanical files, consensus documents, national inventories, etc.)</w:t>
            </w:r>
          </w:p>
          <w:p w14:paraId="0ED6ECA3" w14:textId="2A0203C5" w:rsidR="009609F3" w:rsidRDefault="009609F3" w:rsidP="002D00B8">
            <w:pPr>
              <w:kinsoku w:val="0"/>
              <w:overflowPunct w:val="0"/>
              <w:autoSpaceDE w:val="0"/>
              <w:autoSpaceDN w:val="0"/>
              <w:spacing w:before="60"/>
              <w:jc w:val="left"/>
              <w:rPr>
                <w:kern w:val="22"/>
              </w:rPr>
            </w:pPr>
            <w:r>
              <w:rPr>
                <w:kern w:val="22"/>
              </w:rPr>
              <w:t>6. Facilitate access to primary scientific literature</w:t>
            </w:r>
            <w:r w:rsidRPr="004047CF">
              <w:rPr>
                <w:kern w:val="22"/>
              </w:rPr>
              <w:t xml:space="preserve"> relevant for risk assessment and risk management</w:t>
            </w:r>
            <w:r>
              <w:rPr>
                <w:kern w:val="22"/>
              </w:rPr>
              <w:t>;</w:t>
            </w:r>
          </w:p>
          <w:p w14:paraId="63284F68" w14:textId="46DF63B3" w:rsidR="009609F3" w:rsidRPr="00F606DC" w:rsidRDefault="009609F3" w:rsidP="002D00B8">
            <w:pPr>
              <w:kinsoku w:val="0"/>
              <w:overflowPunct w:val="0"/>
              <w:autoSpaceDE w:val="0"/>
              <w:autoSpaceDN w:val="0"/>
              <w:spacing w:after="60"/>
              <w:jc w:val="left"/>
              <w:rPr>
                <w:kern w:val="22"/>
              </w:rPr>
            </w:pPr>
            <w:r>
              <w:rPr>
                <w:kern w:val="22"/>
              </w:rPr>
              <w:t xml:space="preserve">7. </w:t>
            </w:r>
            <w:r w:rsidR="00DF6C9C">
              <w:rPr>
                <w:kern w:val="22"/>
              </w:rPr>
              <w:t>Strengthen capacities for d</w:t>
            </w:r>
            <w:r w:rsidRPr="004047CF">
              <w:rPr>
                <w:kern w:val="22"/>
              </w:rPr>
              <w:t>evelop</w:t>
            </w:r>
            <w:r w:rsidR="00DF6C9C">
              <w:rPr>
                <w:kern w:val="22"/>
              </w:rPr>
              <w:t>ing</w:t>
            </w:r>
            <w:r w:rsidRPr="004047CF">
              <w:rPr>
                <w:kern w:val="22"/>
              </w:rPr>
              <w:t xml:space="preserve"> LMO monitoring frameworks and programmes, including post-release monitoring of LMOs</w:t>
            </w:r>
          </w:p>
        </w:tc>
      </w:tr>
      <w:tr w:rsidR="009609F3" w:rsidRPr="00F606DC" w14:paraId="11994DB4" w14:textId="77777777" w:rsidTr="002D00B8">
        <w:trPr>
          <w:trHeight w:val="1550"/>
        </w:trPr>
        <w:tc>
          <w:tcPr>
            <w:tcW w:w="2580" w:type="dxa"/>
            <w:vMerge/>
            <w:vAlign w:val="center"/>
          </w:tcPr>
          <w:p w14:paraId="4024A34C" w14:textId="77777777" w:rsidR="009609F3" w:rsidRPr="00F606DC" w:rsidRDefault="009609F3" w:rsidP="004D7089">
            <w:pPr>
              <w:kinsoku w:val="0"/>
              <w:overflowPunct w:val="0"/>
              <w:autoSpaceDE w:val="0"/>
              <w:autoSpaceDN w:val="0"/>
              <w:rPr>
                <w:b/>
                <w:bCs/>
                <w:color w:val="A6A6A6"/>
                <w:kern w:val="22"/>
              </w:rPr>
            </w:pPr>
          </w:p>
        </w:tc>
        <w:tc>
          <w:tcPr>
            <w:tcW w:w="2524" w:type="dxa"/>
            <w:vMerge/>
          </w:tcPr>
          <w:p w14:paraId="589975DF" w14:textId="77777777" w:rsidR="009609F3" w:rsidRPr="00F606DC" w:rsidRDefault="009609F3" w:rsidP="004D7089">
            <w:pPr>
              <w:kinsoku w:val="0"/>
              <w:overflowPunct w:val="0"/>
              <w:autoSpaceDE w:val="0"/>
              <w:autoSpaceDN w:val="0"/>
              <w:rPr>
                <w:color w:val="000000"/>
                <w:lang w:val="en-CA" w:eastAsia="en-CA"/>
              </w:rPr>
            </w:pPr>
          </w:p>
        </w:tc>
        <w:tc>
          <w:tcPr>
            <w:tcW w:w="2971" w:type="dxa"/>
          </w:tcPr>
          <w:p w14:paraId="124BCEFF" w14:textId="5E059BDF" w:rsidR="009609F3" w:rsidRPr="00F606DC" w:rsidRDefault="009609F3" w:rsidP="002D00B8">
            <w:pPr>
              <w:kinsoku w:val="0"/>
              <w:overflowPunct w:val="0"/>
              <w:autoSpaceDE w:val="0"/>
              <w:autoSpaceDN w:val="0"/>
              <w:jc w:val="left"/>
              <w:rPr>
                <w:lang w:val="en-CA" w:eastAsia="en-CA"/>
              </w:rPr>
            </w:pPr>
            <w:r>
              <w:rPr>
                <w:color w:val="000000"/>
                <w:lang w:val="en-CA" w:eastAsia="en-CA"/>
              </w:rPr>
              <w:t xml:space="preserve">A.5.2. Parties have </w:t>
            </w:r>
            <w:r w:rsidRPr="004F11C8">
              <w:rPr>
                <w:lang w:val="en-CA" w:eastAsia="en-CA"/>
              </w:rPr>
              <w:t xml:space="preserve">access to and use </w:t>
            </w:r>
            <w:r>
              <w:rPr>
                <w:lang w:val="en-CA" w:eastAsia="en-CA"/>
              </w:rPr>
              <w:t>appropriate guidance materials for carrying out risk assessment and risk management</w:t>
            </w:r>
          </w:p>
        </w:tc>
        <w:tc>
          <w:tcPr>
            <w:tcW w:w="5690" w:type="dxa"/>
            <w:vMerge/>
          </w:tcPr>
          <w:p w14:paraId="0150BE18" w14:textId="77777777" w:rsidR="009609F3" w:rsidRPr="00F606DC" w:rsidRDefault="009609F3" w:rsidP="004D7089">
            <w:pPr>
              <w:kinsoku w:val="0"/>
              <w:overflowPunct w:val="0"/>
              <w:autoSpaceDE w:val="0"/>
              <w:autoSpaceDN w:val="0"/>
              <w:rPr>
                <w:kern w:val="22"/>
              </w:rPr>
            </w:pPr>
          </w:p>
        </w:tc>
      </w:tr>
      <w:tr w:rsidR="009609F3" w:rsidRPr="00F606DC" w14:paraId="189FA5CB" w14:textId="77777777" w:rsidTr="002D00B8">
        <w:trPr>
          <w:trHeight w:val="2054"/>
        </w:trPr>
        <w:tc>
          <w:tcPr>
            <w:tcW w:w="2580" w:type="dxa"/>
            <w:vMerge/>
            <w:vAlign w:val="center"/>
          </w:tcPr>
          <w:p w14:paraId="115E0332" w14:textId="77777777" w:rsidR="009609F3" w:rsidRPr="00131BFA" w:rsidRDefault="009609F3" w:rsidP="004D7089">
            <w:pPr>
              <w:kinsoku w:val="0"/>
              <w:overflowPunct w:val="0"/>
              <w:autoSpaceDE w:val="0"/>
              <w:autoSpaceDN w:val="0"/>
              <w:rPr>
                <w:b/>
                <w:bCs/>
                <w:color w:val="A6A6A6"/>
                <w:kern w:val="22"/>
              </w:rPr>
            </w:pPr>
          </w:p>
        </w:tc>
        <w:tc>
          <w:tcPr>
            <w:tcW w:w="2524" w:type="dxa"/>
          </w:tcPr>
          <w:p w14:paraId="5EAD5BF8" w14:textId="19EDB8A9" w:rsidR="009609F3" w:rsidRPr="00131BFA" w:rsidRDefault="009609F3" w:rsidP="002D00B8">
            <w:pPr>
              <w:kinsoku w:val="0"/>
              <w:overflowPunct w:val="0"/>
              <w:autoSpaceDE w:val="0"/>
              <w:autoSpaceDN w:val="0"/>
              <w:jc w:val="left"/>
              <w:rPr>
                <w:color w:val="000000"/>
                <w:lang w:eastAsia="en-CA"/>
              </w:rPr>
            </w:pPr>
            <w:r>
              <w:rPr>
                <w:color w:val="000000"/>
                <w:lang w:eastAsia="en-CA"/>
              </w:rPr>
              <w:t>A.6</w:t>
            </w:r>
            <w:r w:rsidRPr="00131BFA">
              <w:rPr>
                <w:color w:val="000000"/>
                <w:lang w:eastAsia="en-CA"/>
              </w:rPr>
              <w:t xml:space="preserve">. Parties </w:t>
            </w:r>
            <w:proofErr w:type="gramStart"/>
            <w:r w:rsidRPr="00131BFA">
              <w:rPr>
                <w:color w:val="000000"/>
                <w:lang w:eastAsia="en-CA"/>
              </w:rPr>
              <w:t>are able to</w:t>
            </w:r>
            <w:proofErr w:type="gramEnd"/>
          </w:p>
          <w:p w14:paraId="3BAE2BE2" w14:textId="77777777" w:rsidR="009609F3" w:rsidRPr="00131BFA" w:rsidRDefault="009609F3" w:rsidP="002D00B8">
            <w:pPr>
              <w:kinsoku w:val="0"/>
              <w:overflowPunct w:val="0"/>
              <w:autoSpaceDE w:val="0"/>
              <w:autoSpaceDN w:val="0"/>
              <w:jc w:val="left"/>
              <w:rPr>
                <w:color w:val="000000"/>
                <w:lang w:eastAsia="en-CA"/>
              </w:rPr>
            </w:pPr>
            <w:r w:rsidRPr="00131BFA">
              <w:rPr>
                <w:color w:val="000000"/>
                <w:lang w:eastAsia="en-CA"/>
              </w:rPr>
              <w:t>detect and identify LMOs</w:t>
            </w:r>
          </w:p>
        </w:tc>
        <w:tc>
          <w:tcPr>
            <w:tcW w:w="2971" w:type="dxa"/>
          </w:tcPr>
          <w:p w14:paraId="1A7844C9" w14:textId="4F98092B" w:rsidR="009609F3" w:rsidRDefault="009609F3" w:rsidP="002D00B8">
            <w:pPr>
              <w:kinsoku w:val="0"/>
              <w:overflowPunct w:val="0"/>
              <w:autoSpaceDE w:val="0"/>
              <w:autoSpaceDN w:val="0"/>
              <w:jc w:val="left"/>
              <w:rPr>
                <w:color w:val="000000"/>
                <w:lang w:val="en-CA" w:eastAsia="en-CA"/>
              </w:rPr>
            </w:pPr>
            <w:r>
              <w:rPr>
                <w:color w:val="000000"/>
                <w:lang w:val="en-CA" w:eastAsia="en-CA"/>
              </w:rPr>
              <w:t>A.6</w:t>
            </w:r>
            <w:r w:rsidRPr="00131BFA">
              <w:rPr>
                <w:color w:val="000000"/>
                <w:lang w:val="en-CA" w:eastAsia="en-CA"/>
              </w:rPr>
              <w:t xml:space="preserve">.1. Parties have access </w:t>
            </w:r>
            <w:r w:rsidRPr="004F11C8">
              <w:rPr>
                <w:lang w:val="en-CA" w:eastAsia="en-CA"/>
              </w:rPr>
              <w:t xml:space="preserve">to and use appropriate guidance </w:t>
            </w:r>
            <w:r w:rsidRPr="00131BFA">
              <w:rPr>
                <w:color w:val="000000"/>
                <w:lang w:val="en-CA" w:eastAsia="en-CA"/>
              </w:rPr>
              <w:t xml:space="preserve">materials </w:t>
            </w:r>
          </w:p>
          <w:p w14:paraId="244D5E5F" w14:textId="77777777" w:rsidR="009609F3" w:rsidRDefault="009609F3" w:rsidP="002D00B8">
            <w:pPr>
              <w:kinsoku w:val="0"/>
              <w:overflowPunct w:val="0"/>
              <w:autoSpaceDE w:val="0"/>
              <w:autoSpaceDN w:val="0"/>
              <w:jc w:val="left"/>
              <w:rPr>
                <w:color w:val="000000"/>
                <w:lang w:val="en-CA" w:eastAsia="en-CA"/>
              </w:rPr>
            </w:pPr>
          </w:p>
          <w:p w14:paraId="23D6616F" w14:textId="43D93E6F" w:rsidR="009609F3" w:rsidRPr="00F606DC" w:rsidRDefault="009609F3" w:rsidP="002D00B8">
            <w:pPr>
              <w:kinsoku w:val="0"/>
              <w:overflowPunct w:val="0"/>
              <w:autoSpaceDE w:val="0"/>
              <w:autoSpaceDN w:val="0"/>
              <w:jc w:val="left"/>
              <w:rPr>
                <w:color w:val="000000"/>
                <w:lang w:val="en-CA" w:eastAsia="en-CA"/>
              </w:rPr>
            </w:pPr>
            <w:r>
              <w:rPr>
                <w:color w:val="000000"/>
                <w:lang w:val="en-CA" w:eastAsia="en-CA"/>
              </w:rPr>
              <w:t xml:space="preserve">A.6.2. </w:t>
            </w:r>
            <w:r w:rsidRPr="004F11C8">
              <w:rPr>
                <w:lang w:val="en-CA" w:eastAsia="en-CA"/>
              </w:rPr>
              <w:t xml:space="preserve">Parties have the necessary technical infrastructure in place </w:t>
            </w:r>
            <w:r w:rsidRPr="00131BFA">
              <w:rPr>
                <w:color w:val="000000"/>
                <w:lang w:val="en-CA" w:eastAsia="en-CA"/>
              </w:rPr>
              <w:t>for the detection and identification of LMOs</w:t>
            </w:r>
          </w:p>
        </w:tc>
        <w:tc>
          <w:tcPr>
            <w:tcW w:w="5690" w:type="dxa"/>
            <w:vMerge w:val="restart"/>
          </w:tcPr>
          <w:p w14:paraId="1EFAA829" w14:textId="0300AA9D" w:rsidR="009609F3" w:rsidRDefault="009609F3" w:rsidP="002D00B8">
            <w:pPr>
              <w:kinsoku w:val="0"/>
              <w:overflowPunct w:val="0"/>
              <w:autoSpaceDE w:val="0"/>
              <w:autoSpaceDN w:val="0"/>
              <w:jc w:val="left"/>
              <w:rPr>
                <w:kern w:val="22"/>
              </w:rPr>
            </w:pPr>
            <w:r w:rsidRPr="006C30E0">
              <w:rPr>
                <w:b/>
              </w:rPr>
              <w:t>CB activities under goal</w:t>
            </w:r>
            <w:r>
              <w:rPr>
                <w:b/>
              </w:rPr>
              <w:t>s</w:t>
            </w:r>
            <w:r w:rsidRPr="006C30E0">
              <w:rPr>
                <w:b/>
              </w:rPr>
              <w:t xml:space="preserve"> A.</w:t>
            </w:r>
            <w:r>
              <w:rPr>
                <w:b/>
              </w:rPr>
              <w:t xml:space="preserve">6, A.7 and A.8: </w:t>
            </w:r>
          </w:p>
          <w:p w14:paraId="1111DEBA" w14:textId="4B9E01AE" w:rsidR="009609F3" w:rsidRPr="0076457C" w:rsidRDefault="009609F3" w:rsidP="002D00B8">
            <w:pPr>
              <w:kinsoku w:val="0"/>
              <w:overflowPunct w:val="0"/>
              <w:autoSpaceDE w:val="0"/>
              <w:autoSpaceDN w:val="0"/>
              <w:spacing w:before="60"/>
              <w:jc w:val="left"/>
              <w:rPr>
                <w:kern w:val="22"/>
              </w:rPr>
            </w:pPr>
            <w:r>
              <w:rPr>
                <w:kern w:val="22"/>
              </w:rPr>
              <w:t>1</w:t>
            </w:r>
            <w:r w:rsidRPr="00741B6A">
              <w:rPr>
                <w:kern w:val="22"/>
              </w:rPr>
              <w:t>.</w:t>
            </w:r>
            <w:r w:rsidRPr="0076457C">
              <w:rPr>
                <w:kern w:val="22"/>
              </w:rPr>
              <w:t xml:space="preserve"> </w:t>
            </w:r>
            <w:r w:rsidR="00887427">
              <w:rPr>
                <w:kern w:val="22"/>
              </w:rPr>
              <w:t>Strengthen capacities for d</w:t>
            </w:r>
            <w:r w:rsidRPr="0076457C">
              <w:rPr>
                <w:kern w:val="22"/>
              </w:rPr>
              <w:t>evelop</w:t>
            </w:r>
            <w:r w:rsidR="00887427">
              <w:rPr>
                <w:kern w:val="22"/>
              </w:rPr>
              <w:t>ing</w:t>
            </w:r>
            <w:r w:rsidRPr="0076457C">
              <w:rPr>
                <w:kern w:val="22"/>
              </w:rPr>
              <w:t xml:space="preserve"> standardized forms and checklists on identification requirements for use in verification of the documentation accompanying LMO shipments</w:t>
            </w:r>
          </w:p>
          <w:p w14:paraId="759A3107" w14:textId="77777777" w:rsidR="009609F3" w:rsidRPr="00695DB5" w:rsidRDefault="009609F3" w:rsidP="002D00B8">
            <w:pPr>
              <w:kinsoku w:val="0"/>
              <w:overflowPunct w:val="0"/>
              <w:autoSpaceDE w:val="0"/>
              <w:autoSpaceDN w:val="0"/>
              <w:spacing w:before="60"/>
              <w:jc w:val="left"/>
              <w:rPr>
                <w:kern w:val="22"/>
              </w:rPr>
            </w:pPr>
            <w:r>
              <w:rPr>
                <w:kern w:val="22"/>
              </w:rPr>
              <w:t>2</w:t>
            </w:r>
            <w:r w:rsidRPr="004F11C8">
              <w:rPr>
                <w:kern w:val="22"/>
              </w:rPr>
              <w:t>.</w:t>
            </w:r>
            <w:r w:rsidRPr="0076457C">
              <w:rPr>
                <w:kern w:val="22"/>
              </w:rPr>
              <w:t xml:space="preserve"> Develop </w:t>
            </w:r>
            <w:r w:rsidRPr="004F11C8">
              <w:rPr>
                <w:kern w:val="22"/>
              </w:rPr>
              <w:t xml:space="preserve">and/or </w:t>
            </w:r>
            <w:r>
              <w:rPr>
                <w:kern w:val="22"/>
              </w:rPr>
              <w:t>implement</w:t>
            </w:r>
            <w:r w:rsidRPr="0076457C">
              <w:rPr>
                <w:kern w:val="22"/>
              </w:rPr>
              <w:t xml:space="preserve"> </w:t>
            </w:r>
            <w:r w:rsidRPr="00695DB5">
              <w:rPr>
                <w:kern w:val="22"/>
              </w:rPr>
              <w:t>methodologies and protocols for sampling and detectin</w:t>
            </w:r>
            <w:r>
              <w:rPr>
                <w:kern w:val="22"/>
              </w:rPr>
              <w:t>g</w:t>
            </w:r>
            <w:r w:rsidRPr="00695DB5">
              <w:rPr>
                <w:kern w:val="22"/>
              </w:rPr>
              <w:t xml:space="preserve"> LMOs</w:t>
            </w:r>
          </w:p>
          <w:p w14:paraId="3757C0DF" w14:textId="77777777" w:rsidR="009609F3" w:rsidRPr="00695DB5" w:rsidRDefault="009609F3" w:rsidP="002D00B8">
            <w:pPr>
              <w:kinsoku w:val="0"/>
              <w:overflowPunct w:val="0"/>
              <w:autoSpaceDE w:val="0"/>
              <w:autoSpaceDN w:val="0"/>
              <w:spacing w:before="60"/>
              <w:jc w:val="left"/>
              <w:rPr>
                <w:kern w:val="22"/>
              </w:rPr>
            </w:pPr>
            <w:r>
              <w:rPr>
                <w:kern w:val="22"/>
              </w:rPr>
              <w:t>3</w:t>
            </w:r>
            <w:r w:rsidRPr="004F11C8">
              <w:rPr>
                <w:kern w:val="22"/>
              </w:rPr>
              <w:t>.</w:t>
            </w:r>
            <w:r w:rsidRPr="009070B5">
              <w:rPr>
                <w:kern w:val="22"/>
              </w:rPr>
              <w:t xml:space="preserve"> </w:t>
            </w:r>
            <w:r>
              <w:rPr>
                <w:kern w:val="22"/>
              </w:rPr>
              <w:t>Technical training on LMO documentation requirements, detection and identification procedures for customs and border control officials, laboratory personnel and other relevant stakeholders</w:t>
            </w:r>
          </w:p>
          <w:p w14:paraId="3C8EF112" w14:textId="32139183" w:rsidR="009609F3" w:rsidRPr="00695DB5" w:rsidRDefault="009609F3" w:rsidP="002D00B8">
            <w:pPr>
              <w:kinsoku w:val="0"/>
              <w:overflowPunct w:val="0"/>
              <w:autoSpaceDE w:val="0"/>
              <w:autoSpaceDN w:val="0"/>
              <w:spacing w:before="60"/>
              <w:jc w:val="left"/>
              <w:rPr>
                <w:kern w:val="22"/>
              </w:rPr>
            </w:pPr>
            <w:r>
              <w:rPr>
                <w:kern w:val="22"/>
              </w:rPr>
              <w:t>4.</w:t>
            </w:r>
            <w:r w:rsidRPr="00695DB5">
              <w:rPr>
                <w:kern w:val="22"/>
              </w:rPr>
              <w:t xml:space="preserve"> Establish</w:t>
            </w:r>
            <w:r>
              <w:rPr>
                <w:kern w:val="22"/>
              </w:rPr>
              <w:t>, maintain</w:t>
            </w:r>
            <w:r w:rsidRPr="00695DB5">
              <w:rPr>
                <w:kern w:val="22"/>
              </w:rPr>
              <w:t xml:space="preserve"> </w:t>
            </w:r>
            <w:r>
              <w:rPr>
                <w:kern w:val="22"/>
              </w:rPr>
              <w:t xml:space="preserve">and improve </w:t>
            </w:r>
            <w:r w:rsidRPr="00695DB5">
              <w:rPr>
                <w:kern w:val="22"/>
              </w:rPr>
              <w:t>infrastructure</w:t>
            </w:r>
            <w:r>
              <w:rPr>
                <w:kern w:val="22"/>
              </w:rPr>
              <w:t xml:space="preserve">, facilities and equipment </w:t>
            </w:r>
            <w:r w:rsidRPr="00695DB5">
              <w:rPr>
                <w:kern w:val="22"/>
              </w:rPr>
              <w:t>for detection and identification of LMOs, including accredited laboratories</w:t>
            </w:r>
          </w:p>
          <w:p w14:paraId="72649B1D" w14:textId="06042831" w:rsidR="009609F3" w:rsidRPr="00131BFA" w:rsidRDefault="009609F3" w:rsidP="002D00B8">
            <w:pPr>
              <w:kinsoku w:val="0"/>
              <w:overflowPunct w:val="0"/>
              <w:autoSpaceDE w:val="0"/>
              <w:autoSpaceDN w:val="0"/>
              <w:jc w:val="left"/>
              <w:rPr>
                <w:kern w:val="22"/>
              </w:rPr>
            </w:pPr>
            <w:r>
              <w:rPr>
                <w:kern w:val="22"/>
              </w:rPr>
              <w:t>5.</w:t>
            </w:r>
            <w:r w:rsidRPr="00695DB5">
              <w:rPr>
                <w:kern w:val="22"/>
              </w:rPr>
              <w:t xml:space="preserve"> Establish </w:t>
            </w:r>
            <w:r>
              <w:rPr>
                <w:kern w:val="22"/>
              </w:rPr>
              <w:t xml:space="preserve">and maintain </w:t>
            </w:r>
            <w:r w:rsidRPr="00695DB5">
              <w:rPr>
                <w:kern w:val="22"/>
              </w:rPr>
              <w:t>(sub)regional networks of laboratories for LMO detection</w:t>
            </w:r>
          </w:p>
        </w:tc>
      </w:tr>
      <w:tr w:rsidR="009609F3" w:rsidRPr="00F606DC" w14:paraId="140D16C8" w14:textId="77777777" w:rsidTr="002D00B8">
        <w:trPr>
          <w:trHeight w:val="2399"/>
        </w:trPr>
        <w:tc>
          <w:tcPr>
            <w:tcW w:w="2580" w:type="dxa"/>
            <w:vMerge/>
            <w:vAlign w:val="center"/>
          </w:tcPr>
          <w:p w14:paraId="3FA812C5" w14:textId="77777777" w:rsidR="009609F3" w:rsidRPr="00131BFA" w:rsidRDefault="009609F3" w:rsidP="004D7089">
            <w:pPr>
              <w:kinsoku w:val="0"/>
              <w:overflowPunct w:val="0"/>
              <w:autoSpaceDE w:val="0"/>
              <w:autoSpaceDN w:val="0"/>
              <w:rPr>
                <w:b/>
                <w:bCs/>
                <w:color w:val="A6A6A6"/>
                <w:kern w:val="22"/>
              </w:rPr>
            </w:pPr>
          </w:p>
        </w:tc>
        <w:tc>
          <w:tcPr>
            <w:tcW w:w="2524" w:type="dxa"/>
          </w:tcPr>
          <w:p w14:paraId="2DE4E7FC" w14:textId="76D811D6" w:rsidR="009609F3" w:rsidRDefault="009609F3" w:rsidP="002D00B8">
            <w:pPr>
              <w:kinsoku w:val="0"/>
              <w:overflowPunct w:val="0"/>
              <w:autoSpaceDE w:val="0"/>
              <w:autoSpaceDN w:val="0"/>
              <w:jc w:val="left"/>
              <w:rPr>
                <w:color w:val="000000"/>
                <w:lang w:eastAsia="en-CA"/>
              </w:rPr>
            </w:pPr>
            <w:r>
              <w:rPr>
                <w:lang w:val="en-CA" w:eastAsia="en-CA"/>
              </w:rPr>
              <w:t>A.7</w:t>
            </w:r>
            <w:r w:rsidRPr="004F11C8">
              <w:rPr>
                <w:lang w:val="en-CA" w:eastAsia="en-CA"/>
              </w:rPr>
              <w:t>. Parties prevent illegal and unintentional transboundary movements of LMOs</w:t>
            </w:r>
          </w:p>
        </w:tc>
        <w:tc>
          <w:tcPr>
            <w:tcW w:w="2971" w:type="dxa"/>
          </w:tcPr>
          <w:p w14:paraId="41A46EE9" w14:textId="2DE12051" w:rsidR="009609F3" w:rsidRDefault="009609F3" w:rsidP="002D00B8">
            <w:pPr>
              <w:kinsoku w:val="0"/>
              <w:overflowPunct w:val="0"/>
              <w:autoSpaceDE w:val="0"/>
              <w:autoSpaceDN w:val="0"/>
              <w:jc w:val="left"/>
              <w:rPr>
                <w:color w:val="000000"/>
                <w:lang w:val="en-CA" w:eastAsia="en-CA"/>
              </w:rPr>
            </w:pPr>
            <w:r>
              <w:rPr>
                <w:lang w:val="en-CA" w:eastAsia="en-CA"/>
              </w:rPr>
              <w:t>A.7</w:t>
            </w:r>
            <w:r w:rsidRPr="004F11C8">
              <w:rPr>
                <w:lang w:val="en-CA" w:eastAsia="en-CA"/>
              </w:rPr>
              <w:t>.1. Parties have adopted appropriate measures to prevent illegal and unintentional transboundary movements of LMOs</w:t>
            </w:r>
          </w:p>
        </w:tc>
        <w:tc>
          <w:tcPr>
            <w:tcW w:w="5690" w:type="dxa"/>
            <w:vMerge/>
          </w:tcPr>
          <w:p w14:paraId="5C3FBB9B" w14:textId="77777777" w:rsidR="009609F3" w:rsidDel="001D5443" w:rsidRDefault="009609F3" w:rsidP="004D7089">
            <w:pPr>
              <w:kinsoku w:val="0"/>
              <w:overflowPunct w:val="0"/>
              <w:autoSpaceDE w:val="0"/>
              <w:autoSpaceDN w:val="0"/>
              <w:rPr>
                <w:color w:val="4F81BD" w:themeColor="accent1"/>
                <w:kern w:val="22"/>
              </w:rPr>
            </w:pPr>
          </w:p>
        </w:tc>
      </w:tr>
      <w:tr w:rsidR="009609F3" w:rsidRPr="00F606DC" w14:paraId="10F57717" w14:textId="77777777" w:rsidTr="002D00B8">
        <w:trPr>
          <w:trHeight w:val="1545"/>
        </w:trPr>
        <w:tc>
          <w:tcPr>
            <w:tcW w:w="2580" w:type="dxa"/>
            <w:vMerge/>
            <w:vAlign w:val="center"/>
          </w:tcPr>
          <w:p w14:paraId="27387AD6" w14:textId="77777777" w:rsidR="009609F3" w:rsidRPr="00F606DC" w:rsidRDefault="009609F3" w:rsidP="004D7089">
            <w:pPr>
              <w:kinsoku w:val="0"/>
              <w:overflowPunct w:val="0"/>
              <w:autoSpaceDE w:val="0"/>
              <w:autoSpaceDN w:val="0"/>
              <w:rPr>
                <w:b/>
                <w:bCs/>
                <w:color w:val="A6A6A6"/>
                <w:kern w:val="22"/>
              </w:rPr>
            </w:pPr>
          </w:p>
        </w:tc>
        <w:tc>
          <w:tcPr>
            <w:tcW w:w="2524" w:type="dxa"/>
          </w:tcPr>
          <w:p w14:paraId="3CCD3783" w14:textId="4C8380B2" w:rsidR="009609F3" w:rsidRDefault="009609F3" w:rsidP="002D00B8">
            <w:pPr>
              <w:kinsoku w:val="0"/>
              <w:overflowPunct w:val="0"/>
              <w:autoSpaceDE w:val="0"/>
              <w:autoSpaceDN w:val="0"/>
              <w:jc w:val="left"/>
              <w:rPr>
                <w:color w:val="000000"/>
                <w:lang w:val="en-CA" w:eastAsia="en-CA"/>
              </w:rPr>
            </w:pPr>
            <w:r>
              <w:rPr>
                <w:lang w:val="en-CA" w:eastAsia="en-CA"/>
              </w:rPr>
              <w:t>A.8</w:t>
            </w:r>
            <w:r w:rsidRPr="004F11C8">
              <w:rPr>
                <w:lang w:val="en-CA" w:eastAsia="en-CA"/>
              </w:rPr>
              <w:t xml:space="preserve">. Parties have measures in place to </w:t>
            </w:r>
            <w:r>
              <w:rPr>
                <w:lang w:val="en-CA" w:eastAsia="en-CA"/>
              </w:rPr>
              <w:t>fulfil</w:t>
            </w:r>
            <w:r w:rsidRPr="004F11C8">
              <w:rPr>
                <w:lang w:val="en-CA" w:eastAsia="en-CA"/>
              </w:rPr>
              <w:t xml:space="preserve"> the handling, transport, packaging and identification requirements of LMOs under the Protocol.</w:t>
            </w:r>
          </w:p>
        </w:tc>
        <w:tc>
          <w:tcPr>
            <w:tcW w:w="2971" w:type="dxa"/>
          </w:tcPr>
          <w:p w14:paraId="4CFD27B3" w14:textId="68869872" w:rsidR="009609F3" w:rsidRPr="00D5298C" w:rsidRDefault="009609F3" w:rsidP="002D00B8">
            <w:pPr>
              <w:kinsoku w:val="0"/>
              <w:overflowPunct w:val="0"/>
              <w:autoSpaceDE w:val="0"/>
              <w:autoSpaceDN w:val="0"/>
              <w:spacing w:after="60"/>
              <w:jc w:val="left"/>
              <w:rPr>
                <w:lang w:val="en-CA" w:eastAsia="en-CA"/>
              </w:rPr>
            </w:pPr>
            <w:r w:rsidRPr="00D5298C">
              <w:rPr>
                <w:lang w:val="en-CA" w:eastAsia="en-CA"/>
              </w:rPr>
              <w:t>A.8</w:t>
            </w:r>
            <w:r w:rsidRPr="004F11C8">
              <w:rPr>
                <w:lang w:val="en-CA" w:eastAsia="en-CA"/>
              </w:rPr>
              <w:t xml:space="preserve">.1. Parties have adopted </w:t>
            </w:r>
            <w:r w:rsidRPr="00D5298C">
              <w:rPr>
                <w:lang w:val="en-CA" w:eastAsia="en-CA"/>
              </w:rPr>
              <w:t xml:space="preserve">the necessary </w:t>
            </w:r>
            <w:r w:rsidRPr="004F11C8">
              <w:rPr>
                <w:lang w:val="en-CA" w:eastAsia="en-CA"/>
              </w:rPr>
              <w:t xml:space="preserve">measures to </w:t>
            </w:r>
            <w:r w:rsidRPr="00D5298C">
              <w:rPr>
                <w:lang w:val="en-CA" w:eastAsia="en-CA"/>
              </w:rPr>
              <w:t>require that LMOs subject to transboundary movement are</w:t>
            </w:r>
            <w:r w:rsidRPr="004F11C8">
              <w:rPr>
                <w:lang w:val="en-CA" w:eastAsia="en-CA"/>
              </w:rPr>
              <w:t xml:space="preserve"> handl</w:t>
            </w:r>
            <w:r w:rsidRPr="00D5298C">
              <w:rPr>
                <w:lang w:val="en-CA" w:eastAsia="en-CA"/>
              </w:rPr>
              <w:t>ed</w:t>
            </w:r>
            <w:r w:rsidRPr="004F11C8">
              <w:rPr>
                <w:lang w:val="en-CA" w:eastAsia="en-CA"/>
              </w:rPr>
              <w:t xml:space="preserve">, </w:t>
            </w:r>
            <w:r w:rsidRPr="00D5298C">
              <w:rPr>
                <w:lang w:val="en-CA" w:eastAsia="en-CA"/>
              </w:rPr>
              <w:t xml:space="preserve">packaged and </w:t>
            </w:r>
            <w:r w:rsidRPr="004F11C8">
              <w:rPr>
                <w:lang w:val="en-CA" w:eastAsia="en-CA"/>
              </w:rPr>
              <w:t>transport</w:t>
            </w:r>
            <w:r w:rsidRPr="00D5298C">
              <w:rPr>
                <w:lang w:val="en-CA" w:eastAsia="en-CA"/>
              </w:rPr>
              <w:t>ed</w:t>
            </w:r>
            <w:r w:rsidRPr="004F11C8">
              <w:rPr>
                <w:lang w:val="en-CA" w:eastAsia="en-CA"/>
              </w:rPr>
              <w:t xml:space="preserve"> </w:t>
            </w:r>
            <w:r w:rsidRPr="00D5298C">
              <w:rPr>
                <w:lang w:val="en-CA" w:eastAsia="en-CA"/>
              </w:rPr>
              <w:t>under conditions of safety, taking into consideration relevant international rules and standards</w:t>
            </w:r>
          </w:p>
          <w:p w14:paraId="27D77947" w14:textId="0E93338B" w:rsidR="009609F3" w:rsidRPr="00D5298C" w:rsidRDefault="009609F3" w:rsidP="002D00B8">
            <w:pPr>
              <w:kinsoku w:val="0"/>
              <w:overflowPunct w:val="0"/>
              <w:autoSpaceDE w:val="0"/>
              <w:autoSpaceDN w:val="0"/>
              <w:spacing w:after="60"/>
              <w:jc w:val="left"/>
              <w:rPr>
                <w:lang w:val="en-CA" w:eastAsia="en-CA"/>
              </w:rPr>
            </w:pPr>
            <w:r w:rsidRPr="00D5298C">
              <w:rPr>
                <w:lang w:val="en-CA" w:eastAsia="en-CA"/>
              </w:rPr>
              <w:t>A.8.2. Parties have measures in place to fulfil the documentation requirements for LMOs intended for direct use as food or feed, or for processing; LMOs destined for contained use; LMOs for international introduction into the environment and other LMOs</w:t>
            </w:r>
          </w:p>
        </w:tc>
        <w:tc>
          <w:tcPr>
            <w:tcW w:w="5690" w:type="dxa"/>
            <w:vMerge/>
          </w:tcPr>
          <w:p w14:paraId="105466B9" w14:textId="77777777" w:rsidR="009609F3" w:rsidRPr="00B840BE" w:rsidRDefault="009609F3" w:rsidP="004D7089">
            <w:pPr>
              <w:kinsoku w:val="0"/>
              <w:overflowPunct w:val="0"/>
              <w:autoSpaceDE w:val="0"/>
              <w:autoSpaceDN w:val="0"/>
              <w:rPr>
                <w:color w:val="00B050"/>
                <w:kern w:val="22"/>
              </w:rPr>
            </w:pPr>
          </w:p>
        </w:tc>
      </w:tr>
      <w:tr w:rsidR="004D7089" w:rsidRPr="00F606DC" w14:paraId="15A1DF6D" w14:textId="77777777" w:rsidTr="002D00B8">
        <w:trPr>
          <w:trHeight w:val="1545"/>
        </w:trPr>
        <w:tc>
          <w:tcPr>
            <w:tcW w:w="2580" w:type="dxa"/>
            <w:vMerge/>
            <w:vAlign w:val="center"/>
          </w:tcPr>
          <w:p w14:paraId="552FB898" w14:textId="77777777" w:rsidR="004D7089" w:rsidRPr="00F606DC" w:rsidRDefault="004D7089" w:rsidP="004D7089">
            <w:pPr>
              <w:kinsoku w:val="0"/>
              <w:overflowPunct w:val="0"/>
              <w:autoSpaceDE w:val="0"/>
              <w:autoSpaceDN w:val="0"/>
              <w:rPr>
                <w:b/>
                <w:bCs/>
                <w:color w:val="A6A6A6"/>
                <w:kern w:val="22"/>
              </w:rPr>
            </w:pPr>
          </w:p>
        </w:tc>
        <w:tc>
          <w:tcPr>
            <w:tcW w:w="2524" w:type="dxa"/>
            <w:vMerge w:val="restart"/>
          </w:tcPr>
          <w:p w14:paraId="22C97311" w14:textId="4D38CD6A" w:rsidR="004D7089" w:rsidRPr="00F606DC" w:rsidRDefault="004D7089" w:rsidP="002D00B8">
            <w:pPr>
              <w:kinsoku w:val="0"/>
              <w:overflowPunct w:val="0"/>
              <w:autoSpaceDE w:val="0"/>
              <w:autoSpaceDN w:val="0"/>
              <w:jc w:val="left"/>
              <w:rPr>
                <w:color w:val="A6A6A6"/>
                <w:kern w:val="22"/>
              </w:rPr>
            </w:pPr>
            <w:r>
              <w:rPr>
                <w:color w:val="000000"/>
                <w:lang w:val="en-CA" w:eastAsia="en-CA"/>
              </w:rPr>
              <w:t>A.9</w:t>
            </w:r>
            <w:r w:rsidRPr="00F606DC">
              <w:rPr>
                <w:color w:val="000000"/>
                <w:lang w:val="en-CA" w:eastAsia="en-CA"/>
              </w:rPr>
              <w:t xml:space="preserve">. Parties </w:t>
            </w:r>
            <w:r w:rsidRPr="004F11C8">
              <w:rPr>
                <w:lang w:val="en-CA" w:eastAsia="en-CA"/>
              </w:rPr>
              <w:t>that choose to do so,</w:t>
            </w:r>
            <w:r w:rsidRPr="002D00B8">
              <w:rPr>
                <w:lang w:val="en-CA" w:eastAsia="en-CA"/>
              </w:rPr>
              <w:t xml:space="preserve"> </w:t>
            </w:r>
            <w:proofErr w:type="gramStart"/>
            <w:r w:rsidRPr="00F606DC">
              <w:rPr>
                <w:color w:val="000000"/>
                <w:lang w:val="en-CA" w:eastAsia="en-CA"/>
              </w:rPr>
              <w:t>take into account</w:t>
            </w:r>
            <w:proofErr w:type="gramEnd"/>
            <w:r w:rsidRPr="00F606DC">
              <w:rPr>
                <w:color w:val="000000"/>
                <w:lang w:val="en-CA" w:eastAsia="en-CA"/>
              </w:rPr>
              <w:t xml:space="preserve"> socio-economic considerations when taking decisions on the import of LMOs in accordance with Article 26 of the Protocol</w:t>
            </w:r>
          </w:p>
        </w:tc>
        <w:tc>
          <w:tcPr>
            <w:tcW w:w="2971" w:type="dxa"/>
          </w:tcPr>
          <w:p w14:paraId="25501078" w14:textId="7975E879" w:rsidR="004D7089" w:rsidRPr="00F606DC" w:rsidRDefault="004D7089" w:rsidP="002D00B8">
            <w:pPr>
              <w:kinsoku w:val="0"/>
              <w:overflowPunct w:val="0"/>
              <w:autoSpaceDE w:val="0"/>
              <w:autoSpaceDN w:val="0"/>
              <w:jc w:val="left"/>
              <w:rPr>
                <w:color w:val="A6A6A6"/>
                <w:kern w:val="22"/>
              </w:rPr>
            </w:pPr>
            <w:r>
              <w:rPr>
                <w:color w:val="000000"/>
                <w:lang w:val="en-CA" w:eastAsia="en-CA"/>
              </w:rPr>
              <w:t>A.9</w:t>
            </w:r>
            <w:r w:rsidRPr="00F606DC">
              <w:rPr>
                <w:color w:val="000000"/>
                <w:lang w:val="en-CA" w:eastAsia="en-CA"/>
              </w:rPr>
              <w:t xml:space="preserve">.1. Parties have access to appropriate guidance materials for </w:t>
            </w:r>
            <w:proofErr w:type="gramStart"/>
            <w:r w:rsidRPr="00F606DC">
              <w:rPr>
                <w:color w:val="000000"/>
                <w:lang w:val="en-CA" w:eastAsia="en-CA"/>
              </w:rPr>
              <w:t>taking into account</w:t>
            </w:r>
            <w:proofErr w:type="gramEnd"/>
            <w:r w:rsidRPr="00F606DC">
              <w:rPr>
                <w:color w:val="000000"/>
                <w:lang w:val="en-CA" w:eastAsia="en-CA"/>
              </w:rPr>
              <w:t xml:space="preserve"> socio-economic considerations in accordance with Article 26 of the Protocol</w:t>
            </w:r>
          </w:p>
        </w:tc>
        <w:tc>
          <w:tcPr>
            <w:tcW w:w="5690" w:type="dxa"/>
            <w:vMerge w:val="restart"/>
          </w:tcPr>
          <w:p w14:paraId="74AE100E" w14:textId="402D2513" w:rsidR="009609F3" w:rsidRDefault="009609F3" w:rsidP="002D00B8">
            <w:pPr>
              <w:kinsoku w:val="0"/>
              <w:overflowPunct w:val="0"/>
              <w:autoSpaceDE w:val="0"/>
              <w:autoSpaceDN w:val="0"/>
              <w:jc w:val="left"/>
              <w:rPr>
                <w:b/>
              </w:rPr>
            </w:pPr>
            <w:r w:rsidRPr="006C30E0">
              <w:rPr>
                <w:b/>
              </w:rPr>
              <w:t>CB activities under goal</w:t>
            </w:r>
            <w:r>
              <w:rPr>
                <w:b/>
              </w:rPr>
              <w:t xml:space="preserve"> A.9:</w:t>
            </w:r>
          </w:p>
          <w:p w14:paraId="5E3440AC" w14:textId="1EF431FB" w:rsidR="004D7089" w:rsidRPr="00F606DC" w:rsidRDefault="00424A14" w:rsidP="002D00B8">
            <w:pPr>
              <w:kinsoku w:val="0"/>
              <w:overflowPunct w:val="0"/>
              <w:autoSpaceDE w:val="0"/>
              <w:autoSpaceDN w:val="0"/>
              <w:jc w:val="left"/>
              <w:rPr>
                <w:kern w:val="22"/>
              </w:rPr>
            </w:pPr>
            <w:r>
              <w:rPr>
                <w:kern w:val="22"/>
              </w:rPr>
              <w:t>1</w:t>
            </w:r>
            <w:r w:rsidR="004D7089" w:rsidRPr="004F5B41">
              <w:rPr>
                <w:kern w:val="22"/>
              </w:rPr>
              <w:t xml:space="preserve">. Develop and disseminate guidance documents, experiences with, approaches for and reference materials on </w:t>
            </w:r>
            <w:proofErr w:type="gramStart"/>
            <w:r w:rsidR="004D7089" w:rsidRPr="004F5B41">
              <w:rPr>
                <w:kern w:val="22"/>
              </w:rPr>
              <w:t>taking into account</w:t>
            </w:r>
            <w:proofErr w:type="gramEnd"/>
            <w:r w:rsidR="004D7089" w:rsidRPr="004F5B41">
              <w:rPr>
                <w:kern w:val="22"/>
              </w:rPr>
              <w:t xml:space="preserve"> socio-economic considerations when taking decisions on the import of LMOs, in accordance with Article 26 of the Protocol</w:t>
            </w:r>
          </w:p>
        </w:tc>
      </w:tr>
      <w:tr w:rsidR="004D7089" w:rsidRPr="00F606DC" w14:paraId="3C57AEB3" w14:textId="77777777" w:rsidTr="002D00B8">
        <w:trPr>
          <w:trHeight w:val="1200"/>
        </w:trPr>
        <w:tc>
          <w:tcPr>
            <w:tcW w:w="2580" w:type="dxa"/>
            <w:vMerge/>
            <w:vAlign w:val="center"/>
          </w:tcPr>
          <w:p w14:paraId="7E05235F" w14:textId="77777777" w:rsidR="004D7089" w:rsidRPr="00F606DC" w:rsidRDefault="004D7089" w:rsidP="004D7089">
            <w:pPr>
              <w:kinsoku w:val="0"/>
              <w:overflowPunct w:val="0"/>
              <w:autoSpaceDE w:val="0"/>
              <w:autoSpaceDN w:val="0"/>
              <w:rPr>
                <w:b/>
                <w:bCs/>
                <w:color w:val="A6A6A6"/>
                <w:kern w:val="22"/>
              </w:rPr>
            </w:pPr>
          </w:p>
        </w:tc>
        <w:tc>
          <w:tcPr>
            <w:tcW w:w="2524" w:type="dxa"/>
            <w:vMerge/>
            <w:vAlign w:val="center"/>
          </w:tcPr>
          <w:p w14:paraId="262AFE5B" w14:textId="77777777" w:rsidR="004D7089" w:rsidRPr="00F606DC" w:rsidRDefault="004D7089" w:rsidP="002D00B8">
            <w:pPr>
              <w:kinsoku w:val="0"/>
              <w:overflowPunct w:val="0"/>
              <w:autoSpaceDE w:val="0"/>
              <w:autoSpaceDN w:val="0"/>
              <w:jc w:val="left"/>
              <w:rPr>
                <w:color w:val="A6A6A6"/>
                <w:kern w:val="22"/>
              </w:rPr>
            </w:pPr>
          </w:p>
        </w:tc>
        <w:tc>
          <w:tcPr>
            <w:tcW w:w="2971" w:type="dxa"/>
          </w:tcPr>
          <w:p w14:paraId="17169EE8" w14:textId="192E2920" w:rsidR="004D7089" w:rsidRPr="00F606DC" w:rsidRDefault="004D7089" w:rsidP="002D00B8">
            <w:pPr>
              <w:kinsoku w:val="0"/>
              <w:overflowPunct w:val="0"/>
              <w:autoSpaceDE w:val="0"/>
              <w:autoSpaceDN w:val="0"/>
              <w:spacing w:after="60"/>
              <w:jc w:val="left"/>
              <w:rPr>
                <w:color w:val="A6A6A6"/>
                <w:kern w:val="22"/>
              </w:rPr>
            </w:pPr>
            <w:r>
              <w:rPr>
                <w:lang w:val="en-CA" w:eastAsia="en-CA"/>
              </w:rPr>
              <w:t>A.9</w:t>
            </w:r>
            <w:r w:rsidRPr="00F606DC">
              <w:rPr>
                <w:lang w:val="en-CA" w:eastAsia="en-CA"/>
              </w:rPr>
              <w:t xml:space="preserve">.2. Parties share experiences with and approaches for </w:t>
            </w:r>
            <w:proofErr w:type="gramStart"/>
            <w:r w:rsidRPr="00F606DC">
              <w:rPr>
                <w:lang w:val="en-CA" w:eastAsia="en-CA"/>
              </w:rPr>
              <w:t>taking into account</w:t>
            </w:r>
            <w:proofErr w:type="gramEnd"/>
            <w:r w:rsidRPr="00F606DC">
              <w:rPr>
                <w:lang w:val="en-CA" w:eastAsia="en-CA"/>
              </w:rPr>
              <w:t xml:space="preserve"> socio-economic considerations</w:t>
            </w:r>
          </w:p>
        </w:tc>
        <w:tc>
          <w:tcPr>
            <w:tcW w:w="5690" w:type="dxa"/>
            <w:vMerge/>
          </w:tcPr>
          <w:p w14:paraId="59DADCDB" w14:textId="77777777" w:rsidR="004D7089" w:rsidRPr="00F606DC" w:rsidRDefault="004D7089" w:rsidP="002D00B8">
            <w:pPr>
              <w:kinsoku w:val="0"/>
              <w:overflowPunct w:val="0"/>
              <w:autoSpaceDE w:val="0"/>
              <w:autoSpaceDN w:val="0"/>
              <w:jc w:val="left"/>
              <w:rPr>
                <w:kern w:val="22"/>
              </w:rPr>
            </w:pPr>
          </w:p>
        </w:tc>
      </w:tr>
      <w:tr w:rsidR="004D7089" w:rsidRPr="00F606DC" w14:paraId="3197213E" w14:textId="77777777" w:rsidTr="002D00B8">
        <w:trPr>
          <w:trHeight w:val="1995"/>
        </w:trPr>
        <w:tc>
          <w:tcPr>
            <w:tcW w:w="2580" w:type="dxa"/>
            <w:vMerge/>
            <w:vAlign w:val="center"/>
          </w:tcPr>
          <w:p w14:paraId="0AD5ED82" w14:textId="77777777" w:rsidR="004D7089" w:rsidRPr="00F606DC" w:rsidRDefault="004D7089" w:rsidP="004D7089">
            <w:pPr>
              <w:kinsoku w:val="0"/>
              <w:overflowPunct w:val="0"/>
              <w:autoSpaceDE w:val="0"/>
              <w:autoSpaceDN w:val="0"/>
              <w:rPr>
                <w:b/>
                <w:bCs/>
                <w:color w:val="A6A6A6"/>
                <w:kern w:val="22"/>
              </w:rPr>
            </w:pPr>
          </w:p>
        </w:tc>
        <w:tc>
          <w:tcPr>
            <w:tcW w:w="2524" w:type="dxa"/>
            <w:vMerge w:val="restart"/>
          </w:tcPr>
          <w:p w14:paraId="4C055DF5" w14:textId="35E6969F" w:rsidR="004D7089" w:rsidRPr="00F606DC" w:rsidRDefault="004D7089" w:rsidP="002D00B8">
            <w:pPr>
              <w:kinsoku w:val="0"/>
              <w:overflowPunct w:val="0"/>
              <w:autoSpaceDE w:val="0"/>
              <w:autoSpaceDN w:val="0"/>
              <w:jc w:val="left"/>
              <w:rPr>
                <w:color w:val="A6A6A6"/>
                <w:kern w:val="22"/>
              </w:rPr>
            </w:pPr>
            <w:r>
              <w:rPr>
                <w:color w:val="000000"/>
                <w:lang w:val="en-CA" w:eastAsia="en-CA"/>
              </w:rPr>
              <w:t>A.10</w:t>
            </w:r>
            <w:r w:rsidRPr="00F606DC">
              <w:rPr>
                <w:color w:val="000000"/>
                <w:lang w:val="en-CA" w:eastAsia="en-CA"/>
              </w:rPr>
              <w:t>. Parties identify LMOs or traits that may have adverse effects and those that are unlikely to have adverse effects on biological diversity and take appropriate measures</w:t>
            </w:r>
          </w:p>
        </w:tc>
        <w:tc>
          <w:tcPr>
            <w:tcW w:w="2971" w:type="dxa"/>
          </w:tcPr>
          <w:p w14:paraId="04F24FA8" w14:textId="46F7C85D" w:rsidR="004D7089" w:rsidRPr="00F606DC" w:rsidRDefault="004D7089" w:rsidP="002D00B8">
            <w:pPr>
              <w:kinsoku w:val="0"/>
              <w:overflowPunct w:val="0"/>
              <w:autoSpaceDE w:val="0"/>
              <w:autoSpaceDN w:val="0"/>
              <w:jc w:val="left"/>
              <w:rPr>
                <w:color w:val="A6A6A6"/>
                <w:kern w:val="22"/>
              </w:rPr>
            </w:pPr>
            <w:r>
              <w:rPr>
                <w:color w:val="000000"/>
                <w:lang w:val="en-CA" w:eastAsia="en-CA"/>
              </w:rPr>
              <w:t>A.10</w:t>
            </w:r>
            <w:r w:rsidRPr="00F606DC">
              <w:rPr>
                <w:color w:val="000000"/>
                <w:lang w:val="en-CA" w:eastAsia="en-CA"/>
              </w:rPr>
              <w:t>.1. Modalities for cooperation on identifying LMOs or traits that may have adverse effects and those that are unlikely to have adverse effects on biological diversity are developed</w:t>
            </w:r>
          </w:p>
        </w:tc>
        <w:tc>
          <w:tcPr>
            <w:tcW w:w="5690" w:type="dxa"/>
            <w:vMerge w:val="restart"/>
          </w:tcPr>
          <w:p w14:paraId="1C76D9A4" w14:textId="1AEC7A48" w:rsidR="003F5BD1" w:rsidRDefault="003F5BD1" w:rsidP="002D00B8">
            <w:pPr>
              <w:kinsoku w:val="0"/>
              <w:overflowPunct w:val="0"/>
              <w:autoSpaceDE w:val="0"/>
              <w:autoSpaceDN w:val="0"/>
              <w:jc w:val="left"/>
              <w:rPr>
                <w:b/>
              </w:rPr>
            </w:pPr>
            <w:r w:rsidRPr="006C30E0">
              <w:rPr>
                <w:b/>
              </w:rPr>
              <w:t>CB activities under goal</w:t>
            </w:r>
            <w:r>
              <w:rPr>
                <w:b/>
              </w:rPr>
              <w:t xml:space="preserve"> A.10</w:t>
            </w:r>
            <w:r w:rsidR="00662C48">
              <w:rPr>
                <w:b/>
              </w:rPr>
              <w:t>:</w:t>
            </w:r>
          </w:p>
          <w:p w14:paraId="4F314E56" w14:textId="3226C6ED" w:rsidR="004D7089" w:rsidRPr="00F606DC" w:rsidRDefault="004D7089" w:rsidP="002D00B8">
            <w:pPr>
              <w:kinsoku w:val="0"/>
              <w:overflowPunct w:val="0"/>
              <w:autoSpaceDE w:val="0"/>
              <w:autoSpaceDN w:val="0"/>
              <w:jc w:val="left"/>
              <w:rPr>
                <w:kern w:val="22"/>
              </w:rPr>
            </w:pPr>
            <w:r>
              <w:rPr>
                <w:kern w:val="22"/>
              </w:rPr>
              <w:t xml:space="preserve">1. </w:t>
            </w:r>
            <w:r w:rsidR="00887427">
              <w:rPr>
                <w:kern w:val="22"/>
              </w:rPr>
              <w:t>Strengthen capacities for c</w:t>
            </w:r>
            <w:r w:rsidR="004F25DA">
              <w:rPr>
                <w:kern w:val="22"/>
              </w:rPr>
              <w:t>onduct</w:t>
            </w:r>
            <w:r w:rsidR="00887427">
              <w:rPr>
                <w:kern w:val="22"/>
              </w:rPr>
              <w:t>ing</w:t>
            </w:r>
            <w:r w:rsidR="004F25DA">
              <w:rPr>
                <w:kern w:val="22"/>
              </w:rPr>
              <w:t xml:space="preserve"> scientific research on LMOs</w:t>
            </w:r>
            <w:r>
              <w:rPr>
                <w:kern w:val="22"/>
              </w:rPr>
              <w:t xml:space="preserve"> </w:t>
            </w:r>
          </w:p>
        </w:tc>
      </w:tr>
      <w:tr w:rsidR="004D7089" w:rsidRPr="00F606DC" w14:paraId="790170C3" w14:textId="77777777" w:rsidTr="002D00B8">
        <w:trPr>
          <w:trHeight w:val="2410"/>
        </w:trPr>
        <w:tc>
          <w:tcPr>
            <w:tcW w:w="2580" w:type="dxa"/>
            <w:vMerge/>
            <w:vAlign w:val="center"/>
          </w:tcPr>
          <w:p w14:paraId="0DE325DD" w14:textId="77777777" w:rsidR="004D7089" w:rsidRPr="00F606DC" w:rsidRDefault="004D7089" w:rsidP="004D7089">
            <w:pPr>
              <w:kinsoku w:val="0"/>
              <w:overflowPunct w:val="0"/>
              <w:autoSpaceDE w:val="0"/>
              <w:autoSpaceDN w:val="0"/>
              <w:rPr>
                <w:b/>
                <w:bCs/>
                <w:color w:val="A6A6A6"/>
                <w:kern w:val="22"/>
              </w:rPr>
            </w:pPr>
          </w:p>
        </w:tc>
        <w:tc>
          <w:tcPr>
            <w:tcW w:w="2524" w:type="dxa"/>
            <w:vMerge/>
            <w:vAlign w:val="center"/>
          </w:tcPr>
          <w:p w14:paraId="5E3036B2" w14:textId="77777777" w:rsidR="004D7089" w:rsidRPr="00F606DC" w:rsidRDefault="004D7089" w:rsidP="004D7089">
            <w:pPr>
              <w:kinsoku w:val="0"/>
              <w:overflowPunct w:val="0"/>
              <w:autoSpaceDE w:val="0"/>
              <w:autoSpaceDN w:val="0"/>
              <w:rPr>
                <w:color w:val="A6A6A6"/>
                <w:kern w:val="22"/>
              </w:rPr>
            </w:pPr>
          </w:p>
        </w:tc>
        <w:tc>
          <w:tcPr>
            <w:tcW w:w="2971" w:type="dxa"/>
          </w:tcPr>
          <w:p w14:paraId="7AAF3954" w14:textId="4FA4595F" w:rsidR="004D7089" w:rsidRPr="00F606DC" w:rsidRDefault="004D7089" w:rsidP="002D00B8">
            <w:pPr>
              <w:kinsoku w:val="0"/>
              <w:overflowPunct w:val="0"/>
              <w:autoSpaceDE w:val="0"/>
              <w:autoSpaceDN w:val="0"/>
              <w:jc w:val="left"/>
              <w:rPr>
                <w:color w:val="A6A6A6"/>
                <w:kern w:val="22"/>
              </w:rPr>
            </w:pPr>
            <w:r>
              <w:rPr>
                <w:lang w:val="en-CA" w:eastAsia="en-CA"/>
              </w:rPr>
              <w:t>A.10</w:t>
            </w:r>
            <w:r w:rsidRPr="00F606DC">
              <w:rPr>
                <w:lang w:val="en-CA" w:eastAsia="en-CA"/>
              </w:rPr>
              <w:t>.2. Parties take appropriate measures on those LMOs or traits that have been identified to have possible adverse effects and those that are unlikely to have adverse effects on biological diversity</w:t>
            </w:r>
          </w:p>
        </w:tc>
        <w:tc>
          <w:tcPr>
            <w:tcW w:w="5690" w:type="dxa"/>
            <w:vMerge/>
          </w:tcPr>
          <w:p w14:paraId="2F375695" w14:textId="77777777" w:rsidR="004D7089" w:rsidRPr="00F606DC" w:rsidRDefault="004D7089" w:rsidP="004D7089">
            <w:pPr>
              <w:kinsoku w:val="0"/>
              <w:overflowPunct w:val="0"/>
              <w:autoSpaceDE w:val="0"/>
              <w:autoSpaceDN w:val="0"/>
              <w:rPr>
                <w:kern w:val="22"/>
              </w:rPr>
            </w:pPr>
          </w:p>
        </w:tc>
      </w:tr>
      <w:tr w:rsidR="004D7089" w:rsidRPr="00F606DC" w14:paraId="59A3DEC3" w14:textId="77777777" w:rsidTr="002D00B8">
        <w:trPr>
          <w:trHeight w:val="2410"/>
        </w:trPr>
        <w:tc>
          <w:tcPr>
            <w:tcW w:w="2580" w:type="dxa"/>
            <w:vMerge/>
            <w:vAlign w:val="center"/>
          </w:tcPr>
          <w:p w14:paraId="474FD27D" w14:textId="77777777" w:rsidR="004D7089" w:rsidRPr="00FD7F06" w:rsidRDefault="004D7089" w:rsidP="004D7089">
            <w:pPr>
              <w:kinsoku w:val="0"/>
              <w:overflowPunct w:val="0"/>
              <w:autoSpaceDE w:val="0"/>
              <w:autoSpaceDN w:val="0"/>
              <w:rPr>
                <w:b/>
                <w:bCs/>
                <w:color w:val="A6A6A6"/>
                <w:kern w:val="22"/>
              </w:rPr>
            </w:pPr>
          </w:p>
        </w:tc>
        <w:tc>
          <w:tcPr>
            <w:tcW w:w="2524" w:type="dxa"/>
            <w:vMerge w:val="restart"/>
          </w:tcPr>
          <w:p w14:paraId="5C4AE3BE" w14:textId="5764A5E5" w:rsidR="004D7089" w:rsidRPr="001B4887" w:rsidRDefault="004D7089" w:rsidP="002D00B8">
            <w:pPr>
              <w:kinsoku w:val="0"/>
              <w:overflowPunct w:val="0"/>
              <w:autoSpaceDE w:val="0"/>
              <w:autoSpaceDN w:val="0"/>
              <w:jc w:val="left"/>
              <w:rPr>
                <w:color w:val="A6A6A6"/>
                <w:kern w:val="22"/>
              </w:rPr>
            </w:pPr>
            <w:r>
              <w:rPr>
                <w:color w:val="000000"/>
                <w:lang w:val="en-CA" w:eastAsia="en-CA"/>
              </w:rPr>
              <w:t>A.11</w:t>
            </w:r>
            <w:r w:rsidRPr="00F606DC">
              <w:rPr>
                <w:color w:val="000000"/>
                <w:lang w:val="en-CA" w:eastAsia="en-CA"/>
              </w:rPr>
              <w:t xml:space="preserve">. </w:t>
            </w:r>
            <w:r w:rsidRPr="004F11C8">
              <w:rPr>
                <w:lang w:val="en-CA" w:eastAsia="en-CA"/>
              </w:rPr>
              <w:t xml:space="preserve">All Parties to the Cartagena Protocol become </w:t>
            </w:r>
            <w:r w:rsidRPr="00F606DC">
              <w:rPr>
                <w:color w:val="000000"/>
                <w:lang w:val="en-CA" w:eastAsia="en-CA"/>
              </w:rPr>
              <w:t>Parties to the Nagoya-Kuala Lumpur Supplementary Protocol on Liability and Redress</w:t>
            </w:r>
            <w:r>
              <w:rPr>
                <w:color w:val="000000"/>
                <w:lang w:val="en-CA" w:eastAsia="en-CA"/>
              </w:rPr>
              <w:t xml:space="preserve"> </w:t>
            </w:r>
            <w:r w:rsidRPr="004F11C8">
              <w:rPr>
                <w:lang w:val="en-CA" w:eastAsia="en-CA"/>
              </w:rPr>
              <w:t>and have in place measures to fulfill their obligations under the Supplementary Protocol</w:t>
            </w:r>
          </w:p>
        </w:tc>
        <w:tc>
          <w:tcPr>
            <w:tcW w:w="2971" w:type="dxa"/>
          </w:tcPr>
          <w:p w14:paraId="400FE42A" w14:textId="0537D040" w:rsidR="004D7089" w:rsidRDefault="004D7089" w:rsidP="002D00B8">
            <w:pPr>
              <w:kinsoku w:val="0"/>
              <w:overflowPunct w:val="0"/>
              <w:autoSpaceDE w:val="0"/>
              <w:autoSpaceDN w:val="0"/>
              <w:jc w:val="left"/>
              <w:rPr>
                <w:lang w:val="en-CA" w:eastAsia="en-CA"/>
              </w:rPr>
            </w:pPr>
            <w:r>
              <w:rPr>
                <w:color w:val="000000"/>
                <w:lang w:val="en-CA" w:eastAsia="en-CA"/>
              </w:rPr>
              <w:t>A.11</w:t>
            </w:r>
            <w:r w:rsidRPr="00F606DC">
              <w:rPr>
                <w:color w:val="000000"/>
                <w:lang w:val="en-CA" w:eastAsia="en-CA"/>
              </w:rPr>
              <w:t xml:space="preserve">.1. </w:t>
            </w:r>
            <w:r>
              <w:rPr>
                <w:color w:val="000000"/>
                <w:lang w:val="en-CA" w:eastAsia="en-CA"/>
              </w:rPr>
              <w:t>Increased number of</w:t>
            </w:r>
            <w:r w:rsidRPr="00F606DC">
              <w:rPr>
                <w:color w:val="000000"/>
                <w:lang w:val="en-CA" w:eastAsia="en-CA"/>
              </w:rPr>
              <w:t xml:space="preserve"> Parties to the Supplementary Protocol</w:t>
            </w:r>
          </w:p>
        </w:tc>
        <w:tc>
          <w:tcPr>
            <w:tcW w:w="5690" w:type="dxa"/>
            <w:vMerge w:val="restart"/>
          </w:tcPr>
          <w:p w14:paraId="5F3A9FAE" w14:textId="14AA3C34" w:rsidR="001D45D5" w:rsidRDefault="001D45D5" w:rsidP="002D00B8">
            <w:pPr>
              <w:kinsoku w:val="0"/>
              <w:overflowPunct w:val="0"/>
              <w:autoSpaceDE w:val="0"/>
              <w:autoSpaceDN w:val="0"/>
              <w:jc w:val="left"/>
              <w:rPr>
                <w:b/>
              </w:rPr>
            </w:pPr>
            <w:r w:rsidRPr="006C30E0">
              <w:rPr>
                <w:b/>
              </w:rPr>
              <w:t xml:space="preserve">CB activities under </w:t>
            </w:r>
            <w:r>
              <w:rPr>
                <w:b/>
              </w:rPr>
              <w:t>goal A.11:</w:t>
            </w:r>
          </w:p>
          <w:p w14:paraId="3CB0E790" w14:textId="7FC520E5" w:rsidR="004D7089" w:rsidRDefault="004D7089" w:rsidP="002D00B8">
            <w:pPr>
              <w:kinsoku w:val="0"/>
              <w:overflowPunct w:val="0"/>
              <w:autoSpaceDE w:val="0"/>
              <w:autoSpaceDN w:val="0"/>
              <w:spacing w:before="60"/>
              <w:jc w:val="left"/>
              <w:rPr>
                <w:kern w:val="22"/>
              </w:rPr>
            </w:pPr>
            <w:r w:rsidRPr="004047CF">
              <w:rPr>
                <w:kern w:val="22"/>
              </w:rPr>
              <w:t>1</w:t>
            </w:r>
            <w:r>
              <w:rPr>
                <w:kern w:val="22"/>
              </w:rPr>
              <w:t>. Support efforts to prepare for ratification of the Supplementary Protocol;</w:t>
            </w:r>
          </w:p>
          <w:p w14:paraId="69B06404" w14:textId="61D46304" w:rsidR="004D7089" w:rsidRDefault="004D7089" w:rsidP="002D00B8">
            <w:pPr>
              <w:kinsoku w:val="0"/>
              <w:overflowPunct w:val="0"/>
              <w:autoSpaceDE w:val="0"/>
              <w:autoSpaceDN w:val="0"/>
              <w:spacing w:before="60"/>
              <w:jc w:val="left"/>
              <w:rPr>
                <w:kern w:val="22"/>
              </w:rPr>
            </w:pPr>
            <w:r w:rsidRPr="004047CF">
              <w:rPr>
                <w:kern w:val="22"/>
              </w:rPr>
              <w:t>2</w:t>
            </w:r>
            <w:r>
              <w:rPr>
                <w:kern w:val="22"/>
              </w:rPr>
              <w:t xml:space="preserve">. </w:t>
            </w:r>
            <w:r w:rsidR="00F55E76">
              <w:rPr>
                <w:kern w:val="22"/>
              </w:rPr>
              <w:t>Strengthen capacities for d</w:t>
            </w:r>
            <w:r>
              <w:rPr>
                <w:kern w:val="22"/>
              </w:rPr>
              <w:t>evelop</w:t>
            </w:r>
            <w:r w:rsidR="00F55E76">
              <w:rPr>
                <w:kern w:val="22"/>
              </w:rPr>
              <w:t>ing</w:t>
            </w:r>
            <w:r>
              <w:rPr>
                <w:kern w:val="22"/>
              </w:rPr>
              <w:t xml:space="preserve"> appropriate legal and policy measures to </w:t>
            </w:r>
            <w:r w:rsidRPr="004047CF">
              <w:rPr>
                <w:kern w:val="22"/>
              </w:rPr>
              <w:t>implement the requirements of the Supplementary Protocol</w:t>
            </w:r>
          </w:p>
          <w:p w14:paraId="401751A4" w14:textId="2BE77F46" w:rsidR="004D7089" w:rsidRPr="001B4887" w:rsidRDefault="004D7089" w:rsidP="002D00B8">
            <w:pPr>
              <w:kinsoku w:val="0"/>
              <w:overflowPunct w:val="0"/>
              <w:autoSpaceDE w:val="0"/>
              <w:autoSpaceDN w:val="0"/>
              <w:spacing w:before="60"/>
              <w:jc w:val="left"/>
              <w:rPr>
                <w:kern w:val="22"/>
              </w:rPr>
            </w:pPr>
            <w:r w:rsidRPr="004047CF">
              <w:rPr>
                <w:kern w:val="22"/>
              </w:rPr>
              <w:t>3</w:t>
            </w:r>
            <w:r>
              <w:rPr>
                <w:kern w:val="22"/>
              </w:rPr>
              <w:t xml:space="preserve">. Strengthen capacities of competent authorities to discharge their functions under the Supplementary Protocol (e.g. on evaluation of </w:t>
            </w:r>
            <w:r w:rsidRPr="004047CF">
              <w:rPr>
                <w:kern w:val="22"/>
              </w:rPr>
              <w:t>damage,</w:t>
            </w:r>
            <w:r>
              <w:rPr>
                <w:kern w:val="22"/>
              </w:rPr>
              <w:t xml:space="preserve"> demonstrating</w:t>
            </w:r>
            <w:r w:rsidRPr="004047CF">
              <w:rPr>
                <w:kern w:val="22"/>
              </w:rPr>
              <w:t xml:space="preserve"> causal links</w:t>
            </w:r>
            <w:r>
              <w:rPr>
                <w:kern w:val="22"/>
              </w:rPr>
              <w:t>,</w:t>
            </w:r>
            <w:r w:rsidRPr="004047CF">
              <w:rPr>
                <w:kern w:val="22"/>
              </w:rPr>
              <w:t xml:space="preserve"> and determin</w:t>
            </w:r>
            <w:r>
              <w:rPr>
                <w:kern w:val="22"/>
              </w:rPr>
              <w:t>ing</w:t>
            </w:r>
            <w:r w:rsidRPr="004047CF">
              <w:rPr>
                <w:kern w:val="22"/>
              </w:rPr>
              <w:t xml:space="preserve"> appropriate response measures</w:t>
            </w:r>
            <w:r>
              <w:rPr>
                <w:kern w:val="22"/>
              </w:rPr>
              <w:t>)</w:t>
            </w:r>
          </w:p>
        </w:tc>
      </w:tr>
      <w:tr w:rsidR="004D7089" w:rsidRPr="00F606DC" w14:paraId="239F5088" w14:textId="77777777" w:rsidTr="002D00B8">
        <w:trPr>
          <w:trHeight w:val="1620"/>
        </w:trPr>
        <w:tc>
          <w:tcPr>
            <w:tcW w:w="2580" w:type="dxa"/>
            <w:vMerge/>
            <w:vAlign w:val="center"/>
          </w:tcPr>
          <w:p w14:paraId="7EA5C50A" w14:textId="77777777" w:rsidR="004D7089" w:rsidRPr="001B4887" w:rsidRDefault="004D7089" w:rsidP="004D7089">
            <w:pPr>
              <w:kinsoku w:val="0"/>
              <w:overflowPunct w:val="0"/>
              <w:autoSpaceDE w:val="0"/>
              <w:autoSpaceDN w:val="0"/>
              <w:rPr>
                <w:b/>
                <w:bCs/>
                <w:color w:val="A6A6A6"/>
                <w:kern w:val="22"/>
              </w:rPr>
            </w:pPr>
          </w:p>
        </w:tc>
        <w:tc>
          <w:tcPr>
            <w:tcW w:w="2524" w:type="dxa"/>
            <w:vMerge/>
            <w:vAlign w:val="center"/>
          </w:tcPr>
          <w:p w14:paraId="3885078B" w14:textId="77777777" w:rsidR="004D7089" w:rsidRPr="001B4887" w:rsidRDefault="004D7089" w:rsidP="004D7089">
            <w:pPr>
              <w:kinsoku w:val="0"/>
              <w:overflowPunct w:val="0"/>
              <w:autoSpaceDE w:val="0"/>
              <w:autoSpaceDN w:val="0"/>
              <w:rPr>
                <w:color w:val="A6A6A6"/>
                <w:kern w:val="22"/>
              </w:rPr>
            </w:pPr>
          </w:p>
        </w:tc>
        <w:tc>
          <w:tcPr>
            <w:tcW w:w="2971" w:type="dxa"/>
          </w:tcPr>
          <w:p w14:paraId="627F4386" w14:textId="2138E9C9" w:rsidR="004D7089" w:rsidRDefault="004D7089" w:rsidP="002D00B8">
            <w:pPr>
              <w:kinsoku w:val="0"/>
              <w:overflowPunct w:val="0"/>
              <w:autoSpaceDE w:val="0"/>
              <w:autoSpaceDN w:val="0"/>
              <w:jc w:val="left"/>
              <w:rPr>
                <w:lang w:val="en-CA" w:eastAsia="en-CA"/>
              </w:rPr>
            </w:pPr>
            <w:r>
              <w:rPr>
                <w:lang w:val="en-CA" w:eastAsia="en-CA"/>
              </w:rPr>
              <w:t>A.</w:t>
            </w:r>
            <w:r w:rsidRPr="004F11C8">
              <w:rPr>
                <w:lang w:val="en-CA" w:eastAsia="en-CA"/>
              </w:rPr>
              <w:t>11.2. Parties to the Supplementary Protocol have adopted and implemented appropriate response measures to implement the provisions of the Supplementary Protocol</w:t>
            </w:r>
          </w:p>
        </w:tc>
        <w:tc>
          <w:tcPr>
            <w:tcW w:w="5690" w:type="dxa"/>
            <w:vMerge/>
          </w:tcPr>
          <w:p w14:paraId="474E5853" w14:textId="77777777" w:rsidR="004D7089" w:rsidRPr="001B4887" w:rsidRDefault="004D7089" w:rsidP="004D7089">
            <w:pPr>
              <w:kinsoku w:val="0"/>
              <w:overflowPunct w:val="0"/>
              <w:autoSpaceDE w:val="0"/>
              <w:autoSpaceDN w:val="0"/>
              <w:rPr>
                <w:kern w:val="22"/>
              </w:rPr>
            </w:pPr>
          </w:p>
        </w:tc>
      </w:tr>
      <w:tr w:rsidR="004D7089" w:rsidRPr="00F606DC" w14:paraId="51E4B4CA" w14:textId="77777777" w:rsidTr="002D00B8">
        <w:trPr>
          <w:trHeight w:val="1590"/>
        </w:trPr>
        <w:tc>
          <w:tcPr>
            <w:tcW w:w="2580" w:type="dxa"/>
            <w:vMerge w:val="restart"/>
          </w:tcPr>
          <w:p w14:paraId="31E125DB" w14:textId="77777777" w:rsidR="004D7089" w:rsidRPr="00F606DC" w:rsidRDefault="004D7089" w:rsidP="004D7089">
            <w:pPr>
              <w:kinsoku w:val="0"/>
              <w:overflowPunct w:val="0"/>
              <w:autoSpaceDE w:val="0"/>
              <w:autoSpaceDN w:val="0"/>
              <w:rPr>
                <w:b/>
                <w:bCs/>
                <w:color w:val="A6A6A6"/>
                <w:kern w:val="22"/>
              </w:rPr>
            </w:pPr>
            <w:r w:rsidRPr="00F606DC">
              <w:rPr>
                <w:b/>
                <w:bCs/>
                <w:color w:val="000000"/>
                <w:lang w:val="en-CA" w:eastAsia="en-CA"/>
              </w:rPr>
              <w:t>B. Enabling environment</w:t>
            </w:r>
          </w:p>
        </w:tc>
        <w:tc>
          <w:tcPr>
            <w:tcW w:w="2524" w:type="dxa"/>
            <w:vMerge w:val="restart"/>
          </w:tcPr>
          <w:p w14:paraId="25762218" w14:textId="6B0A6CB4" w:rsidR="004D7089" w:rsidRPr="00F606DC" w:rsidRDefault="004D7089" w:rsidP="002D00B8">
            <w:pPr>
              <w:kinsoku w:val="0"/>
              <w:overflowPunct w:val="0"/>
              <w:autoSpaceDE w:val="0"/>
              <w:autoSpaceDN w:val="0"/>
              <w:jc w:val="left"/>
              <w:rPr>
                <w:color w:val="A6A6A6"/>
                <w:kern w:val="22"/>
              </w:rPr>
            </w:pPr>
            <w:r>
              <w:rPr>
                <w:bCs/>
                <w:color w:val="000000"/>
                <w:lang w:val="en-CA" w:eastAsia="en-CA"/>
              </w:rPr>
              <w:t>B.</w:t>
            </w:r>
            <w:r w:rsidRPr="00F606DC">
              <w:rPr>
                <w:bCs/>
                <w:color w:val="000000"/>
                <w:lang w:val="en-CA" w:eastAsia="en-CA"/>
              </w:rPr>
              <w:t xml:space="preserve">1. Parties </w:t>
            </w:r>
            <w:proofErr w:type="gramStart"/>
            <w:r w:rsidRPr="00F606DC">
              <w:rPr>
                <w:bCs/>
                <w:color w:val="000000"/>
                <w:lang w:val="en-CA" w:eastAsia="en-CA"/>
              </w:rPr>
              <w:t>are able to</w:t>
            </w:r>
            <w:proofErr w:type="gramEnd"/>
            <w:r w:rsidRPr="00F606DC">
              <w:rPr>
                <w:bCs/>
                <w:color w:val="000000"/>
                <w:lang w:val="en-CA" w:eastAsia="en-CA"/>
              </w:rPr>
              <w:t xml:space="preserve"> engage in capacity</w:t>
            </w:r>
            <w:r w:rsidR="0072665C">
              <w:rPr>
                <w:bCs/>
                <w:color w:val="000000"/>
                <w:lang w:val="en-CA" w:eastAsia="en-CA"/>
              </w:rPr>
              <w:noBreakHyphen/>
            </w:r>
            <w:r w:rsidRPr="00F606DC">
              <w:rPr>
                <w:bCs/>
                <w:color w:val="000000"/>
                <w:lang w:val="en-CA" w:eastAsia="en-CA"/>
              </w:rPr>
              <w:t xml:space="preserve">building activities addressing </w:t>
            </w:r>
            <w:r>
              <w:rPr>
                <w:bCs/>
                <w:color w:val="000000"/>
                <w:lang w:val="en-CA" w:eastAsia="en-CA"/>
              </w:rPr>
              <w:t xml:space="preserve">their </w:t>
            </w:r>
            <w:r w:rsidRPr="00F606DC">
              <w:rPr>
                <w:bCs/>
                <w:color w:val="000000"/>
                <w:lang w:val="en-CA" w:eastAsia="en-CA"/>
              </w:rPr>
              <w:t>identified needs</w:t>
            </w:r>
          </w:p>
          <w:p w14:paraId="4006BCE6" w14:textId="77777777" w:rsidR="004D7089" w:rsidRPr="00F606DC" w:rsidRDefault="004D7089" w:rsidP="002D00B8">
            <w:pPr>
              <w:kinsoku w:val="0"/>
              <w:overflowPunct w:val="0"/>
              <w:autoSpaceDE w:val="0"/>
              <w:autoSpaceDN w:val="0"/>
              <w:jc w:val="left"/>
              <w:rPr>
                <w:color w:val="A6A6A6"/>
                <w:kern w:val="22"/>
              </w:rPr>
            </w:pPr>
          </w:p>
        </w:tc>
        <w:tc>
          <w:tcPr>
            <w:tcW w:w="2971" w:type="dxa"/>
          </w:tcPr>
          <w:p w14:paraId="5D8996A6" w14:textId="09F93226" w:rsidR="004D7089" w:rsidRPr="00F606DC" w:rsidRDefault="004D7089" w:rsidP="002D00B8">
            <w:pPr>
              <w:jc w:val="left"/>
              <w:rPr>
                <w:color w:val="000000"/>
                <w:lang w:val="en-CA" w:eastAsia="en-CA"/>
              </w:rPr>
            </w:pPr>
            <w:r>
              <w:rPr>
                <w:color w:val="000000"/>
                <w:lang w:val="en-CA" w:eastAsia="en-CA"/>
              </w:rPr>
              <w:t>B.</w:t>
            </w:r>
            <w:r w:rsidRPr="00F606DC">
              <w:rPr>
                <w:color w:val="000000"/>
                <w:lang w:val="en-CA" w:eastAsia="en-CA"/>
              </w:rPr>
              <w:t xml:space="preserve">1.1. Parties have identified their </w:t>
            </w:r>
            <w:r w:rsidR="00A97056">
              <w:rPr>
                <w:color w:val="000000"/>
                <w:lang w:val="en-CA" w:eastAsia="en-CA"/>
              </w:rPr>
              <w:t>capacity-building</w:t>
            </w:r>
            <w:r w:rsidRPr="00F606DC">
              <w:rPr>
                <w:color w:val="000000"/>
                <w:lang w:val="en-CA" w:eastAsia="en-CA"/>
              </w:rPr>
              <w:t xml:space="preserve"> needs</w:t>
            </w:r>
          </w:p>
          <w:p w14:paraId="02654902" w14:textId="77777777" w:rsidR="004D7089" w:rsidRPr="00F606DC" w:rsidRDefault="004D7089" w:rsidP="002D00B8">
            <w:pPr>
              <w:kinsoku w:val="0"/>
              <w:overflowPunct w:val="0"/>
              <w:autoSpaceDE w:val="0"/>
              <w:autoSpaceDN w:val="0"/>
              <w:jc w:val="left"/>
              <w:rPr>
                <w:color w:val="A6A6A6"/>
                <w:kern w:val="22"/>
              </w:rPr>
            </w:pPr>
          </w:p>
        </w:tc>
        <w:tc>
          <w:tcPr>
            <w:tcW w:w="5690" w:type="dxa"/>
            <w:vMerge w:val="restart"/>
          </w:tcPr>
          <w:p w14:paraId="16DB4475" w14:textId="38059FEA" w:rsidR="001D45D5" w:rsidRDefault="001D45D5" w:rsidP="002D00B8">
            <w:pPr>
              <w:kinsoku w:val="0"/>
              <w:overflowPunct w:val="0"/>
              <w:autoSpaceDE w:val="0"/>
              <w:autoSpaceDN w:val="0"/>
              <w:jc w:val="left"/>
              <w:rPr>
                <w:kern w:val="22"/>
              </w:rPr>
            </w:pPr>
            <w:r w:rsidRPr="006C30E0">
              <w:rPr>
                <w:b/>
              </w:rPr>
              <w:t>CB activities under goal</w:t>
            </w:r>
            <w:r>
              <w:rPr>
                <w:b/>
              </w:rPr>
              <w:t>s</w:t>
            </w:r>
            <w:r w:rsidRPr="006C30E0">
              <w:rPr>
                <w:b/>
              </w:rPr>
              <w:t xml:space="preserve"> </w:t>
            </w:r>
            <w:r>
              <w:rPr>
                <w:b/>
              </w:rPr>
              <w:t>B.1:</w:t>
            </w:r>
          </w:p>
          <w:p w14:paraId="0D93BC97" w14:textId="77777777" w:rsidR="001D45D5" w:rsidRDefault="001D45D5" w:rsidP="002D00B8">
            <w:pPr>
              <w:kinsoku w:val="0"/>
              <w:overflowPunct w:val="0"/>
              <w:autoSpaceDE w:val="0"/>
              <w:autoSpaceDN w:val="0"/>
              <w:spacing w:before="60"/>
              <w:jc w:val="left"/>
              <w:rPr>
                <w:kern w:val="22"/>
              </w:rPr>
            </w:pPr>
            <w:r>
              <w:rPr>
                <w:kern w:val="22"/>
              </w:rPr>
              <w:t xml:space="preserve">1. </w:t>
            </w:r>
            <w:r w:rsidR="004D7089" w:rsidRPr="004F11C8">
              <w:rPr>
                <w:kern w:val="22"/>
              </w:rPr>
              <w:t>Carry out a capacity-building needs assessment;</w:t>
            </w:r>
          </w:p>
          <w:p w14:paraId="7A3F0453" w14:textId="4AD4B21E" w:rsidR="004D7089" w:rsidRPr="001D45D5" w:rsidRDefault="001D45D5" w:rsidP="002D00B8">
            <w:pPr>
              <w:kinsoku w:val="0"/>
              <w:overflowPunct w:val="0"/>
              <w:autoSpaceDE w:val="0"/>
              <w:autoSpaceDN w:val="0"/>
              <w:spacing w:before="60"/>
              <w:jc w:val="left"/>
              <w:rPr>
                <w:kern w:val="22"/>
              </w:rPr>
            </w:pPr>
            <w:r>
              <w:rPr>
                <w:kern w:val="22"/>
              </w:rPr>
              <w:t xml:space="preserve">2. </w:t>
            </w:r>
            <w:r w:rsidR="004D7089" w:rsidRPr="001D45D5">
              <w:rPr>
                <w:kern w:val="22"/>
              </w:rPr>
              <w:t>Provide support, including funding, to capacity</w:t>
            </w:r>
            <w:r w:rsidR="0072665C">
              <w:rPr>
                <w:kern w:val="22"/>
              </w:rPr>
              <w:t>-</w:t>
            </w:r>
            <w:r w:rsidR="004D7089" w:rsidRPr="001D45D5">
              <w:rPr>
                <w:kern w:val="22"/>
              </w:rPr>
              <w:t>building activities</w:t>
            </w:r>
          </w:p>
          <w:p w14:paraId="5E95D0F1" w14:textId="5CC20822" w:rsidR="004D7089" w:rsidRPr="001D45D5" w:rsidRDefault="001D45D5" w:rsidP="002D00B8">
            <w:pPr>
              <w:kinsoku w:val="0"/>
              <w:overflowPunct w:val="0"/>
              <w:autoSpaceDE w:val="0"/>
              <w:autoSpaceDN w:val="0"/>
              <w:spacing w:before="60"/>
              <w:jc w:val="left"/>
              <w:rPr>
                <w:kern w:val="22"/>
              </w:rPr>
            </w:pPr>
            <w:r>
              <w:rPr>
                <w:kern w:val="22"/>
              </w:rPr>
              <w:t xml:space="preserve">3. </w:t>
            </w:r>
            <w:r w:rsidR="004D7089" w:rsidRPr="001D45D5">
              <w:rPr>
                <w:kern w:val="22"/>
              </w:rPr>
              <w:t xml:space="preserve">Disseminate </w:t>
            </w:r>
            <w:r w:rsidR="00A97056">
              <w:rPr>
                <w:kern w:val="22"/>
              </w:rPr>
              <w:t>capacity-building</w:t>
            </w:r>
            <w:r w:rsidR="004D7089" w:rsidRPr="001D45D5">
              <w:rPr>
                <w:kern w:val="22"/>
              </w:rPr>
              <w:t xml:space="preserve"> materials and outcomes of activities</w:t>
            </w:r>
          </w:p>
          <w:p w14:paraId="347D9C5F" w14:textId="493CDFD2" w:rsidR="004D7089" w:rsidRPr="001D45D5" w:rsidRDefault="001D45D5" w:rsidP="002D00B8">
            <w:pPr>
              <w:kinsoku w:val="0"/>
              <w:overflowPunct w:val="0"/>
              <w:autoSpaceDE w:val="0"/>
              <w:autoSpaceDN w:val="0"/>
              <w:spacing w:before="60"/>
              <w:jc w:val="left"/>
              <w:rPr>
                <w:kern w:val="22"/>
                <w:sz w:val="24"/>
              </w:rPr>
            </w:pPr>
            <w:r>
              <w:rPr>
                <w:kern w:val="22"/>
              </w:rPr>
              <w:t xml:space="preserve">4. </w:t>
            </w:r>
            <w:r w:rsidR="004D7089" w:rsidRPr="001D45D5">
              <w:rPr>
                <w:kern w:val="22"/>
              </w:rPr>
              <w:t>Cooperate at the national, bilateral, multi-lateral level with partners from various relevant sectors and stakeholders in strengthening capacities</w:t>
            </w:r>
          </w:p>
        </w:tc>
      </w:tr>
      <w:tr w:rsidR="004D7089" w:rsidRPr="00F606DC" w14:paraId="6FBCAC42" w14:textId="77777777" w:rsidTr="002D00B8">
        <w:trPr>
          <w:trHeight w:val="1828"/>
        </w:trPr>
        <w:tc>
          <w:tcPr>
            <w:tcW w:w="2580" w:type="dxa"/>
            <w:vMerge/>
          </w:tcPr>
          <w:p w14:paraId="4DF87FC6" w14:textId="77777777" w:rsidR="004D7089" w:rsidRPr="00F606DC" w:rsidRDefault="004D7089" w:rsidP="004D7089">
            <w:pPr>
              <w:kinsoku w:val="0"/>
              <w:overflowPunct w:val="0"/>
              <w:autoSpaceDE w:val="0"/>
              <w:autoSpaceDN w:val="0"/>
              <w:rPr>
                <w:b/>
                <w:bCs/>
                <w:color w:val="000000"/>
                <w:lang w:val="en-CA" w:eastAsia="en-CA"/>
              </w:rPr>
            </w:pPr>
          </w:p>
        </w:tc>
        <w:tc>
          <w:tcPr>
            <w:tcW w:w="2524" w:type="dxa"/>
            <w:vMerge/>
          </w:tcPr>
          <w:p w14:paraId="514AB954" w14:textId="77777777" w:rsidR="004D7089" w:rsidRPr="00F606DC" w:rsidRDefault="004D7089" w:rsidP="004D7089">
            <w:pPr>
              <w:kinsoku w:val="0"/>
              <w:overflowPunct w:val="0"/>
              <w:autoSpaceDE w:val="0"/>
              <w:autoSpaceDN w:val="0"/>
              <w:rPr>
                <w:bCs/>
                <w:color w:val="000000"/>
                <w:lang w:val="en-CA" w:eastAsia="en-CA"/>
              </w:rPr>
            </w:pPr>
          </w:p>
        </w:tc>
        <w:tc>
          <w:tcPr>
            <w:tcW w:w="2971" w:type="dxa"/>
          </w:tcPr>
          <w:p w14:paraId="3AB4A2A8" w14:textId="1ABED506" w:rsidR="004D7089" w:rsidRPr="00F606DC" w:rsidRDefault="004D7089" w:rsidP="002D00B8">
            <w:pPr>
              <w:jc w:val="left"/>
              <w:rPr>
                <w:color w:val="000000"/>
                <w:lang w:val="en-CA" w:eastAsia="en-CA"/>
              </w:rPr>
            </w:pPr>
            <w:r>
              <w:rPr>
                <w:color w:val="000000"/>
                <w:lang w:val="en-CA" w:eastAsia="en-CA"/>
              </w:rPr>
              <w:t>B.</w:t>
            </w:r>
            <w:r w:rsidRPr="00F606DC">
              <w:rPr>
                <w:color w:val="000000"/>
                <w:lang w:val="en-CA" w:eastAsia="en-CA"/>
              </w:rPr>
              <w:t>1.2. Parties undertake capacity</w:t>
            </w:r>
            <w:r w:rsidR="0072665C">
              <w:rPr>
                <w:color w:val="000000"/>
                <w:lang w:val="en-CA" w:eastAsia="en-CA"/>
              </w:rPr>
              <w:noBreakHyphen/>
            </w:r>
            <w:r w:rsidRPr="00F606DC">
              <w:rPr>
                <w:color w:val="000000"/>
                <w:lang w:val="en-CA" w:eastAsia="en-CA"/>
              </w:rPr>
              <w:t>building activities, as set out in the post-2020 action plan for capacity-building for the Protocol and Supplementary Protocol</w:t>
            </w:r>
          </w:p>
        </w:tc>
        <w:tc>
          <w:tcPr>
            <w:tcW w:w="5690" w:type="dxa"/>
            <w:vMerge/>
          </w:tcPr>
          <w:p w14:paraId="3ED0EA63" w14:textId="77777777" w:rsidR="004D7089" w:rsidRPr="00A23188" w:rsidRDefault="004D7089" w:rsidP="004D7089">
            <w:pPr>
              <w:kinsoku w:val="0"/>
              <w:overflowPunct w:val="0"/>
              <w:autoSpaceDE w:val="0"/>
              <w:autoSpaceDN w:val="0"/>
              <w:rPr>
                <w:kern w:val="22"/>
              </w:rPr>
            </w:pPr>
          </w:p>
        </w:tc>
      </w:tr>
      <w:tr w:rsidR="004D7089" w:rsidRPr="00F606DC" w14:paraId="1C1481A4" w14:textId="77777777" w:rsidTr="002D00B8">
        <w:trPr>
          <w:trHeight w:val="1018"/>
        </w:trPr>
        <w:tc>
          <w:tcPr>
            <w:tcW w:w="2580" w:type="dxa"/>
            <w:vMerge/>
          </w:tcPr>
          <w:p w14:paraId="34294714" w14:textId="77777777" w:rsidR="004D7089" w:rsidRPr="00F606DC" w:rsidRDefault="004D7089" w:rsidP="004D7089">
            <w:pPr>
              <w:kinsoku w:val="0"/>
              <w:overflowPunct w:val="0"/>
              <w:autoSpaceDE w:val="0"/>
              <w:autoSpaceDN w:val="0"/>
              <w:rPr>
                <w:b/>
                <w:bCs/>
                <w:color w:val="000000"/>
                <w:lang w:val="en-CA" w:eastAsia="en-CA"/>
              </w:rPr>
            </w:pPr>
          </w:p>
        </w:tc>
        <w:tc>
          <w:tcPr>
            <w:tcW w:w="2524" w:type="dxa"/>
            <w:vMerge/>
          </w:tcPr>
          <w:p w14:paraId="2E98A1B5" w14:textId="77777777" w:rsidR="004D7089" w:rsidRPr="00F606DC" w:rsidRDefault="004D7089" w:rsidP="004D7089">
            <w:pPr>
              <w:kinsoku w:val="0"/>
              <w:overflowPunct w:val="0"/>
              <w:autoSpaceDE w:val="0"/>
              <w:autoSpaceDN w:val="0"/>
              <w:rPr>
                <w:bCs/>
                <w:color w:val="000000"/>
                <w:lang w:val="en-CA" w:eastAsia="en-CA"/>
              </w:rPr>
            </w:pPr>
          </w:p>
        </w:tc>
        <w:tc>
          <w:tcPr>
            <w:tcW w:w="2971" w:type="dxa"/>
          </w:tcPr>
          <w:p w14:paraId="3080759F" w14:textId="25FF0466" w:rsidR="004D7089" w:rsidRPr="00F606DC" w:rsidRDefault="004D7089" w:rsidP="002D00B8">
            <w:pPr>
              <w:jc w:val="left"/>
              <w:rPr>
                <w:color w:val="000000"/>
                <w:lang w:val="en-CA" w:eastAsia="en-CA"/>
              </w:rPr>
            </w:pPr>
            <w:r>
              <w:rPr>
                <w:color w:val="000000"/>
                <w:lang w:val="en-CA" w:eastAsia="en-CA"/>
              </w:rPr>
              <w:t>B.</w:t>
            </w:r>
            <w:r w:rsidRPr="00F606DC">
              <w:rPr>
                <w:color w:val="000000"/>
                <w:lang w:val="en-CA" w:eastAsia="en-CA"/>
              </w:rPr>
              <w:t xml:space="preserve">1.3. Parties have access to </w:t>
            </w:r>
            <w:r w:rsidR="00A97056">
              <w:rPr>
                <w:color w:val="000000"/>
                <w:lang w:val="en-CA" w:eastAsia="en-CA"/>
              </w:rPr>
              <w:t>capacity-building</w:t>
            </w:r>
            <w:r w:rsidRPr="00F606DC">
              <w:rPr>
                <w:color w:val="000000"/>
                <w:lang w:val="en-CA" w:eastAsia="en-CA"/>
              </w:rPr>
              <w:t xml:space="preserve"> materials, including online resources</w:t>
            </w:r>
          </w:p>
        </w:tc>
        <w:tc>
          <w:tcPr>
            <w:tcW w:w="5690" w:type="dxa"/>
            <w:vMerge/>
          </w:tcPr>
          <w:p w14:paraId="4B2D1892" w14:textId="77777777" w:rsidR="004D7089" w:rsidRPr="00A23188" w:rsidRDefault="004D7089" w:rsidP="004D7089">
            <w:pPr>
              <w:kinsoku w:val="0"/>
              <w:overflowPunct w:val="0"/>
              <w:autoSpaceDE w:val="0"/>
              <w:autoSpaceDN w:val="0"/>
              <w:rPr>
                <w:kern w:val="22"/>
              </w:rPr>
            </w:pPr>
          </w:p>
        </w:tc>
      </w:tr>
      <w:tr w:rsidR="004D7089" w:rsidRPr="00F606DC" w14:paraId="4D49E7BF" w14:textId="77777777" w:rsidTr="002D00B8">
        <w:trPr>
          <w:trHeight w:val="1062"/>
        </w:trPr>
        <w:tc>
          <w:tcPr>
            <w:tcW w:w="2580" w:type="dxa"/>
            <w:vMerge/>
          </w:tcPr>
          <w:p w14:paraId="59BE39EF" w14:textId="77777777" w:rsidR="004D7089" w:rsidRPr="00F606DC" w:rsidRDefault="004D7089" w:rsidP="004D7089">
            <w:pPr>
              <w:kinsoku w:val="0"/>
              <w:overflowPunct w:val="0"/>
              <w:autoSpaceDE w:val="0"/>
              <w:autoSpaceDN w:val="0"/>
              <w:rPr>
                <w:b/>
                <w:bCs/>
                <w:color w:val="000000"/>
                <w:lang w:val="en-CA" w:eastAsia="en-CA"/>
              </w:rPr>
            </w:pPr>
          </w:p>
        </w:tc>
        <w:tc>
          <w:tcPr>
            <w:tcW w:w="2524" w:type="dxa"/>
            <w:vMerge/>
          </w:tcPr>
          <w:p w14:paraId="71C158FE" w14:textId="77777777" w:rsidR="004D7089" w:rsidRPr="00F606DC" w:rsidRDefault="004D7089" w:rsidP="004D7089">
            <w:pPr>
              <w:kinsoku w:val="0"/>
              <w:overflowPunct w:val="0"/>
              <w:autoSpaceDE w:val="0"/>
              <w:autoSpaceDN w:val="0"/>
              <w:rPr>
                <w:bCs/>
                <w:color w:val="000000"/>
                <w:lang w:val="en-CA" w:eastAsia="en-CA"/>
              </w:rPr>
            </w:pPr>
          </w:p>
        </w:tc>
        <w:tc>
          <w:tcPr>
            <w:tcW w:w="2971" w:type="dxa"/>
          </w:tcPr>
          <w:p w14:paraId="217FF9F1" w14:textId="1E8F6A7F" w:rsidR="004D7089" w:rsidRPr="00F606DC" w:rsidRDefault="004D7089" w:rsidP="002D00B8">
            <w:pPr>
              <w:kinsoku w:val="0"/>
              <w:overflowPunct w:val="0"/>
              <w:autoSpaceDE w:val="0"/>
              <w:autoSpaceDN w:val="0"/>
              <w:spacing w:after="60"/>
              <w:jc w:val="left"/>
              <w:rPr>
                <w:color w:val="000000"/>
                <w:lang w:val="en-CA" w:eastAsia="en-CA"/>
              </w:rPr>
            </w:pPr>
            <w:r>
              <w:rPr>
                <w:color w:val="000000"/>
                <w:lang w:val="en-CA" w:eastAsia="en-CA"/>
              </w:rPr>
              <w:t>B.</w:t>
            </w:r>
            <w:r w:rsidRPr="00F606DC">
              <w:rPr>
                <w:color w:val="000000"/>
                <w:lang w:val="en-CA" w:eastAsia="en-CA"/>
              </w:rPr>
              <w:t>1.4 Parties cooperate to strengthen their capacities for the implementation of the Protocol</w:t>
            </w:r>
          </w:p>
        </w:tc>
        <w:tc>
          <w:tcPr>
            <w:tcW w:w="5690" w:type="dxa"/>
            <w:vMerge/>
          </w:tcPr>
          <w:p w14:paraId="45A45B28" w14:textId="77777777" w:rsidR="004D7089" w:rsidRPr="00A23188" w:rsidRDefault="004D7089" w:rsidP="004D7089">
            <w:pPr>
              <w:kinsoku w:val="0"/>
              <w:overflowPunct w:val="0"/>
              <w:autoSpaceDE w:val="0"/>
              <w:autoSpaceDN w:val="0"/>
              <w:rPr>
                <w:kern w:val="22"/>
              </w:rPr>
            </w:pPr>
          </w:p>
        </w:tc>
      </w:tr>
      <w:tr w:rsidR="004D7089" w:rsidRPr="00F606DC" w14:paraId="7BC18838" w14:textId="77777777" w:rsidTr="002D00B8">
        <w:trPr>
          <w:trHeight w:val="1119"/>
        </w:trPr>
        <w:tc>
          <w:tcPr>
            <w:tcW w:w="2580" w:type="dxa"/>
            <w:vMerge/>
            <w:vAlign w:val="center"/>
          </w:tcPr>
          <w:p w14:paraId="274C588A" w14:textId="77777777" w:rsidR="004D7089" w:rsidRPr="00F606DC" w:rsidRDefault="004D7089" w:rsidP="004D7089">
            <w:pPr>
              <w:kinsoku w:val="0"/>
              <w:overflowPunct w:val="0"/>
              <w:autoSpaceDE w:val="0"/>
              <w:autoSpaceDN w:val="0"/>
              <w:rPr>
                <w:b/>
                <w:bCs/>
                <w:color w:val="A6A6A6"/>
                <w:kern w:val="22"/>
              </w:rPr>
            </w:pPr>
          </w:p>
        </w:tc>
        <w:tc>
          <w:tcPr>
            <w:tcW w:w="2524" w:type="dxa"/>
            <w:vMerge w:val="restart"/>
          </w:tcPr>
          <w:p w14:paraId="36ED6AEB" w14:textId="28D19DF4" w:rsidR="004D7089" w:rsidRPr="00F606DC" w:rsidRDefault="004D7089" w:rsidP="002D00B8">
            <w:pPr>
              <w:kinsoku w:val="0"/>
              <w:overflowPunct w:val="0"/>
              <w:autoSpaceDE w:val="0"/>
              <w:autoSpaceDN w:val="0"/>
              <w:jc w:val="left"/>
              <w:rPr>
                <w:color w:val="A6A6A6"/>
                <w:kern w:val="22"/>
              </w:rPr>
            </w:pPr>
            <w:r>
              <w:rPr>
                <w:bCs/>
                <w:color w:val="000000"/>
                <w:lang w:val="en-CA" w:eastAsia="en-CA"/>
              </w:rPr>
              <w:t>B.</w:t>
            </w:r>
            <w:r w:rsidRPr="00F606DC">
              <w:rPr>
                <w:bCs/>
                <w:color w:val="000000"/>
                <w:lang w:val="en-CA" w:eastAsia="en-CA"/>
              </w:rPr>
              <w:t>2. Parties mobilize resources to support implementation of the Protocol</w:t>
            </w:r>
          </w:p>
          <w:p w14:paraId="4D2B8978" w14:textId="77777777" w:rsidR="004D7089" w:rsidRPr="00F606DC" w:rsidRDefault="004D7089" w:rsidP="004D7089">
            <w:pPr>
              <w:kinsoku w:val="0"/>
              <w:overflowPunct w:val="0"/>
              <w:autoSpaceDE w:val="0"/>
              <w:autoSpaceDN w:val="0"/>
              <w:rPr>
                <w:color w:val="A6A6A6"/>
                <w:kern w:val="22"/>
              </w:rPr>
            </w:pPr>
          </w:p>
        </w:tc>
        <w:tc>
          <w:tcPr>
            <w:tcW w:w="2971" w:type="dxa"/>
          </w:tcPr>
          <w:p w14:paraId="1A45A11B" w14:textId="23EFE330" w:rsidR="004D7089" w:rsidRPr="00F606DC" w:rsidRDefault="004D7089" w:rsidP="002D00B8">
            <w:pPr>
              <w:spacing w:after="60"/>
              <w:jc w:val="left"/>
              <w:rPr>
                <w:color w:val="A6A6A6"/>
                <w:kern w:val="22"/>
              </w:rPr>
            </w:pPr>
            <w:r>
              <w:rPr>
                <w:color w:val="000000"/>
                <w:lang w:val="en-CA" w:eastAsia="en-CA"/>
              </w:rPr>
              <w:t>B.</w:t>
            </w:r>
            <w:r w:rsidRPr="00F606DC">
              <w:rPr>
                <w:color w:val="000000"/>
                <w:lang w:val="en-CA" w:eastAsia="en-CA"/>
              </w:rPr>
              <w:t xml:space="preserve">2.1. </w:t>
            </w:r>
            <w:proofErr w:type="gramStart"/>
            <w:r w:rsidRPr="00F606DC">
              <w:rPr>
                <w:color w:val="000000"/>
                <w:lang w:val="en-CA" w:eastAsia="en-CA"/>
              </w:rPr>
              <w:t>Sufficient</w:t>
            </w:r>
            <w:proofErr w:type="gramEnd"/>
            <w:r w:rsidRPr="00F606DC">
              <w:rPr>
                <w:color w:val="000000"/>
                <w:lang w:val="en-CA" w:eastAsia="en-CA"/>
              </w:rPr>
              <w:t xml:space="preserve"> and predictable resources are allocated to biosafety through national budgets</w:t>
            </w:r>
          </w:p>
        </w:tc>
        <w:tc>
          <w:tcPr>
            <w:tcW w:w="5690" w:type="dxa"/>
            <w:vMerge w:val="restart"/>
          </w:tcPr>
          <w:p w14:paraId="52492008" w14:textId="1FBD46F0" w:rsidR="00A96080" w:rsidRDefault="00A96080" w:rsidP="002D00B8">
            <w:pPr>
              <w:kinsoku w:val="0"/>
              <w:overflowPunct w:val="0"/>
              <w:autoSpaceDE w:val="0"/>
              <w:autoSpaceDN w:val="0"/>
              <w:jc w:val="left"/>
              <w:rPr>
                <w:b/>
              </w:rPr>
            </w:pPr>
            <w:r w:rsidRPr="006C30E0">
              <w:rPr>
                <w:b/>
              </w:rPr>
              <w:t>CB activities under goal</w:t>
            </w:r>
            <w:r>
              <w:rPr>
                <w:b/>
              </w:rPr>
              <w:t>s</w:t>
            </w:r>
            <w:r w:rsidRPr="006C30E0">
              <w:rPr>
                <w:b/>
              </w:rPr>
              <w:t xml:space="preserve"> </w:t>
            </w:r>
            <w:r>
              <w:rPr>
                <w:b/>
              </w:rPr>
              <w:t>B.2:</w:t>
            </w:r>
          </w:p>
          <w:p w14:paraId="7C423A7C" w14:textId="43587FE4" w:rsidR="004D7089" w:rsidRPr="00A96080" w:rsidRDefault="004D7089" w:rsidP="002D00B8">
            <w:pPr>
              <w:kinsoku w:val="0"/>
              <w:overflowPunct w:val="0"/>
              <w:autoSpaceDE w:val="0"/>
              <w:autoSpaceDN w:val="0"/>
              <w:spacing w:before="60"/>
              <w:jc w:val="left"/>
              <w:rPr>
                <w:kern w:val="22"/>
              </w:rPr>
            </w:pPr>
            <w:r w:rsidRPr="00A96080">
              <w:rPr>
                <w:kern w:val="22"/>
              </w:rPr>
              <w:t xml:space="preserve">1. </w:t>
            </w:r>
            <w:r w:rsidR="00F55E76">
              <w:rPr>
                <w:kern w:val="22"/>
              </w:rPr>
              <w:t>Strengthen capacities for d</w:t>
            </w:r>
            <w:r w:rsidR="00F55E76" w:rsidRPr="00A96080">
              <w:rPr>
                <w:kern w:val="22"/>
              </w:rPr>
              <w:t>evelop</w:t>
            </w:r>
            <w:r w:rsidR="00F55E76">
              <w:rPr>
                <w:kern w:val="22"/>
              </w:rPr>
              <w:t>ing</w:t>
            </w:r>
            <w:r w:rsidR="00F55E76" w:rsidRPr="00A96080">
              <w:rPr>
                <w:kern w:val="22"/>
              </w:rPr>
              <w:t xml:space="preserve"> </w:t>
            </w:r>
            <w:r w:rsidR="00052A55" w:rsidRPr="00A96080">
              <w:rPr>
                <w:kern w:val="22"/>
              </w:rPr>
              <w:t xml:space="preserve">a </w:t>
            </w:r>
            <w:r w:rsidR="00A96080" w:rsidRPr="00A96080">
              <w:rPr>
                <w:kern w:val="22"/>
              </w:rPr>
              <w:t xml:space="preserve">national </w:t>
            </w:r>
            <w:r w:rsidR="00052A55" w:rsidRPr="00A96080">
              <w:rPr>
                <w:kern w:val="22"/>
              </w:rPr>
              <w:t xml:space="preserve">mechanism </w:t>
            </w:r>
            <w:r w:rsidR="00A96080" w:rsidRPr="00A96080">
              <w:rPr>
                <w:kern w:val="22"/>
              </w:rPr>
              <w:t>for the allocation of</w:t>
            </w:r>
            <w:r w:rsidR="00052A55" w:rsidRPr="00A96080">
              <w:rPr>
                <w:kern w:val="22"/>
              </w:rPr>
              <w:t xml:space="preserve"> </w:t>
            </w:r>
            <w:proofErr w:type="gramStart"/>
            <w:r w:rsidRPr="00A96080">
              <w:rPr>
                <w:kern w:val="22"/>
              </w:rPr>
              <w:t>sufficient</w:t>
            </w:r>
            <w:proofErr w:type="gramEnd"/>
            <w:r w:rsidR="00052A55" w:rsidRPr="00A96080">
              <w:rPr>
                <w:kern w:val="22"/>
              </w:rPr>
              <w:t xml:space="preserve"> and predictable</w:t>
            </w:r>
            <w:r w:rsidRPr="00A96080">
              <w:rPr>
                <w:kern w:val="22"/>
              </w:rPr>
              <w:t xml:space="preserve"> </w:t>
            </w:r>
            <w:r w:rsidR="00052A55" w:rsidRPr="00A96080">
              <w:rPr>
                <w:kern w:val="22"/>
              </w:rPr>
              <w:t xml:space="preserve">resources </w:t>
            </w:r>
            <w:r w:rsidR="00A96080" w:rsidRPr="00A96080">
              <w:rPr>
                <w:kern w:val="22"/>
              </w:rPr>
              <w:t>to</w:t>
            </w:r>
            <w:r w:rsidR="00052A55" w:rsidRPr="00A96080">
              <w:rPr>
                <w:kern w:val="22"/>
              </w:rPr>
              <w:t xml:space="preserve"> the competent national authority </w:t>
            </w:r>
            <w:r w:rsidRPr="00A96080">
              <w:rPr>
                <w:kern w:val="22"/>
              </w:rPr>
              <w:t xml:space="preserve">to </w:t>
            </w:r>
            <w:r w:rsidR="00052A55" w:rsidRPr="00A96080">
              <w:rPr>
                <w:kern w:val="22"/>
              </w:rPr>
              <w:t>carry out activities necessary for the</w:t>
            </w:r>
            <w:r w:rsidRPr="00A96080">
              <w:rPr>
                <w:kern w:val="22"/>
              </w:rPr>
              <w:t xml:space="preserve"> implementation of the Protocol</w:t>
            </w:r>
          </w:p>
          <w:p w14:paraId="13CA914C" w14:textId="352F2891" w:rsidR="004D7089" w:rsidRPr="002D00B8" w:rsidRDefault="004D7089" w:rsidP="002D00B8">
            <w:pPr>
              <w:kinsoku w:val="0"/>
              <w:overflowPunct w:val="0"/>
              <w:autoSpaceDE w:val="0"/>
              <w:autoSpaceDN w:val="0"/>
              <w:spacing w:before="60"/>
              <w:jc w:val="left"/>
              <w:rPr>
                <w:kern w:val="22"/>
              </w:rPr>
            </w:pPr>
            <w:r w:rsidRPr="004F11C8">
              <w:rPr>
                <w:kern w:val="22"/>
              </w:rPr>
              <w:t xml:space="preserve">2. </w:t>
            </w:r>
            <w:r w:rsidR="00F55E76">
              <w:rPr>
                <w:kern w:val="22"/>
              </w:rPr>
              <w:t xml:space="preserve">Strengthen capacities for </w:t>
            </w:r>
            <w:r w:rsidRPr="004F11C8">
              <w:rPr>
                <w:kern w:val="22"/>
              </w:rPr>
              <w:t xml:space="preserve">cooperation between </w:t>
            </w:r>
            <w:r w:rsidRPr="000812C1">
              <w:rPr>
                <w:kern w:val="22"/>
              </w:rPr>
              <w:t xml:space="preserve">Parties and other stakeholders to support developing country Parties </w:t>
            </w:r>
            <w:r w:rsidR="00961D1D" w:rsidRPr="000812C1">
              <w:rPr>
                <w:kern w:val="22"/>
              </w:rPr>
              <w:t>and</w:t>
            </w:r>
            <w:r w:rsidRPr="000812C1">
              <w:rPr>
                <w:kern w:val="22"/>
              </w:rPr>
              <w:t xml:space="preserve"> Parties with economies in transition, to ensure the ful</w:t>
            </w:r>
            <w:r w:rsidRPr="004F11C8">
              <w:rPr>
                <w:kern w:val="22"/>
              </w:rPr>
              <w:t>l implementation of the Protocol;</w:t>
            </w:r>
          </w:p>
          <w:p w14:paraId="4F9AABE6" w14:textId="6D341B3D" w:rsidR="004D7089" w:rsidRPr="00F606DC" w:rsidRDefault="004D7089" w:rsidP="002D00B8">
            <w:pPr>
              <w:kinsoku w:val="0"/>
              <w:overflowPunct w:val="0"/>
              <w:autoSpaceDE w:val="0"/>
              <w:autoSpaceDN w:val="0"/>
              <w:spacing w:before="60"/>
              <w:jc w:val="left"/>
              <w:rPr>
                <w:kern w:val="22"/>
              </w:rPr>
            </w:pPr>
            <w:r w:rsidRPr="004F11C8">
              <w:rPr>
                <w:kern w:val="22"/>
              </w:rPr>
              <w:t>3</w:t>
            </w:r>
            <w:r w:rsidR="00A229EF">
              <w:rPr>
                <w:kern w:val="22"/>
              </w:rPr>
              <w:t>.</w:t>
            </w:r>
            <w:r w:rsidRPr="004F11C8">
              <w:rPr>
                <w:kern w:val="22"/>
              </w:rPr>
              <w:t xml:space="preserve"> </w:t>
            </w:r>
            <w:r w:rsidRPr="000812C1">
              <w:rPr>
                <w:kern w:val="22"/>
              </w:rPr>
              <w:t>Strengthen</w:t>
            </w:r>
            <w:r w:rsidR="006850A9">
              <w:rPr>
                <w:kern w:val="22"/>
              </w:rPr>
              <w:t xml:space="preserve"> capacities for</w:t>
            </w:r>
            <w:r w:rsidRPr="000812C1">
              <w:rPr>
                <w:kern w:val="22"/>
              </w:rPr>
              <w:t xml:space="preserve"> </w:t>
            </w:r>
            <w:r w:rsidRPr="009641C4">
              <w:rPr>
                <w:kern w:val="22"/>
              </w:rPr>
              <w:t xml:space="preserve">national </w:t>
            </w:r>
            <w:r w:rsidRPr="000812C1">
              <w:rPr>
                <w:kern w:val="22"/>
              </w:rPr>
              <w:t>coordination with funding agencies and donors</w:t>
            </w:r>
          </w:p>
        </w:tc>
      </w:tr>
      <w:tr w:rsidR="004D7089" w:rsidRPr="00F606DC" w14:paraId="3148C33A" w14:textId="77777777" w:rsidTr="002D00B8">
        <w:trPr>
          <w:trHeight w:val="945"/>
        </w:trPr>
        <w:tc>
          <w:tcPr>
            <w:tcW w:w="2580" w:type="dxa"/>
            <w:vMerge/>
            <w:vAlign w:val="center"/>
          </w:tcPr>
          <w:p w14:paraId="4A93BB3D" w14:textId="77777777" w:rsidR="004D7089" w:rsidRPr="00A23188" w:rsidRDefault="004D7089" w:rsidP="004D7089">
            <w:pPr>
              <w:kinsoku w:val="0"/>
              <w:overflowPunct w:val="0"/>
              <w:autoSpaceDE w:val="0"/>
              <w:autoSpaceDN w:val="0"/>
              <w:rPr>
                <w:b/>
                <w:bCs/>
                <w:color w:val="A6A6A6"/>
                <w:kern w:val="22"/>
              </w:rPr>
            </w:pPr>
          </w:p>
        </w:tc>
        <w:tc>
          <w:tcPr>
            <w:tcW w:w="2524" w:type="dxa"/>
            <w:vMerge/>
          </w:tcPr>
          <w:p w14:paraId="2082E668" w14:textId="77777777" w:rsidR="004D7089" w:rsidRPr="00F606DC" w:rsidRDefault="004D7089" w:rsidP="004D7089">
            <w:pPr>
              <w:kinsoku w:val="0"/>
              <w:overflowPunct w:val="0"/>
              <w:autoSpaceDE w:val="0"/>
              <w:autoSpaceDN w:val="0"/>
              <w:rPr>
                <w:bCs/>
                <w:color w:val="000000"/>
                <w:lang w:val="en-CA" w:eastAsia="en-CA"/>
              </w:rPr>
            </w:pPr>
          </w:p>
        </w:tc>
        <w:tc>
          <w:tcPr>
            <w:tcW w:w="2971" w:type="dxa"/>
          </w:tcPr>
          <w:p w14:paraId="70653B7E" w14:textId="0305E7D4" w:rsidR="004D7089" w:rsidRPr="00F606DC" w:rsidRDefault="004D7089" w:rsidP="002D00B8">
            <w:pPr>
              <w:spacing w:after="60"/>
              <w:jc w:val="left"/>
              <w:rPr>
                <w:color w:val="000000"/>
                <w:lang w:val="en-CA" w:eastAsia="en-CA"/>
              </w:rPr>
            </w:pPr>
            <w:r>
              <w:rPr>
                <w:color w:val="000000"/>
                <w:lang w:val="en-CA" w:eastAsia="en-CA"/>
              </w:rPr>
              <w:t>B.</w:t>
            </w:r>
            <w:r w:rsidRPr="00F606DC">
              <w:rPr>
                <w:color w:val="000000"/>
                <w:lang w:val="en-CA" w:eastAsia="en-CA"/>
              </w:rPr>
              <w:t>2.2. Parties allocate a share of national biodiversity STAR allocations to biosafety activities</w:t>
            </w:r>
          </w:p>
        </w:tc>
        <w:tc>
          <w:tcPr>
            <w:tcW w:w="5690" w:type="dxa"/>
            <w:vMerge/>
          </w:tcPr>
          <w:p w14:paraId="76A84AC1" w14:textId="77777777" w:rsidR="004D7089" w:rsidRPr="00A23188" w:rsidRDefault="004D7089" w:rsidP="004D7089">
            <w:pPr>
              <w:kinsoku w:val="0"/>
              <w:overflowPunct w:val="0"/>
              <w:autoSpaceDE w:val="0"/>
              <w:autoSpaceDN w:val="0"/>
              <w:rPr>
                <w:kern w:val="22"/>
              </w:rPr>
            </w:pPr>
          </w:p>
        </w:tc>
      </w:tr>
      <w:tr w:rsidR="004D7089" w:rsidRPr="00F606DC" w14:paraId="000D2A35" w14:textId="77777777" w:rsidTr="002D00B8">
        <w:trPr>
          <w:trHeight w:val="945"/>
        </w:trPr>
        <w:tc>
          <w:tcPr>
            <w:tcW w:w="2580" w:type="dxa"/>
            <w:vMerge/>
            <w:vAlign w:val="center"/>
          </w:tcPr>
          <w:p w14:paraId="4F765E50" w14:textId="77777777" w:rsidR="004D7089" w:rsidRPr="00A23188" w:rsidRDefault="004D7089" w:rsidP="004D7089">
            <w:pPr>
              <w:kinsoku w:val="0"/>
              <w:overflowPunct w:val="0"/>
              <w:autoSpaceDE w:val="0"/>
              <w:autoSpaceDN w:val="0"/>
              <w:rPr>
                <w:b/>
                <w:bCs/>
                <w:color w:val="A6A6A6"/>
                <w:kern w:val="22"/>
              </w:rPr>
            </w:pPr>
          </w:p>
        </w:tc>
        <w:tc>
          <w:tcPr>
            <w:tcW w:w="2524" w:type="dxa"/>
            <w:vMerge/>
          </w:tcPr>
          <w:p w14:paraId="0B0CFF87" w14:textId="77777777" w:rsidR="004D7089" w:rsidRPr="00F606DC" w:rsidRDefault="004D7089" w:rsidP="004D7089">
            <w:pPr>
              <w:kinsoku w:val="0"/>
              <w:overflowPunct w:val="0"/>
              <w:autoSpaceDE w:val="0"/>
              <w:autoSpaceDN w:val="0"/>
              <w:rPr>
                <w:bCs/>
                <w:color w:val="000000"/>
                <w:lang w:val="en-CA" w:eastAsia="en-CA"/>
              </w:rPr>
            </w:pPr>
          </w:p>
        </w:tc>
        <w:tc>
          <w:tcPr>
            <w:tcW w:w="2971" w:type="dxa"/>
          </w:tcPr>
          <w:p w14:paraId="60B7236B" w14:textId="149B5C73" w:rsidR="004D7089" w:rsidRPr="00F606DC" w:rsidRDefault="004D7089" w:rsidP="002D00B8">
            <w:pPr>
              <w:spacing w:after="60"/>
              <w:jc w:val="left"/>
              <w:rPr>
                <w:color w:val="000000"/>
                <w:lang w:val="en-CA" w:eastAsia="en-CA"/>
              </w:rPr>
            </w:pPr>
            <w:r>
              <w:rPr>
                <w:color w:val="000000"/>
                <w:lang w:val="en-CA" w:eastAsia="en-CA"/>
              </w:rPr>
              <w:t>B.</w:t>
            </w:r>
            <w:r w:rsidRPr="00F606DC">
              <w:rPr>
                <w:color w:val="000000"/>
                <w:lang w:val="en-CA" w:eastAsia="en-CA"/>
              </w:rPr>
              <w:t>2.3. Additional resources are mobilized to strengthen capacities for implementation of the Protocol</w:t>
            </w:r>
          </w:p>
        </w:tc>
        <w:tc>
          <w:tcPr>
            <w:tcW w:w="5690" w:type="dxa"/>
            <w:vMerge/>
          </w:tcPr>
          <w:p w14:paraId="6CD69B35" w14:textId="77777777" w:rsidR="004D7089" w:rsidRPr="00A23188" w:rsidRDefault="004D7089" w:rsidP="004D7089">
            <w:pPr>
              <w:kinsoku w:val="0"/>
              <w:overflowPunct w:val="0"/>
              <w:autoSpaceDE w:val="0"/>
              <w:autoSpaceDN w:val="0"/>
              <w:rPr>
                <w:kern w:val="22"/>
              </w:rPr>
            </w:pPr>
          </w:p>
        </w:tc>
      </w:tr>
      <w:tr w:rsidR="004D7089" w:rsidRPr="00F606DC" w14:paraId="11075A6A" w14:textId="77777777" w:rsidTr="002D00B8">
        <w:trPr>
          <w:trHeight w:val="945"/>
        </w:trPr>
        <w:tc>
          <w:tcPr>
            <w:tcW w:w="2580" w:type="dxa"/>
            <w:vMerge/>
            <w:vAlign w:val="center"/>
          </w:tcPr>
          <w:p w14:paraId="1418E0BD" w14:textId="77777777" w:rsidR="004D7089" w:rsidRPr="00F606DC" w:rsidRDefault="004D7089" w:rsidP="004D7089">
            <w:pPr>
              <w:kinsoku w:val="0"/>
              <w:overflowPunct w:val="0"/>
              <w:autoSpaceDE w:val="0"/>
              <w:autoSpaceDN w:val="0"/>
              <w:rPr>
                <w:b/>
                <w:bCs/>
                <w:color w:val="A6A6A6"/>
                <w:kern w:val="22"/>
              </w:rPr>
            </w:pPr>
          </w:p>
        </w:tc>
        <w:tc>
          <w:tcPr>
            <w:tcW w:w="2524" w:type="dxa"/>
            <w:vMerge w:val="restart"/>
          </w:tcPr>
          <w:p w14:paraId="19726FF5" w14:textId="4126D48C" w:rsidR="004D7089" w:rsidRPr="00F606DC" w:rsidRDefault="004D7089" w:rsidP="002D00B8">
            <w:pPr>
              <w:kinsoku w:val="0"/>
              <w:overflowPunct w:val="0"/>
              <w:autoSpaceDE w:val="0"/>
              <w:autoSpaceDN w:val="0"/>
              <w:jc w:val="left"/>
              <w:rPr>
                <w:color w:val="A6A6A6"/>
                <w:kern w:val="22"/>
              </w:rPr>
            </w:pPr>
            <w:r>
              <w:rPr>
                <w:bCs/>
                <w:color w:val="000000"/>
                <w:lang w:val="en-CA" w:eastAsia="en-CA"/>
              </w:rPr>
              <w:t>B.</w:t>
            </w:r>
            <w:r w:rsidRPr="00F606DC">
              <w:rPr>
                <w:bCs/>
                <w:color w:val="000000"/>
                <w:lang w:val="en-CA" w:eastAsia="en-CA"/>
              </w:rPr>
              <w:t>3. Parties raise public awareness and deliver education on the safe transfer, handling and use of LMOs and consult the public in decision-taking on LMOs</w:t>
            </w:r>
          </w:p>
          <w:p w14:paraId="563DBB1A" w14:textId="77777777" w:rsidR="004D7089" w:rsidRPr="00F606DC" w:rsidRDefault="004D7089" w:rsidP="002D00B8">
            <w:pPr>
              <w:kinsoku w:val="0"/>
              <w:overflowPunct w:val="0"/>
              <w:autoSpaceDE w:val="0"/>
              <w:autoSpaceDN w:val="0"/>
              <w:jc w:val="left"/>
              <w:rPr>
                <w:color w:val="A6A6A6"/>
                <w:kern w:val="22"/>
              </w:rPr>
            </w:pPr>
          </w:p>
        </w:tc>
        <w:tc>
          <w:tcPr>
            <w:tcW w:w="2971" w:type="dxa"/>
          </w:tcPr>
          <w:p w14:paraId="39BB7F67" w14:textId="2736769B" w:rsidR="004D7089" w:rsidRPr="00F606DC" w:rsidRDefault="004D7089" w:rsidP="002D00B8">
            <w:pPr>
              <w:spacing w:after="60"/>
              <w:jc w:val="left"/>
              <w:rPr>
                <w:color w:val="A6A6A6"/>
                <w:kern w:val="22"/>
              </w:rPr>
            </w:pPr>
            <w:r>
              <w:rPr>
                <w:color w:val="000000"/>
                <w:lang w:val="en-CA" w:eastAsia="en-CA"/>
              </w:rPr>
              <w:t>B.</w:t>
            </w:r>
            <w:r w:rsidRPr="00F606DC">
              <w:rPr>
                <w:color w:val="000000"/>
                <w:lang w:val="en-CA" w:eastAsia="en-CA"/>
              </w:rPr>
              <w:t>3.1. Parties have developed mechanisms to enhance public awareness, education and participation in biosafety</w:t>
            </w:r>
          </w:p>
        </w:tc>
        <w:tc>
          <w:tcPr>
            <w:tcW w:w="5690" w:type="dxa"/>
            <w:vMerge w:val="restart"/>
          </w:tcPr>
          <w:p w14:paraId="62ED76DC" w14:textId="6F70E615" w:rsidR="006D1376" w:rsidRDefault="006D1376" w:rsidP="002D00B8">
            <w:pPr>
              <w:kinsoku w:val="0"/>
              <w:overflowPunct w:val="0"/>
              <w:autoSpaceDE w:val="0"/>
              <w:autoSpaceDN w:val="0"/>
              <w:jc w:val="left"/>
              <w:rPr>
                <w:kern w:val="22"/>
              </w:rPr>
            </w:pPr>
            <w:r w:rsidRPr="006C30E0">
              <w:rPr>
                <w:b/>
              </w:rPr>
              <w:t>CB activities under goal</w:t>
            </w:r>
            <w:r>
              <w:rPr>
                <w:b/>
              </w:rPr>
              <w:t>s</w:t>
            </w:r>
            <w:r w:rsidRPr="006C30E0">
              <w:rPr>
                <w:b/>
              </w:rPr>
              <w:t xml:space="preserve"> </w:t>
            </w:r>
            <w:r>
              <w:rPr>
                <w:b/>
              </w:rPr>
              <w:t>B.3:</w:t>
            </w:r>
          </w:p>
          <w:p w14:paraId="69135C98" w14:textId="1DAF1AA9" w:rsidR="004D7089" w:rsidRDefault="004D7089" w:rsidP="002D00B8">
            <w:pPr>
              <w:kinsoku w:val="0"/>
              <w:overflowPunct w:val="0"/>
              <w:autoSpaceDE w:val="0"/>
              <w:autoSpaceDN w:val="0"/>
              <w:spacing w:before="60"/>
              <w:jc w:val="left"/>
              <w:rPr>
                <w:kern w:val="22"/>
              </w:rPr>
            </w:pPr>
            <w:r>
              <w:rPr>
                <w:kern w:val="22"/>
              </w:rPr>
              <w:t xml:space="preserve">1. </w:t>
            </w:r>
            <w:r w:rsidR="00CE7420">
              <w:rPr>
                <w:kern w:val="22"/>
              </w:rPr>
              <w:t>N</w:t>
            </w:r>
            <w:r w:rsidRPr="002A2AEA">
              <w:rPr>
                <w:kern w:val="22"/>
              </w:rPr>
              <w:t xml:space="preserve">otify </w:t>
            </w:r>
            <w:r w:rsidRPr="00E66AA4">
              <w:rPr>
                <w:kern w:val="22"/>
              </w:rPr>
              <w:t xml:space="preserve">the public about opportunities and modalities for participation </w:t>
            </w:r>
            <w:r w:rsidRPr="002A2AEA">
              <w:rPr>
                <w:kern w:val="22"/>
              </w:rPr>
              <w:t>in decision-making on LMOs</w:t>
            </w:r>
            <w:r w:rsidDel="00E66AA4">
              <w:rPr>
                <w:kern w:val="22"/>
              </w:rPr>
              <w:t xml:space="preserve"> </w:t>
            </w:r>
          </w:p>
          <w:p w14:paraId="26D42CAE" w14:textId="47E959BA" w:rsidR="004D7089" w:rsidRPr="004047CF" w:rsidRDefault="004D7089" w:rsidP="002D00B8">
            <w:pPr>
              <w:kinsoku w:val="0"/>
              <w:overflowPunct w:val="0"/>
              <w:autoSpaceDE w:val="0"/>
              <w:autoSpaceDN w:val="0"/>
              <w:spacing w:before="60"/>
              <w:jc w:val="left"/>
              <w:rPr>
                <w:kern w:val="22"/>
              </w:rPr>
            </w:pPr>
            <w:r>
              <w:rPr>
                <w:kern w:val="22"/>
              </w:rPr>
              <w:t xml:space="preserve">2. Share information on public awareness, education and participation, including through national </w:t>
            </w:r>
            <w:r w:rsidRPr="004047CF">
              <w:rPr>
                <w:kern w:val="22"/>
              </w:rPr>
              <w:t>websites, searchable databases and resource centres</w:t>
            </w:r>
            <w:r>
              <w:rPr>
                <w:kern w:val="22"/>
              </w:rPr>
              <w:t xml:space="preserve"> and the BCH;</w:t>
            </w:r>
          </w:p>
          <w:p w14:paraId="34C2D38C" w14:textId="5937A24C" w:rsidR="004D7089" w:rsidRPr="002D00B8" w:rsidRDefault="004D7089" w:rsidP="002D00B8">
            <w:pPr>
              <w:kinsoku w:val="0"/>
              <w:overflowPunct w:val="0"/>
              <w:autoSpaceDE w:val="0"/>
              <w:autoSpaceDN w:val="0"/>
              <w:spacing w:before="60"/>
              <w:jc w:val="left"/>
              <w:rPr>
                <w:kern w:val="22"/>
              </w:rPr>
            </w:pPr>
            <w:r w:rsidRPr="006D1376">
              <w:rPr>
                <w:kern w:val="22"/>
              </w:rPr>
              <w:t xml:space="preserve">3. </w:t>
            </w:r>
            <w:r w:rsidR="00F15FFC">
              <w:rPr>
                <w:kern w:val="22"/>
              </w:rPr>
              <w:t>Strengthen capacities for d</w:t>
            </w:r>
            <w:r w:rsidRPr="006D1376">
              <w:rPr>
                <w:kern w:val="22"/>
              </w:rPr>
              <w:t>evelop</w:t>
            </w:r>
            <w:r w:rsidR="00F15FFC">
              <w:rPr>
                <w:kern w:val="22"/>
              </w:rPr>
              <w:t>ing and implementing</w:t>
            </w:r>
            <w:r w:rsidRPr="006D1376">
              <w:rPr>
                <w:kern w:val="22"/>
              </w:rPr>
              <w:t xml:space="preserve"> a biosafety communication plan </w:t>
            </w:r>
            <w:r w:rsidRPr="000E5ABA">
              <w:rPr>
                <w:kern w:val="22"/>
              </w:rPr>
              <w:t>and media strategy</w:t>
            </w:r>
            <w:r w:rsidRPr="00C902B0">
              <w:rPr>
                <w:kern w:val="22"/>
              </w:rPr>
              <w:t xml:space="preserve"> </w:t>
            </w:r>
            <w:r w:rsidRPr="006D1376">
              <w:rPr>
                <w:kern w:val="22"/>
              </w:rPr>
              <w:t>to facilitate awareness and outreach activities.</w:t>
            </w:r>
          </w:p>
          <w:p w14:paraId="233706AA" w14:textId="42FE2CAD" w:rsidR="004D7089" w:rsidRPr="004D5597" w:rsidRDefault="004D7089" w:rsidP="002D00B8">
            <w:pPr>
              <w:kinsoku w:val="0"/>
              <w:overflowPunct w:val="0"/>
              <w:autoSpaceDE w:val="0"/>
              <w:autoSpaceDN w:val="0"/>
              <w:spacing w:before="60"/>
              <w:jc w:val="left"/>
              <w:rPr>
                <w:color w:val="FFC000"/>
                <w:kern w:val="22"/>
              </w:rPr>
            </w:pPr>
            <w:r>
              <w:rPr>
                <w:kern w:val="22"/>
              </w:rPr>
              <w:t>4</w:t>
            </w:r>
            <w:r w:rsidR="006D1376">
              <w:rPr>
                <w:kern w:val="22"/>
              </w:rPr>
              <w:t>.</w:t>
            </w:r>
            <w:r>
              <w:rPr>
                <w:kern w:val="22"/>
              </w:rPr>
              <w:t xml:space="preserve"> </w:t>
            </w:r>
            <w:bookmarkStart w:id="7" w:name="_Hlk21079766"/>
            <w:r>
              <w:rPr>
                <w:kern w:val="22"/>
              </w:rPr>
              <w:t xml:space="preserve">Strengthen </w:t>
            </w:r>
            <w:r w:rsidR="005F6A0C">
              <w:rPr>
                <w:kern w:val="22"/>
              </w:rPr>
              <w:t xml:space="preserve">capacities for delivering </w:t>
            </w:r>
            <w:r>
              <w:rPr>
                <w:kern w:val="22"/>
              </w:rPr>
              <w:t xml:space="preserve">biosafety education and establish </w:t>
            </w:r>
            <w:r w:rsidRPr="00FF6B85">
              <w:rPr>
                <w:kern w:val="22"/>
              </w:rPr>
              <w:t xml:space="preserve">networks for </w:t>
            </w:r>
            <w:bookmarkEnd w:id="7"/>
            <w:r>
              <w:rPr>
                <w:kern w:val="22"/>
              </w:rPr>
              <w:t>information exchange among biosafety education institutions</w:t>
            </w:r>
          </w:p>
        </w:tc>
      </w:tr>
      <w:tr w:rsidR="004D7089" w:rsidRPr="00F606DC" w14:paraId="3BF36F68" w14:textId="77777777" w:rsidTr="002D00B8">
        <w:trPr>
          <w:trHeight w:val="1633"/>
        </w:trPr>
        <w:tc>
          <w:tcPr>
            <w:tcW w:w="2580" w:type="dxa"/>
            <w:vMerge/>
            <w:vAlign w:val="center"/>
          </w:tcPr>
          <w:p w14:paraId="62243FE4" w14:textId="77777777" w:rsidR="004D7089" w:rsidRPr="00B93079" w:rsidRDefault="004D7089" w:rsidP="004D7089">
            <w:pPr>
              <w:kinsoku w:val="0"/>
              <w:overflowPunct w:val="0"/>
              <w:autoSpaceDE w:val="0"/>
              <w:autoSpaceDN w:val="0"/>
              <w:rPr>
                <w:b/>
                <w:bCs/>
                <w:color w:val="A6A6A6"/>
                <w:kern w:val="22"/>
              </w:rPr>
            </w:pPr>
          </w:p>
        </w:tc>
        <w:tc>
          <w:tcPr>
            <w:tcW w:w="2524" w:type="dxa"/>
            <w:vMerge/>
          </w:tcPr>
          <w:p w14:paraId="23B3EE30" w14:textId="77777777" w:rsidR="004D7089" w:rsidRPr="00F606DC" w:rsidRDefault="004D7089" w:rsidP="004D7089">
            <w:pPr>
              <w:kinsoku w:val="0"/>
              <w:overflowPunct w:val="0"/>
              <w:autoSpaceDE w:val="0"/>
              <w:autoSpaceDN w:val="0"/>
              <w:rPr>
                <w:bCs/>
                <w:color w:val="000000"/>
                <w:lang w:val="en-CA" w:eastAsia="en-CA"/>
              </w:rPr>
            </w:pPr>
          </w:p>
        </w:tc>
        <w:tc>
          <w:tcPr>
            <w:tcW w:w="2971" w:type="dxa"/>
          </w:tcPr>
          <w:p w14:paraId="59A1AD9F" w14:textId="465A2263" w:rsidR="004D7089" w:rsidRPr="00F606DC" w:rsidRDefault="004D7089" w:rsidP="002D00B8">
            <w:pPr>
              <w:spacing w:after="60"/>
              <w:jc w:val="left"/>
              <w:rPr>
                <w:color w:val="000000"/>
                <w:lang w:val="en-CA" w:eastAsia="en-CA"/>
              </w:rPr>
            </w:pPr>
            <w:r>
              <w:rPr>
                <w:color w:val="000000"/>
                <w:lang w:val="en-CA" w:eastAsia="en-CA"/>
              </w:rPr>
              <w:t>B.</w:t>
            </w:r>
            <w:r w:rsidRPr="00F606DC">
              <w:rPr>
                <w:color w:val="000000"/>
                <w:lang w:val="en-CA" w:eastAsia="en-CA"/>
              </w:rPr>
              <w:t>3.2. Parties consult the public in taking decisions on LMOs, in accordance with their legislation, and make the results of decisions available to the public</w:t>
            </w:r>
          </w:p>
        </w:tc>
        <w:tc>
          <w:tcPr>
            <w:tcW w:w="5690" w:type="dxa"/>
            <w:vMerge/>
          </w:tcPr>
          <w:p w14:paraId="2A8E9B95" w14:textId="77777777" w:rsidR="004D7089" w:rsidRPr="00E26079" w:rsidRDefault="004D7089" w:rsidP="004D7089">
            <w:pPr>
              <w:kinsoku w:val="0"/>
              <w:overflowPunct w:val="0"/>
              <w:autoSpaceDE w:val="0"/>
              <w:autoSpaceDN w:val="0"/>
              <w:rPr>
                <w:kern w:val="22"/>
              </w:rPr>
            </w:pPr>
          </w:p>
        </w:tc>
      </w:tr>
      <w:tr w:rsidR="004D7089" w:rsidRPr="00F606DC" w14:paraId="634FE081" w14:textId="77777777" w:rsidTr="002D00B8">
        <w:trPr>
          <w:trHeight w:val="978"/>
        </w:trPr>
        <w:tc>
          <w:tcPr>
            <w:tcW w:w="2580" w:type="dxa"/>
            <w:vMerge/>
            <w:vAlign w:val="center"/>
          </w:tcPr>
          <w:p w14:paraId="0505BF2D" w14:textId="77777777" w:rsidR="004D7089" w:rsidRPr="00E26079" w:rsidRDefault="004D7089" w:rsidP="004D7089">
            <w:pPr>
              <w:kinsoku w:val="0"/>
              <w:overflowPunct w:val="0"/>
              <w:autoSpaceDE w:val="0"/>
              <w:autoSpaceDN w:val="0"/>
              <w:rPr>
                <w:b/>
                <w:bCs/>
                <w:color w:val="A6A6A6"/>
                <w:kern w:val="22"/>
              </w:rPr>
            </w:pPr>
          </w:p>
        </w:tc>
        <w:tc>
          <w:tcPr>
            <w:tcW w:w="2524" w:type="dxa"/>
            <w:vMerge/>
          </w:tcPr>
          <w:p w14:paraId="4883E562" w14:textId="77777777" w:rsidR="004D7089" w:rsidRPr="00F606DC" w:rsidRDefault="004D7089" w:rsidP="004D7089">
            <w:pPr>
              <w:kinsoku w:val="0"/>
              <w:overflowPunct w:val="0"/>
              <w:autoSpaceDE w:val="0"/>
              <w:autoSpaceDN w:val="0"/>
              <w:rPr>
                <w:bCs/>
                <w:color w:val="000000"/>
                <w:lang w:val="en-CA" w:eastAsia="en-CA"/>
              </w:rPr>
            </w:pPr>
          </w:p>
        </w:tc>
        <w:tc>
          <w:tcPr>
            <w:tcW w:w="2971" w:type="dxa"/>
          </w:tcPr>
          <w:p w14:paraId="0703B7BF" w14:textId="68AD1F3A" w:rsidR="004D7089" w:rsidRPr="00F606DC" w:rsidRDefault="004D7089" w:rsidP="002D00B8">
            <w:pPr>
              <w:spacing w:after="60"/>
              <w:jc w:val="left"/>
              <w:rPr>
                <w:color w:val="000000"/>
                <w:lang w:val="en-CA" w:eastAsia="en-CA"/>
              </w:rPr>
            </w:pPr>
            <w:r>
              <w:rPr>
                <w:color w:val="000000"/>
                <w:lang w:val="en-CA" w:eastAsia="en-CA"/>
              </w:rPr>
              <w:t>B.</w:t>
            </w:r>
            <w:r w:rsidRPr="00F606DC">
              <w:rPr>
                <w:color w:val="000000"/>
                <w:lang w:val="en-CA" w:eastAsia="en-CA"/>
              </w:rPr>
              <w:t>3.3. Parties inform the public about the means of public access to the BCH</w:t>
            </w:r>
          </w:p>
          <w:p w14:paraId="34ACD761" w14:textId="77777777" w:rsidR="004D7089" w:rsidRPr="00F606DC" w:rsidRDefault="004D7089" w:rsidP="002D00B8">
            <w:pPr>
              <w:spacing w:after="60"/>
              <w:jc w:val="left"/>
              <w:rPr>
                <w:color w:val="000000"/>
                <w:lang w:val="en-CA" w:eastAsia="en-CA"/>
              </w:rPr>
            </w:pPr>
          </w:p>
        </w:tc>
        <w:tc>
          <w:tcPr>
            <w:tcW w:w="5690" w:type="dxa"/>
            <w:vMerge/>
          </w:tcPr>
          <w:p w14:paraId="65CF7888" w14:textId="77777777" w:rsidR="004D7089" w:rsidRPr="00E26079" w:rsidRDefault="004D7089" w:rsidP="004D7089">
            <w:pPr>
              <w:kinsoku w:val="0"/>
              <w:overflowPunct w:val="0"/>
              <w:autoSpaceDE w:val="0"/>
              <w:autoSpaceDN w:val="0"/>
              <w:rPr>
                <w:kern w:val="22"/>
              </w:rPr>
            </w:pPr>
          </w:p>
        </w:tc>
      </w:tr>
      <w:tr w:rsidR="004D7089" w:rsidRPr="00F606DC" w14:paraId="0FEB0CC6" w14:textId="77777777" w:rsidTr="002D00B8">
        <w:trPr>
          <w:trHeight w:val="1345"/>
        </w:trPr>
        <w:tc>
          <w:tcPr>
            <w:tcW w:w="2580" w:type="dxa"/>
            <w:vMerge/>
            <w:vAlign w:val="center"/>
          </w:tcPr>
          <w:p w14:paraId="0A64B2AC" w14:textId="77777777" w:rsidR="004D7089" w:rsidRPr="00E26079" w:rsidRDefault="004D7089" w:rsidP="004D7089">
            <w:pPr>
              <w:kinsoku w:val="0"/>
              <w:overflowPunct w:val="0"/>
              <w:autoSpaceDE w:val="0"/>
              <w:autoSpaceDN w:val="0"/>
              <w:rPr>
                <w:b/>
                <w:bCs/>
                <w:color w:val="A6A6A6"/>
                <w:kern w:val="22"/>
              </w:rPr>
            </w:pPr>
          </w:p>
        </w:tc>
        <w:tc>
          <w:tcPr>
            <w:tcW w:w="2524" w:type="dxa"/>
            <w:vMerge/>
          </w:tcPr>
          <w:p w14:paraId="542722FC" w14:textId="77777777" w:rsidR="004D7089" w:rsidRPr="00F606DC" w:rsidRDefault="004D7089" w:rsidP="004D7089">
            <w:pPr>
              <w:kinsoku w:val="0"/>
              <w:overflowPunct w:val="0"/>
              <w:autoSpaceDE w:val="0"/>
              <w:autoSpaceDN w:val="0"/>
              <w:rPr>
                <w:bCs/>
                <w:color w:val="000000"/>
                <w:lang w:val="en-CA" w:eastAsia="en-CA"/>
              </w:rPr>
            </w:pPr>
          </w:p>
        </w:tc>
        <w:tc>
          <w:tcPr>
            <w:tcW w:w="2971" w:type="dxa"/>
          </w:tcPr>
          <w:p w14:paraId="7C7607B8" w14:textId="4A0F1E9C" w:rsidR="004D7089" w:rsidRPr="00F606DC" w:rsidRDefault="004D7089" w:rsidP="002D00B8">
            <w:pPr>
              <w:jc w:val="left"/>
              <w:rPr>
                <w:color w:val="000000"/>
                <w:lang w:val="en-CA" w:eastAsia="en-CA"/>
              </w:rPr>
            </w:pPr>
            <w:r>
              <w:rPr>
                <w:color w:val="000000"/>
                <w:lang w:val="en-CA" w:eastAsia="en-CA"/>
              </w:rPr>
              <w:t>B.</w:t>
            </w:r>
            <w:r w:rsidRPr="00F606DC">
              <w:rPr>
                <w:color w:val="000000"/>
                <w:lang w:val="en-CA" w:eastAsia="en-CA"/>
              </w:rPr>
              <w:t>3.4. Parties have access to resource materials for enhancing public awareness, education and participation in biosafety</w:t>
            </w:r>
          </w:p>
        </w:tc>
        <w:tc>
          <w:tcPr>
            <w:tcW w:w="5690" w:type="dxa"/>
            <w:vMerge/>
          </w:tcPr>
          <w:p w14:paraId="57130671" w14:textId="77777777" w:rsidR="004D7089" w:rsidRPr="00E26079" w:rsidRDefault="004D7089" w:rsidP="004D7089">
            <w:pPr>
              <w:kinsoku w:val="0"/>
              <w:overflowPunct w:val="0"/>
              <w:autoSpaceDE w:val="0"/>
              <w:autoSpaceDN w:val="0"/>
              <w:rPr>
                <w:kern w:val="22"/>
              </w:rPr>
            </w:pPr>
          </w:p>
        </w:tc>
      </w:tr>
      <w:tr w:rsidR="004D7089" w:rsidRPr="00F606DC" w14:paraId="3E4807BB" w14:textId="77777777" w:rsidTr="002D00B8">
        <w:trPr>
          <w:trHeight w:val="1690"/>
        </w:trPr>
        <w:tc>
          <w:tcPr>
            <w:tcW w:w="2580" w:type="dxa"/>
            <w:vMerge/>
            <w:vAlign w:val="center"/>
          </w:tcPr>
          <w:p w14:paraId="4755B4BD" w14:textId="77777777" w:rsidR="004D7089" w:rsidRPr="00F606DC" w:rsidRDefault="004D7089" w:rsidP="004D7089">
            <w:pPr>
              <w:kinsoku w:val="0"/>
              <w:overflowPunct w:val="0"/>
              <w:autoSpaceDE w:val="0"/>
              <w:autoSpaceDN w:val="0"/>
              <w:rPr>
                <w:b/>
                <w:bCs/>
                <w:color w:val="A6A6A6"/>
                <w:kern w:val="22"/>
              </w:rPr>
            </w:pPr>
          </w:p>
        </w:tc>
        <w:tc>
          <w:tcPr>
            <w:tcW w:w="2524" w:type="dxa"/>
            <w:vMerge w:val="restart"/>
          </w:tcPr>
          <w:p w14:paraId="3E0381F7" w14:textId="3F635A73" w:rsidR="004D7089" w:rsidRPr="00F606DC" w:rsidRDefault="004D7089" w:rsidP="002D00B8">
            <w:pPr>
              <w:kinsoku w:val="0"/>
              <w:overflowPunct w:val="0"/>
              <w:autoSpaceDE w:val="0"/>
              <w:autoSpaceDN w:val="0"/>
              <w:jc w:val="left"/>
              <w:rPr>
                <w:color w:val="A6A6A6"/>
                <w:kern w:val="22"/>
              </w:rPr>
            </w:pPr>
            <w:r>
              <w:rPr>
                <w:bCs/>
                <w:color w:val="000000"/>
                <w:lang w:val="en-CA" w:eastAsia="en-CA"/>
              </w:rPr>
              <w:t>B.</w:t>
            </w:r>
            <w:r w:rsidRPr="00F606DC">
              <w:rPr>
                <w:bCs/>
                <w:color w:val="000000"/>
                <w:lang w:val="en-CA" w:eastAsia="en-CA"/>
              </w:rPr>
              <w:t xml:space="preserve">4. </w:t>
            </w:r>
            <w:r w:rsidRPr="004F11C8">
              <w:rPr>
                <w:bCs/>
                <w:lang w:val="en-CA" w:eastAsia="en-CA"/>
              </w:rPr>
              <w:t xml:space="preserve">Enhanced </w:t>
            </w:r>
            <w:r>
              <w:rPr>
                <w:bCs/>
                <w:color w:val="000000"/>
                <w:lang w:val="en-CA" w:eastAsia="en-CA"/>
              </w:rPr>
              <w:t>c</w:t>
            </w:r>
            <w:r w:rsidRPr="00F606DC">
              <w:rPr>
                <w:bCs/>
                <w:color w:val="000000"/>
                <w:lang w:val="en-CA" w:eastAsia="en-CA"/>
              </w:rPr>
              <w:t>ooperation by Parties on biosafety issues at the national, regional and international levels</w:t>
            </w:r>
          </w:p>
        </w:tc>
        <w:tc>
          <w:tcPr>
            <w:tcW w:w="2971" w:type="dxa"/>
          </w:tcPr>
          <w:p w14:paraId="279DA943" w14:textId="73BF3F22" w:rsidR="004D7089" w:rsidRPr="00F606DC" w:rsidRDefault="004D7089" w:rsidP="002D00B8">
            <w:pPr>
              <w:jc w:val="left"/>
              <w:rPr>
                <w:color w:val="A6A6A6"/>
                <w:kern w:val="22"/>
              </w:rPr>
            </w:pPr>
            <w:r>
              <w:rPr>
                <w:color w:val="000000"/>
                <w:lang w:val="en-CA" w:eastAsia="en-CA"/>
              </w:rPr>
              <w:t>B.</w:t>
            </w:r>
            <w:r w:rsidRPr="00F606DC">
              <w:rPr>
                <w:color w:val="000000"/>
                <w:lang w:val="en-CA" w:eastAsia="en-CA"/>
              </w:rPr>
              <w:t>4.1. Parties cooperate to support implementation of the Protocol, including through the exchange of scientific, technical and institutional knowledge</w:t>
            </w:r>
          </w:p>
        </w:tc>
        <w:tc>
          <w:tcPr>
            <w:tcW w:w="5690" w:type="dxa"/>
            <w:vMerge w:val="restart"/>
          </w:tcPr>
          <w:p w14:paraId="34BD4C35" w14:textId="0AE61592" w:rsidR="006D1376" w:rsidRDefault="006D1376" w:rsidP="004D7089">
            <w:pPr>
              <w:kinsoku w:val="0"/>
              <w:overflowPunct w:val="0"/>
              <w:autoSpaceDE w:val="0"/>
              <w:autoSpaceDN w:val="0"/>
              <w:rPr>
                <w:kern w:val="22"/>
              </w:rPr>
            </w:pPr>
            <w:r w:rsidRPr="006C30E0">
              <w:rPr>
                <w:b/>
              </w:rPr>
              <w:t>CB activities under goal</w:t>
            </w:r>
            <w:r>
              <w:rPr>
                <w:b/>
              </w:rPr>
              <w:t>s</w:t>
            </w:r>
            <w:r w:rsidRPr="006C30E0">
              <w:rPr>
                <w:b/>
              </w:rPr>
              <w:t xml:space="preserve"> </w:t>
            </w:r>
            <w:r>
              <w:rPr>
                <w:b/>
              </w:rPr>
              <w:t>B.4:</w:t>
            </w:r>
          </w:p>
          <w:p w14:paraId="66734295" w14:textId="37D64134" w:rsidR="004D7089" w:rsidRPr="003A15EF" w:rsidRDefault="004D7089" w:rsidP="002D00B8">
            <w:pPr>
              <w:kinsoku w:val="0"/>
              <w:overflowPunct w:val="0"/>
              <w:autoSpaceDE w:val="0"/>
              <w:autoSpaceDN w:val="0"/>
              <w:spacing w:before="60"/>
              <w:jc w:val="left"/>
              <w:rPr>
                <w:kern w:val="22"/>
              </w:rPr>
            </w:pPr>
            <w:r w:rsidRPr="003A15EF">
              <w:rPr>
                <w:kern w:val="22"/>
              </w:rPr>
              <w:t xml:space="preserve">1. Undertake technical and scientific cooperation and information-sharing at bilateral, </w:t>
            </w:r>
            <w:proofErr w:type="spellStart"/>
            <w:r w:rsidRPr="003A15EF">
              <w:rPr>
                <w:kern w:val="22"/>
              </w:rPr>
              <w:t>subregional</w:t>
            </w:r>
            <w:proofErr w:type="spellEnd"/>
            <w:r w:rsidRPr="003A15EF">
              <w:rPr>
                <w:kern w:val="22"/>
              </w:rPr>
              <w:t xml:space="preserve"> and regional levels</w:t>
            </w:r>
          </w:p>
          <w:p w14:paraId="7A7D919C" w14:textId="06EB8C76" w:rsidR="004D7089" w:rsidRPr="004D5597" w:rsidRDefault="004D7089" w:rsidP="002D00B8">
            <w:pPr>
              <w:kinsoku w:val="0"/>
              <w:overflowPunct w:val="0"/>
              <w:autoSpaceDE w:val="0"/>
              <w:autoSpaceDN w:val="0"/>
              <w:spacing w:before="60"/>
              <w:jc w:val="left"/>
              <w:rPr>
                <w:color w:val="FFC000"/>
                <w:kern w:val="22"/>
              </w:rPr>
            </w:pPr>
            <w:r w:rsidRPr="003A15EF">
              <w:rPr>
                <w:kern w:val="22"/>
              </w:rPr>
              <w:t>2</w:t>
            </w:r>
            <w:r w:rsidR="003A15EF">
              <w:rPr>
                <w:kern w:val="22"/>
              </w:rPr>
              <w:t>.</w:t>
            </w:r>
            <w:r w:rsidRPr="003A15EF">
              <w:rPr>
                <w:kern w:val="22"/>
              </w:rPr>
              <w:t xml:space="preserve"> Strengthen collaboration with stakeholders from different sectors, including in </w:t>
            </w:r>
            <w:r w:rsidR="00A97056">
              <w:rPr>
                <w:kern w:val="22"/>
              </w:rPr>
              <w:t>capacity-building</w:t>
            </w:r>
            <w:r w:rsidRPr="003A15EF">
              <w:rPr>
                <w:kern w:val="22"/>
              </w:rPr>
              <w:t xml:space="preserve"> activities</w:t>
            </w:r>
          </w:p>
        </w:tc>
      </w:tr>
      <w:tr w:rsidR="004D7089" w:rsidRPr="00F606DC" w14:paraId="1460B66C" w14:textId="77777777" w:rsidTr="002D00B8">
        <w:trPr>
          <w:trHeight w:val="1416"/>
        </w:trPr>
        <w:tc>
          <w:tcPr>
            <w:tcW w:w="2580" w:type="dxa"/>
            <w:vAlign w:val="center"/>
          </w:tcPr>
          <w:p w14:paraId="6C5D66B9" w14:textId="77777777" w:rsidR="004D7089" w:rsidRPr="00FD7F06" w:rsidRDefault="004D7089" w:rsidP="004D7089">
            <w:pPr>
              <w:kinsoku w:val="0"/>
              <w:overflowPunct w:val="0"/>
              <w:autoSpaceDE w:val="0"/>
              <w:autoSpaceDN w:val="0"/>
              <w:rPr>
                <w:b/>
                <w:bCs/>
                <w:color w:val="A6A6A6"/>
                <w:kern w:val="22"/>
              </w:rPr>
            </w:pPr>
          </w:p>
        </w:tc>
        <w:tc>
          <w:tcPr>
            <w:tcW w:w="2524" w:type="dxa"/>
            <w:vMerge/>
          </w:tcPr>
          <w:p w14:paraId="563AC696" w14:textId="77777777" w:rsidR="004D7089" w:rsidRPr="00F606DC" w:rsidRDefault="004D7089" w:rsidP="004D7089">
            <w:pPr>
              <w:kinsoku w:val="0"/>
              <w:overflowPunct w:val="0"/>
              <w:autoSpaceDE w:val="0"/>
              <w:autoSpaceDN w:val="0"/>
              <w:rPr>
                <w:bCs/>
                <w:color w:val="000000"/>
                <w:lang w:val="en-CA" w:eastAsia="en-CA"/>
              </w:rPr>
            </w:pPr>
          </w:p>
        </w:tc>
        <w:tc>
          <w:tcPr>
            <w:tcW w:w="2971" w:type="dxa"/>
          </w:tcPr>
          <w:p w14:paraId="27E13A3E" w14:textId="3301B2FE" w:rsidR="004D7089" w:rsidRPr="00F606DC" w:rsidRDefault="004D7089" w:rsidP="002D00B8">
            <w:pPr>
              <w:jc w:val="left"/>
              <w:rPr>
                <w:color w:val="000000"/>
                <w:lang w:val="en-CA" w:eastAsia="en-CA"/>
              </w:rPr>
            </w:pPr>
            <w:r>
              <w:rPr>
                <w:color w:val="000000"/>
                <w:lang w:val="en-CA" w:eastAsia="en-CA"/>
              </w:rPr>
              <w:t>B.</w:t>
            </w:r>
            <w:r w:rsidRPr="00F606DC">
              <w:rPr>
                <w:color w:val="000000"/>
                <w:lang w:val="en-CA" w:eastAsia="en-CA"/>
              </w:rPr>
              <w:t>4.2. Parties have put in place effective mechanisms to involve relevant stakeholders from different sectors in the implementation of the Protocol</w:t>
            </w:r>
          </w:p>
        </w:tc>
        <w:tc>
          <w:tcPr>
            <w:tcW w:w="5690" w:type="dxa"/>
            <w:vMerge/>
          </w:tcPr>
          <w:p w14:paraId="06841686" w14:textId="77777777" w:rsidR="004D7089" w:rsidRPr="00E26079" w:rsidRDefault="004D7089" w:rsidP="004D7089">
            <w:pPr>
              <w:kinsoku w:val="0"/>
              <w:overflowPunct w:val="0"/>
              <w:autoSpaceDE w:val="0"/>
              <w:autoSpaceDN w:val="0"/>
              <w:rPr>
                <w:kern w:val="22"/>
              </w:rPr>
            </w:pPr>
          </w:p>
        </w:tc>
      </w:tr>
    </w:tbl>
    <w:p w14:paraId="5D43195C" w14:textId="77777777" w:rsidR="00A8120A" w:rsidRPr="00F606DC" w:rsidRDefault="00A8120A" w:rsidP="00A8120A">
      <w:pPr>
        <w:kinsoku w:val="0"/>
        <w:overflowPunct w:val="0"/>
        <w:autoSpaceDE w:val="0"/>
        <w:autoSpaceDN w:val="0"/>
        <w:rPr>
          <w:kern w:val="22"/>
        </w:rPr>
      </w:pPr>
    </w:p>
    <w:p w14:paraId="7230CD3D" w14:textId="4C829369" w:rsidR="00A8120A" w:rsidRDefault="00A8120A" w:rsidP="00A8120A">
      <w:r>
        <w:t>* These columns replica</w:t>
      </w:r>
      <w:r w:rsidR="001A762A">
        <w:t>te</w:t>
      </w:r>
      <w:r>
        <w:t xml:space="preserve"> the</w:t>
      </w:r>
      <w:r w:rsidR="001A762A">
        <w:t xml:space="preserve"> first three columns in the</w:t>
      </w:r>
      <w:r>
        <w:t xml:space="preserve"> draft implementation plan</w:t>
      </w:r>
      <w:r w:rsidR="001A762A">
        <w:t xml:space="preserve"> </w:t>
      </w:r>
      <w:r w:rsidR="001A762A" w:rsidRPr="00A97056">
        <w:t xml:space="preserve">as </w:t>
      </w:r>
      <w:r w:rsidR="001A762A" w:rsidRPr="002D00B8">
        <w:t>contained in the annex to document CBD/CP/LG/2019/1/3</w:t>
      </w:r>
      <w:r w:rsidRPr="002D00B8">
        <w:t>.</w:t>
      </w:r>
    </w:p>
    <w:p w14:paraId="332C5933" w14:textId="77777777" w:rsidR="00D5298C" w:rsidRPr="004F623E" w:rsidRDefault="00D5298C" w:rsidP="00D5298C">
      <w:pPr>
        <w:pStyle w:val="Para1"/>
        <w:numPr>
          <w:ilvl w:val="0"/>
          <w:numId w:val="0"/>
        </w:numPr>
        <w:ind w:left="714"/>
        <w:jc w:val="center"/>
      </w:pPr>
      <w:r w:rsidRPr="004F623E">
        <w:rPr>
          <w:snapToGrid/>
          <w:kern w:val="22"/>
        </w:rPr>
        <w:t>__________</w:t>
      </w:r>
    </w:p>
    <w:p w14:paraId="6A5574E2" w14:textId="77777777" w:rsidR="000E1BD1" w:rsidRPr="004F623E" w:rsidRDefault="000E1BD1" w:rsidP="00FE6F74">
      <w:pPr>
        <w:kinsoku w:val="0"/>
        <w:overflowPunct w:val="0"/>
        <w:autoSpaceDE w:val="0"/>
        <w:autoSpaceDN w:val="0"/>
        <w:rPr>
          <w:kern w:val="22"/>
        </w:rPr>
      </w:pPr>
    </w:p>
    <w:sectPr w:rsidR="000E1BD1" w:rsidRPr="004F623E" w:rsidSect="002D00B8">
      <w:pgSz w:w="15840" w:h="12240" w:orient="landscape"/>
      <w:pgMar w:top="1389" w:right="567" w:bottom="138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10D40A" w14:textId="77777777" w:rsidR="00B93E02" w:rsidRDefault="00B93E02" w:rsidP="00CF1848">
      <w:r>
        <w:separator/>
      </w:r>
    </w:p>
  </w:endnote>
  <w:endnote w:type="continuationSeparator" w:id="0">
    <w:p w14:paraId="2C741195" w14:textId="77777777" w:rsidR="00B93E02" w:rsidRDefault="00B93E02" w:rsidP="00CF18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notTrueType/>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D6B2CC" w14:textId="77777777" w:rsidR="00B93E02" w:rsidRDefault="00B93E02" w:rsidP="00CF1848">
      <w:r>
        <w:separator/>
      </w:r>
    </w:p>
  </w:footnote>
  <w:footnote w:type="continuationSeparator" w:id="0">
    <w:p w14:paraId="35A37C9E" w14:textId="77777777" w:rsidR="00B93E02" w:rsidRDefault="00B93E02" w:rsidP="00CF1848">
      <w:r>
        <w:continuationSeparator/>
      </w:r>
    </w:p>
  </w:footnote>
  <w:footnote w:id="1">
    <w:p w14:paraId="3794C505" w14:textId="57B95069" w:rsidR="00B93E02" w:rsidRPr="004F11C8" w:rsidRDefault="00B93E02" w:rsidP="001D0EAF">
      <w:pPr>
        <w:pStyle w:val="FootnoteText"/>
        <w:ind w:firstLine="0"/>
        <w:rPr>
          <w:lang w:val="en-CA"/>
        </w:rPr>
      </w:pPr>
      <w:r w:rsidRPr="002D00B8">
        <w:rPr>
          <w:rStyle w:val="FootnoteReference"/>
          <w:u w:val="none"/>
          <w:vertAlign w:val="superscript"/>
        </w:rPr>
        <w:footnoteRef/>
      </w:r>
      <w:r>
        <w:t xml:space="preserve"> </w:t>
      </w:r>
      <w:r>
        <w:rPr>
          <w:lang w:val="en-CA"/>
        </w:rPr>
        <w:t>More information on the results of the survey will be provided to the Conference of the Parties serving as the meeting of the Parties to the Protocol at its tenth meeting.</w:t>
      </w:r>
    </w:p>
  </w:footnote>
  <w:footnote w:id="2">
    <w:p w14:paraId="621A9AEE" w14:textId="2F9E06D9" w:rsidR="00B93E02" w:rsidRPr="00A97644" w:rsidRDefault="00B93E02" w:rsidP="002D00B8">
      <w:pPr>
        <w:pStyle w:val="FootnoteText"/>
        <w:ind w:firstLine="0"/>
        <w:rPr>
          <w:lang w:val="en-US"/>
        </w:rPr>
      </w:pPr>
      <w:r w:rsidRPr="002D00B8">
        <w:rPr>
          <w:rStyle w:val="FootnoteReference"/>
          <w:u w:val="none"/>
          <w:vertAlign w:val="superscript"/>
        </w:rPr>
        <w:footnoteRef/>
      </w:r>
      <w:r>
        <w:t xml:space="preserve"> Decision </w:t>
      </w:r>
      <w:r>
        <w:rPr>
          <w:lang w:val="en-US"/>
        </w:rPr>
        <w:t>CP-VIII/15, paras. 8-11.</w:t>
      </w:r>
    </w:p>
  </w:footnote>
  <w:footnote w:id="3">
    <w:p w14:paraId="67AD6BA0" w14:textId="4F9CD01C" w:rsidR="00B93E02" w:rsidRPr="00CD04B0" w:rsidRDefault="00B93E02" w:rsidP="002D00B8">
      <w:pPr>
        <w:pStyle w:val="FootnoteText"/>
        <w:ind w:firstLine="0"/>
        <w:rPr>
          <w:lang w:val="en-US"/>
        </w:rPr>
      </w:pPr>
      <w:r w:rsidRPr="002D00B8">
        <w:rPr>
          <w:rStyle w:val="FootnoteReference"/>
          <w:u w:val="none"/>
          <w:vertAlign w:val="superscript"/>
        </w:rPr>
        <w:footnoteRef/>
      </w:r>
      <w:r>
        <w:t xml:space="preserve"> Decision </w:t>
      </w:r>
      <w:r>
        <w:rPr>
          <w:lang w:val="en-US"/>
        </w:rPr>
        <w:t>CP-VIII/15, para. 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fr-CA"/>
      </w:rPr>
      <w:alias w:val="Subject"/>
      <w:tag w:val=""/>
      <w:id w:val="-1885015078"/>
      <w:placeholder>
        <w:docPart w:val="B91F815427754D9BA6571111AFF15602"/>
      </w:placeholder>
      <w:dataBinding w:prefixMappings="xmlns:ns0='http://purl.org/dc/elements/1.1/' xmlns:ns1='http://schemas.openxmlformats.org/package/2006/metadata/core-properties' " w:xpath="/ns1:coreProperties[1]/ns0:subject[1]" w:storeItemID="{6C3C8BC8-F283-45AE-878A-BAB7291924A1}"/>
      <w:text/>
    </w:sdtPr>
    <w:sdtEndPr/>
    <w:sdtContent>
      <w:p w14:paraId="322A3FEC" w14:textId="51750803" w:rsidR="00B93E02" w:rsidRPr="0057433C" w:rsidRDefault="00B93E02" w:rsidP="00534681">
        <w:pPr>
          <w:pStyle w:val="Header"/>
          <w:rPr>
            <w:lang w:val="fr-CA"/>
          </w:rPr>
        </w:pPr>
        <w:r>
          <w:rPr>
            <w:lang w:val="fr-CA"/>
          </w:rPr>
          <w:t>CBD/CP/LG/2019/1/4</w:t>
        </w:r>
      </w:p>
    </w:sdtContent>
  </w:sdt>
  <w:p w14:paraId="19E31C39" w14:textId="77777777" w:rsidR="00B93E02" w:rsidRPr="0057433C" w:rsidRDefault="00B93E02" w:rsidP="00534681">
    <w:pPr>
      <w:pStyle w:val="Header"/>
      <w:rPr>
        <w:lang w:val="fr-CA"/>
      </w:rPr>
    </w:pPr>
    <w:r w:rsidRPr="0057433C">
      <w:rPr>
        <w:lang w:val="fr-CA"/>
      </w:rPr>
      <w:t xml:space="preserve">Page </w:t>
    </w:r>
    <w:r>
      <w:fldChar w:fldCharType="begin"/>
    </w:r>
    <w:r w:rsidRPr="0057433C">
      <w:rPr>
        <w:lang w:val="fr-CA"/>
      </w:rPr>
      <w:instrText xml:space="preserve"> PAGE   \* MERGEFORMAT </w:instrText>
    </w:r>
    <w:r>
      <w:fldChar w:fldCharType="separate"/>
    </w:r>
    <w:r w:rsidRPr="0057433C">
      <w:rPr>
        <w:noProof/>
        <w:lang w:val="fr-CA"/>
      </w:rPr>
      <w:t>2</w:t>
    </w:r>
    <w:r>
      <w:rPr>
        <w:noProof/>
      </w:rPr>
      <w:fldChar w:fldCharType="end"/>
    </w:r>
  </w:p>
  <w:p w14:paraId="38BE883B" w14:textId="77777777" w:rsidR="00B93E02" w:rsidRPr="0057433C" w:rsidRDefault="00B93E02">
    <w:pPr>
      <w:pStyle w:val="Header"/>
      <w:rPr>
        <w:lang w:val="fr-C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fr-CA"/>
      </w:rPr>
      <w:alias w:val="Subject"/>
      <w:tag w:val=""/>
      <w:id w:val="851227268"/>
      <w:placeholder>
        <w:docPart w:val="9E64A1B551BC4D48B19DB33F17A999C0"/>
      </w:placeholder>
      <w:dataBinding w:prefixMappings="xmlns:ns0='http://purl.org/dc/elements/1.1/' xmlns:ns1='http://schemas.openxmlformats.org/package/2006/metadata/core-properties' " w:xpath="/ns1:coreProperties[1]/ns0:subject[1]" w:storeItemID="{6C3C8BC8-F283-45AE-878A-BAB7291924A1}"/>
      <w:text/>
    </w:sdtPr>
    <w:sdtEndPr/>
    <w:sdtContent>
      <w:p w14:paraId="58177CEE" w14:textId="4987F29C" w:rsidR="00B93E02" w:rsidRPr="0057433C" w:rsidRDefault="00B93E02" w:rsidP="009505C9">
        <w:pPr>
          <w:pStyle w:val="Header"/>
          <w:jc w:val="right"/>
          <w:rPr>
            <w:lang w:val="fr-CA"/>
          </w:rPr>
        </w:pPr>
        <w:r>
          <w:rPr>
            <w:lang w:val="fr-CA"/>
          </w:rPr>
          <w:t>CBD/CP/LG/2019/1/4</w:t>
        </w:r>
      </w:p>
    </w:sdtContent>
  </w:sdt>
  <w:p w14:paraId="1820A7D5" w14:textId="77777777" w:rsidR="00B93E02" w:rsidRPr="0057433C" w:rsidRDefault="00B93E02" w:rsidP="009505C9">
    <w:pPr>
      <w:pStyle w:val="Header"/>
      <w:jc w:val="right"/>
      <w:rPr>
        <w:lang w:val="fr-CA"/>
      </w:rPr>
    </w:pPr>
    <w:r w:rsidRPr="0057433C">
      <w:rPr>
        <w:lang w:val="fr-CA"/>
      </w:rPr>
      <w:t xml:space="preserve">Page </w:t>
    </w:r>
    <w:r>
      <w:fldChar w:fldCharType="begin"/>
    </w:r>
    <w:r w:rsidRPr="0057433C">
      <w:rPr>
        <w:lang w:val="fr-CA"/>
      </w:rPr>
      <w:instrText xml:space="preserve"> PAGE   \* MERGEFORMAT </w:instrText>
    </w:r>
    <w:r>
      <w:fldChar w:fldCharType="separate"/>
    </w:r>
    <w:r w:rsidRPr="0057433C">
      <w:rPr>
        <w:noProof/>
        <w:lang w:val="fr-CA"/>
      </w:rPr>
      <w:t>1</w:t>
    </w:r>
    <w:r>
      <w:rPr>
        <w:noProof/>
      </w:rPr>
      <w:fldChar w:fldCharType="end"/>
    </w:r>
  </w:p>
  <w:p w14:paraId="37D34E80" w14:textId="77777777" w:rsidR="00B93E02" w:rsidRPr="0057433C" w:rsidRDefault="00B93E02">
    <w:pPr>
      <w:pStyle w:val="Header"/>
      <w:rPr>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318BB"/>
    <w:multiLevelType w:val="hybridMultilevel"/>
    <w:tmpl w:val="C2445F4C"/>
    <w:lvl w:ilvl="0" w:tplc="EFE4BFEA">
      <w:start w:val="25"/>
      <w:numFmt w:val="decimal"/>
      <w:lvlText w:val="%1."/>
      <w:lvlJc w:val="left"/>
      <w:pPr>
        <w:ind w:left="1080" w:hanging="360"/>
      </w:pPr>
      <w:rPr>
        <w:rFonts w:hint="default"/>
        <w:b w:val="0"/>
      </w:rPr>
    </w:lvl>
    <w:lvl w:ilvl="1" w:tplc="61F21DD4">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1F4367"/>
    <w:multiLevelType w:val="hybridMultilevel"/>
    <w:tmpl w:val="48684684"/>
    <w:lvl w:ilvl="0" w:tplc="EBBE8C10">
      <w:start w:val="1"/>
      <w:numFmt w:val="lowerRoman"/>
      <w:lvlText w:val="(%1)"/>
      <w:lvlJc w:val="left"/>
      <w:pPr>
        <w:ind w:left="1080" w:hanging="720"/>
      </w:pPr>
      <w:rPr>
        <w:rFonts w:hint="default"/>
      </w:rPr>
    </w:lvl>
    <w:lvl w:ilvl="1" w:tplc="E25214E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7005DF"/>
    <w:multiLevelType w:val="hybridMultilevel"/>
    <w:tmpl w:val="D026006A"/>
    <w:lvl w:ilvl="0" w:tplc="74FA1D94">
      <w:start w:val="1"/>
      <w:numFmt w:val="decimal"/>
      <w:lvlText w:val="%1."/>
      <w:lvlJc w:val="left"/>
      <w:pPr>
        <w:ind w:left="720" w:hanging="360"/>
      </w:pPr>
      <w:rPr>
        <w:rFonts w:ascii="Times New Roman" w:hAnsi="Times New Roman" w:cs="Times New Roman" w:hint="default"/>
        <w:b w:val="0"/>
      </w:rPr>
    </w:lvl>
    <w:lvl w:ilvl="1" w:tplc="3A448F04">
      <w:start w:val="1"/>
      <w:numFmt w:val="lowerLetter"/>
      <w:lvlText w:val="(%2)"/>
      <w:lvlJc w:val="left"/>
      <w:pPr>
        <w:ind w:left="1440" w:hanging="360"/>
      </w:pPr>
      <w:rPr>
        <w:rFonts w:ascii="Times New Roman" w:hAnsi="Times New Roman" w:cs="Times New Roman"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0F7060"/>
    <w:multiLevelType w:val="multilevel"/>
    <w:tmpl w:val="287C8C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FA655F"/>
    <w:multiLevelType w:val="multilevel"/>
    <w:tmpl w:val="5ECE641C"/>
    <w:lvl w:ilvl="0">
      <w:start w:val="1"/>
      <w:numFmt w:val="upperRoman"/>
      <w:lvlText w:val="%1."/>
      <w:lvlJc w:val="left"/>
      <w:pPr>
        <w:ind w:left="1080" w:hanging="720"/>
      </w:pPr>
      <w:rPr>
        <w:rFonts w:hint="default"/>
        <w:b/>
      </w:rPr>
    </w:lvl>
    <w:lvl w:ilvl="1">
      <w:start w:val="5"/>
      <w:numFmt w:val="decimal"/>
      <w:isLgl/>
      <w:lvlText w:val="%1.%2"/>
      <w:lvlJc w:val="left"/>
      <w:pPr>
        <w:ind w:left="720" w:hanging="360"/>
      </w:pPr>
      <w:rPr>
        <w:rFonts w:hint="default"/>
        <w:u w:val="singl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1800" w:hanging="1440"/>
      </w:pPr>
      <w:rPr>
        <w:rFonts w:hint="default"/>
        <w:u w:val="single"/>
      </w:rPr>
    </w:lvl>
  </w:abstractNum>
  <w:abstractNum w:abstractNumId="5" w15:restartNumberingAfterBreak="0">
    <w:nsid w:val="1D14508E"/>
    <w:multiLevelType w:val="hybridMultilevel"/>
    <w:tmpl w:val="66426D16"/>
    <w:lvl w:ilvl="0" w:tplc="74FA1D94">
      <w:start w:val="1"/>
      <w:numFmt w:val="decimal"/>
      <w:lvlText w:val="%1."/>
      <w:lvlJc w:val="left"/>
      <w:pPr>
        <w:ind w:left="720" w:hanging="360"/>
      </w:pPr>
      <w:rPr>
        <w:rFonts w:ascii="Times New Roman" w:hAnsi="Times New Roman" w:cs="Times New Roman" w:hint="default"/>
        <w:b w:val="0"/>
      </w:rPr>
    </w:lvl>
    <w:lvl w:ilvl="1" w:tplc="86C47A0E">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975AD0"/>
    <w:multiLevelType w:val="hybridMultilevel"/>
    <w:tmpl w:val="4FD87A34"/>
    <w:lvl w:ilvl="0" w:tplc="F140E412">
      <w:start w:val="1"/>
      <w:numFmt w:val="lowerLetter"/>
      <w:lvlText w:val="(%1)"/>
      <w:lvlJc w:val="left"/>
      <w:pPr>
        <w:ind w:left="720" w:hanging="360"/>
      </w:pPr>
      <w:rPr>
        <w:rFonts w:hint="default"/>
        <w:i/>
      </w:rPr>
    </w:lvl>
    <w:lvl w:ilvl="1" w:tplc="04090019">
      <w:start w:val="1"/>
      <w:numFmt w:val="lowerLetter"/>
      <w:lvlText w:val="%2."/>
      <w:lvlJc w:val="left"/>
      <w:pPr>
        <w:ind w:left="1440" w:hanging="360"/>
      </w:pPr>
    </w:lvl>
    <w:lvl w:ilvl="2" w:tplc="9FDAE436">
      <w:numFmt w:val="bullet"/>
      <w:lvlText w:val="-"/>
      <w:lvlJc w:val="left"/>
      <w:pPr>
        <w:ind w:left="2340" w:hanging="360"/>
      </w:pPr>
      <w:rPr>
        <w:rFonts w:ascii="Times" w:eastAsia="Times New Roman" w:hAnsi="Times" w:cs="Time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2A95B1C"/>
    <w:multiLevelType w:val="hybridMultilevel"/>
    <w:tmpl w:val="7E863FD2"/>
    <w:lvl w:ilvl="0" w:tplc="DF264C66">
      <w:start w:val="1"/>
      <w:numFmt w:val="lowerRoman"/>
      <w:lvlText w:val="(%1)"/>
      <w:lvlJc w:val="left"/>
      <w:pPr>
        <w:ind w:left="1080" w:hanging="72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473AE4"/>
    <w:multiLevelType w:val="hybridMultilevel"/>
    <w:tmpl w:val="B024EB60"/>
    <w:lvl w:ilvl="0" w:tplc="74FA1D94">
      <w:start w:val="1"/>
      <w:numFmt w:val="decimal"/>
      <w:lvlText w:val="%1."/>
      <w:lvlJc w:val="left"/>
      <w:pPr>
        <w:ind w:left="720" w:hanging="360"/>
      </w:pPr>
      <w:rPr>
        <w:rFonts w:ascii="Times New Roman" w:hAnsi="Times New Roman" w:cs="Times New Roman" w:hint="default"/>
        <w:b w:val="0"/>
      </w:rPr>
    </w:lvl>
    <w:lvl w:ilvl="1" w:tplc="66F88F9E">
      <w:start w:val="1"/>
      <w:numFmt w:val="lowerLetter"/>
      <w:lvlText w:val="(%2)"/>
      <w:lvlJc w:val="left"/>
      <w:pPr>
        <w:ind w:left="1440" w:hanging="360"/>
      </w:pPr>
      <w:rPr>
        <w:rFonts w:ascii="Times New Roman" w:hAnsi="Times New Roman" w:cs="Times New Roman"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7F7174"/>
    <w:multiLevelType w:val="hybridMultilevel"/>
    <w:tmpl w:val="8B7EF10C"/>
    <w:lvl w:ilvl="0" w:tplc="ED9869AC">
      <w:start w:val="47"/>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F0336B8"/>
    <w:multiLevelType w:val="multilevel"/>
    <w:tmpl w:val="99BA12E0"/>
    <w:lvl w:ilvl="0">
      <w:start w:val="1"/>
      <w:numFmt w:val="upperRoman"/>
      <w:lvlText w:val="%1."/>
      <w:lvlJc w:val="left"/>
      <w:pPr>
        <w:tabs>
          <w:tab w:val="num" w:pos="720"/>
        </w:tabs>
        <w:ind w:left="0" w:firstLine="0"/>
      </w:pPr>
      <w:rPr>
        <w:rFonts w:hint="default"/>
      </w:rPr>
    </w:lvl>
    <w:lvl w:ilvl="1">
      <w:start w:val="1"/>
      <w:numFmt w:val="upperLetter"/>
      <w:lvlText w:val="%2."/>
      <w:lvlJc w:val="left"/>
      <w:pPr>
        <w:tabs>
          <w:tab w:val="num" w:pos="360"/>
        </w:tabs>
        <w:ind w:left="0" w:firstLine="0"/>
      </w:pPr>
      <w:rPr>
        <w:rFonts w:hint="default"/>
      </w:rPr>
    </w:lvl>
    <w:lvl w:ilvl="2">
      <w:start w:val="1"/>
      <w:numFmt w:val="decimal"/>
      <w:lvlText w:val="%3."/>
      <w:lvlJc w:val="left"/>
      <w:pPr>
        <w:tabs>
          <w:tab w:val="num" w:pos="360"/>
        </w:tabs>
        <w:ind w:left="0" w:firstLine="0"/>
      </w:pPr>
      <w:rPr>
        <w:rFonts w:hint="default"/>
      </w:rPr>
    </w:lvl>
    <w:lvl w:ilvl="3">
      <w:start w:val="1"/>
      <w:numFmt w:val="decimal"/>
      <w:lvlText w:val="1.%4"/>
      <w:lvlJc w:val="left"/>
      <w:pPr>
        <w:tabs>
          <w:tab w:val="num" w:pos="360"/>
        </w:tabs>
        <w:ind w:left="0" w:firstLine="0"/>
      </w:pPr>
      <w:rPr>
        <w:rFonts w:hint="default"/>
      </w:rPr>
    </w:lvl>
    <w:lvl w:ilvl="4">
      <w:start w:val="1"/>
      <w:numFmt w:val="lowerRoman"/>
      <w:pStyle w:val="Heading5"/>
      <w:lvlText w:val="(%5)"/>
      <w:lvlJc w:val="left"/>
      <w:pPr>
        <w:tabs>
          <w:tab w:val="num" w:pos="720"/>
        </w:tabs>
        <w:ind w:left="0" w:firstLine="0"/>
      </w:pPr>
      <w:rPr>
        <w:rFonts w:hint="default"/>
      </w:rPr>
    </w:lvl>
    <w:lvl w:ilvl="5">
      <w:start w:val="1"/>
      <w:numFmt w:val="lowerLetter"/>
      <w:lvlText w:val="(%6)"/>
      <w:lvlJc w:val="left"/>
      <w:pPr>
        <w:tabs>
          <w:tab w:val="num" w:pos="1080"/>
        </w:tabs>
        <w:ind w:left="72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360"/>
        </w:tabs>
        <w:ind w:left="-72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1" w15:restartNumberingAfterBreak="0">
    <w:nsid w:val="316C40A2"/>
    <w:multiLevelType w:val="hybridMultilevel"/>
    <w:tmpl w:val="DF381B6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1D0205"/>
    <w:multiLevelType w:val="hybridMultilevel"/>
    <w:tmpl w:val="CFB6EED8"/>
    <w:lvl w:ilvl="0" w:tplc="DBA87B26">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342933EC"/>
    <w:multiLevelType w:val="hybridMultilevel"/>
    <w:tmpl w:val="3142041A"/>
    <w:lvl w:ilvl="0" w:tplc="5B5E885E">
      <w:start w:val="1"/>
      <w:numFmt w:val="lowerRoman"/>
      <w:lvlText w:val="(%1)"/>
      <w:lvlJc w:val="left"/>
      <w:pPr>
        <w:ind w:left="1440" w:hanging="720"/>
      </w:pPr>
      <w:rPr>
        <w:rFonts w:hint="default"/>
      </w:rPr>
    </w:lvl>
    <w:lvl w:ilvl="1" w:tplc="E25214E2">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8E4287B"/>
    <w:multiLevelType w:val="multilevel"/>
    <w:tmpl w:val="2E6A1D38"/>
    <w:lvl w:ilvl="0">
      <w:start w:val="1"/>
      <w:numFmt w:val="decimal"/>
      <w:lvlText w:val="%1."/>
      <w:lvlJc w:val="left"/>
      <w:pPr>
        <w:tabs>
          <w:tab w:val="num" w:pos="360"/>
        </w:tabs>
        <w:ind w:left="0" w:firstLine="0"/>
      </w:pPr>
    </w:lvl>
    <w:lvl w:ilvl="1">
      <w:start w:val="1"/>
      <w:numFmt w:val="lowerLetter"/>
      <w:lvlText w:val="(%2)"/>
      <w:lvlJc w:val="left"/>
      <w:pPr>
        <w:tabs>
          <w:tab w:val="num" w:pos="1440"/>
        </w:tabs>
        <w:ind w:left="0" w:firstLine="720"/>
      </w:pPr>
    </w:lvl>
    <w:lvl w:ilvl="2">
      <w:start w:val="1"/>
      <w:numFmt w:val="lowerRoman"/>
      <w:lvlText w:val="(%3)"/>
      <w:lvlJc w:val="right"/>
      <w:pPr>
        <w:tabs>
          <w:tab w:val="num" w:pos="1440"/>
        </w:tabs>
        <w:ind w:left="1440" w:hanging="360"/>
      </w:pPr>
    </w:lvl>
    <w:lvl w:ilvl="3">
      <w:start w:val="1"/>
      <w:numFmt w:val="bullet"/>
      <w:pStyle w:val="Para3"/>
      <w:lvlText w:val=""/>
      <w:lvlJc w:val="left"/>
      <w:pPr>
        <w:tabs>
          <w:tab w:val="num" w:pos="2160"/>
        </w:tabs>
        <w:ind w:left="2160" w:hanging="720"/>
      </w:pPr>
      <w:rPr>
        <w:rFonts w:ascii="Symbol" w:hAnsi="Symbol" w:hint="default"/>
        <w:sz w:val="28"/>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9E470D4"/>
    <w:multiLevelType w:val="hybridMultilevel"/>
    <w:tmpl w:val="F6F6F7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EA3F2A"/>
    <w:multiLevelType w:val="hybridMultilevel"/>
    <w:tmpl w:val="D0BEC134"/>
    <w:lvl w:ilvl="0" w:tplc="EBBE8C10">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390F66"/>
    <w:multiLevelType w:val="hybridMultilevel"/>
    <w:tmpl w:val="D548CC32"/>
    <w:lvl w:ilvl="0" w:tplc="2CAE76DE">
      <w:start w:val="2"/>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0442B4"/>
    <w:multiLevelType w:val="multilevel"/>
    <w:tmpl w:val="4FF01174"/>
    <w:lvl w:ilvl="0">
      <w:start w:val="1"/>
      <w:numFmt w:val="decimal"/>
      <w:pStyle w:val="Para1"/>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4E8D4C68"/>
    <w:multiLevelType w:val="hybridMultilevel"/>
    <w:tmpl w:val="7444CB74"/>
    <w:lvl w:ilvl="0" w:tplc="EFE4BFEA">
      <w:start w:val="25"/>
      <w:numFmt w:val="decimal"/>
      <w:lvlText w:val="%1."/>
      <w:lvlJc w:val="left"/>
      <w:pPr>
        <w:ind w:left="1080" w:hanging="360"/>
      </w:pPr>
      <w:rPr>
        <w:rFonts w:hint="default"/>
        <w:b w:val="0"/>
      </w:rPr>
    </w:lvl>
    <w:lvl w:ilvl="1" w:tplc="04090015">
      <w:start w:val="1"/>
      <w:numFmt w:val="upperLetter"/>
      <w:lvlText w:val="%2."/>
      <w:lvlJc w:val="left"/>
      <w:pPr>
        <w:ind w:left="1440" w:hanging="360"/>
      </w:pPr>
      <w:rPr>
        <w:b w:val="0"/>
      </w:rPr>
    </w:lvl>
    <w:lvl w:ilvl="2" w:tplc="D6949F74">
      <w:start w:val="15"/>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23606C"/>
    <w:multiLevelType w:val="hybridMultilevel"/>
    <w:tmpl w:val="D096C194"/>
    <w:lvl w:ilvl="0" w:tplc="C770B0C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4766A9"/>
    <w:multiLevelType w:val="hybridMultilevel"/>
    <w:tmpl w:val="30848CA4"/>
    <w:lvl w:ilvl="0" w:tplc="D128964A">
      <w:start w:val="1"/>
      <w:numFmt w:val="decimal"/>
      <w:lvlText w:val="%1."/>
      <w:lvlJc w:val="left"/>
      <w:pPr>
        <w:ind w:left="720" w:hanging="360"/>
      </w:pPr>
      <w:rPr>
        <w:rFonts w:hint="default"/>
        <w:b w:val="0"/>
      </w:rPr>
    </w:lvl>
    <w:lvl w:ilvl="1" w:tplc="86C47A0E">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D54529"/>
    <w:multiLevelType w:val="hybridMultilevel"/>
    <w:tmpl w:val="417EFC30"/>
    <w:lvl w:ilvl="0" w:tplc="49EC52AE">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147BCF"/>
    <w:multiLevelType w:val="hybridMultilevel"/>
    <w:tmpl w:val="2848CB64"/>
    <w:lvl w:ilvl="0" w:tplc="CA2C8A7A">
      <w:start w:val="1"/>
      <w:numFmt w:val="decimal"/>
      <w:lvlText w:val="%1."/>
      <w:lvlJc w:val="left"/>
      <w:pPr>
        <w:ind w:left="720" w:hanging="360"/>
      </w:pPr>
      <w:rPr>
        <w:rFonts w:hint="default"/>
      </w:rPr>
    </w:lvl>
    <w:lvl w:ilvl="1" w:tplc="6BB22266">
      <w:start w:val="1"/>
      <w:numFmt w:val="lowerLetter"/>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0317A4"/>
    <w:multiLevelType w:val="hybridMultilevel"/>
    <w:tmpl w:val="2556D262"/>
    <w:lvl w:ilvl="0" w:tplc="E25214E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652B7921"/>
    <w:multiLevelType w:val="hybridMultilevel"/>
    <w:tmpl w:val="30848CA4"/>
    <w:lvl w:ilvl="0" w:tplc="D128964A">
      <w:start w:val="1"/>
      <w:numFmt w:val="decimal"/>
      <w:lvlText w:val="%1."/>
      <w:lvlJc w:val="left"/>
      <w:pPr>
        <w:ind w:left="720" w:hanging="360"/>
      </w:pPr>
      <w:rPr>
        <w:rFonts w:hint="default"/>
        <w:b w:val="0"/>
      </w:rPr>
    </w:lvl>
    <w:lvl w:ilvl="1" w:tplc="86C47A0E">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DB33274"/>
    <w:multiLevelType w:val="hybridMultilevel"/>
    <w:tmpl w:val="44D65B62"/>
    <w:lvl w:ilvl="0" w:tplc="C39CBEE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ED82968"/>
    <w:multiLevelType w:val="hybridMultilevel"/>
    <w:tmpl w:val="FE162F2C"/>
    <w:lvl w:ilvl="0" w:tplc="2004B57A">
      <w:start w:val="1"/>
      <w:numFmt w:val="bullet"/>
      <w:pStyle w:val="CBD-Doc"/>
      <w:lvlText w:val=""/>
      <w:lvlJc w:val="left"/>
      <w:pPr>
        <w:tabs>
          <w:tab w:val="num" w:pos="567"/>
        </w:tabs>
        <w:ind w:left="567" w:hanging="567"/>
      </w:pPr>
      <w:rPr>
        <w:rFonts w:ascii="Symbol" w:hAnsi="Symbol" w:hint="default"/>
      </w:rPr>
    </w:lvl>
    <w:lvl w:ilvl="1" w:tplc="E3FE1308" w:tentative="1">
      <w:start w:val="1"/>
      <w:numFmt w:val="bullet"/>
      <w:lvlText w:val="o"/>
      <w:lvlJc w:val="left"/>
      <w:pPr>
        <w:tabs>
          <w:tab w:val="num" w:pos="1440"/>
        </w:tabs>
        <w:ind w:left="1440" w:hanging="360"/>
      </w:pPr>
      <w:rPr>
        <w:rFonts w:ascii="Courier New" w:hAnsi="Courier New" w:cs="Courier New" w:hint="default"/>
      </w:rPr>
    </w:lvl>
    <w:lvl w:ilvl="2" w:tplc="12162BAC"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8"/>
  </w:num>
  <w:num w:numId="3">
    <w:abstractNumId w:val="14"/>
  </w:num>
  <w:num w:numId="4">
    <w:abstractNumId w:val="27"/>
  </w:num>
  <w:num w:numId="5">
    <w:abstractNumId w:val="4"/>
  </w:num>
  <w:num w:numId="6">
    <w:abstractNumId w:val="5"/>
  </w:num>
  <w:num w:numId="7">
    <w:abstractNumId w:val="9"/>
  </w:num>
  <w:num w:numId="8">
    <w:abstractNumId w:val="0"/>
  </w:num>
  <w:num w:numId="9">
    <w:abstractNumId w:val="20"/>
  </w:num>
  <w:num w:numId="10">
    <w:abstractNumId w:val="11"/>
  </w:num>
  <w:num w:numId="11">
    <w:abstractNumId w:val="22"/>
  </w:num>
  <w:num w:numId="12">
    <w:abstractNumId w:val="13"/>
  </w:num>
  <w:num w:numId="13">
    <w:abstractNumId w:val="1"/>
  </w:num>
  <w:num w:numId="14">
    <w:abstractNumId w:val="16"/>
  </w:num>
  <w:num w:numId="15">
    <w:abstractNumId w:val="24"/>
  </w:num>
  <w:num w:numId="16">
    <w:abstractNumId w:val="19"/>
  </w:num>
  <w:num w:numId="17">
    <w:abstractNumId w:val="7"/>
  </w:num>
  <w:num w:numId="18">
    <w:abstractNumId w:val="17"/>
  </w:num>
  <w:num w:numId="19">
    <w:abstractNumId w:val="23"/>
  </w:num>
  <w:num w:numId="20">
    <w:abstractNumId w:val="3"/>
  </w:num>
  <w:num w:numId="21">
    <w:abstractNumId w:val="6"/>
  </w:num>
  <w:num w:numId="22">
    <w:abstractNumId w:val="25"/>
  </w:num>
  <w:num w:numId="23">
    <w:abstractNumId w:val="21"/>
  </w:num>
  <w:num w:numId="24">
    <w:abstractNumId w:val="26"/>
  </w:num>
  <w:num w:numId="25">
    <w:abstractNumId w:val="15"/>
  </w:num>
  <w:num w:numId="26">
    <w:abstractNumId w:val="8"/>
  </w:num>
  <w:num w:numId="27">
    <w:abstractNumId w:val="12"/>
  </w:num>
  <w:num w:numId="28">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20"/>
  <w:evenAndOddHeaders/>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61D"/>
    <w:rsid w:val="0000034D"/>
    <w:rsid w:val="00000C89"/>
    <w:rsid w:val="00000D01"/>
    <w:rsid w:val="00000FC1"/>
    <w:rsid w:val="000013B2"/>
    <w:rsid w:val="00001B4A"/>
    <w:rsid w:val="00004205"/>
    <w:rsid w:val="00010070"/>
    <w:rsid w:val="00012776"/>
    <w:rsid w:val="00012E13"/>
    <w:rsid w:val="0001318B"/>
    <w:rsid w:val="00013E76"/>
    <w:rsid w:val="00016985"/>
    <w:rsid w:val="00016CDB"/>
    <w:rsid w:val="00017A45"/>
    <w:rsid w:val="00020D58"/>
    <w:rsid w:val="000210D7"/>
    <w:rsid w:val="00022309"/>
    <w:rsid w:val="00025997"/>
    <w:rsid w:val="00026E41"/>
    <w:rsid w:val="00027D21"/>
    <w:rsid w:val="00034708"/>
    <w:rsid w:val="00036ABF"/>
    <w:rsid w:val="00037A62"/>
    <w:rsid w:val="00043D76"/>
    <w:rsid w:val="00044458"/>
    <w:rsid w:val="000459E5"/>
    <w:rsid w:val="000463F7"/>
    <w:rsid w:val="00047F7B"/>
    <w:rsid w:val="00051E58"/>
    <w:rsid w:val="00051ED1"/>
    <w:rsid w:val="00052A55"/>
    <w:rsid w:val="00052AC2"/>
    <w:rsid w:val="000531DF"/>
    <w:rsid w:val="00054C74"/>
    <w:rsid w:val="00055E6B"/>
    <w:rsid w:val="000605BD"/>
    <w:rsid w:val="00060B3D"/>
    <w:rsid w:val="00066018"/>
    <w:rsid w:val="00071A1D"/>
    <w:rsid w:val="00071CB0"/>
    <w:rsid w:val="00073451"/>
    <w:rsid w:val="000768E0"/>
    <w:rsid w:val="00077373"/>
    <w:rsid w:val="00080208"/>
    <w:rsid w:val="000812C1"/>
    <w:rsid w:val="00085801"/>
    <w:rsid w:val="000872F0"/>
    <w:rsid w:val="00087A3F"/>
    <w:rsid w:val="00092D48"/>
    <w:rsid w:val="00092D9D"/>
    <w:rsid w:val="00093EFD"/>
    <w:rsid w:val="0009463F"/>
    <w:rsid w:val="000947C4"/>
    <w:rsid w:val="00095A8F"/>
    <w:rsid w:val="00095E46"/>
    <w:rsid w:val="00096597"/>
    <w:rsid w:val="000A04CC"/>
    <w:rsid w:val="000A0AC1"/>
    <w:rsid w:val="000A1714"/>
    <w:rsid w:val="000A1B92"/>
    <w:rsid w:val="000A1C35"/>
    <w:rsid w:val="000A1ED9"/>
    <w:rsid w:val="000A2D37"/>
    <w:rsid w:val="000A4AEF"/>
    <w:rsid w:val="000A5ACB"/>
    <w:rsid w:val="000A5CAF"/>
    <w:rsid w:val="000A690B"/>
    <w:rsid w:val="000A69E1"/>
    <w:rsid w:val="000A7CC4"/>
    <w:rsid w:val="000B10BE"/>
    <w:rsid w:val="000B2FED"/>
    <w:rsid w:val="000B5CB0"/>
    <w:rsid w:val="000B630F"/>
    <w:rsid w:val="000B766A"/>
    <w:rsid w:val="000B77F2"/>
    <w:rsid w:val="000B78E2"/>
    <w:rsid w:val="000C1992"/>
    <w:rsid w:val="000C23E5"/>
    <w:rsid w:val="000C4010"/>
    <w:rsid w:val="000C4352"/>
    <w:rsid w:val="000C43A3"/>
    <w:rsid w:val="000C5595"/>
    <w:rsid w:val="000C58DC"/>
    <w:rsid w:val="000C5F5A"/>
    <w:rsid w:val="000C67FB"/>
    <w:rsid w:val="000C6923"/>
    <w:rsid w:val="000C7450"/>
    <w:rsid w:val="000C74F7"/>
    <w:rsid w:val="000D169C"/>
    <w:rsid w:val="000D29F5"/>
    <w:rsid w:val="000D2CA8"/>
    <w:rsid w:val="000D4CD6"/>
    <w:rsid w:val="000D5036"/>
    <w:rsid w:val="000D5FF8"/>
    <w:rsid w:val="000D635C"/>
    <w:rsid w:val="000D6E74"/>
    <w:rsid w:val="000D7226"/>
    <w:rsid w:val="000D773C"/>
    <w:rsid w:val="000E1BD1"/>
    <w:rsid w:val="000E2958"/>
    <w:rsid w:val="000E32B1"/>
    <w:rsid w:val="000E37FE"/>
    <w:rsid w:val="000E673A"/>
    <w:rsid w:val="000F068C"/>
    <w:rsid w:val="000F2151"/>
    <w:rsid w:val="000F37EC"/>
    <w:rsid w:val="000F4C91"/>
    <w:rsid w:val="000F512E"/>
    <w:rsid w:val="000F59C3"/>
    <w:rsid w:val="000F5E32"/>
    <w:rsid w:val="000F61BD"/>
    <w:rsid w:val="000F74F5"/>
    <w:rsid w:val="001020B2"/>
    <w:rsid w:val="00102268"/>
    <w:rsid w:val="001036A8"/>
    <w:rsid w:val="00105372"/>
    <w:rsid w:val="001074E5"/>
    <w:rsid w:val="00112442"/>
    <w:rsid w:val="00112BAF"/>
    <w:rsid w:val="0011345D"/>
    <w:rsid w:val="00117CEE"/>
    <w:rsid w:val="00120339"/>
    <w:rsid w:val="00120EC7"/>
    <w:rsid w:val="001215CE"/>
    <w:rsid w:val="00121A13"/>
    <w:rsid w:val="00121AFA"/>
    <w:rsid w:val="0012406C"/>
    <w:rsid w:val="001240C1"/>
    <w:rsid w:val="00126214"/>
    <w:rsid w:val="00126463"/>
    <w:rsid w:val="00127BE5"/>
    <w:rsid w:val="00130BB2"/>
    <w:rsid w:val="00130FB6"/>
    <w:rsid w:val="00131E7A"/>
    <w:rsid w:val="00132ED4"/>
    <w:rsid w:val="00133251"/>
    <w:rsid w:val="001344F8"/>
    <w:rsid w:val="00134682"/>
    <w:rsid w:val="00134F75"/>
    <w:rsid w:val="0013577C"/>
    <w:rsid w:val="00135A19"/>
    <w:rsid w:val="00136B42"/>
    <w:rsid w:val="00143174"/>
    <w:rsid w:val="001434E3"/>
    <w:rsid w:val="00144AA8"/>
    <w:rsid w:val="001467C1"/>
    <w:rsid w:val="00146BAB"/>
    <w:rsid w:val="001505DD"/>
    <w:rsid w:val="0015163B"/>
    <w:rsid w:val="0015263A"/>
    <w:rsid w:val="001527E0"/>
    <w:rsid w:val="0015282F"/>
    <w:rsid w:val="001531EA"/>
    <w:rsid w:val="00155724"/>
    <w:rsid w:val="00161E65"/>
    <w:rsid w:val="0016793C"/>
    <w:rsid w:val="00167BAD"/>
    <w:rsid w:val="00167C0A"/>
    <w:rsid w:val="00170A60"/>
    <w:rsid w:val="00172AF6"/>
    <w:rsid w:val="001737C8"/>
    <w:rsid w:val="001760A2"/>
    <w:rsid w:val="001765DD"/>
    <w:rsid w:val="00176CEE"/>
    <w:rsid w:val="001770F3"/>
    <w:rsid w:val="001800A7"/>
    <w:rsid w:val="001808A0"/>
    <w:rsid w:val="00180F29"/>
    <w:rsid w:val="00182584"/>
    <w:rsid w:val="00182656"/>
    <w:rsid w:val="001826BE"/>
    <w:rsid w:val="00182F5A"/>
    <w:rsid w:val="00184054"/>
    <w:rsid w:val="00190CAF"/>
    <w:rsid w:val="00193D38"/>
    <w:rsid w:val="001A2AC8"/>
    <w:rsid w:val="001A3770"/>
    <w:rsid w:val="001A4A82"/>
    <w:rsid w:val="001A5FED"/>
    <w:rsid w:val="001A762A"/>
    <w:rsid w:val="001A7A22"/>
    <w:rsid w:val="001B054D"/>
    <w:rsid w:val="001B06E4"/>
    <w:rsid w:val="001B147E"/>
    <w:rsid w:val="001B150F"/>
    <w:rsid w:val="001B15B7"/>
    <w:rsid w:val="001B641B"/>
    <w:rsid w:val="001B7398"/>
    <w:rsid w:val="001C083C"/>
    <w:rsid w:val="001C1417"/>
    <w:rsid w:val="001C2083"/>
    <w:rsid w:val="001C6FC2"/>
    <w:rsid w:val="001C7688"/>
    <w:rsid w:val="001C7A6D"/>
    <w:rsid w:val="001D04ED"/>
    <w:rsid w:val="001D0EAF"/>
    <w:rsid w:val="001D36DF"/>
    <w:rsid w:val="001D45D5"/>
    <w:rsid w:val="001D6F15"/>
    <w:rsid w:val="001E0223"/>
    <w:rsid w:val="001E3164"/>
    <w:rsid w:val="001E4D0C"/>
    <w:rsid w:val="001E66BA"/>
    <w:rsid w:val="001E7855"/>
    <w:rsid w:val="001E7C00"/>
    <w:rsid w:val="001F0024"/>
    <w:rsid w:val="001F0774"/>
    <w:rsid w:val="001F3F36"/>
    <w:rsid w:val="001F560F"/>
    <w:rsid w:val="002026A2"/>
    <w:rsid w:val="00202B6E"/>
    <w:rsid w:val="002045AC"/>
    <w:rsid w:val="00205A7E"/>
    <w:rsid w:val="002076EA"/>
    <w:rsid w:val="00210D05"/>
    <w:rsid w:val="00213796"/>
    <w:rsid w:val="0021666F"/>
    <w:rsid w:val="002169B1"/>
    <w:rsid w:val="002178C5"/>
    <w:rsid w:val="00224CFF"/>
    <w:rsid w:val="002266B2"/>
    <w:rsid w:val="002269FE"/>
    <w:rsid w:val="0023107E"/>
    <w:rsid w:val="00231AC3"/>
    <w:rsid w:val="002327AD"/>
    <w:rsid w:val="00233AB0"/>
    <w:rsid w:val="00235731"/>
    <w:rsid w:val="002369DC"/>
    <w:rsid w:val="00236AAC"/>
    <w:rsid w:val="00236C53"/>
    <w:rsid w:val="00236E59"/>
    <w:rsid w:val="00244B9C"/>
    <w:rsid w:val="00244FDE"/>
    <w:rsid w:val="00245CE5"/>
    <w:rsid w:val="00250FFE"/>
    <w:rsid w:val="00251B30"/>
    <w:rsid w:val="002523E7"/>
    <w:rsid w:val="002533E8"/>
    <w:rsid w:val="002551DD"/>
    <w:rsid w:val="00255BD8"/>
    <w:rsid w:val="00261776"/>
    <w:rsid w:val="00261FDB"/>
    <w:rsid w:val="0026378F"/>
    <w:rsid w:val="00266379"/>
    <w:rsid w:val="002672E0"/>
    <w:rsid w:val="002676BC"/>
    <w:rsid w:val="00271A0A"/>
    <w:rsid w:val="00273C4B"/>
    <w:rsid w:val="002751A1"/>
    <w:rsid w:val="0027575A"/>
    <w:rsid w:val="00275D96"/>
    <w:rsid w:val="0028086B"/>
    <w:rsid w:val="00280D8B"/>
    <w:rsid w:val="00282195"/>
    <w:rsid w:val="0028781E"/>
    <w:rsid w:val="002913C7"/>
    <w:rsid w:val="00291FBF"/>
    <w:rsid w:val="0029432C"/>
    <w:rsid w:val="0029574F"/>
    <w:rsid w:val="00296F82"/>
    <w:rsid w:val="00297CA2"/>
    <w:rsid w:val="002A34FA"/>
    <w:rsid w:val="002A3859"/>
    <w:rsid w:val="002A76B6"/>
    <w:rsid w:val="002A7F81"/>
    <w:rsid w:val="002B3995"/>
    <w:rsid w:val="002B47D7"/>
    <w:rsid w:val="002B56DF"/>
    <w:rsid w:val="002B5B95"/>
    <w:rsid w:val="002B73F9"/>
    <w:rsid w:val="002C1AB3"/>
    <w:rsid w:val="002C4BBF"/>
    <w:rsid w:val="002D00B8"/>
    <w:rsid w:val="002D1D65"/>
    <w:rsid w:val="002D2DDF"/>
    <w:rsid w:val="002E1664"/>
    <w:rsid w:val="002E3B70"/>
    <w:rsid w:val="002E4DC1"/>
    <w:rsid w:val="002E56D0"/>
    <w:rsid w:val="002F00CC"/>
    <w:rsid w:val="002F0BEA"/>
    <w:rsid w:val="002F129F"/>
    <w:rsid w:val="002F25C1"/>
    <w:rsid w:val="002F271D"/>
    <w:rsid w:val="002F4943"/>
    <w:rsid w:val="002F4C1C"/>
    <w:rsid w:val="002F4E9A"/>
    <w:rsid w:val="002F6D26"/>
    <w:rsid w:val="00300B59"/>
    <w:rsid w:val="00301E52"/>
    <w:rsid w:val="00303FF1"/>
    <w:rsid w:val="00304E02"/>
    <w:rsid w:val="00307F28"/>
    <w:rsid w:val="00310658"/>
    <w:rsid w:val="00312051"/>
    <w:rsid w:val="00313A60"/>
    <w:rsid w:val="00315996"/>
    <w:rsid w:val="00315DD8"/>
    <w:rsid w:val="00316720"/>
    <w:rsid w:val="003172E6"/>
    <w:rsid w:val="00324147"/>
    <w:rsid w:val="00324C97"/>
    <w:rsid w:val="00331F16"/>
    <w:rsid w:val="0033272F"/>
    <w:rsid w:val="0033725A"/>
    <w:rsid w:val="00343A09"/>
    <w:rsid w:val="00343E56"/>
    <w:rsid w:val="00344346"/>
    <w:rsid w:val="00344698"/>
    <w:rsid w:val="00344B31"/>
    <w:rsid w:val="003454DD"/>
    <w:rsid w:val="0034621A"/>
    <w:rsid w:val="0034624F"/>
    <w:rsid w:val="00350183"/>
    <w:rsid w:val="00351594"/>
    <w:rsid w:val="00352F2E"/>
    <w:rsid w:val="00353019"/>
    <w:rsid w:val="00355DFF"/>
    <w:rsid w:val="00356AE8"/>
    <w:rsid w:val="003573A9"/>
    <w:rsid w:val="00360435"/>
    <w:rsid w:val="00361E66"/>
    <w:rsid w:val="00362642"/>
    <w:rsid w:val="00363B14"/>
    <w:rsid w:val="00365B82"/>
    <w:rsid w:val="003662CA"/>
    <w:rsid w:val="003668E5"/>
    <w:rsid w:val="0036713E"/>
    <w:rsid w:val="00371C34"/>
    <w:rsid w:val="00372F74"/>
    <w:rsid w:val="00374A7D"/>
    <w:rsid w:val="003753FA"/>
    <w:rsid w:val="00375458"/>
    <w:rsid w:val="00375C5C"/>
    <w:rsid w:val="003772B2"/>
    <w:rsid w:val="003835A5"/>
    <w:rsid w:val="00384E10"/>
    <w:rsid w:val="00385C97"/>
    <w:rsid w:val="003922AA"/>
    <w:rsid w:val="00393EA7"/>
    <w:rsid w:val="003A01DE"/>
    <w:rsid w:val="003A15EF"/>
    <w:rsid w:val="003A1CF3"/>
    <w:rsid w:val="003A3046"/>
    <w:rsid w:val="003A434C"/>
    <w:rsid w:val="003A4B4E"/>
    <w:rsid w:val="003A7619"/>
    <w:rsid w:val="003B1F1A"/>
    <w:rsid w:val="003B28C4"/>
    <w:rsid w:val="003B3D0B"/>
    <w:rsid w:val="003B4821"/>
    <w:rsid w:val="003B4BD9"/>
    <w:rsid w:val="003B58A0"/>
    <w:rsid w:val="003B75B6"/>
    <w:rsid w:val="003C2A69"/>
    <w:rsid w:val="003C4BCC"/>
    <w:rsid w:val="003C566E"/>
    <w:rsid w:val="003C568F"/>
    <w:rsid w:val="003C7073"/>
    <w:rsid w:val="003C752F"/>
    <w:rsid w:val="003D03C4"/>
    <w:rsid w:val="003D0597"/>
    <w:rsid w:val="003D11DC"/>
    <w:rsid w:val="003D1536"/>
    <w:rsid w:val="003D6FF4"/>
    <w:rsid w:val="003D7EFA"/>
    <w:rsid w:val="003E03CA"/>
    <w:rsid w:val="003E0964"/>
    <w:rsid w:val="003E0994"/>
    <w:rsid w:val="003E0BD1"/>
    <w:rsid w:val="003E1E4B"/>
    <w:rsid w:val="003E216F"/>
    <w:rsid w:val="003E2CA2"/>
    <w:rsid w:val="003E483F"/>
    <w:rsid w:val="003E51CA"/>
    <w:rsid w:val="003E7353"/>
    <w:rsid w:val="003F06E3"/>
    <w:rsid w:val="003F34BA"/>
    <w:rsid w:val="003F5895"/>
    <w:rsid w:val="003F5BD1"/>
    <w:rsid w:val="00401D88"/>
    <w:rsid w:val="004028AB"/>
    <w:rsid w:val="0040380E"/>
    <w:rsid w:val="00403D49"/>
    <w:rsid w:val="00404FE8"/>
    <w:rsid w:val="00407488"/>
    <w:rsid w:val="0040792A"/>
    <w:rsid w:val="00407E1C"/>
    <w:rsid w:val="004110B0"/>
    <w:rsid w:val="00411A66"/>
    <w:rsid w:val="00412428"/>
    <w:rsid w:val="00412CEB"/>
    <w:rsid w:val="00415390"/>
    <w:rsid w:val="004160D7"/>
    <w:rsid w:val="00420226"/>
    <w:rsid w:val="00420674"/>
    <w:rsid w:val="00421A84"/>
    <w:rsid w:val="0042210F"/>
    <w:rsid w:val="00423D29"/>
    <w:rsid w:val="00424983"/>
    <w:rsid w:val="00424A14"/>
    <w:rsid w:val="00427151"/>
    <w:rsid w:val="004273C9"/>
    <w:rsid w:val="00432884"/>
    <w:rsid w:val="00432C06"/>
    <w:rsid w:val="00434079"/>
    <w:rsid w:val="00434C02"/>
    <w:rsid w:val="0043590E"/>
    <w:rsid w:val="00435F37"/>
    <w:rsid w:val="00436EEF"/>
    <w:rsid w:val="00437ED3"/>
    <w:rsid w:val="00440E84"/>
    <w:rsid w:val="004441DF"/>
    <w:rsid w:val="00445345"/>
    <w:rsid w:val="004463D2"/>
    <w:rsid w:val="00446792"/>
    <w:rsid w:val="00446C1C"/>
    <w:rsid w:val="004473FA"/>
    <w:rsid w:val="0044754D"/>
    <w:rsid w:val="00447B88"/>
    <w:rsid w:val="00447CBE"/>
    <w:rsid w:val="00450A33"/>
    <w:rsid w:val="0045128A"/>
    <w:rsid w:val="00452474"/>
    <w:rsid w:val="00453017"/>
    <w:rsid w:val="00453C7D"/>
    <w:rsid w:val="00455755"/>
    <w:rsid w:val="00455E5B"/>
    <w:rsid w:val="00456207"/>
    <w:rsid w:val="00456D80"/>
    <w:rsid w:val="00462D0D"/>
    <w:rsid w:val="00463BEA"/>
    <w:rsid w:val="00463FE4"/>
    <w:rsid w:val="004644C2"/>
    <w:rsid w:val="00465A0A"/>
    <w:rsid w:val="00467B87"/>
    <w:rsid w:val="00471185"/>
    <w:rsid w:val="004738A4"/>
    <w:rsid w:val="00473925"/>
    <w:rsid w:val="004762DB"/>
    <w:rsid w:val="00480F7F"/>
    <w:rsid w:val="004841EB"/>
    <w:rsid w:val="004846A6"/>
    <w:rsid w:val="00485F24"/>
    <w:rsid w:val="00490B15"/>
    <w:rsid w:val="004940E3"/>
    <w:rsid w:val="00494893"/>
    <w:rsid w:val="00495181"/>
    <w:rsid w:val="004960F8"/>
    <w:rsid w:val="0049786A"/>
    <w:rsid w:val="004A07B5"/>
    <w:rsid w:val="004A154C"/>
    <w:rsid w:val="004A3CE3"/>
    <w:rsid w:val="004A4611"/>
    <w:rsid w:val="004A5686"/>
    <w:rsid w:val="004A60BC"/>
    <w:rsid w:val="004A699A"/>
    <w:rsid w:val="004B3882"/>
    <w:rsid w:val="004C3AD5"/>
    <w:rsid w:val="004C56D6"/>
    <w:rsid w:val="004C5EB1"/>
    <w:rsid w:val="004D213D"/>
    <w:rsid w:val="004D2CD1"/>
    <w:rsid w:val="004D3BFC"/>
    <w:rsid w:val="004D699A"/>
    <w:rsid w:val="004D7089"/>
    <w:rsid w:val="004E28C9"/>
    <w:rsid w:val="004E3A08"/>
    <w:rsid w:val="004E4F29"/>
    <w:rsid w:val="004E785E"/>
    <w:rsid w:val="004E7C05"/>
    <w:rsid w:val="004F11C8"/>
    <w:rsid w:val="004F1DCA"/>
    <w:rsid w:val="004F258F"/>
    <w:rsid w:val="004F25DA"/>
    <w:rsid w:val="004F5B0B"/>
    <w:rsid w:val="004F5B41"/>
    <w:rsid w:val="004F5D9C"/>
    <w:rsid w:val="004F623E"/>
    <w:rsid w:val="004F7DA1"/>
    <w:rsid w:val="0050144F"/>
    <w:rsid w:val="00503041"/>
    <w:rsid w:val="005041EF"/>
    <w:rsid w:val="00504DE7"/>
    <w:rsid w:val="00506628"/>
    <w:rsid w:val="005104F3"/>
    <w:rsid w:val="00513DDE"/>
    <w:rsid w:val="005145FE"/>
    <w:rsid w:val="005214FB"/>
    <w:rsid w:val="00521974"/>
    <w:rsid w:val="00524D49"/>
    <w:rsid w:val="00525FD8"/>
    <w:rsid w:val="00527487"/>
    <w:rsid w:val="005279F4"/>
    <w:rsid w:val="00527C5E"/>
    <w:rsid w:val="00530329"/>
    <w:rsid w:val="00532707"/>
    <w:rsid w:val="00534357"/>
    <w:rsid w:val="00534681"/>
    <w:rsid w:val="0053507E"/>
    <w:rsid w:val="00535481"/>
    <w:rsid w:val="00535644"/>
    <w:rsid w:val="00540E7A"/>
    <w:rsid w:val="005418CB"/>
    <w:rsid w:val="00546581"/>
    <w:rsid w:val="00547020"/>
    <w:rsid w:val="00547E0E"/>
    <w:rsid w:val="00552E7C"/>
    <w:rsid w:val="00555B2B"/>
    <w:rsid w:val="00557E6B"/>
    <w:rsid w:val="00557EFC"/>
    <w:rsid w:val="0056147D"/>
    <w:rsid w:val="0056231A"/>
    <w:rsid w:val="005638D3"/>
    <w:rsid w:val="00563DA7"/>
    <w:rsid w:val="00565C69"/>
    <w:rsid w:val="00570161"/>
    <w:rsid w:val="005704FD"/>
    <w:rsid w:val="0057433C"/>
    <w:rsid w:val="00574437"/>
    <w:rsid w:val="0057499B"/>
    <w:rsid w:val="00574C73"/>
    <w:rsid w:val="005801D8"/>
    <w:rsid w:val="00580450"/>
    <w:rsid w:val="00580744"/>
    <w:rsid w:val="005809AD"/>
    <w:rsid w:val="005830FC"/>
    <w:rsid w:val="0058406D"/>
    <w:rsid w:val="00586E1E"/>
    <w:rsid w:val="00587317"/>
    <w:rsid w:val="0059027E"/>
    <w:rsid w:val="00592AF7"/>
    <w:rsid w:val="005935EC"/>
    <w:rsid w:val="00595004"/>
    <w:rsid w:val="00595399"/>
    <w:rsid w:val="00595E01"/>
    <w:rsid w:val="00595F85"/>
    <w:rsid w:val="005A0CA4"/>
    <w:rsid w:val="005A3D01"/>
    <w:rsid w:val="005A3E28"/>
    <w:rsid w:val="005A470B"/>
    <w:rsid w:val="005A511F"/>
    <w:rsid w:val="005A6FA4"/>
    <w:rsid w:val="005B31C3"/>
    <w:rsid w:val="005B4257"/>
    <w:rsid w:val="005B4BF1"/>
    <w:rsid w:val="005B4E28"/>
    <w:rsid w:val="005C043F"/>
    <w:rsid w:val="005C296F"/>
    <w:rsid w:val="005C3C0B"/>
    <w:rsid w:val="005C431D"/>
    <w:rsid w:val="005C4819"/>
    <w:rsid w:val="005C558B"/>
    <w:rsid w:val="005C623F"/>
    <w:rsid w:val="005C6A13"/>
    <w:rsid w:val="005D082F"/>
    <w:rsid w:val="005D1DDE"/>
    <w:rsid w:val="005D429D"/>
    <w:rsid w:val="005D6141"/>
    <w:rsid w:val="005E01ED"/>
    <w:rsid w:val="005E03AA"/>
    <w:rsid w:val="005E0E0A"/>
    <w:rsid w:val="005E2C0D"/>
    <w:rsid w:val="005E6277"/>
    <w:rsid w:val="005E644D"/>
    <w:rsid w:val="005E6525"/>
    <w:rsid w:val="005E7040"/>
    <w:rsid w:val="005F1BFF"/>
    <w:rsid w:val="005F272B"/>
    <w:rsid w:val="005F4852"/>
    <w:rsid w:val="005F4E4E"/>
    <w:rsid w:val="005F6A0C"/>
    <w:rsid w:val="00605206"/>
    <w:rsid w:val="00606DE3"/>
    <w:rsid w:val="00611966"/>
    <w:rsid w:val="0061235A"/>
    <w:rsid w:val="006153FE"/>
    <w:rsid w:val="00615AD8"/>
    <w:rsid w:val="0061716A"/>
    <w:rsid w:val="0062051B"/>
    <w:rsid w:val="0062645F"/>
    <w:rsid w:val="006270F5"/>
    <w:rsid w:val="00627427"/>
    <w:rsid w:val="00627AA4"/>
    <w:rsid w:val="00630079"/>
    <w:rsid w:val="006303A2"/>
    <w:rsid w:val="00631353"/>
    <w:rsid w:val="00631F43"/>
    <w:rsid w:val="0063245F"/>
    <w:rsid w:val="006339F9"/>
    <w:rsid w:val="00634F8B"/>
    <w:rsid w:val="0063552B"/>
    <w:rsid w:val="00640FE9"/>
    <w:rsid w:val="00642C5C"/>
    <w:rsid w:val="00646741"/>
    <w:rsid w:val="00647B8C"/>
    <w:rsid w:val="00655556"/>
    <w:rsid w:val="00655F38"/>
    <w:rsid w:val="00660370"/>
    <w:rsid w:val="00661309"/>
    <w:rsid w:val="00662C48"/>
    <w:rsid w:val="00663234"/>
    <w:rsid w:val="006655B5"/>
    <w:rsid w:val="006660E6"/>
    <w:rsid w:val="00667915"/>
    <w:rsid w:val="00672082"/>
    <w:rsid w:val="00673C2F"/>
    <w:rsid w:val="00674C1E"/>
    <w:rsid w:val="006752F7"/>
    <w:rsid w:val="00675CBA"/>
    <w:rsid w:val="00675CDC"/>
    <w:rsid w:val="0068081A"/>
    <w:rsid w:val="00680830"/>
    <w:rsid w:val="00682262"/>
    <w:rsid w:val="00682952"/>
    <w:rsid w:val="00682B0C"/>
    <w:rsid w:val="006849BA"/>
    <w:rsid w:val="006850A9"/>
    <w:rsid w:val="00690701"/>
    <w:rsid w:val="00690BD2"/>
    <w:rsid w:val="00690F83"/>
    <w:rsid w:val="006919FA"/>
    <w:rsid w:val="00692382"/>
    <w:rsid w:val="0069253A"/>
    <w:rsid w:val="00695AC7"/>
    <w:rsid w:val="006A22C9"/>
    <w:rsid w:val="006A369F"/>
    <w:rsid w:val="006A458A"/>
    <w:rsid w:val="006A7281"/>
    <w:rsid w:val="006B0DA3"/>
    <w:rsid w:val="006B29F1"/>
    <w:rsid w:val="006B2B29"/>
    <w:rsid w:val="006B35CF"/>
    <w:rsid w:val="006B35D3"/>
    <w:rsid w:val="006B6EE0"/>
    <w:rsid w:val="006B7D82"/>
    <w:rsid w:val="006C0E01"/>
    <w:rsid w:val="006C30E0"/>
    <w:rsid w:val="006D1376"/>
    <w:rsid w:val="006D1DDA"/>
    <w:rsid w:val="006D4B99"/>
    <w:rsid w:val="006D6C3D"/>
    <w:rsid w:val="006D7398"/>
    <w:rsid w:val="006E0000"/>
    <w:rsid w:val="006E21DE"/>
    <w:rsid w:val="006E2CC2"/>
    <w:rsid w:val="006F1961"/>
    <w:rsid w:val="006F1C0C"/>
    <w:rsid w:val="006F5B9D"/>
    <w:rsid w:val="006F7BB7"/>
    <w:rsid w:val="0070053A"/>
    <w:rsid w:val="00701821"/>
    <w:rsid w:val="007022CB"/>
    <w:rsid w:val="00702E15"/>
    <w:rsid w:val="00703608"/>
    <w:rsid w:val="00703873"/>
    <w:rsid w:val="00713ED5"/>
    <w:rsid w:val="00714FDE"/>
    <w:rsid w:val="00716A0E"/>
    <w:rsid w:val="00717619"/>
    <w:rsid w:val="00717D88"/>
    <w:rsid w:val="007204BD"/>
    <w:rsid w:val="007215E1"/>
    <w:rsid w:val="007238AE"/>
    <w:rsid w:val="00723DA0"/>
    <w:rsid w:val="00725826"/>
    <w:rsid w:val="00725F27"/>
    <w:rsid w:val="0072665C"/>
    <w:rsid w:val="0072760A"/>
    <w:rsid w:val="00727C11"/>
    <w:rsid w:val="00731705"/>
    <w:rsid w:val="007341EF"/>
    <w:rsid w:val="00736ADA"/>
    <w:rsid w:val="0073738D"/>
    <w:rsid w:val="00740632"/>
    <w:rsid w:val="007409BF"/>
    <w:rsid w:val="00741B6A"/>
    <w:rsid w:val="00743CBB"/>
    <w:rsid w:val="00745892"/>
    <w:rsid w:val="00747483"/>
    <w:rsid w:val="00750830"/>
    <w:rsid w:val="00751227"/>
    <w:rsid w:val="00752401"/>
    <w:rsid w:val="00754A5E"/>
    <w:rsid w:val="00754C4B"/>
    <w:rsid w:val="00755B78"/>
    <w:rsid w:val="00755FE3"/>
    <w:rsid w:val="00760F0B"/>
    <w:rsid w:val="007636C3"/>
    <w:rsid w:val="00763C2A"/>
    <w:rsid w:val="0076457C"/>
    <w:rsid w:val="00765396"/>
    <w:rsid w:val="00766197"/>
    <w:rsid w:val="00770B76"/>
    <w:rsid w:val="00771822"/>
    <w:rsid w:val="00773443"/>
    <w:rsid w:val="00775DE7"/>
    <w:rsid w:val="00775ED4"/>
    <w:rsid w:val="007765A3"/>
    <w:rsid w:val="00780288"/>
    <w:rsid w:val="007815E7"/>
    <w:rsid w:val="00781C15"/>
    <w:rsid w:val="00790DA1"/>
    <w:rsid w:val="00791986"/>
    <w:rsid w:val="00791D84"/>
    <w:rsid w:val="00792294"/>
    <w:rsid w:val="007942D3"/>
    <w:rsid w:val="0079532C"/>
    <w:rsid w:val="00795751"/>
    <w:rsid w:val="0079758D"/>
    <w:rsid w:val="0079788E"/>
    <w:rsid w:val="007A2A55"/>
    <w:rsid w:val="007A3152"/>
    <w:rsid w:val="007A32E5"/>
    <w:rsid w:val="007A4FF7"/>
    <w:rsid w:val="007A727C"/>
    <w:rsid w:val="007B1D86"/>
    <w:rsid w:val="007B3CF9"/>
    <w:rsid w:val="007B6267"/>
    <w:rsid w:val="007B6C09"/>
    <w:rsid w:val="007B6C6A"/>
    <w:rsid w:val="007B720A"/>
    <w:rsid w:val="007C1B9C"/>
    <w:rsid w:val="007C310F"/>
    <w:rsid w:val="007C6325"/>
    <w:rsid w:val="007C68F5"/>
    <w:rsid w:val="007C6F0F"/>
    <w:rsid w:val="007C76D0"/>
    <w:rsid w:val="007D08CF"/>
    <w:rsid w:val="007D0F02"/>
    <w:rsid w:val="007D1F03"/>
    <w:rsid w:val="007D6E29"/>
    <w:rsid w:val="007D7460"/>
    <w:rsid w:val="007E09DA"/>
    <w:rsid w:val="007E177A"/>
    <w:rsid w:val="007E60F5"/>
    <w:rsid w:val="007E673D"/>
    <w:rsid w:val="007E7F1F"/>
    <w:rsid w:val="007F0902"/>
    <w:rsid w:val="007F272C"/>
    <w:rsid w:val="007F3E48"/>
    <w:rsid w:val="007F721B"/>
    <w:rsid w:val="00800331"/>
    <w:rsid w:val="0080164B"/>
    <w:rsid w:val="00801F5F"/>
    <w:rsid w:val="008033F2"/>
    <w:rsid w:val="00803EAE"/>
    <w:rsid w:val="00805D51"/>
    <w:rsid w:val="008073E0"/>
    <w:rsid w:val="0080741B"/>
    <w:rsid w:val="00811B2E"/>
    <w:rsid w:val="00811E8F"/>
    <w:rsid w:val="00814837"/>
    <w:rsid w:val="00814D9F"/>
    <w:rsid w:val="008157DD"/>
    <w:rsid w:val="008161DE"/>
    <w:rsid w:val="008178B6"/>
    <w:rsid w:val="00822B5D"/>
    <w:rsid w:val="00822CB0"/>
    <w:rsid w:val="00822ECC"/>
    <w:rsid w:val="00824EC0"/>
    <w:rsid w:val="00830C29"/>
    <w:rsid w:val="00831CD0"/>
    <w:rsid w:val="0083262E"/>
    <w:rsid w:val="0083445F"/>
    <w:rsid w:val="00835D7E"/>
    <w:rsid w:val="008372C4"/>
    <w:rsid w:val="008378DD"/>
    <w:rsid w:val="00841180"/>
    <w:rsid w:val="00845880"/>
    <w:rsid w:val="008502E6"/>
    <w:rsid w:val="008503B3"/>
    <w:rsid w:val="00851528"/>
    <w:rsid w:val="008530B6"/>
    <w:rsid w:val="00860C7F"/>
    <w:rsid w:val="008612C7"/>
    <w:rsid w:val="00861945"/>
    <w:rsid w:val="00863C68"/>
    <w:rsid w:val="008643A9"/>
    <w:rsid w:val="00866036"/>
    <w:rsid w:val="00873DEE"/>
    <w:rsid w:val="008741A7"/>
    <w:rsid w:val="00874EE5"/>
    <w:rsid w:val="00875417"/>
    <w:rsid w:val="0088214E"/>
    <w:rsid w:val="00885EAA"/>
    <w:rsid w:val="00887427"/>
    <w:rsid w:val="00892128"/>
    <w:rsid w:val="008935B0"/>
    <w:rsid w:val="008A188D"/>
    <w:rsid w:val="008A2177"/>
    <w:rsid w:val="008A30E4"/>
    <w:rsid w:val="008A3397"/>
    <w:rsid w:val="008A359E"/>
    <w:rsid w:val="008A3BA5"/>
    <w:rsid w:val="008A6B42"/>
    <w:rsid w:val="008A6BDC"/>
    <w:rsid w:val="008A75CC"/>
    <w:rsid w:val="008A77E5"/>
    <w:rsid w:val="008B2219"/>
    <w:rsid w:val="008B51FA"/>
    <w:rsid w:val="008B6390"/>
    <w:rsid w:val="008C063B"/>
    <w:rsid w:val="008C6FA8"/>
    <w:rsid w:val="008C79D7"/>
    <w:rsid w:val="008D54D7"/>
    <w:rsid w:val="008D610F"/>
    <w:rsid w:val="008D6917"/>
    <w:rsid w:val="008D7017"/>
    <w:rsid w:val="008E4223"/>
    <w:rsid w:val="008E61F5"/>
    <w:rsid w:val="008E789F"/>
    <w:rsid w:val="008F1E76"/>
    <w:rsid w:val="008F3B0F"/>
    <w:rsid w:val="008F40DA"/>
    <w:rsid w:val="008F6C2A"/>
    <w:rsid w:val="008F7CB6"/>
    <w:rsid w:val="009039EA"/>
    <w:rsid w:val="00904573"/>
    <w:rsid w:val="00905F19"/>
    <w:rsid w:val="009069AC"/>
    <w:rsid w:val="009070B5"/>
    <w:rsid w:val="00907598"/>
    <w:rsid w:val="00910450"/>
    <w:rsid w:val="00912E60"/>
    <w:rsid w:val="00913B3B"/>
    <w:rsid w:val="00917B15"/>
    <w:rsid w:val="0092555D"/>
    <w:rsid w:val="00925A02"/>
    <w:rsid w:val="00925E89"/>
    <w:rsid w:val="00926DEB"/>
    <w:rsid w:val="009278B9"/>
    <w:rsid w:val="00934B42"/>
    <w:rsid w:val="00940694"/>
    <w:rsid w:val="00941039"/>
    <w:rsid w:val="00945B0E"/>
    <w:rsid w:val="009505C9"/>
    <w:rsid w:val="009508BD"/>
    <w:rsid w:val="00950DE2"/>
    <w:rsid w:val="0095238D"/>
    <w:rsid w:val="00953B15"/>
    <w:rsid w:val="009557E3"/>
    <w:rsid w:val="0096055D"/>
    <w:rsid w:val="009609F3"/>
    <w:rsid w:val="009614A8"/>
    <w:rsid w:val="00961D1D"/>
    <w:rsid w:val="00963B64"/>
    <w:rsid w:val="0096440C"/>
    <w:rsid w:val="00964EF2"/>
    <w:rsid w:val="00965BC4"/>
    <w:rsid w:val="00967201"/>
    <w:rsid w:val="00967542"/>
    <w:rsid w:val="00967FE3"/>
    <w:rsid w:val="00970D68"/>
    <w:rsid w:val="0097193B"/>
    <w:rsid w:val="00973934"/>
    <w:rsid w:val="00973D92"/>
    <w:rsid w:val="00975C13"/>
    <w:rsid w:val="009800DD"/>
    <w:rsid w:val="00981B39"/>
    <w:rsid w:val="009828C3"/>
    <w:rsid w:val="00985C79"/>
    <w:rsid w:val="0098707A"/>
    <w:rsid w:val="00987346"/>
    <w:rsid w:val="00990AC8"/>
    <w:rsid w:val="009927E2"/>
    <w:rsid w:val="00994F06"/>
    <w:rsid w:val="009955E8"/>
    <w:rsid w:val="00995E18"/>
    <w:rsid w:val="009A0A35"/>
    <w:rsid w:val="009A4F98"/>
    <w:rsid w:val="009A6F5D"/>
    <w:rsid w:val="009A7A73"/>
    <w:rsid w:val="009B164E"/>
    <w:rsid w:val="009B418E"/>
    <w:rsid w:val="009C0B4E"/>
    <w:rsid w:val="009C2251"/>
    <w:rsid w:val="009C4EE4"/>
    <w:rsid w:val="009C5CFD"/>
    <w:rsid w:val="009C63F2"/>
    <w:rsid w:val="009D14E9"/>
    <w:rsid w:val="009E06B6"/>
    <w:rsid w:val="009E1043"/>
    <w:rsid w:val="009E11A5"/>
    <w:rsid w:val="009E4F11"/>
    <w:rsid w:val="009E5ACA"/>
    <w:rsid w:val="009E64DB"/>
    <w:rsid w:val="009F27FF"/>
    <w:rsid w:val="009F354E"/>
    <w:rsid w:val="00A009D0"/>
    <w:rsid w:val="00A0133F"/>
    <w:rsid w:val="00A0202F"/>
    <w:rsid w:val="00A032AA"/>
    <w:rsid w:val="00A03619"/>
    <w:rsid w:val="00A1111B"/>
    <w:rsid w:val="00A11FBB"/>
    <w:rsid w:val="00A122F7"/>
    <w:rsid w:val="00A13EBD"/>
    <w:rsid w:val="00A15F2E"/>
    <w:rsid w:val="00A17BD3"/>
    <w:rsid w:val="00A17E4E"/>
    <w:rsid w:val="00A21521"/>
    <w:rsid w:val="00A229EF"/>
    <w:rsid w:val="00A22DBA"/>
    <w:rsid w:val="00A24200"/>
    <w:rsid w:val="00A24421"/>
    <w:rsid w:val="00A310BF"/>
    <w:rsid w:val="00A33272"/>
    <w:rsid w:val="00A370CB"/>
    <w:rsid w:val="00A40588"/>
    <w:rsid w:val="00A41852"/>
    <w:rsid w:val="00A426C8"/>
    <w:rsid w:val="00A4325B"/>
    <w:rsid w:val="00A432DA"/>
    <w:rsid w:val="00A455DE"/>
    <w:rsid w:val="00A47026"/>
    <w:rsid w:val="00A47695"/>
    <w:rsid w:val="00A503BF"/>
    <w:rsid w:val="00A508DE"/>
    <w:rsid w:val="00A52988"/>
    <w:rsid w:val="00A532B7"/>
    <w:rsid w:val="00A54F15"/>
    <w:rsid w:val="00A60F16"/>
    <w:rsid w:val="00A62414"/>
    <w:rsid w:val="00A65CC1"/>
    <w:rsid w:val="00A6671A"/>
    <w:rsid w:val="00A70641"/>
    <w:rsid w:val="00A7194D"/>
    <w:rsid w:val="00A71C80"/>
    <w:rsid w:val="00A7220F"/>
    <w:rsid w:val="00A74101"/>
    <w:rsid w:val="00A77545"/>
    <w:rsid w:val="00A77F12"/>
    <w:rsid w:val="00A8120A"/>
    <w:rsid w:val="00A81751"/>
    <w:rsid w:val="00A8594C"/>
    <w:rsid w:val="00A86429"/>
    <w:rsid w:val="00A864EE"/>
    <w:rsid w:val="00A87D64"/>
    <w:rsid w:val="00A90026"/>
    <w:rsid w:val="00A904E5"/>
    <w:rsid w:val="00A928E0"/>
    <w:rsid w:val="00A930C3"/>
    <w:rsid w:val="00A95720"/>
    <w:rsid w:val="00A96080"/>
    <w:rsid w:val="00A97056"/>
    <w:rsid w:val="00A97644"/>
    <w:rsid w:val="00A97ECF"/>
    <w:rsid w:val="00AA3BE3"/>
    <w:rsid w:val="00AA59A5"/>
    <w:rsid w:val="00AA6B05"/>
    <w:rsid w:val="00AA74FB"/>
    <w:rsid w:val="00AB21DC"/>
    <w:rsid w:val="00AB251F"/>
    <w:rsid w:val="00AB25D4"/>
    <w:rsid w:val="00AB379D"/>
    <w:rsid w:val="00AB3B8C"/>
    <w:rsid w:val="00AB3C38"/>
    <w:rsid w:val="00AB63DA"/>
    <w:rsid w:val="00AB6F4B"/>
    <w:rsid w:val="00AC12D8"/>
    <w:rsid w:val="00AC1575"/>
    <w:rsid w:val="00AC1F46"/>
    <w:rsid w:val="00AC215F"/>
    <w:rsid w:val="00AC2176"/>
    <w:rsid w:val="00AC2258"/>
    <w:rsid w:val="00AC3FF2"/>
    <w:rsid w:val="00AC4EF7"/>
    <w:rsid w:val="00AC75F1"/>
    <w:rsid w:val="00AC775D"/>
    <w:rsid w:val="00AD72B0"/>
    <w:rsid w:val="00AE1C2D"/>
    <w:rsid w:val="00AE29D1"/>
    <w:rsid w:val="00AE3619"/>
    <w:rsid w:val="00AE4D0B"/>
    <w:rsid w:val="00AE51AE"/>
    <w:rsid w:val="00AE5413"/>
    <w:rsid w:val="00AE74C6"/>
    <w:rsid w:val="00AF02FF"/>
    <w:rsid w:val="00AF076F"/>
    <w:rsid w:val="00AF0960"/>
    <w:rsid w:val="00AF482C"/>
    <w:rsid w:val="00AF54D0"/>
    <w:rsid w:val="00AF64E4"/>
    <w:rsid w:val="00AF7DBE"/>
    <w:rsid w:val="00B000A9"/>
    <w:rsid w:val="00B0276F"/>
    <w:rsid w:val="00B033B3"/>
    <w:rsid w:val="00B03F84"/>
    <w:rsid w:val="00B056F7"/>
    <w:rsid w:val="00B107A2"/>
    <w:rsid w:val="00B10DBC"/>
    <w:rsid w:val="00B116A0"/>
    <w:rsid w:val="00B20B99"/>
    <w:rsid w:val="00B21E70"/>
    <w:rsid w:val="00B2410E"/>
    <w:rsid w:val="00B253F8"/>
    <w:rsid w:val="00B2614C"/>
    <w:rsid w:val="00B3369F"/>
    <w:rsid w:val="00B35130"/>
    <w:rsid w:val="00B36027"/>
    <w:rsid w:val="00B37B7F"/>
    <w:rsid w:val="00B40A2C"/>
    <w:rsid w:val="00B41F2B"/>
    <w:rsid w:val="00B4239A"/>
    <w:rsid w:val="00B42405"/>
    <w:rsid w:val="00B44DB7"/>
    <w:rsid w:val="00B477C6"/>
    <w:rsid w:val="00B5064F"/>
    <w:rsid w:val="00B51326"/>
    <w:rsid w:val="00B5163D"/>
    <w:rsid w:val="00B51A1A"/>
    <w:rsid w:val="00B53FA5"/>
    <w:rsid w:val="00B54351"/>
    <w:rsid w:val="00B5517C"/>
    <w:rsid w:val="00B65102"/>
    <w:rsid w:val="00B65434"/>
    <w:rsid w:val="00B67B86"/>
    <w:rsid w:val="00B715A2"/>
    <w:rsid w:val="00B71CCA"/>
    <w:rsid w:val="00B726D4"/>
    <w:rsid w:val="00B731E4"/>
    <w:rsid w:val="00B74548"/>
    <w:rsid w:val="00B7475A"/>
    <w:rsid w:val="00B764D4"/>
    <w:rsid w:val="00B80235"/>
    <w:rsid w:val="00B8575B"/>
    <w:rsid w:val="00B877F3"/>
    <w:rsid w:val="00B87BDC"/>
    <w:rsid w:val="00B90376"/>
    <w:rsid w:val="00B90FB5"/>
    <w:rsid w:val="00B9188C"/>
    <w:rsid w:val="00B93E02"/>
    <w:rsid w:val="00B942D7"/>
    <w:rsid w:val="00B954B6"/>
    <w:rsid w:val="00B96358"/>
    <w:rsid w:val="00B966B7"/>
    <w:rsid w:val="00B97CEB"/>
    <w:rsid w:val="00BB10A3"/>
    <w:rsid w:val="00BB13E5"/>
    <w:rsid w:val="00BB1656"/>
    <w:rsid w:val="00BB1E0B"/>
    <w:rsid w:val="00BB2D60"/>
    <w:rsid w:val="00BB3293"/>
    <w:rsid w:val="00BB3FAE"/>
    <w:rsid w:val="00BC3DB2"/>
    <w:rsid w:val="00BC6EBD"/>
    <w:rsid w:val="00BD0A71"/>
    <w:rsid w:val="00BD0BCE"/>
    <w:rsid w:val="00BD0D2A"/>
    <w:rsid w:val="00BD1504"/>
    <w:rsid w:val="00BD18C2"/>
    <w:rsid w:val="00BD241F"/>
    <w:rsid w:val="00BD3055"/>
    <w:rsid w:val="00BD4314"/>
    <w:rsid w:val="00BD5E04"/>
    <w:rsid w:val="00BD5F69"/>
    <w:rsid w:val="00BD6A51"/>
    <w:rsid w:val="00BD74D8"/>
    <w:rsid w:val="00BD78AB"/>
    <w:rsid w:val="00BE16A5"/>
    <w:rsid w:val="00BE355C"/>
    <w:rsid w:val="00BE38F8"/>
    <w:rsid w:val="00BE5255"/>
    <w:rsid w:val="00BF0038"/>
    <w:rsid w:val="00BF018E"/>
    <w:rsid w:val="00BF0C89"/>
    <w:rsid w:val="00BF17CE"/>
    <w:rsid w:val="00BF4014"/>
    <w:rsid w:val="00C0393D"/>
    <w:rsid w:val="00C04D41"/>
    <w:rsid w:val="00C07DEB"/>
    <w:rsid w:val="00C10F18"/>
    <w:rsid w:val="00C12AC1"/>
    <w:rsid w:val="00C1509F"/>
    <w:rsid w:val="00C1566A"/>
    <w:rsid w:val="00C159B8"/>
    <w:rsid w:val="00C15EAB"/>
    <w:rsid w:val="00C17ABA"/>
    <w:rsid w:val="00C17B24"/>
    <w:rsid w:val="00C21EA6"/>
    <w:rsid w:val="00C2291D"/>
    <w:rsid w:val="00C22B0F"/>
    <w:rsid w:val="00C2639F"/>
    <w:rsid w:val="00C26920"/>
    <w:rsid w:val="00C26E0E"/>
    <w:rsid w:val="00C2705C"/>
    <w:rsid w:val="00C30903"/>
    <w:rsid w:val="00C30FD5"/>
    <w:rsid w:val="00C31E6F"/>
    <w:rsid w:val="00C34170"/>
    <w:rsid w:val="00C3469B"/>
    <w:rsid w:val="00C35FF7"/>
    <w:rsid w:val="00C41060"/>
    <w:rsid w:val="00C4181E"/>
    <w:rsid w:val="00C41ACE"/>
    <w:rsid w:val="00C4446B"/>
    <w:rsid w:val="00C460BF"/>
    <w:rsid w:val="00C46183"/>
    <w:rsid w:val="00C466FE"/>
    <w:rsid w:val="00C50F56"/>
    <w:rsid w:val="00C513C8"/>
    <w:rsid w:val="00C5223A"/>
    <w:rsid w:val="00C52A86"/>
    <w:rsid w:val="00C57122"/>
    <w:rsid w:val="00C5722A"/>
    <w:rsid w:val="00C615C4"/>
    <w:rsid w:val="00C6172F"/>
    <w:rsid w:val="00C6212B"/>
    <w:rsid w:val="00C635F6"/>
    <w:rsid w:val="00C64E3A"/>
    <w:rsid w:val="00C663E3"/>
    <w:rsid w:val="00C7100C"/>
    <w:rsid w:val="00C72B8D"/>
    <w:rsid w:val="00C74E80"/>
    <w:rsid w:val="00C753B5"/>
    <w:rsid w:val="00C7649E"/>
    <w:rsid w:val="00C77128"/>
    <w:rsid w:val="00C80854"/>
    <w:rsid w:val="00C8196F"/>
    <w:rsid w:val="00C8312C"/>
    <w:rsid w:val="00C87EB6"/>
    <w:rsid w:val="00C902B0"/>
    <w:rsid w:val="00C909C1"/>
    <w:rsid w:val="00C90B74"/>
    <w:rsid w:val="00C9161D"/>
    <w:rsid w:val="00C91A05"/>
    <w:rsid w:val="00C91DEA"/>
    <w:rsid w:val="00C924AC"/>
    <w:rsid w:val="00C9374D"/>
    <w:rsid w:val="00C937D0"/>
    <w:rsid w:val="00C93F25"/>
    <w:rsid w:val="00C94134"/>
    <w:rsid w:val="00C95169"/>
    <w:rsid w:val="00C9531D"/>
    <w:rsid w:val="00C95CB5"/>
    <w:rsid w:val="00C97953"/>
    <w:rsid w:val="00CA08D3"/>
    <w:rsid w:val="00CA3699"/>
    <w:rsid w:val="00CA374C"/>
    <w:rsid w:val="00CA3A19"/>
    <w:rsid w:val="00CA4E16"/>
    <w:rsid w:val="00CA5049"/>
    <w:rsid w:val="00CA534E"/>
    <w:rsid w:val="00CA65B2"/>
    <w:rsid w:val="00CA69C8"/>
    <w:rsid w:val="00CA789E"/>
    <w:rsid w:val="00CB16BB"/>
    <w:rsid w:val="00CB1DDE"/>
    <w:rsid w:val="00CB3AE6"/>
    <w:rsid w:val="00CB4CEC"/>
    <w:rsid w:val="00CC02A3"/>
    <w:rsid w:val="00CC1487"/>
    <w:rsid w:val="00CC1D19"/>
    <w:rsid w:val="00CC4CF8"/>
    <w:rsid w:val="00CC59CB"/>
    <w:rsid w:val="00CD04B0"/>
    <w:rsid w:val="00CD3272"/>
    <w:rsid w:val="00CD5956"/>
    <w:rsid w:val="00CD5C82"/>
    <w:rsid w:val="00CD7C9A"/>
    <w:rsid w:val="00CE0837"/>
    <w:rsid w:val="00CE1704"/>
    <w:rsid w:val="00CE177D"/>
    <w:rsid w:val="00CE187C"/>
    <w:rsid w:val="00CE566C"/>
    <w:rsid w:val="00CE7420"/>
    <w:rsid w:val="00CE742C"/>
    <w:rsid w:val="00CE7D1A"/>
    <w:rsid w:val="00CF00DE"/>
    <w:rsid w:val="00CF0134"/>
    <w:rsid w:val="00CF17A2"/>
    <w:rsid w:val="00CF1848"/>
    <w:rsid w:val="00CF2277"/>
    <w:rsid w:val="00CF4C5B"/>
    <w:rsid w:val="00D01A23"/>
    <w:rsid w:val="00D031A6"/>
    <w:rsid w:val="00D04ACB"/>
    <w:rsid w:val="00D055AA"/>
    <w:rsid w:val="00D07776"/>
    <w:rsid w:val="00D07C32"/>
    <w:rsid w:val="00D1035B"/>
    <w:rsid w:val="00D10E54"/>
    <w:rsid w:val="00D12FCF"/>
    <w:rsid w:val="00D13A97"/>
    <w:rsid w:val="00D13CA0"/>
    <w:rsid w:val="00D14281"/>
    <w:rsid w:val="00D154A5"/>
    <w:rsid w:val="00D16673"/>
    <w:rsid w:val="00D16B9A"/>
    <w:rsid w:val="00D22B4B"/>
    <w:rsid w:val="00D2402E"/>
    <w:rsid w:val="00D244B0"/>
    <w:rsid w:val="00D2544A"/>
    <w:rsid w:val="00D25BEB"/>
    <w:rsid w:val="00D268CF"/>
    <w:rsid w:val="00D26FB5"/>
    <w:rsid w:val="00D33696"/>
    <w:rsid w:val="00D34A58"/>
    <w:rsid w:val="00D351C3"/>
    <w:rsid w:val="00D35215"/>
    <w:rsid w:val="00D35249"/>
    <w:rsid w:val="00D3551E"/>
    <w:rsid w:val="00D35C87"/>
    <w:rsid w:val="00D36D86"/>
    <w:rsid w:val="00D40645"/>
    <w:rsid w:val="00D4259F"/>
    <w:rsid w:val="00D433A3"/>
    <w:rsid w:val="00D45B2E"/>
    <w:rsid w:val="00D468DA"/>
    <w:rsid w:val="00D475F0"/>
    <w:rsid w:val="00D5061B"/>
    <w:rsid w:val="00D508B2"/>
    <w:rsid w:val="00D516B9"/>
    <w:rsid w:val="00D52901"/>
    <w:rsid w:val="00D5298C"/>
    <w:rsid w:val="00D55677"/>
    <w:rsid w:val="00D561BC"/>
    <w:rsid w:val="00D579DD"/>
    <w:rsid w:val="00D60950"/>
    <w:rsid w:val="00D66865"/>
    <w:rsid w:val="00D671EC"/>
    <w:rsid w:val="00D703A3"/>
    <w:rsid w:val="00D7675C"/>
    <w:rsid w:val="00D76A18"/>
    <w:rsid w:val="00D76A28"/>
    <w:rsid w:val="00D80388"/>
    <w:rsid w:val="00D80BCC"/>
    <w:rsid w:val="00D82602"/>
    <w:rsid w:val="00D83EDB"/>
    <w:rsid w:val="00D844F2"/>
    <w:rsid w:val="00D84E14"/>
    <w:rsid w:val="00D8600F"/>
    <w:rsid w:val="00D86607"/>
    <w:rsid w:val="00D92F9A"/>
    <w:rsid w:val="00D95155"/>
    <w:rsid w:val="00D97939"/>
    <w:rsid w:val="00DA009B"/>
    <w:rsid w:val="00DA0317"/>
    <w:rsid w:val="00DA0A9D"/>
    <w:rsid w:val="00DA6AB8"/>
    <w:rsid w:val="00DA7D63"/>
    <w:rsid w:val="00DB28EA"/>
    <w:rsid w:val="00DB345E"/>
    <w:rsid w:val="00DB3690"/>
    <w:rsid w:val="00DB6496"/>
    <w:rsid w:val="00DB6E00"/>
    <w:rsid w:val="00DC1FC4"/>
    <w:rsid w:val="00DC2C46"/>
    <w:rsid w:val="00DC411F"/>
    <w:rsid w:val="00DC720D"/>
    <w:rsid w:val="00DC7D76"/>
    <w:rsid w:val="00DD0BA3"/>
    <w:rsid w:val="00DD118C"/>
    <w:rsid w:val="00DD3CA2"/>
    <w:rsid w:val="00DD5189"/>
    <w:rsid w:val="00DD6FBB"/>
    <w:rsid w:val="00DE0458"/>
    <w:rsid w:val="00DE0E9B"/>
    <w:rsid w:val="00DE2D45"/>
    <w:rsid w:val="00DE325D"/>
    <w:rsid w:val="00DE391F"/>
    <w:rsid w:val="00DE49EC"/>
    <w:rsid w:val="00DE6FD6"/>
    <w:rsid w:val="00DF0D30"/>
    <w:rsid w:val="00DF2EF4"/>
    <w:rsid w:val="00DF43E4"/>
    <w:rsid w:val="00DF5052"/>
    <w:rsid w:val="00DF52F3"/>
    <w:rsid w:val="00DF5507"/>
    <w:rsid w:val="00DF6C9C"/>
    <w:rsid w:val="00E0020F"/>
    <w:rsid w:val="00E00E74"/>
    <w:rsid w:val="00E01D62"/>
    <w:rsid w:val="00E02E86"/>
    <w:rsid w:val="00E04272"/>
    <w:rsid w:val="00E05EAC"/>
    <w:rsid w:val="00E065C1"/>
    <w:rsid w:val="00E06945"/>
    <w:rsid w:val="00E104C8"/>
    <w:rsid w:val="00E11A38"/>
    <w:rsid w:val="00E11F8A"/>
    <w:rsid w:val="00E12CC4"/>
    <w:rsid w:val="00E13F5D"/>
    <w:rsid w:val="00E1560B"/>
    <w:rsid w:val="00E1683A"/>
    <w:rsid w:val="00E174D7"/>
    <w:rsid w:val="00E2190E"/>
    <w:rsid w:val="00E22D2E"/>
    <w:rsid w:val="00E25829"/>
    <w:rsid w:val="00E30C01"/>
    <w:rsid w:val="00E310E4"/>
    <w:rsid w:val="00E34878"/>
    <w:rsid w:val="00E367C7"/>
    <w:rsid w:val="00E36B0C"/>
    <w:rsid w:val="00E41470"/>
    <w:rsid w:val="00E44528"/>
    <w:rsid w:val="00E45E57"/>
    <w:rsid w:val="00E46FA6"/>
    <w:rsid w:val="00E471E4"/>
    <w:rsid w:val="00E47233"/>
    <w:rsid w:val="00E5148C"/>
    <w:rsid w:val="00E51E2E"/>
    <w:rsid w:val="00E53FDA"/>
    <w:rsid w:val="00E5677F"/>
    <w:rsid w:val="00E56F95"/>
    <w:rsid w:val="00E57188"/>
    <w:rsid w:val="00E60E96"/>
    <w:rsid w:val="00E63D77"/>
    <w:rsid w:val="00E64A2F"/>
    <w:rsid w:val="00E65370"/>
    <w:rsid w:val="00E66235"/>
    <w:rsid w:val="00E66AA4"/>
    <w:rsid w:val="00E70637"/>
    <w:rsid w:val="00E70804"/>
    <w:rsid w:val="00E73412"/>
    <w:rsid w:val="00E7344A"/>
    <w:rsid w:val="00E74918"/>
    <w:rsid w:val="00E758CD"/>
    <w:rsid w:val="00E770F9"/>
    <w:rsid w:val="00E77853"/>
    <w:rsid w:val="00E80CCF"/>
    <w:rsid w:val="00E83083"/>
    <w:rsid w:val="00E83C24"/>
    <w:rsid w:val="00E84AB5"/>
    <w:rsid w:val="00E85183"/>
    <w:rsid w:val="00E90BA4"/>
    <w:rsid w:val="00E913FC"/>
    <w:rsid w:val="00E92C58"/>
    <w:rsid w:val="00E940CC"/>
    <w:rsid w:val="00E958E7"/>
    <w:rsid w:val="00E9791C"/>
    <w:rsid w:val="00E97C1F"/>
    <w:rsid w:val="00EA016C"/>
    <w:rsid w:val="00EA046B"/>
    <w:rsid w:val="00EA16CE"/>
    <w:rsid w:val="00EA4DB9"/>
    <w:rsid w:val="00EA588C"/>
    <w:rsid w:val="00EA6DF6"/>
    <w:rsid w:val="00EA6E1C"/>
    <w:rsid w:val="00EA6ED8"/>
    <w:rsid w:val="00EB1091"/>
    <w:rsid w:val="00EB2BBC"/>
    <w:rsid w:val="00EB6ADE"/>
    <w:rsid w:val="00EB78A2"/>
    <w:rsid w:val="00EC02F9"/>
    <w:rsid w:val="00EC440E"/>
    <w:rsid w:val="00EC4B56"/>
    <w:rsid w:val="00EC4BF4"/>
    <w:rsid w:val="00EC5718"/>
    <w:rsid w:val="00EC7BBB"/>
    <w:rsid w:val="00ED2183"/>
    <w:rsid w:val="00ED36D0"/>
    <w:rsid w:val="00EE0545"/>
    <w:rsid w:val="00EE08EC"/>
    <w:rsid w:val="00EE0A0D"/>
    <w:rsid w:val="00EE1107"/>
    <w:rsid w:val="00EE1719"/>
    <w:rsid w:val="00EE24D6"/>
    <w:rsid w:val="00EE29EE"/>
    <w:rsid w:val="00EE2D16"/>
    <w:rsid w:val="00EE4DDB"/>
    <w:rsid w:val="00EE685D"/>
    <w:rsid w:val="00EE696C"/>
    <w:rsid w:val="00EF39CF"/>
    <w:rsid w:val="00EF43AD"/>
    <w:rsid w:val="00EF4D14"/>
    <w:rsid w:val="00EF69F7"/>
    <w:rsid w:val="00F00E0D"/>
    <w:rsid w:val="00F00FBE"/>
    <w:rsid w:val="00F031E4"/>
    <w:rsid w:val="00F07C78"/>
    <w:rsid w:val="00F103DC"/>
    <w:rsid w:val="00F12057"/>
    <w:rsid w:val="00F1557C"/>
    <w:rsid w:val="00F15B34"/>
    <w:rsid w:val="00F15FFC"/>
    <w:rsid w:val="00F1795D"/>
    <w:rsid w:val="00F257A4"/>
    <w:rsid w:val="00F25FBE"/>
    <w:rsid w:val="00F26460"/>
    <w:rsid w:val="00F318A7"/>
    <w:rsid w:val="00F34D4E"/>
    <w:rsid w:val="00F40159"/>
    <w:rsid w:val="00F44EBF"/>
    <w:rsid w:val="00F45B62"/>
    <w:rsid w:val="00F46201"/>
    <w:rsid w:val="00F466C5"/>
    <w:rsid w:val="00F47C95"/>
    <w:rsid w:val="00F5183D"/>
    <w:rsid w:val="00F51E6C"/>
    <w:rsid w:val="00F52580"/>
    <w:rsid w:val="00F53981"/>
    <w:rsid w:val="00F5411F"/>
    <w:rsid w:val="00F54531"/>
    <w:rsid w:val="00F54A66"/>
    <w:rsid w:val="00F55C62"/>
    <w:rsid w:val="00F55E76"/>
    <w:rsid w:val="00F5604D"/>
    <w:rsid w:val="00F5744A"/>
    <w:rsid w:val="00F57B19"/>
    <w:rsid w:val="00F63FF3"/>
    <w:rsid w:val="00F657CE"/>
    <w:rsid w:val="00F67C78"/>
    <w:rsid w:val="00F7253B"/>
    <w:rsid w:val="00F7270D"/>
    <w:rsid w:val="00F72C1A"/>
    <w:rsid w:val="00F73109"/>
    <w:rsid w:val="00F74545"/>
    <w:rsid w:val="00F811E9"/>
    <w:rsid w:val="00F81648"/>
    <w:rsid w:val="00F82995"/>
    <w:rsid w:val="00F82AE0"/>
    <w:rsid w:val="00F9062C"/>
    <w:rsid w:val="00F91C27"/>
    <w:rsid w:val="00F92FBD"/>
    <w:rsid w:val="00F94774"/>
    <w:rsid w:val="00F9599F"/>
    <w:rsid w:val="00FA00CF"/>
    <w:rsid w:val="00FA2FD9"/>
    <w:rsid w:val="00FA4B98"/>
    <w:rsid w:val="00FA5315"/>
    <w:rsid w:val="00FA6C19"/>
    <w:rsid w:val="00FA7413"/>
    <w:rsid w:val="00FA74D0"/>
    <w:rsid w:val="00FB0BDB"/>
    <w:rsid w:val="00FB108B"/>
    <w:rsid w:val="00FB30C2"/>
    <w:rsid w:val="00FB353F"/>
    <w:rsid w:val="00FB593E"/>
    <w:rsid w:val="00FB5A2E"/>
    <w:rsid w:val="00FB5B91"/>
    <w:rsid w:val="00FC0E06"/>
    <w:rsid w:val="00FC11CE"/>
    <w:rsid w:val="00FC1525"/>
    <w:rsid w:val="00FC30D9"/>
    <w:rsid w:val="00FC53DB"/>
    <w:rsid w:val="00FC5C2C"/>
    <w:rsid w:val="00FC7A2A"/>
    <w:rsid w:val="00FD15B4"/>
    <w:rsid w:val="00FD1DD7"/>
    <w:rsid w:val="00FD24B4"/>
    <w:rsid w:val="00FD2AA9"/>
    <w:rsid w:val="00FD3EA4"/>
    <w:rsid w:val="00FD4A81"/>
    <w:rsid w:val="00FD702E"/>
    <w:rsid w:val="00FE0C23"/>
    <w:rsid w:val="00FE22DD"/>
    <w:rsid w:val="00FE473F"/>
    <w:rsid w:val="00FE4C2F"/>
    <w:rsid w:val="00FE6DC4"/>
    <w:rsid w:val="00FE6F74"/>
    <w:rsid w:val="00FE71E5"/>
    <w:rsid w:val="00FE73DD"/>
    <w:rsid w:val="00FF374D"/>
    <w:rsid w:val="00FF3BC6"/>
    <w:rsid w:val="00FF456F"/>
    <w:rsid w:val="00FF657A"/>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025EE05F"/>
  <w15:docId w15:val="{B06A4A5B-EDA1-43F0-9DEB-EE51A6595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09DA"/>
    <w:pPr>
      <w:jc w:val="both"/>
    </w:pPr>
    <w:rPr>
      <w:rFonts w:ascii="Times New Roman" w:eastAsia="Times New Roman" w:hAnsi="Times New Roman" w:cs="Times New Roman"/>
      <w:sz w:val="22"/>
      <w:lang w:val="en-GB"/>
    </w:rPr>
  </w:style>
  <w:style w:type="paragraph" w:styleId="Heading1">
    <w:name w:val="heading 1"/>
    <w:basedOn w:val="Normal"/>
    <w:next w:val="Heading2"/>
    <w:link w:val="Heading1Char"/>
    <w:qFormat/>
    <w:rsid w:val="007E09DA"/>
    <w:pPr>
      <w:keepNext/>
      <w:tabs>
        <w:tab w:val="left" w:pos="720"/>
      </w:tabs>
      <w:spacing w:before="240" w:after="120"/>
      <w:jc w:val="center"/>
      <w:outlineLvl w:val="0"/>
    </w:pPr>
    <w:rPr>
      <w:b/>
      <w:caps/>
    </w:rPr>
  </w:style>
  <w:style w:type="paragraph" w:styleId="Heading2">
    <w:name w:val="heading 2"/>
    <w:basedOn w:val="Normal"/>
    <w:next w:val="Normal"/>
    <w:link w:val="Heading2Char"/>
    <w:qFormat/>
    <w:rsid w:val="007E09DA"/>
    <w:pPr>
      <w:keepNext/>
      <w:tabs>
        <w:tab w:val="left" w:pos="720"/>
      </w:tabs>
      <w:spacing w:before="120" w:after="120"/>
      <w:jc w:val="center"/>
      <w:outlineLvl w:val="1"/>
    </w:pPr>
    <w:rPr>
      <w:b/>
      <w:bCs/>
      <w:i/>
      <w:iCs/>
    </w:rPr>
  </w:style>
  <w:style w:type="paragraph" w:styleId="Heading3">
    <w:name w:val="heading 3"/>
    <w:basedOn w:val="Normal"/>
    <w:next w:val="Normal"/>
    <w:link w:val="Heading3Char"/>
    <w:uiPriority w:val="9"/>
    <w:qFormat/>
    <w:rsid w:val="007E09DA"/>
    <w:pPr>
      <w:keepNext/>
      <w:tabs>
        <w:tab w:val="left" w:pos="567"/>
      </w:tabs>
      <w:spacing w:before="120" w:after="120"/>
      <w:jc w:val="center"/>
      <w:outlineLvl w:val="2"/>
    </w:pPr>
    <w:rPr>
      <w:i/>
      <w:iCs/>
    </w:rPr>
  </w:style>
  <w:style w:type="paragraph" w:styleId="Heading4">
    <w:name w:val="heading 4"/>
    <w:basedOn w:val="Normal"/>
    <w:link w:val="Heading4Char"/>
    <w:uiPriority w:val="9"/>
    <w:qFormat/>
    <w:rsid w:val="007E09DA"/>
    <w:pPr>
      <w:keepNext/>
      <w:spacing w:before="120" w:after="120"/>
      <w:outlineLvl w:val="3"/>
    </w:pPr>
    <w:rPr>
      <w:rFonts w:ascii="Times New Roman Bold" w:eastAsia="Arial Unicode MS" w:hAnsi="Times New Roman Bold" w:cs="Arial"/>
      <w:b/>
      <w:bCs/>
      <w:i/>
    </w:rPr>
  </w:style>
  <w:style w:type="paragraph" w:styleId="Heading5">
    <w:name w:val="heading 5"/>
    <w:basedOn w:val="Normal"/>
    <w:next w:val="Normal"/>
    <w:link w:val="Heading5Char"/>
    <w:qFormat/>
    <w:rsid w:val="007E09DA"/>
    <w:pPr>
      <w:keepNext/>
      <w:numPr>
        <w:ilvl w:val="4"/>
        <w:numId w:val="1"/>
      </w:numPr>
      <w:spacing w:before="120" w:after="120"/>
      <w:jc w:val="left"/>
      <w:outlineLvl w:val="4"/>
    </w:pPr>
    <w:rPr>
      <w:bCs/>
      <w:i/>
      <w:szCs w:val="26"/>
      <w:lang w:val="en-CA"/>
    </w:rPr>
  </w:style>
  <w:style w:type="paragraph" w:styleId="Heading6">
    <w:name w:val="heading 6"/>
    <w:basedOn w:val="Normal"/>
    <w:next w:val="Normal"/>
    <w:link w:val="Heading6Char"/>
    <w:qFormat/>
    <w:rsid w:val="007E09DA"/>
    <w:pPr>
      <w:keepNext/>
      <w:spacing w:after="240" w:line="240" w:lineRule="exact"/>
      <w:ind w:left="720"/>
      <w:outlineLvl w:val="5"/>
    </w:pPr>
    <w:rPr>
      <w:u w:val="single"/>
    </w:rPr>
  </w:style>
  <w:style w:type="paragraph" w:styleId="Heading7">
    <w:name w:val="heading 7"/>
    <w:basedOn w:val="Normal"/>
    <w:next w:val="Normal"/>
    <w:link w:val="Heading7Char"/>
    <w:rsid w:val="007E09DA"/>
    <w:pPr>
      <w:keepNext/>
      <w:jc w:val="right"/>
      <w:outlineLvl w:val="6"/>
    </w:pPr>
    <w:rPr>
      <w:rFonts w:ascii="Univers" w:hAnsi="Univers"/>
      <w:b/>
      <w:sz w:val="28"/>
    </w:rPr>
  </w:style>
  <w:style w:type="paragraph" w:styleId="Heading8">
    <w:name w:val="heading 8"/>
    <w:basedOn w:val="Normal"/>
    <w:next w:val="Normal"/>
    <w:link w:val="Heading8Char"/>
    <w:qFormat/>
    <w:rsid w:val="007E09DA"/>
    <w:pPr>
      <w:keepNext/>
      <w:jc w:val="right"/>
      <w:outlineLvl w:val="7"/>
    </w:pPr>
    <w:rPr>
      <w:rFonts w:ascii="Univers" w:hAnsi="Univers"/>
      <w:b/>
      <w:sz w:val="32"/>
    </w:rPr>
  </w:style>
  <w:style w:type="paragraph" w:styleId="Heading9">
    <w:name w:val="heading 9"/>
    <w:basedOn w:val="Normal"/>
    <w:next w:val="Normal"/>
    <w:link w:val="Heading9Char"/>
    <w:rsid w:val="007E09DA"/>
    <w:pPr>
      <w:keepNext/>
      <w:spacing w:before="100" w:beforeAutospacing="1" w:after="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91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9161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9161D"/>
    <w:rPr>
      <w:rFonts w:ascii="Lucida Grande" w:hAnsi="Lucida Grande" w:cs="Lucida Grande"/>
      <w:sz w:val="18"/>
      <w:szCs w:val="18"/>
      <w:lang w:val="en-US"/>
    </w:rPr>
  </w:style>
  <w:style w:type="character" w:styleId="PlaceholderText">
    <w:name w:val="Placeholder Text"/>
    <w:basedOn w:val="DefaultParagraphFont"/>
    <w:uiPriority w:val="99"/>
    <w:semiHidden/>
    <w:rsid w:val="00105372"/>
    <w:rPr>
      <w:color w:val="808080"/>
    </w:rPr>
  </w:style>
  <w:style w:type="paragraph" w:styleId="Header">
    <w:name w:val="header"/>
    <w:basedOn w:val="Normal"/>
    <w:link w:val="HeaderChar"/>
    <w:uiPriority w:val="99"/>
    <w:rsid w:val="007E09DA"/>
    <w:pPr>
      <w:tabs>
        <w:tab w:val="center" w:pos="4320"/>
        <w:tab w:val="right" w:pos="8640"/>
      </w:tabs>
    </w:pPr>
  </w:style>
  <w:style w:type="character" w:customStyle="1" w:styleId="HeaderChar">
    <w:name w:val="Header Char"/>
    <w:basedOn w:val="DefaultParagraphFont"/>
    <w:link w:val="Header"/>
    <w:uiPriority w:val="99"/>
    <w:rsid w:val="00CF1848"/>
    <w:rPr>
      <w:rFonts w:ascii="Times New Roman" w:eastAsia="Times New Roman" w:hAnsi="Times New Roman" w:cs="Times New Roman"/>
      <w:sz w:val="22"/>
      <w:lang w:val="en-GB"/>
    </w:rPr>
  </w:style>
  <w:style w:type="paragraph" w:styleId="Footer">
    <w:name w:val="footer"/>
    <w:basedOn w:val="Normal"/>
    <w:link w:val="FooterChar"/>
    <w:uiPriority w:val="99"/>
    <w:rsid w:val="007E09DA"/>
    <w:pPr>
      <w:tabs>
        <w:tab w:val="center" w:pos="4320"/>
        <w:tab w:val="right" w:pos="8640"/>
      </w:tabs>
      <w:ind w:firstLine="720"/>
      <w:jc w:val="right"/>
    </w:pPr>
  </w:style>
  <w:style w:type="character" w:customStyle="1" w:styleId="FooterChar">
    <w:name w:val="Footer Char"/>
    <w:basedOn w:val="DefaultParagraphFont"/>
    <w:link w:val="Footer"/>
    <w:uiPriority w:val="99"/>
    <w:rsid w:val="00CF1848"/>
    <w:rPr>
      <w:rFonts w:ascii="Times New Roman" w:eastAsia="Times New Roman" w:hAnsi="Times New Roman" w:cs="Times New Roman"/>
      <w:sz w:val="22"/>
      <w:lang w:val="en-GB"/>
    </w:rPr>
  </w:style>
  <w:style w:type="paragraph" w:customStyle="1" w:styleId="meetingname">
    <w:name w:val="meeting name"/>
    <w:basedOn w:val="Normal"/>
    <w:qFormat/>
    <w:rsid w:val="00534681"/>
    <w:pPr>
      <w:ind w:left="142" w:right="4218" w:hanging="142"/>
    </w:pPr>
    <w:rPr>
      <w:caps/>
      <w:szCs w:val="22"/>
    </w:rPr>
  </w:style>
  <w:style w:type="paragraph" w:styleId="Title">
    <w:name w:val="Title"/>
    <w:basedOn w:val="Normal"/>
    <w:next w:val="Normal"/>
    <w:link w:val="TitleChar"/>
    <w:uiPriority w:val="10"/>
    <w:qFormat/>
    <w:rsid w:val="007E09D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E09DA"/>
    <w:rPr>
      <w:rFonts w:asciiTheme="majorHAnsi" w:eastAsiaTheme="majorEastAsia" w:hAnsiTheme="majorHAnsi" w:cstheme="majorBidi"/>
      <w:color w:val="17365D" w:themeColor="text2" w:themeShade="BF"/>
      <w:spacing w:val="5"/>
      <w:kern w:val="28"/>
      <w:sz w:val="52"/>
      <w:szCs w:val="52"/>
      <w:lang w:val="en-US"/>
    </w:rPr>
  </w:style>
  <w:style w:type="paragraph" w:styleId="Subtitle">
    <w:name w:val="Subtitle"/>
    <w:basedOn w:val="Normal"/>
    <w:next w:val="Normal"/>
    <w:link w:val="SubtitleChar"/>
    <w:uiPriority w:val="11"/>
    <w:qFormat/>
    <w:rsid w:val="007E09DA"/>
    <w:pPr>
      <w:numPr>
        <w:ilvl w:val="1"/>
      </w:numPr>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7E09DA"/>
    <w:rPr>
      <w:rFonts w:asciiTheme="majorHAnsi" w:eastAsiaTheme="majorEastAsia" w:hAnsiTheme="majorHAnsi" w:cstheme="majorBidi"/>
      <w:i/>
      <w:iCs/>
      <w:color w:val="4F81BD" w:themeColor="accent1"/>
      <w:spacing w:val="15"/>
      <w:lang w:val="en-US"/>
    </w:rPr>
  </w:style>
  <w:style w:type="character" w:customStyle="1" w:styleId="Heading1Char">
    <w:name w:val="Heading 1 Char"/>
    <w:basedOn w:val="DefaultParagraphFont"/>
    <w:link w:val="Heading1"/>
    <w:rsid w:val="007E09DA"/>
    <w:rPr>
      <w:rFonts w:ascii="Times New Roman" w:eastAsia="Times New Roman" w:hAnsi="Times New Roman" w:cs="Times New Roman"/>
      <w:b/>
      <w:caps/>
      <w:sz w:val="22"/>
      <w:lang w:val="en-GB"/>
    </w:rPr>
  </w:style>
  <w:style w:type="paragraph" w:styleId="BodyText">
    <w:name w:val="Body Text"/>
    <w:basedOn w:val="Normal"/>
    <w:link w:val="BodyTextChar"/>
    <w:rsid w:val="007E09DA"/>
    <w:pPr>
      <w:spacing w:before="120" w:after="120"/>
      <w:ind w:firstLine="720"/>
    </w:pPr>
    <w:rPr>
      <w:iCs/>
    </w:rPr>
  </w:style>
  <w:style w:type="character" w:customStyle="1" w:styleId="BodyTextChar">
    <w:name w:val="Body Text Char"/>
    <w:basedOn w:val="DefaultParagraphFont"/>
    <w:link w:val="BodyText"/>
    <w:rsid w:val="007E09DA"/>
    <w:rPr>
      <w:rFonts w:ascii="Times New Roman" w:eastAsia="Times New Roman" w:hAnsi="Times New Roman" w:cs="Times New Roman"/>
      <w:iCs/>
      <w:sz w:val="22"/>
      <w:lang w:val="en-GB"/>
    </w:rPr>
  </w:style>
  <w:style w:type="paragraph" w:styleId="BodyTextIndent">
    <w:name w:val="Body Text Indent"/>
    <w:basedOn w:val="Normal"/>
    <w:link w:val="BodyTextIndentChar"/>
    <w:rsid w:val="007E09DA"/>
    <w:pPr>
      <w:spacing w:before="120" w:after="120"/>
      <w:ind w:left="1440" w:hanging="720"/>
      <w:jc w:val="left"/>
    </w:pPr>
  </w:style>
  <w:style w:type="character" w:customStyle="1" w:styleId="BodyTextIndentChar">
    <w:name w:val="Body Text Indent Char"/>
    <w:basedOn w:val="DefaultParagraphFont"/>
    <w:link w:val="BodyTextIndent"/>
    <w:rsid w:val="007E09DA"/>
    <w:rPr>
      <w:rFonts w:ascii="Times New Roman" w:eastAsia="Times New Roman" w:hAnsi="Times New Roman" w:cs="Times New Roman"/>
      <w:sz w:val="22"/>
      <w:lang w:val="en-GB"/>
    </w:rPr>
  </w:style>
  <w:style w:type="character" w:styleId="CommentReference">
    <w:name w:val="annotation reference"/>
    <w:uiPriority w:val="99"/>
    <w:semiHidden/>
    <w:rsid w:val="007E09DA"/>
    <w:rPr>
      <w:sz w:val="16"/>
    </w:rPr>
  </w:style>
  <w:style w:type="paragraph" w:styleId="CommentText">
    <w:name w:val="annotation text"/>
    <w:basedOn w:val="Normal"/>
    <w:link w:val="CommentTextChar"/>
    <w:uiPriority w:val="99"/>
    <w:rsid w:val="007E09DA"/>
    <w:pPr>
      <w:spacing w:after="120" w:line="240" w:lineRule="exact"/>
    </w:pPr>
  </w:style>
  <w:style w:type="character" w:customStyle="1" w:styleId="CommentTextChar">
    <w:name w:val="Comment Text Char"/>
    <w:basedOn w:val="DefaultParagraphFont"/>
    <w:link w:val="CommentText"/>
    <w:uiPriority w:val="99"/>
    <w:rsid w:val="007E09DA"/>
    <w:rPr>
      <w:rFonts w:ascii="Times New Roman" w:eastAsia="Times New Roman" w:hAnsi="Times New Roman" w:cs="Times New Roman"/>
      <w:sz w:val="22"/>
      <w:lang w:val="en-GB"/>
    </w:rPr>
  </w:style>
  <w:style w:type="paragraph" w:customStyle="1" w:styleId="Cornernotation">
    <w:name w:val="Corner notation"/>
    <w:basedOn w:val="Normal"/>
    <w:rsid w:val="007E09DA"/>
    <w:pPr>
      <w:ind w:left="170" w:right="3119" w:hanging="170"/>
      <w:jc w:val="left"/>
    </w:pPr>
  </w:style>
  <w:style w:type="character" w:styleId="EndnoteReference">
    <w:name w:val="endnote reference"/>
    <w:semiHidden/>
    <w:rsid w:val="007E09DA"/>
    <w:rPr>
      <w:vertAlign w:val="superscript"/>
    </w:rPr>
  </w:style>
  <w:style w:type="paragraph" w:styleId="EndnoteText">
    <w:name w:val="endnote text"/>
    <w:basedOn w:val="Normal"/>
    <w:link w:val="EndnoteTextChar"/>
    <w:semiHidden/>
    <w:rsid w:val="007E09DA"/>
    <w:pPr>
      <w:widowControl w:val="0"/>
      <w:tabs>
        <w:tab w:val="left" w:pos="-720"/>
      </w:tabs>
      <w:suppressAutoHyphens/>
    </w:pPr>
    <w:rPr>
      <w:rFonts w:ascii="Courier New" w:hAnsi="Courier New"/>
    </w:rPr>
  </w:style>
  <w:style w:type="character" w:customStyle="1" w:styleId="EndnoteTextChar">
    <w:name w:val="Endnote Text Char"/>
    <w:basedOn w:val="DefaultParagraphFont"/>
    <w:link w:val="EndnoteText"/>
    <w:semiHidden/>
    <w:rsid w:val="007E09DA"/>
    <w:rPr>
      <w:rFonts w:ascii="Courier New" w:eastAsia="Times New Roman" w:hAnsi="Courier New" w:cs="Times New Roman"/>
      <w:sz w:val="22"/>
      <w:lang w:val="en-GB"/>
    </w:rPr>
  </w:style>
  <w:style w:type="character" w:styleId="FollowedHyperlink">
    <w:name w:val="FollowedHyperlink"/>
    <w:rsid w:val="007E09DA"/>
    <w:rPr>
      <w:color w:val="800080"/>
      <w:u w:val="singl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link w:val="BVIfnrChar"/>
    <w:qFormat/>
    <w:rsid w:val="007E09DA"/>
    <w:rPr>
      <w:sz w:val="18"/>
      <w:u w:val="single"/>
      <w:vertAlign w:val="baseline"/>
    </w:rPr>
  </w:style>
  <w:style w:type="paragraph" w:styleId="FootnoteText">
    <w:name w:val="footnote text"/>
    <w:basedOn w:val="Normal"/>
    <w:link w:val="FootnoteTextChar"/>
    <w:uiPriority w:val="99"/>
    <w:rsid w:val="007E09DA"/>
    <w:pPr>
      <w:keepLines/>
      <w:spacing w:after="60"/>
      <w:ind w:firstLine="720"/>
    </w:pPr>
    <w:rPr>
      <w:sz w:val="18"/>
    </w:rPr>
  </w:style>
  <w:style w:type="character" w:customStyle="1" w:styleId="FootnoteTextChar">
    <w:name w:val="Footnote Text Char"/>
    <w:basedOn w:val="DefaultParagraphFont"/>
    <w:link w:val="FootnoteText"/>
    <w:uiPriority w:val="99"/>
    <w:rsid w:val="007E09DA"/>
    <w:rPr>
      <w:rFonts w:ascii="Times New Roman" w:eastAsia="Times New Roman" w:hAnsi="Times New Roman" w:cs="Times New Roman"/>
      <w:sz w:val="18"/>
      <w:lang w:val="en-GB"/>
    </w:rPr>
  </w:style>
  <w:style w:type="paragraph" w:customStyle="1" w:styleId="HEADING">
    <w:name w:val="HEADING"/>
    <w:basedOn w:val="Normal"/>
    <w:rsid w:val="007E09DA"/>
    <w:pPr>
      <w:keepNext/>
      <w:spacing w:before="240" w:after="120"/>
      <w:jc w:val="center"/>
    </w:pPr>
    <w:rPr>
      <w:b/>
      <w:bCs/>
      <w:caps/>
    </w:rPr>
  </w:style>
  <w:style w:type="character" w:customStyle="1" w:styleId="Heading2Char">
    <w:name w:val="Heading 2 Char"/>
    <w:basedOn w:val="DefaultParagraphFont"/>
    <w:link w:val="Heading2"/>
    <w:rsid w:val="007E09DA"/>
    <w:rPr>
      <w:rFonts w:ascii="Times New Roman" w:eastAsia="Times New Roman" w:hAnsi="Times New Roman" w:cs="Times New Roman"/>
      <w:b/>
      <w:bCs/>
      <w:i/>
      <w:iCs/>
      <w:sz w:val="22"/>
      <w:lang w:val="en-GB"/>
    </w:rPr>
  </w:style>
  <w:style w:type="paragraph" w:customStyle="1" w:styleId="HEADINGNOTFORTOC">
    <w:name w:val="HEADING (NOT FOR TOC)"/>
    <w:basedOn w:val="Heading1"/>
    <w:next w:val="Heading2"/>
    <w:rsid w:val="007E09DA"/>
  </w:style>
  <w:style w:type="paragraph" w:customStyle="1" w:styleId="Heading1longmultiline">
    <w:name w:val="Heading 1 (long multiline)"/>
    <w:basedOn w:val="Heading1"/>
    <w:rsid w:val="007E09DA"/>
    <w:pPr>
      <w:ind w:left="1843" w:hanging="1134"/>
      <w:jc w:val="left"/>
    </w:pPr>
  </w:style>
  <w:style w:type="paragraph" w:customStyle="1" w:styleId="Heading1multiline">
    <w:name w:val="Heading 1 (multiline)"/>
    <w:basedOn w:val="Heading1"/>
    <w:rsid w:val="007E09DA"/>
    <w:pPr>
      <w:ind w:left="1843" w:right="996" w:hanging="567"/>
      <w:jc w:val="left"/>
    </w:pPr>
  </w:style>
  <w:style w:type="paragraph" w:customStyle="1" w:styleId="Heading2multiline">
    <w:name w:val="Heading 2 (multiline)"/>
    <w:basedOn w:val="Heading1"/>
    <w:next w:val="Normal"/>
    <w:rsid w:val="007E09DA"/>
    <w:pPr>
      <w:spacing w:before="120"/>
      <w:ind w:left="1843" w:right="998" w:hanging="567"/>
      <w:jc w:val="left"/>
    </w:pPr>
    <w:rPr>
      <w:i/>
      <w:iCs/>
      <w:caps w:val="0"/>
    </w:rPr>
  </w:style>
  <w:style w:type="paragraph" w:customStyle="1" w:styleId="Heading2longmultiline">
    <w:name w:val="Heading 2 (long multiline)"/>
    <w:basedOn w:val="Heading2multiline"/>
    <w:rsid w:val="007E09DA"/>
    <w:pPr>
      <w:ind w:left="2127" w:hanging="1276"/>
    </w:pPr>
  </w:style>
  <w:style w:type="character" w:customStyle="1" w:styleId="Heading3Char">
    <w:name w:val="Heading 3 Char"/>
    <w:basedOn w:val="DefaultParagraphFont"/>
    <w:link w:val="Heading3"/>
    <w:uiPriority w:val="9"/>
    <w:rsid w:val="007E09DA"/>
    <w:rPr>
      <w:rFonts w:ascii="Times New Roman" w:eastAsia="Times New Roman" w:hAnsi="Times New Roman" w:cs="Times New Roman"/>
      <w:i/>
      <w:iCs/>
      <w:sz w:val="22"/>
      <w:lang w:val="en-GB"/>
    </w:rPr>
  </w:style>
  <w:style w:type="paragraph" w:customStyle="1" w:styleId="heading2notforTOC">
    <w:name w:val="heading 2 not for TOC"/>
    <w:basedOn w:val="Heading3"/>
    <w:rsid w:val="007E09DA"/>
  </w:style>
  <w:style w:type="paragraph" w:customStyle="1" w:styleId="Heading3multiline">
    <w:name w:val="Heading 3 (multiline)"/>
    <w:basedOn w:val="Heading3"/>
    <w:next w:val="Normal"/>
    <w:rsid w:val="007E09DA"/>
    <w:pPr>
      <w:ind w:left="1418" w:hanging="425"/>
      <w:jc w:val="left"/>
    </w:pPr>
  </w:style>
  <w:style w:type="character" w:customStyle="1" w:styleId="Heading4Char">
    <w:name w:val="Heading 4 Char"/>
    <w:basedOn w:val="DefaultParagraphFont"/>
    <w:link w:val="Heading4"/>
    <w:uiPriority w:val="9"/>
    <w:rsid w:val="007E09DA"/>
    <w:rPr>
      <w:rFonts w:ascii="Times New Roman Bold" w:eastAsia="Arial Unicode MS" w:hAnsi="Times New Roman Bold" w:cs="Arial"/>
      <w:b/>
      <w:bCs/>
      <w:i/>
      <w:sz w:val="22"/>
      <w:lang w:val="en-GB"/>
    </w:rPr>
  </w:style>
  <w:style w:type="paragraph" w:customStyle="1" w:styleId="Heading4indent">
    <w:name w:val="Heading 4 indent"/>
    <w:basedOn w:val="Heading4"/>
    <w:rsid w:val="007E09DA"/>
    <w:pPr>
      <w:ind w:left="720"/>
      <w:outlineLvl w:val="9"/>
    </w:pPr>
    <w:rPr>
      <w:rFonts w:ascii="Times New Roman" w:hAnsi="Times New Roman"/>
    </w:rPr>
  </w:style>
  <w:style w:type="character" w:customStyle="1" w:styleId="Heading5Char">
    <w:name w:val="Heading 5 Char"/>
    <w:basedOn w:val="DefaultParagraphFont"/>
    <w:link w:val="Heading5"/>
    <w:rsid w:val="007E09DA"/>
    <w:rPr>
      <w:rFonts w:ascii="Times New Roman" w:eastAsia="Times New Roman" w:hAnsi="Times New Roman" w:cs="Times New Roman"/>
      <w:bCs/>
      <w:i/>
      <w:sz w:val="22"/>
      <w:szCs w:val="26"/>
      <w:lang w:val="en-CA"/>
    </w:rPr>
  </w:style>
  <w:style w:type="character" w:customStyle="1" w:styleId="Heading6Char">
    <w:name w:val="Heading 6 Char"/>
    <w:basedOn w:val="DefaultParagraphFont"/>
    <w:link w:val="Heading6"/>
    <w:rsid w:val="007E09DA"/>
    <w:rPr>
      <w:rFonts w:ascii="Times New Roman" w:eastAsia="Times New Roman" w:hAnsi="Times New Roman" w:cs="Times New Roman"/>
      <w:sz w:val="22"/>
      <w:u w:val="single"/>
      <w:lang w:val="en-GB"/>
    </w:rPr>
  </w:style>
  <w:style w:type="character" w:customStyle="1" w:styleId="Heading7Char">
    <w:name w:val="Heading 7 Char"/>
    <w:basedOn w:val="DefaultParagraphFont"/>
    <w:link w:val="Heading7"/>
    <w:rsid w:val="007E09DA"/>
    <w:rPr>
      <w:rFonts w:ascii="Univers" w:eastAsia="Times New Roman" w:hAnsi="Univers" w:cs="Times New Roman"/>
      <w:b/>
      <w:sz w:val="28"/>
      <w:lang w:val="en-GB"/>
    </w:rPr>
  </w:style>
  <w:style w:type="character" w:customStyle="1" w:styleId="Heading8Char">
    <w:name w:val="Heading 8 Char"/>
    <w:basedOn w:val="DefaultParagraphFont"/>
    <w:link w:val="Heading8"/>
    <w:rsid w:val="007E09DA"/>
    <w:rPr>
      <w:rFonts w:ascii="Univers" w:eastAsia="Times New Roman" w:hAnsi="Univers" w:cs="Times New Roman"/>
      <w:b/>
      <w:sz w:val="32"/>
      <w:lang w:val="en-GB"/>
    </w:rPr>
  </w:style>
  <w:style w:type="character" w:customStyle="1" w:styleId="Heading9Char">
    <w:name w:val="Heading 9 Char"/>
    <w:basedOn w:val="DefaultParagraphFont"/>
    <w:link w:val="Heading9"/>
    <w:rsid w:val="007E09DA"/>
    <w:rPr>
      <w:rFonts w:ascii="Times New Roman" w:eastAsia="Times New Roman" w:hAnsi="Times New Roman" w:cs="Times New Roman"/>
      <w:i/>
      <w:iCs/>
      <w:sz w:val="22"/>
      <w:lang w:val="en-GB"/>
    </w:rPr>
  </w:style>
  <w:style w:type="character" w:styleId="PageNumber">
    <w:name w:val="page number"/>
    <w:rsid w:val="007E09DA"/>
    <w:rPr>
      <w:rFonts w:ascii="Times New Roman" w:hAnsi="Times New Roman"/>
      <w:sz w:val="22"/>
    </w:rPr>
  </w:style>
  <w:style w:type="paragraph" w:customStyle="1" w:styleId="Para1">
    <w:name w:val="Para1"/>
    <w:basedOn w:val="Normal"/>
    <w:link w:val="Para1Char"/>
    <w:rsid w:val="007E09DA"/>
    <w:pPr>
      <w:numPr>
        <w:numId w:val="2"/>
      </w:numPr>
      <w:spacing w:before="120" w:after="120"/>
    </w:pPr>
    <w:rPr>
      <w:snapToGrid w:val="0"/>
      <w:szCs w:val="18"/>
    </w:rPr>
  </w:style>
  <w:style w:type="paragraph" w:customStyle="1" w:styleId="Para2">
    <w:name w:val="Para2"/>
    <w:basedOn w:val="Para1"/>
    <w:rsid w:val="007E09DA"/>
    <w:pPr>
      <w:numPr>
        <w:numId w:val="0"/>
      </w:numPr>
      <w:autoSpaceDE w:val="0"/>
      <w:autoSpaceDN w:val="0"/>
    </w:pPr>
  </w:style>
  <w:style w:type="paragraph" w:customStyle="1" w:styleId="Para3">
    <w:name w:val="Para3"/>
    <w:basedOn w:val="Normal"/>
    <w:rsid w:val="007E09DA"/>
    <w:pPr>
      <w:numPr>
        <w:ilvl w:val="3"/>
        <w:numId w:val="3"/>
      </w:numPr>
      <w:tabs>
        <w:tab w:val="left" w:pos="1980"/>
      </w:tabs>
      <w:spacing w:before="80" w:after="80"/>
    </w:pPr>
    <w:rPr>
      <w:szCs w:val="20"/>
    </w:rPr>
  </w:style>
  <w:style w:type="paragraph" w:customStyle="1" w:styleId="para4">
    <w:name w:val="para4"/>
    <w:basedOn w:val="Normal"/>
    <w:rsid w:val="007E09DA"/>
    <w:pPr>
      <w:overflowPunct w:val="0"/>
      <w:autoSpaceDE w:val="0"/>
      <w:autoSpaceDN w:val="0"/>
      <w:adjustRightInd w:val="0"/>
      <w:spacing w:after="120" w:line="240" w:lineRule="atLeast"/>
      <w:textAlignment w:val="baseline"/>
    </w:pPr>
    <w:rPr>
      <w:rFonts w:ascii="Courier" w:hAnsi="Courier"/>
      <w:color w:val="000000"/>
      <w:sz w:val="20"/>
      <w:szCs w:val="20"/>
    </w:rPr>
  </w:style>
  <w:style w:type="paragraph" w:customStyle="1" w:styleId="Para-decision">
    <w:name w:val="Para-decision"/>
    <w:basedOn w:val="Normal"/>
    <w:rsid w:val="007E09DA"/>
    <w:pPr>
      <w:tabs>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color w:val="000000"/>
    </w:rPr>
  </w:style>
  <w:style w:type="paragraph" w:customStyle="1" w:styleId="Quotationtextindented">
    <w:name w:val="Quotation text (indented)"/>
    <w:basedOn w:val="Normal"/>
    <w:qFormat/>
    <w:rsid w:val="007E09DA"/>
    <w:pPr>
      <w:spacing w:before="120" w:after="120"/>
      <w:ind w:left="720" w:right="720"/>
    </w:pPr>
    <w:rPr>
      <w:bCs/>
    </w:rPr>
  </w:style>
  <w:style w:type="paragraph" w:customStyle="1" w:styleId="recommendationheader">
    <w:name w:val="recommendation header"/>
    <w:basedOn w:val="Heading2"/>
    <w:qFormat/>
    <w:rsid w:val="007E09DA"/>
  </w:style>
  <w:style w:type="paragraph" w:customStyle="1" w:styleId="recommendationheaderlong">
    <w:name w:val="recommendation header long"/>
    <w:basedOn w:val="Heading2longmultiline"/>
    <w:qFormat/>
    <w:rsid w:val="007E09DA"/>
  </w:style>
  <w:style w:type="paragraph" w:customStyle="1" w:styleId="reference">
    <w:name w:val="reference"/>
    <w:basedOn w:val="Heading9"/>
    <w:qFormat/>
    <w:rsid w:val="007E09DA"/>
    <w:rPr>
      <w:i w:val="0"/>
      <w:sz w:val="18"/>
    </w:rPr>
  </w:style>
  <w:style w:type="character" w:customStyle="1" w:styleId="StyleFootnoteReferenceNounderline">
    <w:name w:val="Style Footnote Reference + No underline"/>
    <w:rsid w:val="007E09DA"/>
    <w:rPr>
      <w:sz w:val="18"/>
      <w:u w:val="none"/>
      <w:vertAlign w:val="baseline"/>
    </w:rPr>
  </w:style>
  <w:style w:type="paragraph" w:customStyle="1" w:styleId="tabletitle">
    <w:name w:val="table title"/>
    <w:basedOn w:val="Heading2"/>
    <w:qFormat/>
    <w:rsid w:val="007E09DA"/>
    <w:pPr>
      <w:jc w:val="left"/>
      <w:outlineLvl w:val="9"/>
    </w:pPr>
  </w:style>
  <w:style w:type="paragraph" w:styleId="TOAHeading">
    <w:name w:val="toa heading"/>
    <w:basedOn w:val="Normal"/>
    <w:next w:val="Normal"/>
    <w:semiHidden/>
    <w:rsid w:val="007E09DA"/>
    <w:pPr>
      <w:spacing w:before="120"/>
    </w:pPr>
    <w:rPr>
      <w:rFonts w:cs="Arial"/>
      <w:b/>
      <w:bCs/>
      <w:sz w:val="24"/>
    </w:rPr>
  </w:style>
  <w:style w:type="paragraph" w:styleId="TOC1">
    <w:name w:val="toc 1"/>
    <w:basedOn w:val="Normal"/>
    <w:next w:val="Normal"/>
    <w:autoRedefine/>
    <w:semiHidden/>
    <w:rsid w:val="007E09DA"/>
    <w:pPr>
      <w:ind w:left="720" w:hanging="720"/>
    </w:pPr>
    <w:rPr>
      <w:caps/>
    </w:rPr>
  </w:style>
  <w:style w:type="paragraph" w:styleId="TOC2">
    <w:name w:val="toc 2"/>
    <w:basedOn w:val="Normal"/>
    <w:next w:val="Normal"/>
    <w:autoRedefine/>
    <w:semiHidden/>
    <w:rsid w:val="007E09DA"/>
    <w:pPr>
      <w:tabs>
        <w:tab w:val="right" w:leader="dot" w:pos="9356"/>
      </w:tabs>
      <w:ind w:left="1440" w:hanging="720"/>
    </w:pPr>
    <w:rPr>
      <w:noProof/>
      <w:szCs w:val="22"/>
    </w:rPr>
  </w:style>
  <w:style w:type="paragraph" w:styleId="TOC3">
    <w:name w:val="toc 3"/>
    <w:basedOn w:val="Normal"/>
    <w:next w:val="Normal"/>
    <w:autoRedefine/>
    <w:semiHidden/>
    <w:rsid w:val="007E09DA"/>
    <w:pPr>
      <w:ind w:left="2160" w:hanging="720"/>
    </w:pPr>
  </w:style>
  <w:style w:type="paragraph" w:styleId="TOC4">
    <w:name w:val="toc 4"/>
    <w:basedOn w:val="Normal"/>
    <w:next w:val="Normal"/>
    <w:autoRedefine/>
    <w:semiHidden/>
    <w:rsid w:val="007E09DA"/>
    <w:pPr>
      <w:spacing w:before="120" w:after="120"/>
      <w:ind w:left="660"/>
      <w:jc w:val="left"/>
    </w:pPr>
  </w:style>
  <w:style w:type="paragraph" w:styleId="TOC5">
    <w:name w:val="toc 5"/>
    <w:basedOn w:val="Normal"/>
    <w:next w:val="Normal"/>
    <w:autoRedefine/>
    <w:semiHidden/>
    <w:rsid w:val="007E09DA"/>
    <w:pPr>
      <w:spacing w:before="120" w:after="120"/>
      <w:ind w:left="880"/>
      <w:jc w:val="left"/>
    </w:pPr>
  </w:style>
  <w:style w:type="paragraph" w:styleId="TOC6">
    <w:name w:val="toc 6"/>
    <w:basedOn w:val="Normal"/>
    <w:next w:val="Normal"/>
    <w:autoRedefine/>
    <w:semiHidden/>
    <w:rsid w:val="007E09DA"/>
    <w:pPr>
      <w:spacing w:before="120" w:after="120"/>
      <w:ind w:left="1100"/>
      <w:jc w:val="left"/>
    </w:pPr>
  </w:style>
  <w:style w:type="paragraph" w:styleId="TOC7">
    <w:name w:val="toc 7"/>
    <w:basedOn w:val="Normal"/>
    <w:next w:val="Normal"/>
    <w:autoRedefine/>
    <w:semiHidden/>
    <w:rsid w:val="007E09DA"/>
    <w:pPr>
      <w:spacing w:before="120" w:after="120"/>
      <w:ind w:left="1320"/>
      <w:jc w:val="left"/>
    </w:pPr>
  </w:style>
  <w:style w:type="paragraph" w:styleId="TOC8">
    <w:name w:val="toc 8"/>
    <w:basedOn w:val="Normal"/>
    <w:next w:val="Normal"/>
    <w:autoRedefine/>
    <w:semiHidden/>
    <w:rsid w:val="007E09DA"/>
    <w:pPr>
      <w:spacing w:before="120" w:after="120"/>
      <w:ind w:left="1540"/>
      <w:jc w:val="left"/>
    </w:pPr>
  </w:style>
  <w:style w:type="paragraph" w:styleId="TOC9">
    <w:name w:val="toc 9"/>
    <w:basedOn w:val="Normal"/>
    <w:next w:val="Normal"/>
    <w:autoRedefine/>
    <w:semiHidden/>
    <w:rsid w:val="007E09DA"/>
    <w:pPr>
      <w:spacing w:before="120" w:after="120"/>
      <w:ind w:left="1760"/>
      <w:jc w:val="left"/>
    </w:pPr>
  </w:style>
  <w:style w:type="character" w:styleId="Hyperlink">
    <w:name w:val="Hyperlink"/>
    <w:uiPriority w:val="99"/>
    <w:rsid w:val="00172AF6"/>
    <w:rPr>
      <w:color w:val="0000FF"/>
      <w:sz w:val="18"/>
      <w:u w:val="single"/>
    </w:rPr>
  </w:style>
  <w:style w:type="character" w:customStyle="1" w:styleId="Para1Char">
    <w:name w:val="Para1 Char"/>
    <w:link w:val="Para1"/>
    <w:locked/>
    <w:rsid w:val="00172AF6"/>
    <w:rPr>
      <w:rFonts w:ascii="Times New Roman" w:eastAsia="Times New Roman" w:hAnsi="Times New Roman" w:cs="Times New Roman"/>
      <w:snapToGrid w:val="0"/>
      <w:sz w:val="22"/>
      <w:szCs w:val="18"/>
      <w:lang w:val="en-GB"/>
    </w:rPr>
  </w:style>
  <w:style w:type="paragraph" w:customStyle="1" w:styleId="CBD-Doc-Type">
    <w:name w:val="CBD-Doc-Type"/>
    <w:basedOn w:val="Normal"/>
    <w:rsid w:val="00172AF6"/>
    <w:pPr>
      <w:keepLines/>
      <w:spacing w:before="240" w:after="120"/>
    </w:pPr>
    <w:rPr>
      <w:rFonts w:cs="Angsana New"/>
      <w:b/>
      <w:i/>
      <w:sz w:val="24"/>
    </w:rPr>
  </w:style>
  <w:style w:type="paragraph" w:customStyle="1" w:styleId="CBD-Doc">
    <w:name w:val="CBD-Doc"/>
    <w:basedOn w:val="Normal"/>
    <w:rsid w:val="00172AF6"/>
    <w:pPr>
      <w:keepLines/>
      <w:numPr>
        <w:numId w:val="4"/>
      </w:numPr>
      <w:spacing w:after="120"/>
    </w:pPr>
    <w:rPr>
      <w:rFonts w:cs="Angsana New"/>
    </w:rPr>
  </w:style>
  <w:style w:type="paragraph" w:styleId="ListParagraph">
    <w:name w:val="List Paragraph"/>
    <w:basedOn w:val="Normal"/>
    <w:uiPriority w:val="34"/>
    <w:qFormat/>
    <w:rsid w:val="00130BB2"/>
    <w:pPr>
      <w:spacing w:after="200" w:line="276" w:lineRule="auto"/>
      <w:ind w:left="720"/>
      <w:contextualSpacing/>
      <w:jc w:val="left"/>
    </w:pPr>
    <w:rPr>
      <w:rFonts w:asciiTheme="minorHAnsi" w:eastAsiaTheme="minorEastAsia" w:hAnsiTheme="minorHAnsi" w:cstheme="minorBidi"/>
      <w:szCs w:val="22"/>
      <w:lang w:val="en-CA" w:eastAsia="ja-JP"/>
    </w:rPr>
  </w:style>
  <w:style w:type="paragraph" w:styleId="CommentSubject">
    <w:name w:val="annotation subject"/>
    <w:basedOn w:val="CommentText"/>
    <w:next w:val="CommentText"/>
    <w:link w:val="CommentSubjectChar"/>
    <w:uiPriority w:val="99"/>
    <w:semiHidden/>
    <w:unhideWhenUsed/>
    <w:rsid w:val="00CA65B2"/>
    <w:pPr>
      <w:spacing w:after="0" w:line="240" w:lineRule="auto"/>
    </w:pPr>
    <w:rPr>
      <w:b/>
      <w:bCs/>
      <w:sz w:val="20"/>
      <w:szCs w:val="20"/>
    </w:rPr>
  </w:style>
  <w:style w:type="character" w:customStyle="1" w:styleId="CommentSubjectChar">
    <w:name w:val="Comment Subject Char"/>
    <w:basedOn w:val="CommentTextChar"/>
    <w:link w:val="CommentSubject"/>
    <w:uiPriority w:val="99"/>
    <w:semiHidden/>
    <w:rsid w:val="00CA65B2"/>
    <w:rPr>
      <w:rFonts w:ascii="Times New Roman" w:eastAsia="Times New Roman" w:hAnsi="Times New Roman" w:cs="Times New Roman"/>
      <w:b/>
      <w:bCs/>
      <w:sz w:val="20"/>
      <w:szCs w:val="20"/>
      <w:lang w:val="en-GB"/>
    </w:rPr>
  </w:style>
  <w:style w:type="paragraph" w:styleId="Revision">
    <w:name w:val="Revision"/>
    <w:hidden/>
    <w:uiPriority w:val="99"/>
    <w:semiHidden/>
    <w:rsid w:val="00CA65B2"/>
    <w:rPr>
      <w:rFonts w:ascii="Times New Roman" w:eastAsia="Times New Roman" w:hAnsi="Times New Roman" w:cs="Times New Roman"/>
      <w:sz w:val="22"/>
      <w:lang w:val="en-GB"/>
    </w:rPr>
  </w:style>
  <w:style w:type="character" w:styleId="UnresolvedMention">
    <w:name w:val="Unresolved Mention"/>
    <w:basedOn w:val="DefaultParagraphFont"/>
    <w:uiPriority w:val="99"/>
    <w:semiHidden/>
    <w:unhideWhenUsed/>
    <w:rsid w:val="00432884"/>
    <w:rPr>
      <w:color w:val="605E5C"/>
      <w:shd w:val="clear" w:color="auto" w:fill="E1DFDD"/>
    </w:rPr>
  </w:style>
  <w:style w:type="character" w:styleId="SubtleEmphasis">
    <w:name w:val="Subtle Emphasis"/>
    <w:basedOn w:val="DefaultParagraphFont"/>
    <w:uiPriority w:val="19"/>
    <w:qFormat/>
    <w:rsid w:val="00432884"/>
    <w:rPr>
      <w:i/>
      <w:iCs/>
      <w:color w:val="404040" w:themeColor="text1" w:themeTint="BF"/>
    </w:rPr>
  </w:style>
  <w:style w:type="paragraph" w:customStyle="1" w:styleId="BVIfnrChar">
    <w:name w:val="BVI fnr Char"/>
    <w:aliases w:val=" BVI fnr Car Car Char,BVI fnr Car Char, BVI fnr Car Car Car Car Char Char,BVI fnr Car Car Char,BVI fnr Car Car Car Car Char, BVI fnr Car Char, BVI fnr Car Car Car Char, BVI fnr Car Car Car Car Car Char,BVI fnr Car Car Car Char"/>
    <w:basedOn w:val="Normal"/>
    <w:link w:val="FootnoteReference"/>
    <w:rsid w:val="000531DF"/>
    <w:pPr>
      <w:spacing w:after="160" w:line="240" w:lineRule="exact"/>
      <w:jc w:val="left"/>
    </w:pPr>
    <w:rPr>
      <w:rFonts w:asciiTheme="minorHAnsi" w:eastAsiaTheme="minorEastAsia" w:hAnsiTheme="minorHAnsi" w:cstheme="minorBidi"/>
      <w:sz w:val="18"/>
      <w:u w:val="single"/>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3798493">
      <w:bodyDiv w:val="1"/>
      <w:marLeft w:val="0"/>
      <w:marRight w:val="0"/>
      <w:marTop w:val="0"/>
      <w:marBottom w:val="0"/>
      <w:divBdr>
        <w:top w:val="none" w:sz="0" w:space="0" w:color="auto"/>
        <w:left w:val="none" w:sz="0" w:space="0" w:color="auto"/>
        <w:bottom w:val="none" w:sz="0" w:space="0" w:color="auto"/>
        <w:right w:val="none" w:sz="0" w:space="0" w:color="auto"/>
      </w:divBdr>
    </w:div>
    <w:div w:id="192375736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bd.int/doc/decisions/cp-mop-09/cp-mop-09-dec-03-en.pdf"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cbd.int/decision/mop/default.shtml?id=13236"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F1646299CFC497FBD0DBE10082E0C77"/>
        <w:category>
          <w:name w:val="General"/>
          <w:gallery w:val="placeholder"/>
        </w:category>
        <w:types>
          <w:type w:val="bbPlcHdr"/>
        </w:types>
        <w:behaviors>
          <w:behavior w:val="content"/>
        </w:behaviors>
        <w:guid w:val="{25B6E5DC-AA3F-4B97-9EEB-3DD0770F20AB}"/>
      </w:docPartPr>
      <w:docPartBody>
        <w:p w:rsidR="008D420E" w:rsidRDefault="00810A55">
          <w:r w:rsidRPr="007E02EB">
            <w:rPr>
              <w:rStyle w:val="PlaceholderText"/>
            </w:rPr>
            <w:t>[Subject]</w:t>
          </w:r>
        </w:p>
      </w:docPartBody>
    </w:docPart>
    <w:docPart>
      <w:docPartPr>
        <w:name w:val="0E8C501BBE954700A0C458443305DA39"/>
        <w:category>
          <w:name w:val="General"/>
          <w:gallery w:val="placeholder"/>
        </w:category>
        <w:types>
          <w:type w:val="bbPlcHdr"/>
        </w:types>
        <w:behaviors>
          <w:behavior w:val="content"/>
        </w:behaviors>
        <w:guid w:val="{47D1C8A2-CC07-4631-B696-2E4A0B019730}"/>
      </w:docPartPr>
      <w:docPartBody>
        <w:p w:rsidR="008D420E" w:rsidRDefault="00810A55">
          <w:r w:rsidRPr="007E02EB">
            <w:rPr>
              <w:rStyle w:val="PlaceholderText"/>
            </w:rPr>
            <w:t>[Publish Date]</w:t>
          </w:r>
        </w:p>
      </w:docPartBody>
    </w:docPart>
    <w:docPart>
      <w:docPartPr>
        <w:name w:val="ADE2EAE43192421FBB726632095B3CBB"/>
        <w:category>
          <w:name w:val="General"/>
          <w:gallery w:val="placeholder"/>
        </w:category>
        <w:types>
          <w:type w:val="bbPlcHdr"/>
        </w:types>
        <w:behaviors>
          <w:behavior w:val="content"/>
        </w:behaviors>
        <w:guid w:val="{F885BC5A-4110-4F1F-96DF-AEFB1EF1358B}"/>
      </w:docPartPr>
      <w:docPartBody>
        <w:p w:rsidR="008D420E" w:rsidRDefault="00810A55">
          <w:r w:rsidRPr="007E02EB">
            <w:rPr>
              <w:rStyle w:val="PlaceholderText"/>
            </w:rPr>
            <w:t>[Status]</w:t>
          </w:r>
        </w:p>
      </w:docPartBody>
    </w:docPart>
    <w:docPart>
      <w:docPartPr>
        <w:name w:val="B91F815427754D9BA6571111AFF15602"/>
        <w:category>
          <w:name w:val="General"/>
          <w:gallery w:val="placeholder"/>
        </w:category>
        <w:types>
          <w:type w:val="bbPlcHdr"/>
        </w:types>
        <w:behaviors>
          <w:behavior w:val="content"/>
        </w:behaviors>
        <w:guid w:val="{A232002E-BE82-445E-9ECF-0BE8B784A5C1}"/>
      </w:docPartPr>
      <w:docPartBody>
        <w:p w:rsidR="0098642F" w:rsidRDefault="008C6619">
          <w:r w:rsidRPr="006D0F48">
            <w:rPr>
              <w:rStyle w:val="PlaceholderText"/>
            </w:rPr>
            <w:t>[Subject]</w:t>
          </w:r>
        </w:p>
      </w:docPartBody>
    </w:docPart>
    <w:docPart>
      <w:docPartPr>
        <w:name w:val="9E64A1B551BC4D48B19DB33F17A999C0"/>
        <w:category>
          <w:name w:val="General"/>
          <w:gallery w:val="placeholder"/>
        </w:category>
        <w:types>
          <w:type w:val="bbPlcHdr"/>
        </w:types>
        <w:behaviors>
          <w:behavior w:val="content"/>
        </w:behaviors>
        <w:guid w:val="{A97503CA-196A-4545-A30F-592581E2E56B}"/>
      </w:docPartPr>
      <w:docPartBody>
        <w:p w:rsidR="0098642F" w:rsidRDefault="008C6619">
          <w:r w:rsidRPr="006D0F48">
            <w:rPr>
              <w:rStyle w:val="PlaceholderText"/>
            </w:rPr>
            <w:t>[Subject]</w:t>
          </w:r>
        </w:p>
      </w:docPartBody>
    </w:docPart>
    <w:docPart>
      <w:docPartPr>
        <w:name w:val="02A4B51E60E840629F2126439934A452"/>
        <w:category>
          <w:name w:val="General"/>
          <w:gallery w:val="placeholder"/>
        </w:category>
        <w:types>
          <w:type w:val="bbPlcHdr"/>
        </w:types>
        <w:behaviors>
          <w:behavior w:val="content"/>
        </w:behaviors>
        <w:guid w:val="{607BBD16-FB58-47B3-9565-C27B5E5A1C13}"/>
      </w:docPartPr>
      <w:docPartBody>
        <w:p w:rsidR="006B2F75" w:rsidRDefault="007D11E7">
          <w:r w:rsidRPr="00AA33DD">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Univers">
    <w:altName w:val="Arial"/>
    <w:charset w:val="00"/>
    <w:family w:val="swiss"/>
    <w:pitch w:val="variable"/>
    <w:sig w:usb0="80000287" w:usb1="00000000" w:usb2="00000000" w:usb3="00000000" w:csb0="0000000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notTrueType/>
    <w:pitch w:val="variable"/>
    <w:sig w:usb0="00000003"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10A55"/>
    <w:rsid w:val="00014DF1"/>
    <w:rsid w:val="00045D7F"/>
    <w:rsid w:val="0011323E"/>
    <w:rsid w:val="00204ED8"/>
    <w:rsid w:val="00221891"/>
    <w:rsid w:val="00247042"/>
    <w:rsid w:val="002675CA"/>
    <w:rsid w:val="002D52F0"/>
    <w:rsid w:val="0037303F"/>
    <w:rsid w:val="003F6B7D"/>
    <w:rsid w:val="004A6780"/>
    <w:rsid w:val="00500A2B"/>
    <w:rsid w:val="0058288D"/>
    <w:rsid w:val="005E1DAB"/>
    <w:rsid w:val="0061319C"/>
    <w:rsid w:val="0061507A"/>
    <w:rsid w:val="006801B3"/>
    <w:rsid w:val="006B2F75"/>
    <w:rsid w:val="006B71DE"/>
    <w:rsid w:val="007956CB"/>
    <w:rsid w:val="007D11E7"/>
    <w:rsid w:val="00810A55"/>
    <w:rsid w:val="00880804"/>
    <w:rsid w:val="008C13C3"/>
    <w:rsid w:val="008C6619"/>
    <w:rsid w:val="008D420E"/>
    <w:rsid w:val="0091219B"/>
    <w:rsid w:val="00963238"/>
    <w:rsid w:val="0098642F"/>
    <w:rsid w:val="009C7C6D"/>
    <w:rsid w:val="00BE2CDE"/>
    <w:rsid w:val="00DE18DE"/>
    <w:rsid w:val="00E138F1"/>
    <w:rsid w:val="00E20D33"/>
    <w:rsid w:val="00E538A3"/>
    <w:rsid w:val="00E72A59"/>
    <w:rsid w:val="00EE1493"/>
    <w:rsid w:val="00F6020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11E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2019-10-07T00:00:00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85C9B47-275B-4047-8E93-FBEDE6179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4787</Words>
  <Characters>27287</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ACTION PLAN FOR CAPACITY-BUILDING FOR THE IMPLEMENATION OF THE CARTAGENA PROTOCOL AND ITS SUPPLEMENTARY PROTOCOL</vt:lpstr>
    </vt:vector>
  </TitlesOfParts>
  <Company>SCBD</Company>
  <LinksUpToDate>false</LinksUpToDate>
  <CharactersWithSpaces>32010</CharactersWithSpaces>
  <SharedDoc>false</SharedDoc>
  <HyperlinkBase>https://www.cbd.int/post2020/</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ACTION PLAN FOR CAPACITY-BUILDING FOR THE IMPLEMENATION OF THE CARTAGENA PROTOCOL AND ITS SUPPLEMENTARY PROTOCOL</dc:title>
  <dc:subject>CBD/CP/LG/2019/1/4</dc:subject>
  <dc:creator>SCBD</dc:creator>
  <cp:keywords>LIAISON GROUP ON THE CARTAGENA PROTOCOL ON BIOSAFETY</cp:keywords>
  <dc:description>Regional Consultation on the Post-2020 Global Biodiversity Framework for the Western European and Others Group and Other Members of the European Union, Bonn, 19-21 March 2019</dc:description>
  <cp:lastModifiedBy>Veronique Lefebvre</cp:lastModifiedBy>
  <cp:revision>5</cp:revision>
  <cp:lastPrinted>2019-09-25T22:20:00Z</cp:lastPrinted>
  <dcterms:created xsi:type="dcterms:W3CDTF">2019-10-11T17:30:00Z</dcterms:created>
  <dcterms:modified xsi:type="dcterms:W3CDTF">2019-10-11T19:32:00Z</dcterms:modified>
  <cp:contentStatus>GENERAL</cp:contentStatus>
</cp:coreProperties>
</file>