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3"/>
        <w:tblW w:w="108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691"/>
      </w:tblGrid>
      <w:tr w:rsidR="005111BD" w:rsidRPr="00EE0850" w:rsidTr="005111BD">
        <w:trPr>
          <w:trHeight w:val="709"/>
        </w:trPr>
        <w:tc>
          <w:tcPr>
            <w:tcW w:w="976" w:type="dxa"/>
            <w:tcBorders>
              <w:bottom w:val="single" w:sz="12" w:space="0" w:color="auto"/>
            </w:tcBorders>
          </w:tcPr>
          <w:p w:rsidR="005111BD" w:rsidRPr="00EE0850" w:rsidRDefault="005111BD" w:rsidP="00547CB8">
            <w:pPr>
              <w:rPr>
                <w:kern w:val="22"/>
              </w:rPr>
            </w:pPr>
            <w:r w:rsidRPr="00EE0850">
              <w:rPr>
                <w:noProof/>
                <w:kern w:val="22"/>
                <w:lang w:val="es-ES" w:eastAsia="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5111BD" w:rsidRPr="00EE0850" w:rsidRDefault="005111BD" w:rsidP="00547CB8">
            <w:pPr>
              <w:rPr>
                <w:kern w:val="22"/>
              </w:rPr>
            </w:pPr>
            <w:r w:rsidRPr="00EE0850">
              <w:rPr>
                <w:noProof/>
                <w:kern w:val="22"/>
                <w:lang w:val="es-ES" w:eastAsia="es-ES"/>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691" w:type="dxa"/>
            <w:tcBorders>
              <w:bottom w:val="single" w:sz="12" w:space="0" w:color="auto"/>
            </w:tcBorders>
          </w:tcPr>
          <w:p w:rsidR="005111BD" w:rsidRPr="00EE0850" w:rsidRDefault="005111BD" w:rsidP="00547CB8">
            <w:pPr>
              <w:jc w:val="right"/>
              <w:rPr>
                <w:rFonts w:ascii="Arial" w:hAnsi="Arial" w:cs="Arial"/>
                <w:b/>
                <w:kern w:val="22"/>
                <w:sz w:val="32"/>
                <w:szCs w:val="32"/>
              </w:rPr>
            </w:pPr>
            <w:r w:rsidRPr="00EE0850">
              <w:rPr>
                <w:rFonts w:ascii="Arial" w:hAnsi="Arial" w:cs="Arial"/>
                <w:b/>
                <w:kern w:val="22"/>
                <w:sz w:val="32"/>
                <w:szCs w:val="32"/>
              </w:rPr>
              <w:t>CBD</w:t>
            </w:r>
          </w:p>
        </w:tc>
      </w:tr>
    </w:tbl>
    <w:tbl>
      <w:tblPr>
        <w:tblW w:w="10207" w:type="dxa"/>
        <w:tblInd w:w="-210" w:type="dxa"/>
        <w:tblLook w:val="04A0"/>
      </w:tblPr>
      <w:tblGrid>
        <w:gridCol w:w="6117"/>
        <w:gridCol w:w="4090"/>
      </w:tblGrid>
      <w:tr w:rsidR="00921CAB" w:rsidRPr="004F0658" w:rsidTr="00921CAB">
        <w:trPr>
          <w:trHeight w:val="1815"/>
        </w:trPr>
        <w:tc>
          <w:tcPr>
            <w:tcW w:w="6117" w:type="dxa"/>
            <w:tcBorders>
              <w:top w:val="single" w:sz="12" w:space="0" w:color="auto"/>
              <w:bottom w:val="single" w:sz="36" w:space="0" w:color="auto"/>
            </w:tcBorders>
            <w:vAlign w:val="center"/>
          </w:tcPr>
          <w:p w:rsidR="00921CAB" w:rsidRPr="00EE0850" w:rsidRDefault="00AC1BCD" w:rsidP="00891A19">
            <w:pPr>
              <w:suppressLineNumbers/>
              <w:suppressAutoHyphens/>
              <w:kinsoku w:val="0"/>
              <w:overflowPunct w:val="0"/>
              <w:autoSpaceDE w:val="0"/>
              <w:autoSpaceDN w:val="0"/>
              <w:rPr>
                <w:szCs w:val="22"/>
              </w:rPr>
            </w:pPr>
            <w:r w:rsidRPr="00AC1BCD">
              <w:rPr>
                <w:noProof/>
                <w:szCs w:val="22"/>
                <w:lang w:val="es-ES" w:eastAsia="es-ES"/>
              </w:rPr>
              <w:drawing>
                <wp:inline distT="0" distB="0" distL="0" distR="0">
                  <wp:extent cx="2910205" cy="1081405"/>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921CAB" w:rsidRPr="00C5131C" w:rsidRDefault="00921CAB" w:rsidP="000C6220">
            <w:pPr>
              <w:suppressLineNumbers/>
              <w:suppressAutoHyphens/>
              <w:kinsoku w:val="0"/>
              <w:overflowPunct w:val="0"/>
              <w:autoSpaceDE w:val="0"/>
              <w:autoSpaceDN w:val="0"/>
              <w:spacing w:after="0" w:line="240" w:lineRule="auto"/>
              <w:ind w:left="1354"/>
              <w:rPr>
                <w:szCs w:val="22"/>
                <w:lang w:val="es-ES"/>
              </w:rPr>
            </w:pPr>
            <w:r w:rsidRPr="00C5131C">
              <w:rPr>
                <w:szCs w:val="22"/>
                <w:lang w:val="es-ES"/>
              </w:rPr>
              <w:t>Distr.</w:t>
            </w:r>
          </w:p>
          <w:p w:rsidR="00921CAB" w:rsidRPr="00C5131C" w:rsidRDefault="00F4408C" w:rsidP="000C6220">
            <w:pPr>
              <w:suppressLineNumbers/>
              <w:suppressAutoHyphens/>
              <w:kinsoku w:val="0"/>
              <w:overflowPunct w:val="0"/>
              <w:autoSpaceDE w:val="0"/>
              <w:autoSpaceDN w:val="0"/>
              <w:spacing w:after="0" w:line="240" w:lineRule="auto"/>
              <w:ind w:left="1354"/>
              <w:rPr>
                <w:szCs w:val="22"/>
                <w:lang w:val="es-ES"/>
              </w:rPr>
            </w:pPr>
            <w:sdt>
              <w:sdtPr>
                <w:rPr>
                  <w:snapToGrid w:val="0"/>
                  <w:kern w:val="22"/>
                  <w:szCs w:val="22"/>
                  <w:lang w:val="es-ES"/>
                </w:rPr>
                <w:alias w:val="Status"/>
                <w:tag w:val=""/>
                <w:id w:val="307985777"/>
                <w:placeholder>
                  <w:docPart w:val="C6A360793BC64D399A021CF8819C75E4"/>
                </w:placeholder>
                <w:dataBinding w:prefixMappings="xmlns:ns0='http://purl.org/dc/elements/1.1/' xmlns:ns1='http://schemas.openxmlformats.org/package/2006/metadata/core-properties' " w:xpath="/ns1:coreProperties[1]/ns1:contentStatus[1]" w:storeItemID="{6C3C8BC8-F283-45AE-878A-BAB7291924A1}"/>
                <w:text/>
              </w:sdtPr>
              <w:sdtContent>
                <w:r w:rsidR="00E118A2" w:rsidRPr="00C5131C">
                  <w:rPr>
                    <w:snapToGrid w:val="0"/>
                    <w:kern w:val="22"/>
                    <w:szCs w:val="22"/>
                    <w:lang w:val="es-ES"/>
                  </w:rPr>
                  <w:t>GENERAL</w:t>
                </w:r>
              </w:sdtContent>
            </w:sdt>
          </w:p>
          <w:p w:rsidR="00921CAB" w:rsidRPr="00C5131C" w:rsidRDefault="00921CAB" w:rsidP="000C6220">
            <w:pPr>
              <w:suppressLineNumbers/>
              <w:suppressAutoHyphens/>
              <w:kinsoku w:val="0"/>
              <w:overflowPunct w:val="0"/>
              <w:autoSpaceDE w:val="0"/>
              <w:autoSpaceDN w:val="0"/>
              <w:spacing w:after="0" w:line="240" w:lineRule="auto"/>
              <w:ind w:left="1354"/>
              <w:rPr>
                <w:szCs w:val="22"/>
                <w:lang w:val="es-ES"/>
              </w:rPr>
            </w:pPr>
          </w:p>
          <w:p w:rsidR="00921CAB" w:rsidRPr="00C5131C" w:rsidRDefault="00F4408C" w:rsidP="000C6220">
            <w:pPr>
              <w:suppressLineNumbers/>
              <w:suppressAutoHyphens/>
              <w:kinsoku w:val="0"/>
              <w:overflowPunct w:val="0"/>
              <w:autoSpaceDE w:val="0"/>
              <w:autoSpaceDN w:val="0"/>
              <w:spacing w:after="0" w:line="240" w:lineRule="auto"/>
              <w:ind w:left="1354"/>
              <w:rPr>
                <w:szCs w:val="22"/>
                <w:lang w:val="es-ES"/>
              </w:rPr>
            </w:pPr>
            <w:sdt>
              <w:sdtPr>
                <w:rPr>
                  <w:bCs/>
                  <w:szCs w:val="22"/>
                  <w:lang w:val="es-ES"/>
                </w:rPr>
                <w:alias w:val="Subject"/>
                <w:tag w:val=""/>
                <w:id w:val="686406857"/>
                <w:placeholder>
                  <w:docPart w:val="DC00FD0B698B4096A87445AB89260D34"/>
                </w:placeholder>
                <w:dataBinding w:prefixMappings="xmlns:ns0='http://purl.org/dc/elements/1.1/' xmlns:ns1='http://schemas.openxmlformats.org/package/2006/metadata/core-properties' " w:xpath="/ns1:coreProperties[1]/ns0:subject[1]" w:storeItemID="{6C3C8BC8-F283-45AE-878A-BAB7291924A1}"/>
                <w:text/>
              </w:sdtPr>
              <w:sdtContent>
                <w:r w:rsidR="00E118A2" w:rsidRPr="00C5131C">
                  <w:rPr>
                    <w:bCs/>
                    <w:szCs w:val="22"/>
                    <w:lang w:val="es-ES"/>
                  </w:rPr>
                  <w:t>CBD/NP/MOP/3/10</w:t>
                </w:r>
              </w:sdtContent>
            </w:sdt>
          </w:p>
          <w:p w:rsidR="00921CAB" w:rsidRPr="004F0658" w:rsidRDefault="002F0C59" w:rsidP="000C6220">
            <w:pPr>
              <w:suppressLineNumbers/>
              <w:suppressAutoHyphens/>
              <w:kinsoku w:val="0"/>
              <w:overflowPunct w:val="0"/>
              <w:autoSpaceDE w:val="0"/>
              <w:autoSpaceDN w:val="0"/>
              <w:spacing w:after="0" w:line="240" w:lineRule="auto"/>
              <w:ind w:left="1354"/>
              <w:rPr>
                <w:szCs w:val="22"/>
                <w:lang w:val="es-ES"/>
              </w:rPr>
            </w:pPr>
            <w:r w:rsidRPr="004F0658">
              <w:rPr>
                <w:szCs w:val="22"/>
                <w:lang w:val="es-ES"/>
              </w:rPr>
              <w:t>3</w:t>
            </w:r>
            <w:r w:rsidRPr="004F0658">
              <w:rPr>
                <w:lang w:val="es-ES"/>
              </w:rPr>
              <w:t xml:space="preserve">1 </w:t>
            </w:r>
            <w:r w:rsidR="004F0658" w:rsidRPr="004F0658">
              <w:rPr>
                <w:lang w:val="es-ES"/>
              </w:rPr>
              <w:t>de enero de</w:t>
            </w:r>
            <w:r w:rsidR="00921CAB" w:rsidRPr="004F0658">
              <w:rPr>
                <w:szCs w:val="22"/>
                <w:lang w:val="es-ES"/>
              </w:rPr>
              <w:t xml:space="preserve"> 201</w:t>
            </w:r>
            <w:r w:rsidRPr="004F0658">
              <w:rPr>
                <w:szCs w:val="22"/>
                <w:lang w:val="es-ES"/>
              </w:rPr>
              <w:t>9</w:t>
            </w:r>
          </w:p>
          <w:p w:rsidR="00921CAB" w:rsidRPr="004F0658" w:rsidRDefault="00921CAB" w:rsidP="000C6220">
            <w:pPr>
              <w:suppressLineNumbers/>
              <w:suppressAutoHyphens/>
              <w:kinsoku w:val="0"/>
              <w:overflowPunct w:val="0"/>
              <w:autoSpaceDE w:val="0"/>
              <w:autoSpaceDN w:val="0"/>
              <w:spacing w:after="0" w:line="240" w:lineRule="auto"/>
              <w:ind w:left="1354"/>
              <w:rPr>
                <w:szCs w:val="22"/>
                <w:lang w:val="es-ES"/>
              </w:rPr>
            </w:pPr>
          </w:p>
          <w:p w:rsidR="004F0658" w:rsidRPr="004F0658" w:rsidRDefault="004F0658" w:rsidP="000C6220">
            <w:pPr>
              <w:suppressLineNumbers/>
              <w:suppressAutoHyphens/>
              <w:kinsoku w:val="0"/>
              <w:overflowPunct w:val="0"/>
              <w:autoSpaceDE w:val="0"/>
              <w:autoSpaceDN w:val="0"/>
              <w:spacing w:after="0" w:line="240" w:lineRule="auto"/>
              <w:ind w:left="1354"/>
              <w:rPr>
                <w:szCs w:val="22"/>
                <w:lang w:val="es-ES"/>
              </w:rPr>
            </w:pPr>
            <w:r w:rsidRPr="004F0658">
              <w:rPr>
                <w:szCs w:val="22"/>
                <w:lang w:val="es-ES"/>
              </w:rPr>
              <w:t>ESPAÑOL</w:t>
            </w:r>
          </w:p>
          <w:p w:rsidR="00921CAB" w:rsidRPr="004F0658" w:rsidRDefault="00921CAB" w:rsidP="000C6220">
            <w:pPr>
              <w:suppressLineNumbers/>
              <w:suppressAutoHyphens/>
              <w:kinsoku w:val="0"/>
              <w:overflowPunct w:val="0"/>
              <w:autoSpaceDE w:val="0"/>
              <w:autoSpaceDN w:val="0"/>
              <w:spacing w:after="0" w:line="240" w:lineRule="auto"/>
              <w:ind w:left="1354"/>
              <w:rPr>
                <w:szCs w:val="22"/>
                <w:lang w:val="es-ES"/>
              </w:rPr>
            </w:pPr>
            <w:r w:rsidRPr="004F0658">
              <w:rPr>
                <w:szCs w:val="22"/>
                <w:lang w:val="es-ES"/>
              </w:rPr>
              <w:t xml:space="preserve">ORIGINAL: </w:t>
            </w:r>
            <w:r w:rsidR="004F0658">
              <w:rPr>
                <w:szCs w:val="22"/>
                <w:lang w:val="es-ES"/>
              </w:rPr>
              <w:t>I</w:t>
            </w:r>
            <w:r w:rsidRPr="004F0658">
              <w:rPr>
                <w:szCs w:val="22"/>
                <w:lang w:val="es-ES"/>
              </w:rPr>
              <w:t>NGL</w:t>
            </w:r>
            <w:r w:rsidR="004F0658">
              <w:rPr>
                <w:szCs w:val="22"/>
                <w:lang w:val="es-ES"/>
              </w:rPr>
              <w:t>ÉS</w:t>
            </w:r>
          </w:p>
          <w:p w:rsidR="00921CAB" w:rsidRPr="004F0658" w:rsidRDefault="00921CAB" w:rsidP="000C6220">
            <w:pPr>
              <w:suppressLineNumbers/>
              <w:suppressAutoHyphens/>
              <w:kinsoku w:val="0"/>
              <w:overflowPunct w:val="0"/>
              <w:autoSpaceDE w:val="0"/>
              <w:autoSpaceDN w:val="0"/>
              <w:spacing w:after="0" w:line="240" w:lineRule="auto"/>
              <w:jc w:val="left"/>
              <w:rPr>
                <w:szCs w:val="22"/>
                <w:lang w:val="es-ES"/>
              </w:rPr>
            </w:pPr>
          </w:p>
        </w:tc>
      </w:tr>
    </w:tbl>
    <w:p w:rsidR="00193167" w:rsidRPr="004F0658" w:rsidRDefault="004F0658" w:rsidP="000C6220">
      <w:pPr>
        <w:suppressLineNumbers/>
        <w:tabs>
          <w:tab w:val="left" w:pos="5580"/>
        </w:tabs>
        <w:suppressAutoHyphens/>
        <w:kinsoku w:val="0"/>
        <w:overflowPunct w:val="0"/>
        <w:autoSpaceDE w:val="0"/>
        <w:autoSpaceDN w:val="0"/>
        <w:spacing w:after="0" w:line="240" w:lineRule="auto"/>
        <w:ind w:left="170" w:right="3938" w:hanging="170"/>
        <w:jc w:val="left"/>
        <w:rPr>
          <w:rFonts w:eastAsia="Batang"/>
          <w:snapToGrid w:val="0"/>
          <w:kern w:val="22"/>
          <w:lang w:val="es-ES"/>
        </w:rPr>
      </w:pPr>
      <w:r w:rsidRPr="00F70294">
        <w:rPr>
          <w:rFonts w:eastAsia="Batang"/>
          <w:snapToGrid w:val="0"/>
          <w:kern w:val="22"/>
          <w:lang w:val="es-ES"/>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rsidR="00193167" w:rsidRPr="004F0658" w:rsidRDefault="00193167" w:rsidP="000C6220">
      <w:pPr>
        <w:suppressLineNumbers/>
        <w:suppressAutoHyphens/>
        <w:kinsoku w:val="0"/>
        <w:overflowPunct w:val="0"/>
        <w:autoSpaceDE w:val="0"/>
        <w:autoSpaceDN w:val="0"/>
        <w:spacing w:after="0" w:line="240" w:lineRule="auto"/>
        <w:ind w:left="170" w:right="3119" w:hanging="170"/>
        <w:jc w:val="left"/>
        <w:rPr>
          <w:rFonts w:eastAsia="Batang"/>
          <w:snapToGrid w:val="0"/>
          <w:kern w:val="22"/>
          <w:lang w:val="es-ES"/>
        </w:rPr>
      </w:pPr>
      <w:r w:rsidRPr="004F0658">
        <w:rPr>
          <w:rFonts w:eastAsia="Batang"/>
          <w:snapToGrid w:val="0"/>
          <w:kern w:val="22"/>
          <w:lang w:val="es-ES"/>
        </w:rPr>
        <w:t>T</w:t>
      </w:r>
      <w:r w:rsidR="004F0658" w:rsidRPr="004F0658">
        <w:rPr>
          <w:rFonts w:eastAsia="Batang"/>
          <w:snapToGrid w:val="0"/>
          <w:kern w:val="22"/>
          <w:lang w:val="es-ES"/>
        </w:rPr>
        <w:t>ercera reunión</w:t>
      </w:r>
    </w:p>
    <w:p w:rsidR="00E606C0" w:rsidRPr="004F0658" w:rsidRDefault="00E606C0" w:rsidP="000C6220">
      <w:pPr>
        <w:suppressLineNumbers/>
        <w:suppressAutoHyphens/>
        <w:kinsoku w:val="0"/>
        <w:overflowPunct w:val="0"/>
        <w:autoSpaceDE w:val="0"/>
        <w:autoSpaceDN w:val="0"/>
        <w:spacing w:after="0" w:line="240" w:lineRule="auto"/>
        <w:ind w:right="4422"/>
        <w:jc w:val="left"/>
        <w:rPr>
          <w:rFonts w:eastAsia="Times New Roman"/>
          <w:snapToGrid w:val="0"/>
          <w:kern w:val="22"/>
          <w:szCs w:val="22"/>
          <w:lang w:val="es-ES" w:eastAsia="en-CA"/>
        </w:rPr>
      </w:pPr>
      <w:r w:rsidRPr="004F0658">
        <w:rPr>
          <w:rFonts w:eastAsia="Times New Roman"/>
          <w:snapToGrid w:val="0"/>
          <w:kern w:val="22"/>
          <w:szCs w:val="22"/>
          <w:lang w:val="es-ES" w:eastAsia="en-CA"/>
        </w:rPr>
        <w:t>Sharm El-Sheikh, Eg</w:t>
      </w:r>
      <w:r w:rsidR="004F0658" w:rsidRPr="004F0658">
        <w:rPr>
          <w:rFonts w:eastAsia="Times New Roman"/>
          <w:snapToGrid w:val="0"/>
          <w:kern w:val="22"/>
          <w:szCs w:val="22"/>
          <w:lang w:val="es-ES" w:eastAsia="en-CA"/>
        </w:rPr>
        <w:t>ipto</w:t>
      </w:r>
      <w:r w:rsidRPr="004F0658">
        <w:rPr>
          <w:rFonts w:eastAsia="Times New Roman"/>
          <w:snapToGrid w:val="0"/>
          <w:kern w:val="22"/>
          <w:szCs w:val="22"/>
          <w:lang w:val="es-ES" w:eastAsia="en-CA"/>
        </w:rPr>
        <w:t>, 1</w:t>
      </w:r>
      <w:r w:rsidR="00F74C45" w:rsidRPr="004F0658">
        <w:rPr>
          <w:rFonts w:eastAsia="Times New Roman"/>
          <w:snapToGrid w:val="0"/>
          <w:kern w:val="22"/>
          <w:szCs w:val="22"/>
          <w:lang w:val="es-ES" w:eastAsia="en-CA"/>
        </w:rPr>
        <w:t>7</w:t>
      </w:r>
      <w:r w:rsidR="004F0658" w:rsidRPr="004F0658">
        <w:rPr>
          <w:rFonts w:eastAsia="Times New Roman"/>
          <w:snapToGrid w:val="0"/>
          <w:kern w:val="22"/>
          <w:szCs w:val="22"/>
          <w:lang w:val="es-ES" w:eastAsia="en-CA"/>
        </w:rPr>
        <w:t xml:space="preserve"> a </w:t>
      </w:r>
      <w:r w:rsidRPr="004F0658">
        <w:rPr>
          <w:rFonts w:eastAsia="Times New Roman"/>
          <w:snapToGrid w:val="0"/>
          <w:kern w:val="22"/>
          <w:szCs w:val="22"/>
          <w:lang w:val="es-ES" w:eastAsia="en-CA"/>
        </w:rPr>
        <w:t>2</w:t>
      </w:r>
      <w:r w:rsidR="00F74C45" w:rsidRPr="004F0658">
        <w:rPr>
          <w:rFonts w:eastAsia="Times New Roman"/>
          <w:snapToGrid w:val="0"/>
          <w:kern w:val="22"/>
          <w:szCs w:val="22"/>
          <w:lang w:val="es-ES" w:eastAsia="en-CA"/>
        </w:rPr>
        <w:t>9</w:t>
      </w:r>
      <w:r w:rsidRPr="004F0658">
        <w:rPr>
          <w:rFonts w:eastAsia="Times New Roman"/>
          <w:snapToGrid w:val="0"/>
          <w:kern w:val="22"/>
          <w:szCs w:val="22"/>
          <w:lang w:val="es-ES" w:eastAsia="en-CA"/>
        </w:rPr>
        <w:t xml:space="preserve"> </w:t>
      </w:r>
      <w:r w:rsidR="004F0658" w:rsidRPr="004F0658">
        <w:rPr>
          <w:rFonts w:eastAsia="Times New Roman"/>
          <w:snapToGrid w:val="0"/>
          <w:kern w:val="22"/>
          <w:szCs w:val="22"/>
          <w:lang w:val="es-ES" w:eastAsia="en-CA"/>
        </w:rPr>
        <w:t>de noviembre de</w:t>
      </w:r>
      <w:r w:rsidRPr="004F0658">
        <w:rPr>
          <w:rFonts w:eastAsia="Times New Roman"/>
          <w:snapToGrid w:val="0"/>
          <w:kern w:val="22"/>
          <w:szCs w:val="22"/>
          <w:lang w:val="es-ES" w:eastAsia="en-CA"/>
        </w:rPr>
        <w:t xml:space="preserve"> 2018</w:t>
      </w:r>
    </w:p>
    <w:p w:rsidR="00E606C0" w:rsidRPr="004F0658" w:rsidRDefault="00E606C0" w:rsidP="005C78D8">
      <w:pPr>
        <w:suppressLineNumbers/>
        <w:suppressAutoHyphens/>
        <w:kinsoku w:val="0"/>
        <w:overflowPunct w:val="0"/>
        <w:autoSpaceDE w:val="0"/>
        <w:autoSpaceDN w:val="0"/>
        <w:ind w:left="170" w:right="3119"/>
        <w:jc w:val="left"/>
        <w:rPr>
          <w:rFonts w:eastAsia="Batang"/>
          <w:snapToGrid w:val="0"/>
          <w:kern w:val="22"/>
          <w:lang w:val="es-ES"/>
        </w:rPr>
      </w:pPr>
    </w:p>
    <w:p w:rsidR="00E606C0" w:rsidRPr="004F0658" w:rsidRDefault="004F0658" w:rsidP="000C6220">
      <w:pPr>
        <w:pStyle w:val="Ttulo1"/>
        <w:spacing w:before="0" w:after="0" w:line="240" w:lineRule="auto"/>
        <w:rPr>
          <w:rFonts w:hint="eastAsia"/>
          <w:lang w:val="es-ES"/>
        </w:rPr>
      </w:pPr>
      <w:r w:rsidRPr="004F0658">
        <w:rPr>
          <w:lang w:val="es-ES"/>
        </w:rPr>
        <w:t xml:space="preserve">INFORME DE LA CONFERENCIA DE LAS PARTES EN EL CONVENIO SOBRE LA DIVERSIDAD BIOLÓGICA QUE ACTÚA COMO REUNIÓN DE LAS PARTES EN EL PROTOCOLO DE </w:t>
      </w:r>
      <w:r w:rsidR="00856680" w:rsidRPr="004F0658">
        <w:rPr>
          <w:lang w:val="es-ES"/>
        </w:rPr>
        <w:t>Nagoya</w:t>
      </w:r>
      <w:r>
        <w:rPr>
          <w:lang w:val="es-ES"/>
        </w:rPr>
        <w:t xml:space="preserve"> SOBRE ACCESO A LOS RECURSOS GENÉTICOS Y PARTICIPACIÓN JUSTA Y EQUITATIVA EN LOS BENEFICIOS QUE SE DERIVEN DE SU UTILIZACIÓN EN SU TERCERA REUNIÓN</w:t>
      </w:r>
    </w:p>
    <w:tbl>
      <w:tblPr>
        <w:tblW w:w="0" w:type="auto"/>
        <w:tblLook w:val="04A0"/>
      </w:tblPr>
      <w:tblGrid>
        <w:gridCol w:w="9956"/>
      </w:tblGrid>
      <w:tr w:rsidR="00856680" w:rsidRPr="00024C71" w:rsidTr="00856680">
        <w:tc>
          <w:tcPr>
            <w:tcW w:w="9956" w:type="dxa"/>
          </w:tcPr>
          <w:p w:rsidR="00856680" w:rsidRPr="0098656B" w:rsidRDefault="0098656B" w:rsidP="000C6220">
            <w:pPr>
              <w:spacing w:before="240" w:line="240" w:lineRule="auto"/>
              <w:ind w:firstLine="567"/>
              <w:rPr>
                <w:lang w:val="es-ES"/>
              </w:rPr>
            </w:pPr>
            <w:r>
              <w:rPr>
                <w:lang w:val="es-ES"/>
              </w:rPr>
              <w:t xml:space="preserve">La </w:t>
            </w:r>
            <w:r w:rsidRPr="0098656B">
              <w:rPr>
                <w:lang w:val="es-ES"/>
              </w:rPr>
              <w:t>Conferencia de las Partes en el Convenio sobre la Diversidad Biológica que actúa como reunión de las Partes en el Protocolo de Nagoya sobre Acceso a los Recursos Genéticos y Participación Justa y Equitativa en los Beneficios que se Deriven de su Utilización celebró su</w:t>
            </w:r>
            <w:r w:rsidRPr="00250169">
              <w:rPr>
                <w:rFonts w:eastAsia="MS Mincho"/>
                <w:lang w:val="es-ES"/>
              </w:rPr>
              <w:t xml:space="preserve"> </w:t>
            </w:r>
            <w:r w:rsidR="00F729B5" w:rsidRPr="0098656B">
              <w:rPr>
                <w:lang w:val="es-ES"/>
              </w:rPr>
              <w:t>t</w:t>
            </w:r>
            <w:r>
              <w:rPr>
                <w:lang w:val="es-ES"/>
              </w:rPr>
              <w:t>ercera reunión en</w:t>
            </w:r>
            <w:r w:rsidR="00856680" w:rsidRPr="0098656B">
              <w:rPr>
                <w:lang w:val="es-ES"/>
              </w:rPr>
              <w:t xml:space="preserve"> </w:t>
            </w:r>
            <w:r w:rsidR="00F729B5" w:rsidRPr="0098656B">
              <w:rPr>
                <w:noProof/>
                <w:lang w:val="es-ES"/>
              </w:rPr>
              <w:t>Sharm El-Sheikh, Eg</w:t>
            </w:r>
            <w:r>
              <w:rPr>
                <w:noProof/>
                <w:lang w:val="es-ES"/>
              </w:rPr>
              <w:t>ipto</w:t>
            </w:r>
            <w:r w:rsidR="00F729B5" w:rsidRPr="0098656B">
              <w:rPr>
                <w:noProof/>
                <w:lang w:val="es-ES"/>
              </w:rPr>
              <w:t xml:space="preserve">, </w:t>
            </w:r>
            <w:r>
              <w:rPr>
                <w:noProof/>
                <w:lang w:val="es-ES"/>
              </w:rPr>
              <w:t xml:space="preserve">del </w:t>
            </w:r>
            <w:r w:rsidR="00F729B5" w:rsidRPr="0098656B">
              <w:rPr>
                <w:noProof/>
                <w:lang w:val="es-ES"/>
              </w:rPr>
              <w:t xml:space="preserve">17 </w:t>
            </w:r>
            <w:r>
              <w:rPr>
                <w:noProof/>
                <w:lang w:val="es-ES"/>
              </w:rPr>
              <w:t>al</w:t>
            </w:r>
            <w:r w:rsidR="00F729B5" w:rsidRPr="0098656B">
              <w:rPr>
                <w:noProof/>
                <w:lang w:val="es-ES"/>
              </w:rPr>
              <w:t xml:space="preserve"> 29 </w:t>
            </w:r>
            <w:r>
              <w:rPr>
                <w:noProof/>
                <w:lang w:val="es-ES"/>
              </w:rPr>
              <w:t>de noviembre de</w:t>
            </w:r>
            <w:r w:rsidR="00F729B5" w:rsidRPr="0098656B">
              <w:rPr>
                <w:noProof/>
                <w:lang w:val="es-ES"/>
              </w:rPr>
              <w:t xml:space="preserve"> 2018</w:t>
            </w:r>
            <w:r w:rsidR="00856680" w:rsidRPr="0098656B">
              <w:rPr>
                <w:lang w:val="es-ES"/>
              </w:rPr>
              <w:t xml:space="preserve">. </w:t>
            </w:r>
            <w:r w:rsidRPr="0098656B">
              <w:rPr>
                <w:lang w:val="es-ES"/>
              </w:rPr>
              <w:t xml:space="preserve">Adoptó </w:t>
            </w:r>
            <w:r w:rsidR="00856680" w:rsidRPr="0098656B">
              <w:rPr>
                <w:lang w:val="es-ES"/>
              </w:rPr>
              <w:t>1</w:t>
            </w:r>
            <w:r w:rsidR="00F729B5" w:rsidRPr="0098656B">
              <w:rPr>
                <w:lang w:val="es-ES"/>
              </w:rPr>
              <w:t>6</w:t>
            </w:r>
            <w:r w:rsidR="00856680" w:rsidRPr="0098656B">
              <w:rPr>
                <w:lang w:val="es-ES"/>
              </w:rPr>
              <w:t xml:space="preserve"> decision</w:t>
            </w:r>
            <w:r w:rsidRPr="0098656B">
              <w:rPr>
                <w:lang w:val="es-ES"/>
              </w:rPr>
              <w:t>e</w:t>
            </w:r>
            <w:r w:rsidR="00856680" w:rsidRPr="0098656B">
              <w:rPr>
                <w:lang w:val="es-ES"/>
              </w:rPr>
              <w:t>s</w:t>
            </w:r>
            <w:r w:rsidRPr="0098656B">
              <w:rPr>
                <w:lang w:val="es-ES"/>
              </w:rPr>
              <w:t xml:space="preserve"> que se incluyen en el capítulo</w:t>
            </w:r>
            <w:r w:rsidR="00856680" w:rsidRPr="0098656B">
              <w:rPr>
                <w:lang w:val="es-ES"/>
              </w:rPr>
              <w:t xml:space="preserve"> I </w:t>
            </w:r>
            <w:r>
              <w:rPr>
                <w:lang w:val="es-ES"/>
              </w:rPr>
              <w:t>del presente informe</w:t>
            </w:r>
            <w:r w:rsidR="00856680" w:rsidRPr="0098656B">
              <w:rPr>
                <w:lang w:val="es-ES"/>
              </w:rPr>
              <w:t>.</w:t>
            </w:r>
          </w:p>
          <w:p w:rsidR="00856680" w:rsidRPr="0098656B" w:rsidRDefault="0098656B" w:rsidP="0098656B">
            <w:pPr>
              <w:spacing w:line="240" w:lineRule="auto"/>
              <w:ind w:firstLine="592"/>
              <w:rPr>
                <w:i/>
                <w:lang w:val="es-ES"/>
              </w:rPr>
            </w:pPr>
            <w:r w:rsidRPr="0098656B">
              <w:rPr>
                <w:rFonts w:eastAsia="MS Mincho"/>
                <w:lang w:val="es-ES"/>
              </w:rPr>
              <w:t>El capítulo II de este informe contiene un resumen de las actas de la reunión</w:t>
            </w:r>
            <w:r w:rsidR="00856680" w:rsidRPr="0098656B">
              <w:rPr>
                <w:lang w:val="es-ES"/>
              </w:rPr>
              <w:t>.</w:t>
            </w:r>
          </w:p>
        </w:tc>
      </w:tr>
    </w:tbl>
    <w:p w:rsidR="00856680" w:rsidRPr="0098656B" w:rsidRDefault="00856680" w:rsidP="008F1D76">
      <w:pPr>
        <w:pStyle w:val="Ttulo1"/>
        <w:rPr>
          <w:rFonts w:ascii="Times New Roman" w:hAnsi="Times New Roman"/>
          <w:b w:val="0"/>
          <w:i/>
          <w:caps w:val="0"/>
          <w:lang w:val="es-ES"/>
        </w:rPr>
      </w:pPr>
    </w:p>
    <w:p w:rsidR="00F729B5" w:rsidRPr="0098656B" w:rsidRDefault="00F729B5" w:rsidP="00475D73">
      <w:pPr>
        <w:pStyle w:val="Ttulo1"/>
        <w:rPr>
          <w:rFonts w:hint="eastAsia"/>
          <w:lang w:val="es-ES"/>
        </w:rPr>
      </w:pPr>
      <w:r w:rsidRPr="0098656B">
        <w:rPr>
          <w:rFonts w:hint="eastAsia"/>
          <w:lang w:val="es-ES"/>
        </w:rPr>
        <w:br w:type="page"/>
      </w:r>
    </w:p>
    <w:p w:rsidR="000B078F" w:rsidRPr="00EE0850" w:rsidRDefault="0098656B" w:rsidP="000C6220">
      <w:pPr>
        <w:spacing w:line="240" w:lineRule="auto"/>
        <w:jc w:val="center"/>
      </w:pPr>
      <w:r>
        <w:rPr>
          <w:i/>
        </w:rPr>
        <w:lastRenderedPageBreak/>
        <w:t>Índice de contenidos</w:t>
      </w:r>
    </w:p>
    <w:p w:rsidR="000B078F" w:rsidRPr="00EE0850" w:rsidRDefault="00F4408C" w:rsidP="000C6220">
      <w:pPr>
        <w:pStyle w:val="TDC1"/>
        <w:tabs>
          <w:tab w:val="clear" w:pos="9350"/>
          <w:tab w:val="left" w:pos="9356"/>
        </w:tabs>
        <w:spacing w:line="240" w:lineRule="auto"/>
        <w:ind w:right="610"/>
        <w:rPr>
          <w:rFonts w:asciiTheme="minorHAnsi" w:eastAsiaTheme="minorEastAsia" w:hAnsiTheme="minorHAnsi" w:cstheme="minorBidi"/>
          <w:lang w:eastAsia="en-CA"/>
        </w:rPr>
      </w:pPr>
      <w:r w:rsidRPr="00F4408C">
        <w:fldChar w:fldCharType="begin"/>
      </w:r>
      <w:r w:rsidR="000B078F" w:rsidRPr="00EE0850">
        <w:instrText xml:space="preserve"> TOC \h \z \t "recommendation header,2,Heading 1 report,1,Heading 1 -item,2" </w:instrText>
      </w:r>
      <w:r w:rsidRPr="00F4408C">
        <w:fldChar w:fldCharType="separate"/>
      </w:r>
      <w:hyperlink w:anchor="_Toc256200" w:history="1">
        <w:r w:rsidR="000B078F" w:rsidRPr="00EE0850">
          <w:rPr>
            <w:rStyle w:val="Hipervnculo"/>
          </w:rPr>
          <w:t>I.</w:t>
        </w:r>
        <w:r w:rsidR="000B078F" w:rsidRPr="00EE0850">
          <w:rPr>
            <w:rFonts w:asciiTheme="minorHAnsi" w:eastAsiaTheme="minorEastAsia" w:hAnsiTheme="minorHAnsi" w:cstheme="minorBidi"/>
            <w:lang w:eastAsia="en-CA"/>
          </w:rPr>
          <w:tab/>
        </w:r>
        <w:r w:rsidR="000B078F" w:rsidRPr="00EE0850">
          <w:rPr>
            <w:rStyle w:val="Hipervnculo"/>
          </w:rPr>
          <w:t>DECISION</w:t>
        </w:r>
        <w:r w:rsidR="00315BF2">
          <w:rPr>
            <w:rStyle w:val="Hipervnculo"/>
          </w:rPr>
          <w:t>E</w:t>
        </w:r>
        <w:r w:rsidR="000B078F" w:rsidRPr="00EE0850">
          <w:rPr>
            <w:rStyle w:val="Hipervnculo"/>
          </w:rPr>
          <w:t>S</w:t>
        </w:r>
        <w:r w:rsidR="000B078F" w:rsidRPr="00EE0850">
          <w:rPr>
            <w:webHidden/>
          </w:rPr>
          <w:tab/>
        </w:r>
        <w:r w:rsidRPr="00EE0850">
          <w:rPr>
            <w:webHidden/>
          </w:rPr>
          <w:fldChar w:fldCharType="begin"/>
        </w:r>
        <w:r w:rsidR="000B078F" w:rsidRPr="00EE0850">
          <w:rPr>
            <w:webHidden/>
          </w:rPr>
          <w:instrText xml:space="preserve"> PAGEREF _Toc256200 \h </w:instrText>
        </w:r>
        <w:r w:rsidRPr="00EE0850">
          <w:rPr>
            <w:webHidden/>
          </w:rPr>
        </w:r>
        <w:r w:rsidRPr="00EE0850">
          <w:rPr>
            <w:webHidden/>
          </w:rPr>
          <w:fldChar w:fldCharType="separate"/>
        </w:r>
        <w:r w:rsidR="00DD1A58">
          <w:rPr>
            <w:webHidden/>
          </w:rPr>
          <w:t>4</w:t>
        </w:r>
        <w:r w:rsidRPr="00EE0850">
          <w:rPr>
            <w:webHidden/>
          </w:rPr>
          <w:fldChar w:fldCharType="end"/>
        </w:r>
      </w:hyperlink>
    </w:p>
    <w:p w:rsidR="000B078F" w:rsidRPr="00EE0850" w:rsidRDefault="00F4408C" w:rsidP="00341EFA">
      <w:pPr>
        <w:pStyle w:val="TDC2"/>
        <w:spacing w:line="240" w:lineRule="auto"/>
        <w:rPr>
          <w:rFonts w:asciiTheme="minorHAnsi" w:eastAsiaTheme="minorEastAsia" w:hAnsiTheme="minorHAnsi" w:cstheme="minorBidi"/>
          <w:lang w:val="en-CA" w:eastAsia="en-CA"/>
        </w:rPr>
      </w:pPr>
      <w:hyperlink w:anchor="_Toc256201" w:history="1">
        <w:r w:rsidR="000B078F" w:rsidRPr="00EE0850">
          <w:rPr>
            <w:rStyle w:val="Hipervnculo"/>
            <w:kern w:val="22"/>
          </w:rPr>
          <w:t>3/1.</w:t>
        </w:r>
        <w:r w:rsidR="000B078F" w:rsidRPr="00EE0850">
          <w:rPr>
            <w:rFonts w:asciiTheme="minorHAnsi" w:eastAsiaTheme="minorEastAsia" w:hAnsiTheme="minorHAnsi" w:cstheme="minorBidi"/>
            <w:lang w:val="en-CA" w:eastAsia="en-CA"/>
          </w:rPr>
          <w:tab/>
        </w:r>
        <w:r w:rsidR="00315BF2">
          <w:rPr>
            <w:rStyle w:val="Hipervnculo"/>
            <w:kern w:val="22"/>
          </w:rPr>
          <w:t>Evaluació</w:t>
        </w:r>
        <w:r w:rsidR="000B078F" w:rsidRPr="00EE0850">
          <w:rPr>
            <w:rStyle w:val="Hipervnculo"/>
            <w:kern w:val="22"/>
          </w:rPr>
          <w:t>n</w:t>
        </w:r>
        <w:r w:rsidR="00315BF2">
          <w:rPr>
            <w:rStyle w:val="Hipervnculo"/>
            <w:kern w:val="22"/>
          </w:rPr>
          <w:t xml:space="preserve"> y r</w:t>
        </w:r>
        <w:r w:rsidR="000B078F" w:rsidRPr="00EE0850">
          <w:rPr>
            <w:rStyle w:val="Hipervnculo"/>
            <w:kern w:val="22"/>
          </w:rPr>
          <w:t>evi</w:t>
        </w:r>
        <w:r w:rsidR="00315BF2">
          <w:rPr>
            <w:rStyle w:val="Hipervnculo"/>
            <w:kern w:val="22"/>
          </w:rPr>
          <w:t>sión d</w:t>
        </w:r>
        <w:r w:rsidR="000B078F" w:rsidRPr="00EE0850">
          <w:rPr>
            <w:rStyle w:val="Hipervnculo"/>
            <w:kern w:val="22"/>
          </w:rPr>
          <w:t xml:space="preserve">e </w:t>
        </w:r>
        <w:r w:rsidR="00315BF2">
          <w:rPr>
            <w:rStyle w:val="Hipervnculo"/>
            <w:kern w:val="22"/>
          </w:rPr>
          <w:t xml:space="preserve">la </w:t>
        </w:r>
        <w:r w:rsidR="000B078F" w:rsidRPr="00EE0850">
          <w:rPr>
            <w:rStyle w:val="Hipervnculo"/>
            <w:kern w:val="22"/>
          </w:rPr>
          <w:t>ef</w:t>
        </w:r>
        <w:r w:rsidR="00BD5B98">
          <w:rPr>
            <w:rStyle w:val="Hipervnculo"/>
            <w:kern w:val="22"/>
          </w:rPr>
          <w:t>i</w:t>
        </w:r>
        <w:r w:rsidR="000B078F" w:rsidRPr="00EE0850">
          <w:rPr>
            <w:rStyle w:val="Hipervnculo"/>
            <w:kern w:val="22"/>
          </w:rPr>
          <w:t>c</w:t>
        </w:r>
        <w:r w:rsidR="00BD5B98">
          <w:rPr>
            <w:rStyle w:val="Hipervnculo"/>
            <w:kern w:val="22"/>
          </w:rPr>
          <w:t>ac</w:t>
        </w:r>
        <w:r w:rsidR="000B078F" w:rsidRPr="00EE0850">
          <w:rPr>
            <w:rStyle w:val="Hipervnculo"/>
            <w:kern w:val="22"/>
          </w:rPr>
          <w:t>i</w:t>
        </w:r>
        <w:r w:rsidR="00BD5B98">
          <w:rPr>
            <w:rStyle w:val="Hipervnculo"/>
            <w:kern w:val="22"/>
          </w:rPr>
          <w:t>a</w:t>
        </w:r>
        <w:r w:rsidR="000B078F" w:rsidRPr="00EE0850">
          <w:rPr>
            <w:rStyle w:val="Hipervnculo"/>
            <w:kern w:val="22"/>
          </w:rPr>
          <w:t xml:space="preserve"> </w:t>
        </w:r>
        <w:r w:rsidR="00BD5B98">
          <w:rPr>
            <w:rStyle w:val="Hipervnculo"/>
            <w:kern w:val="22"/>
          </w:rPr>
          <w:t>d</w:t>
        </w:r>
        <w:r w:rsidR="000B078F" w:rsidRPr="00EE0850">
          <w:rPr>
            <w:rStyle w:val="Hipervnculo"/>
            <w:kern w:val="22"/>
          </w:rPr>
          <w:t>e</w:t>
        </w:r>
        <w:r w:rsidR="00BD5B98">
          <w:rPr>
            <w:rStyle w:val="Hipervnculo"/>
            <w:kern w:val="22"/>
          </w:rPr>
          <w:t>l</w:t>
        </w:r>
        <w:r w:rsidR="000B078F" w:rsidRPr="00EE0850">
          <w:rPr>
            <w:rStyle w:val="Hipervnculo"/>
            <w:kern w:val="22"/>
          </w:rPr>
          <w:t xml:space="preserve"> Protocol</w:t>
        </w:r>
        <w:r w:rsidR="00BD5B98">
          <w:rPr>
            <w:rStyle w:val="Hipervnculo"/>
            <w:kern w:val="22"/>
          </w:rPr>
          <w:t>o</w:t>
        </w:r>
        <w:r w:rsidR="000B078F" w:rsidRPr="00EE0850">
          <w:rPr>
            <w:rStyle w:val="Hipervnculo"/>
            <w:kern w:val="22"/>
          </w:rPr>
          <w:t xml:space="preserve"> (</w:t>
        </w:r>
        <w:r w:rsidR="00BD5B98">
          <w:rPr>
            <w:rStyle w:val="Hipervnculo"/>
            <w:kern w:val="22"/>
          </w:rPr>
          <w:t>a</w:t>
        </w:r>
        <w:r w:rsidR="000B078F" w:rsidRPr="00EE0850">
          <w:rPr>
            <w:rStyle w:val="Hipervnculo"/>
            <w:kern w:val="22"/>
          </w:rPr>
          <w:t>rt</w:t>
        </w:r>
        <w:r w:rsidR="00BD5B98">
          <w:rPr>
            <w:rStyle w:val="Hipervnculo"/>
            <w:kern w:val="22"/>
          </w:rPr>
          <w:t>í</w:t>
        </w:r>
        <w:r w:rsidR="000B078F" w:rsidRPr="00EE0850">
          <w:rPr>
            <w:rStyle w:val="Hipervnculo"/>
            <w:kern w:val="22"/>
          </w:rPr>
          <w:t>c</w:t>
        </w:r>
        <w:r w:rsidR="00BD5B98">
          <w:rPr>
            <w:rStyle w:val="Hipervnculo"/>
            <w:kern w:val="22"/>
          </w:rPr>
          <w:t>u</w:t>
        </w:r>
        <w:r w:rsidR="000B078F" w:rsidRPr="00EE0850">
          <w:rPr>
            <w:rStyle w:val="Hipervnculo"/>
            <w:kern w:val="22"/>
          </w:rPr>
          <w:t>l</w:t>
        </w:r>
        <w:r w:rsidR="00BD5B98">
          <w:rPr>
            <w:rStyle w:val="Hipervnculo"/>
            <w:kern w:val="22"/>
          </w:rPr>
          <w:t>o</w:t>
        </w:r>
        <w:r w:rsidR="000B078F" w:rsidRPr="00EE0850">
          <w:rPr>
            <w:rStyle w:val="Hipervnculo"/>
            <w:kern w:val="22"/>
          </w:rPr>
          <w:t xml:space="preserve"> 31)</w:t>
        </w:r>
        <w:r w:rsidR="000B078F" w:rsidRPr="00EE0850">
          <w:rPr>
            <w:webHidden/>
          </w:rPr>
          <w:tab/>
        </w:r>
        <w:r w:rsidRPr="00EE0850">
          <w:rPr>
            <w:webHidden/>
          </w:rPr>
          <w:fldChar w:fldCharType="begin"/>
        </w:r>
        <w:r w:rsidR="000B078F" w:rsidRPr="00EE0850">
          <w:rPr>
            <w:webHidden/>
          </w:rPr>
          <w:instrText xml:space="preserve"> PAGEREF _Toc256201 \h </w:instrText>
        </w:r>
        <w:r w:rsidRPr="00EE0850">
          <w:rPr>
            <w:webHidden/>
          </w:rPr>
        </w:r>
        <w:r w:rsidRPr="00EE0850">
          <w:rPr>
            <w:webHidden/>
          </w:rPr>
          <w:fldChar w:fldCharType="separate"/>
        </w:r>
        <w:r w:rsidR="00DD1A58">
          <w:rPr>
            <w:webHidden/>
          </w:rPr>
          <w:t>4</w:t>
        </w:r>
        <w:r w:rsidRPr="00EE0850">
          <w:rPr>
            <w:webHidden/>
          </w:rPr>
          <w:fldChar w:fldCharType="end"/>
        </w:r>
      </w:hyperlink>
    </w:p>
    <w:p w:rsidR="000B078F" w:rsidRPr="00EE0850" w:rsidRDefault="00F4408C" w:rsidP="00341EFA">
      <w:pPr>
        <w:pStyle w:val="TDC2"/>
        <w:spacing w:line="240" w:lineRule="auto"/>
        <w:rPr>
          <w:rFonts w:asciiTheme="minorHAnsi" w:eastAsiaTheme="minorEastAsia" w:hAnsiTheme="minorHAnsi" w:cstheme="minorBidi"/>
          <w:lang w:val="en-CA" w:eastAsia="en-CA"/>
        </w:rPr>
      </w:pPr>
      <w:hyperlink w:anchor="_Toc256202" w:history="1">
        <w:r w:rsidR="000B078F" w:rsidRPr="00EE0850">
          <w:rPr>
            <w:rStyle w:val="Hipervnculo"/>
          </w:rPr>
          <w:t>3/2.</w:t>
        </w:r>
        <w:r w:rsidR="000B078F" w:rsidRPr="00EE0850">
          <w:rPr>
            <w:rFonts w:asciiTheme="minorHAnsi" w:eastAsiaTheme="minorEastAsia" w:hAnsiTheme="minorHAnsi" w:cstheme="minorBidi"/>
            <w:lang w:val="en-CA" w:eastAsia="en-CA"/>
          </w:rPr>
          <w:tab/>
        </w:r>
        <w:r w:rsidR="000B078F" w:rsidRPr="00EE0850">
          <w:rPr>
            <w:rStyle w:val="Hipervnculo"/>
          </w:rPr>
          <w:t>C</w:t>
        </w:r>
        <w:r w:rsidR="00BD5B98">
          <w:rPr>
            <w:rStyle w:val="Hipervnculo"/>
          </w:rPr>
          <w:t>u</w:t>
        </w:r>
        <w:r w:rsidR="000B078F" w:rsidRPr="00EE0850">
          <w:rPr>
            <w:rStyle w:val="Hipervnculo"/>
          </w:rPr>
          <w:t>mpli</w:t>
        </w:r>
        <w:r w:rsidR="00BD5B98">
          <w:rPr>
            <w:rStyle w:val="Hipervnculo"/>
          </w:rPr>
          <w:t>miento d</w:t>
        </w:r>
        <w:r w:rsidR="000B078F" w:rsidRPr="00EE0850">
          <w:rPr>
            <w:rStyle w:val="Hipervnculo"/>
          </w:rPr>
          <w:t>e</w:t>
        </w:r>
        <w:r w:rsidR="00BD5B98">
          <w:rPr>
            <w:rStyle w:val="Hipervnculo"/>
          </w:rPr>
          <w:t>l</w:t>
        </w:r>
        <w:r w:rsidR="000B078F" w:rsidRPr="00EE0850">
          <w:rPr>
            <w:rStyle w:val="Hipervnculo"/>
          </w:rPr>
          <w:t xml:space="preserve"> Protoco</w:t>
        </w:r>
        <w:r w:rsidR="00BD5B98">
          <w:rPr>
            <w:rStyle w:val="Hipervnculo"/>
          </w:rPr>
          <w:t>lo</w:t>
        </w:r>
        <w:r w:rsidR="000B078F" w:rsidRPr="00EE0850">
          <w:rPr>
            <w:webHidden/>
          </w:rPr>
          <w:tab/>
        </w:r>
        <w:r w:rsidRPr="00EE0850">
          <w:rPr>
            <w:webHidden/>
          </w:rPr>
          <w:fldChar w:fldCharType="begin"/>
        </w:r>
        <w:r w:rsidR="000B078F" w:rsidRPr="00EE0850">
          <w:rPr>
            <w:webHidden/>
          </w:rPr>
          <w:instrText xml:space="preserve"> PAGEREF _Toc256202 \h </w:instrText>
        </w:r>
        <w:r w:rsidRPr="00EE0850">
          <w:rPr>
            <w:webHidden/>
          </w:rPr>
        </w:r>
        <w:r w:rsidRPr="00EE0850">
          <w:rPr>
            <w:webHidden/>
          </w:rPr>
          <w:fldChar w:fldCharType="separate"/>
        </w:r>
        <w:r w:rsidR="009425BB">
          <w:rPr>
            <w:webHidden/>
          </w:rPr>
          <w:t>20</w:t>
        </w:r>
        <w:r w:rsidRPr="00EE0850">
          <w:rPr>
            <w:webHidden/>
          </w:rPr>
          <w:fldChar w:fldCharType="end"/>
        </w:r>
      </w:hyperlink>
    </w:p>
    <w:p w:rsidR="000B078F" w:rsidRPr="00EE0850" w:rsidRDefault="00F4408C" w:rsidP="00A162E7">
      <w:pPr>
        <w:pStyle w:val="TDC2"/>
        <w:spacing w:line="240" w:lineRule="auto"/>
        <w:rPr>
          <w:rFonts w:asciiTheme="minorHAnsi" w:eastAsiaTheme="minorEastAsia" w:hAnsiTheme="minorHAnsi" w:cstheme="minorBidi"/>
          <w:lang w:val="en-CA" w:eastAsia="en-CA"/>
        </w:rPr>
      </w:pPr>
      <w:hyperlink w:anchor="_Toc256203" w:history="1">
        <w:r w:rsidR="000B078F" w:rsidRPr="00EE0850">
          <w:rPr>
            <w:rStyle w:val="Hipervnculo"/>
            <w:rFonts w:eastAsia="Arial Unicode MS"/>
            <w:snapToGrid w:val="0"/>
            <w:bdr w:val="nil"/>
          </w:rPr>
          <w:t>3/3.</w:t>
        </w:r>
        <w:r w:rsidR="000B078F" w:rsidRPr="00EE0850">
          <w:rPr>
            <w:rFonts w:asciiTheme="minorHAnsi" w:eastAsiaTheme="minorEastAsia" w:hAnsiTheme="minorHAnsi" w:cstheme="minorBidi"/>
            <w:lang w:val="en-CA" w:eastAsia="en-CA"/>
          </w:rPr>
          <w:tab/>
        </w:r>
        <w:r w:rsidR="00BD5B98">
          <w:rPr>
            <w:rStyle w:val="Hipervnculo"/>
            <w:rFonts w:eastAsia="Arial Unicode MS"/>
            <w:snapToGrid w:val="0"/>
            <w:bdr w:val="nil"/>
          </w:rPr>
          <w:t>El</w:t>
        </w:r>
        <w:r w:rsidR="000B078F" w:rsidRPr="00EE0850">
          <w:rPr>
            <w:rStyle w:val="Hipervnculo"/>
            <w:rFonts w:eastAsia="Arial Unicode MS"/>
            <w:snapToGrid w:val="0"/>
            <w:bdr w:val="nil"/>
          </w:rPr>
          <w:t xml:space="preserve"> </w:t>
        </w:r>
        <w:r w:rsidR="00BD5B98">
          <w:rPr>
            <w:rStyle w:val="Hipervnculo"/>
            <w:rFonts w:eastAsia="Arial Unicode MS"/>
            <w:snapToGrid w:val="0"/>
            <w:bdr w:val="nil"/>
          </w:rPr>
          <w:t xml:space="preserve">Centro de Intercambio de Información sobre </w:t>
        </w:r>
        <w:r w:rsidR="000B078F" w:rsidRPr="00EE0850">
          <w:rPr>
            <w:rStyle w:val="Hipervnculo"/>
            <w:rFonts w:eastAsia="Arial Unicode MS"/>
            <w:snapToGrid w:val="0"/>
            <w:bdr w:val="nil"/>
          </w:rPr>
          <w:t>Acces</w:t>
        </w:r>
        <w:r w:rsidR="00BD5B98">
          <w:rPr>
            <w:rStyle w:val="Hipervnculo"/>
            <w:rFonts w:eastAsia="Arial Unicode MS"/>
            <w:snapToGrid w:val="0"/>
            <w:bdr w:val="nil"/>
          </w:rPr>
          <w:t xml:space="preserve">o y Participacón en los </w:t>
        </w:r>
        <w:r w:rsidR="000B078F" w:rsidRPr="00EE0850">
          <w:rPr>
            <w:rStyle w:val="Hipervnculo"/>
            <w:rFonts w:eastAsia="Arial Unicode MS"/>
            <w:snapToGrid w:val="0"/>
            <w:bdr w:val="nil"/>
          </w:rPr>
          <w:t>Benefi</w:t>
        </w:r>
        <w:r w:rsidR="00BD5B98">
          <w:rPr>
            <w:rStyle w:val="Hipervnculo"/>
            <w:rFonts w:eastAsia="Arial Unicode MS"/>
            <w:snapToGrid w:val="0"/>
            <w:bdr w:val="nil"/>
          </w:rPr>
          <w:t>cios</w:t>
        </w:r>
        <w:r w:rsidR="000B078F" w:rsidRPr="00EE0850">
          <w:rPr>
            <w:rStyle w:val="Hipervnculo"/>
            <w:rFonts w:eastAsia="Arial Unicode MS"/>
            <w:snapToGrid w:val="0"/>
            <w:bdr w:val="nil"/>
          </w:rPr>
          <w:t xml:space="preserve"> </w:t>
        </w:r>
        <w:r w:rsidR="00BD5B98">
          <w:rPr>
            <w:rStyle w:val="Hipervnculo"/>
            <w:rFonts w:eastAsia="Arial Unicode MS"/>
            <w:snapToGrid w:val="0"/>
            <w:bdr w:val="nil"/>
          </w:rPr>
          <w:t xml:space="preserve">e Intercambio de Información </w:t>
        </w:r>
        <w:r w:rsidR="000B078F" w:rsidRPr="00EE0850">
          <w:rPr>
            <w:rStyle w:val="Hipervnculo"/>
            <w:rFonts w:eastAsia="Arial Unicode MS"/>
            <w:snapToGrid w:val="0"/>
            <w:bdr w:val="nil"/>
          </w:rPr>
          <w:t>(</w:t>
        </w:r>
        <w:r w:rsidR="00BD5B98">
          <w:rPr>
            <w:rStyle w:val="Hipervnculo"/>
            <w:rFonts w:eastAsia="Arial Unicode MS"/>
            <w:snapToGrid w:val="0"/>
            <w:bdr w:val="nil"/>
          </w:rPr>
          <w:t>a</w:t>
        </w:r>
        <w:r w:rsidR="000B078F" w:rsidRPr="00EE0850">
          <w:rPr>
            <w:rStyle w:val="Hipervnculo"/>
            <w:rFonts w:eastAsia="Arial Unicode MS"/>
            <w:snapToGrid w:val="0"/>
            <w:bdr w:val="nil"/>
          </w:rPr>
          <w:t>rt</w:t>
        </w:r>
        <w:r w:rsidR="00BD5B98">
          <w:rPr>
            <w:rStyle w:val="Hipervnculo"/>
            <w:rFonts w:eastAsia="Arial Unicode MS"/>
            <w:snapToGrid w:val="0"/>
            <w:bdr w:val="nil"/>
          </w:rPr>
          <w:t>í</w:t>
        </w:r>
        <w:r w:rsidR="000B078F" w:rsidRPr="00EE0850">
          <w:rPr>
            <w:rStyle w:val="Hipervnculo"/>
            <w:rFonts w:eastAsia="Arial Unicode MS"/>
            <w:snapToGrid w:val="0"/>
            <w:bdr w:val="nil"/>
          </w:rPr>
          <w:t>c</w:t>
        </w:r>
        <w:r w:rsidR="00BD5B98">
          <w:rPr>
            <w:rStyle w:val="Hipervnculo"/>
            <w:rFonts w:eastAsia="Arial Unicode MS"/>
            <w:snapToGrid w:val="0"/>
            <w:bdr w:val="nil"/>
          </w:rPr>
          <w:t>u</w:t>
        </w:r>
        <w:r w:rsidR="000B078F" w:rsidRPr="00EE0850">
          <w:rPr>
            <w:rStyle w:val="Hipervnculo"/>
            <w:rFonts w:eastAsia="Arial Unicode MS"/>
            <w:snapToGrid w:val="0"/>
            <w:bdr w:val="nil"/>
          </w:rPr>
          <w:t>l</w:t>
        </w:r>
        <w:r w:rsidR="00BD5B98">
          <w:rPr>
            <w:rStyle w:val="Hipervnculo"/>
            <w:rFonts w:eastAsia="Arial Unicode MS"/>
            <w:snapToGrid w:val="0"/>
            <w:bdr w:val="nil"/>
          </w:rPr>
          <w:t>o</w:t>
        </w:r>
        <w:r w:rsidR="000B078F" w:rsidRPr="00EE0850">
          <w:rPr>
            <w:rStyle w:val="Hipervnculo"/>
            <w:rFonts w:eastAsia="Arial Unicode MS"/>
            <w:snapToGrid w:val="0"/>
            <w:bdr w:val="nil"/>
          </w:rPr>
          <w:t xml:space="preserve"> 14)</w:t>
        </w:r>
        <w:r w:rsidR="000B078F" w:rsidRPr="00EE0850">
          <w:rPr>
            <w:webHidden/>
          </w:rPr>
          <w:tab/>
        </w:r>
        <w:r w:rsidRPr="00EE0850">
          <w:rPr>
            <w:webHidden/>
          </w:rPr>
          <w:fldChar w:fldCharType="begin"/>
        </w:r>
        <w:r w:rsidR="000B078F" w:rsidRPr="00EE0850">
          <w:rPr>
            <w:webHidden/>
          </w:rPr>
          <w:instrText xml:space="preserve"> PAGEREF _Toc256203 \h </w:instrText>
        </w:r>
        <w:r w:rsidRPr="00EE0850">
          <w:rPr>
            <w:webHidden/>
          </w:rPr>
        </w:r>
        <w:r w:rsidRPr="00EE0850">
          <w:rPr>
            <w:webHidden/>
          </w:rPr>
          <w:fldChar w:fldCharType="separate"/>
        </w:r>
        <w:r w:rsidR="009425BB">
          <w:rPr>
            <w:webHidden/>
          </w:rPr>
          <w:t>21</w:t>
        </w:r>
        <w:r w:rsidRPr="00EE0850">
          <w:rPr>
            <w:webHidden/>
          </w:rPr>
          <w:fldChar w:fldCharType="end"/>
        </w:r>
      </w:hyperlink>
    </w:p>
    <w:p w:rsidR="000B078F" w:rsidRPr="00EE0850" w:rsidRDefault="00F4408C" w:rsidP="00341A72">
      <w:pPr>
        <w:pStyle w:val="TDC2"/>
        <w:spacing w:line="240" w:lineRule="auto"/>
        <w:rPr>
          <w:rFonts w:asciiTheme="minorHAnsi" w:eastAsiaTheme="minorEastAsia" w:hAnsiTheme="minorHAnsi" w:cstheme="minorBidi"/>
          <w:lang w:val="en-CA" w:eastAsia="en-CA"/>
        </w:rPr>
      </w:pPr>
      <w:hyperlink w:anchor="_Toc256204" w:history="1">
        <w:r w:rsidR="000B078F" w:rsidRPr="00EE0850">
          <w:rPr>
            <w:rStyle w:val="Hipervnculo"/>
          </w:rPr>
          <w:t>3/4.</w:t>
        </w:r>
        <w:r w:rsidR="000B078F" w:rsidRPr="00EE0850">
          <w:rPr>
            <w:rFonts w:asciiTheme="minorHAnsi" w:eastAsiaTheme="minorEastAsia" w:hAnsiTheme="minorHAnsi" w:cstheme="minorBidi"/>
            <w:lang w:val="en-CA" w:eastAsia="en-CA"/>
          </w:rPr>
          <w:tab/>
        </w:r>
        <w:r w:rsidR="00BD5B98">
          <w:rPr>
            <w:rFonts w:asciiTheme="minorHAnsi" w:eastAsiaTheme="minorEastAsia" w:hAnsiTheme="minorHAnsi" w:cstheme="minorBidi"/>
            <w:lang w:val="en-CA" w:eastAsia="en-CA"/>
          </w:rPr>
          <w:t>V</w:t>
        </w:r>
        <w:r w:rsidR="000B078F" w:rsidRPr="00EE0850">
          <w:rPr>
            <w:rStyle w:val="Hipervnculo"/>
          </w:rPr>
          <w:t>i</w:t>
        </w:r>
        <w:r w:rsidR="00BD5B98">
          <w:rPr>
            <w:rStyle w:val="Hipervnculo"/>
          </w:rPr>
          <w:t>g</w:t>
        </w:r>
        <w:r w:rsidR="000B078F" w:rsidRPr="00EE0850">
          <w:rPr>
            <w:rStyle w:val="Hipervnculo"/>
          </w:rPr>
          <w:t>i</w:t>
        </w:r>
        <w:r w:rsidR="00BD5B98">
          <w:rPr>
            <w:rStyle w:val="Hipervnculo"/>
          </w:rPr>
          <w:t>la</w:t>
        </w:r>
        <w:r w:rsidR="000B078F" w:rsidRPr="00EE0850">
          <w:rPr>
            <w:rStyle w:val="Hipervnculo"/>
          </w:rPr>
          <w:t>n</w:t>
        </w:r>
        <w:r w:rsidR="00BD5B98">
          <w:rPr>
            <w:rStyle w:val="Hipervnculo"/>
          </w:rPr>
          <w:t>cia</w:t>
        </w:r>
        <w:r w:rsidR="000B078F" w:rsidRPr="00EE0850">
          <w:rPr>
            <w:rStyle w:val="Hipervnculo"/>
          </w:rPr>
          <w:t xml:space="preserve"> </w:t>
        </w:r>
        <w:r w:rsidR="00BD5B98">
          <w:rPr>
            <w:rStyle w:val="Hipervnculo"/>
          </w:rPr>
          <w:t>y</w:t>
        </w:r>
        <w:r w:rsidR="000B078F" w:rsidRPr="00EE0850">
          <w:rPr>
            <w:rStyle w:val="Hipervnculo"/>
          </w:rPr>
          <w:t xml:space="preserve"> </w:t>
        </w:r>
        <w:r w:rsidR="00BD5B98">
          <w:rPr>
            <w:rStyle w:val="Hipervnculo"/>
          </w:rPr>
          <w:t>p</w:t>
        </w:r>
        <w:r w:rsidR="000B078F" w:rsidRPr="00EE0850">
          <w:rPr>
            <w:rStyle w:val="Hipervnculo"/>
          </w:rPr>
          <w:t>re</w:t>
        </w:r>
        <w:r w:rsidR="00BD5B98">
          <w:rPr>
            <w:rStyle w:val="Hipervnculo"/>
          </w:rPr>
          <w:t xml:space="preserve">sentación de </w:t>
        </w:r>
        <w:r w:rsidR="000B078F" w:rsidRPr="00EE0850">
          <w:rPr>
            <w:rStyle w:val="Hipervnculo"/>
          </w:rPr>
          <w:t>in</w:t>
        </w:r>
        <w:r w:rsidR="00BD5B98">
          <w:rPr>
            <w:rStyle w:val="Hipervnculo"/>
          </w:rPr>
          <w:t>formes</w:t>
        </w:r>
        <w:r w:rsidR="000B078F" w:rsidRPr="00EE0850">
          <w:rPr>
            <w:rStyle w:val="Hipervnculo"/>
          </w:rPr>
          <w:t xml:space="preserve"> (</w:t>
        </w:r>
        <w:r w:rsidR="00BD5B98">
          <w:rPr>
            <w:rStyle w:val="Hipervnculo"/>
          </w:rPr>
          <w:t>a</w:t>
        </w:r>
        <w:r w:rsidR="000B078F" w:rsidRPr="00EE0850">
          <w:rPr>
            <w:rStyle w:val="Hipervnculo"/>
          </w:rPr>
          <w:t>rt</w:t>
        </w:r>
        <w:r w:rsidR="00BD5B98">
          <w:rPr>
            <w:rStyle w:val="Hipervnculo"/>
          </w:rPr>
          <w:t>ículo</w:t>
        </w:r>
        <w:r w:rsidR="000B078F" w:rsidRPr="00EE0850">
          <w:rPr>
            <w:rStyle w:val="Hipervnculo"/>
          </w:rPr>
          <w:t xml:space="preserve"> 29)</w:t>
        </w:r>
        <w:r w:rsidR="000B078F" w:rsidRPr="00EE0850">
          <w:rPr>
            <w:webHidden/>
          </w:rPr>
          <w:tab/>
        </w:r>
        <w:r w:rsidRPr="00EE0850">
          <w:rPr>
            <w:webHidden/>
          </w:rPr>
          <w:fldChar w:fldCharType="begin"/>
        </w:r>
        <w:r w:rsidR="000B078F" w:rsidRPr="00EE0850">
          <w:rPr>
            <w:webHidden/>
          </w:rPr>
          <w:instrText xml:space="preserve"> PAGEREF _Toc256204 \h </w:instrText>
        </w:r>
        <w:r w:rsidRPr="00EE0850">
          <w:rPr>
            <w:webHidden/>
          </w:rPr>
        </w:r>
        <w:r w:rsidRPr="00EE0850">
          <w:rPr>
            <w:webHidden/>
          </w:rPr>
          <w:fldChar w:fldCharType="separate"/>
        </w:r>
        <w:r w:rsidR="00DD1A58">
          <w:rPr>
            <w:webHidden/>
          </w:rPr>
          <w:t>2</w:t>
        </w:r>
        <w:r w:rsidR="008C1F6C">
          <w:rPr>
            <w:webHidden/>
          </w:rPr>
          <w:t>4</w:t>
        </w:r>
        <w:r w:rsidRPr="00EE0850">
          <w:rPr>
            <w:webHidden/>
          </w:rPr>
          <w:fldChar w:fldCharType="end"/>
        </w:r>
      </w:hyperlink>
    </w:p>
    <w:p w:rsidR="000B078F" w:rsidRPr="00EE0850" w:rsidRDefault="00F4408C" w:rsidP="004C4689">
      <w:pPr>
        <w:pStyle w:val="TDC2"/>
        <w:spacing w:line="240" w:lineRule="auto"/>
        <w:rPr>
          <w:rFonts w:asciiTheme="minorHAnsi" w:eastAsiaTheme="minorEastAsia" w:hAnsiTheme="minorHAnsi" w:cstheme="minorBidi"/>
          <w:lang w:val="en-CA" w:eastAsia="en-CA"/>
        </w:rPr>
      </w:pPr>
      <w:hyperlink w:anchor="_Toc256205" w:history="1">
        <w:r w:rsidR="000B078F" w:rsidRPr="00EE0850">
          <w:rPr>
            <w:rStyle w:val="Hipervnculo"/>
            <w:snapToGrid w:val="0"/>
            <w:kern w:val="22"/>
          </w:rPr>
          <w:t>3/5.</w:t>
        </w:r>
        <w:r w:rsidR="000B078F" w:rsidRPr="00EE0850">
          <w:rPr>
            <w:rFonts w:asciiTheme="minorHAnsi" w:eastAsiaTheme="minorEastAsia" w:hAnsiTheme="minorHAnsi" w:cstheme="minorBidi"/>
            <w:lang w:val="en-CA" w:eastAsia="en-CA"/>
          </w:rPr>
          <w:tab/>
        </w:r>
        <w:r w:rsidR="000B078F" w:rsidRPr="00EE0850">
          <w:rPr>
            <w:rStyle w:val="Hipervnculo"/>
            <w:snapToGrid w:val="0"/>
            <w:kern w:val="22"/>
          </w:rPr>
          <w:t>Me</w:t>
        </w:r>
        <w:r w:rsidR="0020412B">
          <w:rPr>
            <w:rStyle w:val="Hipervnculo"/>
            <w:snapToGrid w:val="0"/>
            <w:kern w:val="22"/>
          </w:rPr>
          <w:t>didas para brind</w:t>
        </w:r>
        <w:r w:rsidR="000B078F" w:rsidRPr="00EE0850">
          <w:rPr>
            <w:rStyle w:val="Hipervnculo"/>
            <w:snapToGrid w:val="0"/>
            <w:kern w:val="22"/>
          </w:rPr>
          <w:t>ar as</w:t>
        </w:r>
        <w:r w:rsidR="0020412B">
          <w:rPr>
            <w:rStyle w:val="Hipervnculo"/>
            <w:snapToGrid w:val="0"/>
            <w:kern w:val="22"/>
          </w:rPr>
          <w:t>is</w:t>
        </w:r>
        <w:r w:rsidR="000B078F" w:rsidRPr="00EE0850">
          <w:rPr>
            <w:rStyle w:val="Hipervnculo"/>
            <w:snapToGrid w:val="0"/>
            <w:kern w:val="22"/>
          </w:rPr>
          <w:t>t</w:t>
        </w:r>
        <w:r w:rsidR="0020412B">
          <w:rPr>
            <w:rStyle w:val="Hipervnculo"/>
            <w:snapToGrid w:val="0"/>
            <w:kern w:val="22"/>
          </w:rPr>
          <w:t>encia</w:t>
        </w:r>
        <w:r w:rsidR="000B078F" w:rsidRPr="00EE0850">
          <w:rPr>
            <w:rStyle w:val="Hipervnculo"/>
            <w:snapToGrid w:val="0"/>
            <w:kern w:val="22"/>
          </w:rPr>
          <w:t xml:space="preserve"> </w:t>
        </w:r>
        <w:r w:rsidR="0020412B">
          <w:rPr>
            <w:rStyle w:val="Hipervnculo"/>
            <w:snapToGrid w:val="0"/>
            <w:kern w:val="22"/>
          </w:rPr>
          <w:t>para la creación de capacidades</w:t>
        </w:r>
        <w:r w:rsidR="000B078F" w:rsidRPr="00EE0850">
          <w:rPr>
            <w:rStyle w:val="Hipervnculo"/>
            <w:snapToGrid w:val="0"/>
            <w:kern w:val="22"/>
          </w:rPr>
          <w:t xml:space="preserve"> </w:t>
        </w:r>
        <w:r w:rsidR="0020412B">
          <w:rPr>
            <w:rStyle w:val="Hipervnculo"/>
            <w:snapToGrid w:val="0"/>
            <w:kern w:val="22"/>
          </w:rPr>
          <w:t>y</w:t>
        </w:r>
        <w:r w:rsidR="000B078F" w:rsidRPr="00EE0850">
          <w:rPr>
            <w:rStyle w:val="Hipervnculo"/>
            <w:snapToGrid w:val="0"/>
            <w:kern w:val="22"/>
          </w:rPr>
          <w:t xml:space="preserve"> </w:t>
        </w:r>
        <w:r w:rsidR="0020412B">
          <w:rPr>
            <w:rStyle w:val="Hipervnculo"/>
            <w:snapToGrid w:val="0"/>
            <w:kern w:val="22"/>
          </w:rPr>
          <w:t xml:space="preserve">el desarrollo de </w:t>
        </w:r>
        <w:r w:rsidR="000B078F" w:rsidRPr="00EE0850">
          <w:rPr>
            <w:rStyle w:val="Hipervnculo"/>
            <w:snapToGrid w:val="0"/>
            <w:kern w:val="22"/>
          </w:rPr>
          <w:t>capaci</w:t>
        </w:r>
        <w:r w:rsidR="0020412B">
          <w:rPr>
            <w:rStyle w:val="Hipervnculo"/>
            <w:snapToGrid w:val="0"/>
            <w:kern w:val="22"/>
          </w:rPr>
          <w:t>dades</w:t>
        </w:r>
        <w:r w:rsidR="000B078F" w:rsidRPr="00EE0850">
          <w:rPr>
            <w:rStyle w:val="Hipervnculo"/>
            <w:snapToGrid w:val="0"/>
            <w:kern w:val="22"/>
          </w:rPr>
          <w:t xml:space="preserve"> (</w:t>
        </w:r>
        <w:r w:rsidR="0020412B">
          <w:rPr>
            <w:rStyle w:val="Hipervnculo"/>
            <w:snapToGrid w:val="0"/>
            <w:kern w:val="22"/>
          </w:rPr>
          <w:t>a</w:t>
        </w:r>
        <w:r w:rsidR="000B078F" w:rsidRPr="00EE0850">
          <w:rPr>
            <w:rStyle w:val="Hipervnculo"/>
            <w:snapToGrid w:val="0"/>
            <w:kern w:val="22"/>
          </w:rPr>
          <w:t>rt</w:t>
        </w:r>
        <w:r w:rsidR="0020412B">
          <w:rPr>
            <w:rStyle w:val="Hipervnculo"/>
            <w:snapToGrid w:val="0"/>
            <w:kern w:val="22"/>
          </w:rPr>
          <w:t>ículo</w:t>
        </w:r>
        <w:r w:rsidR="000B078F" w:rsidRPr="00EE0850">
          <w:rPr>
            <w:rStyle w:val="Hipervnculo"/>
            <w:snapToGrid w:val="0"/>
            <w:kern w:val="22"/>
          </w:rPr>
          <w:t xml:space="preserve"> 2</w:t>
        </w:r>
        <w:r w:rsidR="000B078F" w:rsidRPr="00EE0850">
          <w:rPr>
            <w:rStyle w:val="Hipervnculo"/>
            <w:caps/>
            <w:snapToGrid w:val="0"/>
            <w:kern w:val="22"/>
          </w:rPr>
          <w:t>2)</w:t>
        </w:r>
        <w:r w:rsidR="000B078F" w:rsidRPr="00EE0850">
          <w:rPr>
            <w:webHidden/>
          </w:rPr>
          <w:tab/>
        </w:r>
        <w:r w:rsidRPr="00EE0850">
          <w:rPr>
            <w:webHidden/>
          </w:rPr>
          <w:fldChar w:fldCharType="begin"/>
        </w:r>
        <w:r w:rsidR="000B078F" w:rsidRPr="00EE0850">
          <w:rPr>
            <w:webHidden/>
          </w:rPr>
          <w:instrText xml:space="preserve"> PAGEREF _Toc256205 \h </w:instrText>
        </w:r>
        <w:r w:rsidRPr="00EE0850">
          <w:rPr>
            <w:webHidden/>
          </w:rPr>
        </w:r>
        <w:r w:rsidRPr="00EE0850">
          <w:rPr>
            <w:webHidden/>
          </w:rPr>
          <w:fldChar w:fldCharType="separate"/>
        </w:r>
        <w:r w:rsidR="00DD1A58">
          <w:rPr>
            <w:webHidden/>
          </w:rPr>
          <w:t>2</w:t>
        </w:r>
        <w:r w:rsidR="008C1F6C">
          <w:rPr>
            <w:webHidden/>
          </w:rPr>
          <w:t>5</w:t>
        </w:r>
        <w:r w:rsidRPr="00EE0850">
          <w:rPr>
            <w:webHidden/>
          </w:rPr>
          <w:fldChar w:fldCharType="end"/>
        </w:r>
      </w:hyperlink>
    </w:p>
    <w:p w:rsidR="000B078F" w:rsidRPr="00EE0850" w:rsidRDefault="00F4408C" w:rsidP="00E91404">
      <w:pPr>
        <w:pStyle w:val="TDC2"/>
        <w:spacing w:line="240" w:lineRule="auto"/>
        <w:rPr>
          <w:rFonts w:asciiTheme="minorHAnsi" w:eastAsiaTheme="minorEastAsia" w:hAnsiTheme="minorHAnsi" w:cstheme="minorBidi"/>
          <w:lang w:val="en-CA" w:eastAsia="en-CA"/>
        </w:rPr>
      </w:pPr>
      <w:hyperlink w:anchor="_Toc256206" w:history="1">
        <w:r w:rsidR="000B078F" w:rsidRPr="00EE0850">
          <w:rPr>
            <w:rStyle w:val="Hipervnculo"/>
          </w:rPr>
          <w:t>3/6.</w:t>
        </w:r>
        <w:r w:rsidR="000B078F" w:rsidRPr="00EE0850">
          <w:rPr>
            <w:rFonts w:asciiTheme="minorHAnsi" w:eastAsiaTheme="minorEastAsia" w:hAnsiTheme="minorHAnsi" w:cstheme="minorBidi"/>
            <w:lang w:val="en-CA" w:eastAsia="en-CA"/>
          </w:rPr>
          <w:tab/>
        </w:r>
        <w:r w:rsidR="000B078F" w:rsidRPr="00EE0850">
          <w:rPr>
            <w:rStyle w:val="Hipervnculo"/>
          </w:rPr>
          <w:t>Me</w:t>
        </w:r>
        <w:r w:rsidR="0020412B">
          <w:rPr>
            <w:rStyle w:val="Hipervnculo"/>
          </w:rPr>
          <w:t xml:space="preserve">didas para </w:t>
        </w:r>
        <w:r w:rsidR="000B078F" w:rsidRPr="00EE0850">
          <w:rPr>
            <w:rStyle w:val="Hipervnculo"/>
          </w:rPr>
          <w:t>a</w:t>
        </w:r>
        <w:r w:rsidR="0020412B">
          <w:rPr>
            <w:rStyle w:val="Hipervnculo"/>
          </w:rPr>
          <w:t>um</w:t>
        </w:r>
        <w:r w:rsidR="000B078F" w:rsidRPr="00EE0850">
          <w:rPr>
            <w:rStyle w:val="Hipervnculo"/>
          </w:rPr>
          <w:t>e</w:t>
        </w:r>
        <w:r w:rsidR="0020412B">
          <w:rPr>
            <w:rStyle w:val="Hipervnculo"/>
          </w:rPr>
          <w:t xml:space="preserve">ntar la concienciación </w:t>
        </w:r>
        <w:r w:rsidR="000B078F" w:rsidRPr="00EE0850">
          <w:rPr>
            <w:rStyle w:val="Hipervnculo"/>
          </w:rPr>
          <w:t>a</w:t>
        </w:r>
        <w:r w:rsidR="0020412B">
          <w:rPr>
            <w:rStyle w:val="Hipervnculo"/>
          </w:rPr>
          <w:t>cerca d</w:t>
        </w:r>
        <w:r w:rsidR="000B078F" w:rsidRPr="00EE0850">
          <w:rPr>
            <w:rStyle w:val="Hipervnculo"/>
          </w:rPr>
          <w:t xml:space="preserve">e </w:t>
        </w:r>
        <w:r w:rsidR="0020412B">
          <w:rPr>
            <w:rStyle w:val="Hipervnculo"/>
          </w:rPr>
          <w:t>la</w:t>
        </w:r>
        <w:r w:rsidR="000B078F" w:rsidRPr="00EE0850">
          <w:rPr>
            <w:rStyle w:val="Hipervnculo"/>
          </w:rPr>
          <w:t xml:space="preserve"> importanc</w:t>
        </w:r>
        <w:r w:rsidR="0020412B">
          <w:rPr>
            <w:rStyle w:val="Hipervnculo"/>
          </w:rPr>
          <w:t xml:space="preserve">ia de los recursos </w:t>
        </w:r>
        <w:r w:rsidR="000B078F" w:rsidRPr="00EE0850">
          <w:rPr>
            <w:rStyle w:val="Hipervnculo"/>
          </w:rPr>
          <w:t>gen</w:t>
        </w:r>
        <w:r w:rsidR="0020412B">
          <w:rPr>
            <w:rStyle w:val="Hipervnculo"/>
          </w:rPr>
          <w:t>é</w:t>
        </w:r>
        <w:r w:rsidR="000B078F" w:rsidRPr="00EE0850">
          <w:rPr>
            <w:rStyle w:val="Hipervnculo"/>
          </w:rPr>
          <w:t>tic</w:t>
        </w:r>
        <w:r w:rsidR="0020412B">
          <w:rPr>
            <w:rStyle w:val="Hipervnculo"/>
          </w:rPr>
          <w:t>o</w:t>
        </w:r>
        <w:r w:rsidR="000B078F" w:rsidRPr="00EE0850">
          <w:rPr>
            <w:rStyle w:val="Hipervnculo"/>
          </w:rPr>
          <w:t xml:space="preserve">s </w:t>
        </w:r>
        <w:r w:rsidR="0020412B">
          <w:rPr>
            <w:rStyle w:val="Hipervnculo"/>
          </w:rPr>
          <w:t>y</w:t>
        </w:r>
        <w:r w:rsidR="000B078F" w:rsidRPr="00EE0850">
          <w:rPr>
            <w:rStyle w:val="Hipervnculo"/>
          </w:rPr>
          <w:t xml:space="preserve"> </w:t>
        </w:r>
        <w:r w:rsidR="0020412B">
          <w:rPr>
            <w:rStyle w:val="Hipervnculo"/>
          </w:rPr>
          <w:t xml:space="preserve">conocimientos </w:t>
        </w:r>
        <w:r w:rsidR="000B078F" w:rsidRPr="00EE0850">
          <w:rPr>
            <w:rStyle w:val="Hipervnculo"/>
          </w:rPr>
          <w:t>tradi</w:t>
        </w:r>
        <w:r w:rsidR="0020412B">
          <w:rPr>
            <w:rStyle w:val="Hipervnculo"/>
          </w:rPr>
          <w:t>c</w:t>
        </w:r>
        <w:r w:rsidR="000B078F" w:rsidRPr="00EE0850">
          <w:rPr>
            <w:rStyle w:val="Hipervnculo"/>
          </w:rPr>
          <w:t>ional</w:t>
        </w:r>
        <w:r w:rsidR="0020412B">
          <w:rPr>
            <w:rStyle w:val="Hipervnculo"/>
          </w:rPr>
          <w:t>es</w:t>
        </w:r>
        <w:r w:rsidR="000B078F" w:rsidRPr="00EE0850">
          <w:rPr>
            <w:rStyle w:val="Hipervnculo"/>
          </w:rPr>
          <w:t xml:space="preserve"> </w:t>
        </w:r>
        <w:r w:rsidR="0020412B">
          <w:rPr>
            <w:rStyle w:val="Hipervnculo"/>
          </w:rPr>
          <w:t>as</w:t>
        </w:r>
        <w:r w:rsidR="000B078F" w:rsidRPr="00EE0850">
          <w:rPr>
            <w:rStyle w:val="Hipervnculo"/>
          </w:rPr>
          <w:t>o</w:t>
        </w:r>
        <w:r w:rsidR="0020412B">
          <w:rPr>
            <w:rStyle w:val="Hipervnculo"/>
          </w:rPr>
          <w:t>ciados</w:t>
        </w:r>
        <w:r w:rsidR="000B078F" w:rsidRPr="00EE0850">
          <w:rPr>
            <w:rStyle w:val="Hipervnculo"/>
          </w:rPr>
          <w:t xml:space="preserve"> (</w:t>
        </w:r>
        <w:r w:rsidR="0020412B">
          <w:rPr>
            <w:rStyle w:val="Hipervnculo"/>
          </w:rPr>
          <w:t>a</w:t>
        </w:r>
        <w:r w:rsidR="000B078F" w:rsidRPr="00EE0850">
          <w:rPr>
            <w:rStyle w:val="Hipervnculo"/>
          </w:rPr>
          <w:t>rt</w:t>
        </w:r>
        <w:r w:rsidR="0020412B">
          <w:rPr>
            <w:rStyle w:val="Hipervnculo"/>
          </w:rPr>
          <w:t>í</w:t>
        </w:r>
        <w:r w:rsidR="000B078F" w:rsidRPr="00EE0850">
          <w:rPr>
            <w:rStyle w:val="Hipervnculo"/>
          </w:rPr>
          <w:t>c</w:t>
        </w:r>
        <w:r w:rsidR="0020412B">
          <w:rPr>
            <w:rStyle w:val="Hipervnculo"/>
          </w:rPr>
          <w:t>u</w:t>
        </w:r>
        <w:r w:rsidR="000B078F" w:rsidRPr="00EE0850">
          <w:rPr>
            <w:rStyle w:val="Hipervnculo"/>
          </w:rPr>
          <w:t>l</w:t>
        </w:r>
        <w:r w:rsidR="0020412B">
          <w:rPr>
            <w:rStyle w:val="Hipervnculo"/>
          </w:rPr>
          <w:t>o</w:t>
        </w:r>
        <w:r w:rsidR="000B078F" w:rsidRPr="00EE0850">
          <w:rPr>
            <w:rStyle w:val="Hipervnculo"/>
          </w:rPr>
          <w:t xml:space="preserve"> 21)</w:t>
        </w:r>
        <w:r w:rsidR="000B078F" w:rsidRPr="00EE0850">
          <w:rPr>
            <w:webHidden/>
          </w:rPr>
          <w:tab/>
        </w:r>
        <w:r w:rsidRPr="00EE0850">
          <w:rPr>
            <w:webHidden/>
          </w:rPr>
          <w:fldChar w:fldCharType="begin"/>
        </w:r>
        <w:r w:rsidR="000B078F" w:rsidRPr="00EE0850">
          <w:rPr>
            <w:webHidden/>
          </w:rPr>
          <w:instrText xml:space="preserve"> PAGEREF _Toc256206 \h </w:instrText>
        </w:r>
        <w:r w:rsidRPr="00EE0850">
          <w:rPr>
            <w:webHidden/>
          </w:rPr>
        </w:r>
        <w:r w:rsidRPr="00EE0850">
          <w:rPr>
            <w:webHidden/>
          </w:rPr>
          <w:fldChar w:fldCharType="separate"/>
        </w:r>
        <w:r w:rsidR="00DD1A58">
          <w:rPr>
            <w:webHidden/>
          </w:rPr>
          <w:t>2</w:t>
        </w:r>
        <w:r w:rsidR="008C1F6C">
          <w:rPr>
            <w:webHidden/>
          </w:rPr>
          <w:t>9</w:t>
        </w:r>
        <w:r w:rsidRPr="00EE0850">
          <w:rPr>
            <w:webHidden/>
          </w:rPr>
          <w:fldChar w:fldCharType="end"/>
        </w:r>
      </w:hyperlink>
    </w:p>
    <w:p w:rsidR="000B078F" w:rsidRPr="00EE0850" w:rsidRDefault="00F4408C" w:rsidP="002933B4">
      <w:pPr>
        <w:pStyle w:val="TDC2"/>
        <w:spacing w:line="240" w:lineRule="auto"/>
        <w:rPr>
          <w:rFonts w:asciiTheme="minorHAnsi" w:eastAsiaTheme="minorEastAsia" w:hAnsiTheme="minorHAnsi" w:cstheme="minorBidi"/>
          <w:lang w:val="en-CA" w:eastAsia="en-CA"/>
        </w:rPr>
      </w:pPr>
      <w:hyperlink w:anchor="_Toc256207" w:history="1">
        <w:r w:rsidR="000B078F" w:rsidRPr="00EE0850">
          <w:rPr>
            <w:rStyle w:val="Hipervnculo"/>
          </w:rPr>
          <w:t>3/7.</w:t>
        </w:r>
        <w:r w:rsidR="000B078F" w:rsidRPr="00EE0850">
          <w:rPr>
            <w:rFonts w:asciiTheme="minorHAnsi" w:eastAsiaTheme="minorEastAsia" w:hAnsiTheme="minorHAnsi" w:cstheme="minorBidi"/>
            <w:lang w:val="en-CA" w:eastAsia="en-CA"/>
          </w:rPr>
          <w:tab/>
        </w:r>
        <w:r w:rsidR="000B078F" w:rsidRPr="00EE0850">
          <w:rPr>
            <w:rStyle w:val="Hipervnculo"/>
          </w:rPr>
          <w:t>Coopera</w:t>
        </w:r>
        <w:r w:rsidR="00CD2C5D">
          <w:rPr>
            <w:rStyle w:val="Hipervnculo"/>
          </w:rPr>
          <w:t>c</w:t>
        </w:r>
        <w:r w:rsidR="000B078F" w:rsidRPr="00EE0850">
          <w:rPr>
            <w:rStyle w:val="Hipervnculo"/>
          </w:rPr>
          <w:t>i</w:t>
        </w:r>
        <w:r w:rsidR="00CD2C5D">
          <w:rPr>
            <w:rStyle w:val="Hipervnculo"/>
          </w:rPr>
          <w:t>ó</w:t>
        </w:r>
        <w:r w:rsidR="000B078F" w:rsidRPr="00EE0850">
          <w:rPr>
            <w:rStyle w:val="Hipervnculo"/>
          </w:rPr>
          <w:t xml:space="preserve">n </w:t>
        </w:r>
        <w:r w:rsidR="00CD2C5D">
          <w:rPr>
            <w:rStyle w:val="Hipervnculo"/>
          </w:rPr>
          <w:t>con</w:t>
        </w:r>
        <w:r w:rsidR="000B078F" w:rsidRPr="00EE0850">
          <w:rPr>
            <w:rStyle w:val="Hipervnculo"/>
          </w:rPr>
          <w:t xml:space="preserve"> ot</w:t>
        </w:r>
        <w:r w:rsidR="00CD2C5D">
          <w:rPr>
            <w:rStyle w:val="Hipervnculo"/>
          </w:rPr>
          <w:t>ros</w:t>
        </w:r>
        <w:r w:rsidR="000B078F" w:rsidRPr="00EE0850">
          <w:rPr>
            <w:rStyle w:val="Hipervnculo"/>
          </w:rPr>
          <w:t xml:space="preserve"> convenios, organiza</w:t>
        </w:r>
        <w:r w:rsidR="00CD2C5D">
          <w:rPr>
            <w:rStyle w:val="Hipervnculo"/>
          </w:rPr>
          <w:t>c</w:t>
        </w:r>
        <w:r w:rsidR="000B078F" w:rsidRPr="00EE0850">
          <w:rPr>
            <w:rStyle w:val="Hipervnculo"/>
          </w:rPr>
          <w:t>ion</w:t>
        </w:r>
        <w:r w:rsidR="00CD2C5D">
          <w:rPr>
            <w:rStyle w:val="Hipervnculo"/>
          </w:rPr>
          <w:t>e</w:t>
        </w:r>
        <w:r w:rsidR="000B078F" w:rsidRPr="00EE0850">
          <w:rPr>
            <w:rStyle w:val="Hipervnculo"/>
          </w:rPr>
          <w:t xml:space="preserve">s </w:t>
        </w:r>
        <w:r w:rsidR="00CD2C5D">
          <w:rPr>
            <w:rStyle w:val="Hipervnculo"/>
          </w:rPr>
          <w:t>e</w:t>
        </w:r>
        <w:r w:rsidR="000B078F" w:rsidRPr="00EE0850">
          <w:rPr>
            <w:rStyle w:val="Hipervnculo"/>
          </w:rPr>
          <w:t xml:space="preserve"> ini</w:t>
        </w:r>
        <w:r w:rsidR="00CD2C5D">
          <w:rPr>
            <w:rStyle w:val="Hipervnculo"/>
          </w:rPr>
          <w:t>c</w:t>
        </w:r>
        <w:r w:rsidR="000B078F" w:rsidRPr="00EE0850">
          <w:rPr>
            <w:rStyle w:val="Hipervnculo"/>
          </w:rPr>
          <w:t>iativ</w:t>
        </w:r>
        <w:r w:rsidR="00CD2C5D">
          <w:rPr>
            <w:rStyle w:val="Hipervnculo"/>
          </w:rPr>
          <w:t>as internacional</w:t>
        </w:r>
        <w:r w:rsidR="000B078F" w:rsidRPr="00EE0850">
          <w:rPr>
            <w:rStyle w:val="Hipervnculo"/>
          </w:rPr>
          <w:t>es</w:t>
        </w:r>
        <w:r w:rsidR="000B078F" w:rsidRPr="00EE0850">
          <w:rPr>
            <w:webHidden/>
          </w:rPr>
          <w:tab/>
        </w:r>
        <w:r w:rsidRPr="00EE0850">
          <w:rPr>
            <w:webHidden/>
          </w:rPr>
          <w:fldChar w:fldCharType="begin"/>
        </w:r>
        <w:r w:rsidR="000B078F" w:rsidRPr="00EE0850">
          <w:rPr>
            <w:webHidden/>
          </w:rPr>
          <w:instrText xml:space="preserve"> PAGEREF _Toc256207 \h </w:instrText>
        </w:r>
        <w:r w:rsidRPr="00EE0850">
          <w:rPr>
            <w:webHidden/>
          </w:rPr>
        </w:r>
        <w:r w:rsidRPr="00EE0850">
          <w:rPr>
            <w:webHidden/>
          </w:rPr>
          <w:fldChar w:fldCharType="separate"/>
        </w:r>
        <w:r w:rsidR="008C1F6C">
          <w:rPr>
            <w:webHidden/>
          </w:rPr>
          <w:t>30</w:t>
        </w:r>
        <w:r w:rsidRPr="00EE0850">
          <w:rPr>
            <w:webHidden/>
          </w:rPr>
          <w:fldChar w:fldCharType="end"/>
        </w:r>
      </w:hyperlink>
    </w:p>
    <w:p w:rsidR="000B078F" w:rsidRPr="00EE0850" w:rsidRDefault="00F4408C" w:rsidP="002933B4">
      <w:pPr>
        <w:pStyle w:val="TDC2"/>
        <w:spacing w:line="240" w:lineRule="auto"/>
        <w:rPr>
          <w:rFonts w:asciiTheme="minorHAnsi" w:eastAsiaTheme="minorEastAsia" w:hAnsiTheme="minorHAnsi" w:cstheme="minorBidi"/>
          <w:lang w:val="en-CA" w:eastAsia="en-CA"/>
        </w:rPr>
      </w:pPr>
      <w:hyperlink w:anchor="_Toc256208" w:history="1">
        <w:r w:rsidR="000B078F" w:rsidRPr="00EE0850">
          <w:rPr>
            <w:rStyle w:val="Hipervnculo"/>
          </w:rPr>
          <w:t>3/8.</w:t>
        </w:r>
        <w:r w:rsidR="000B078F" w:rsidRPr="00EE0850">
          <w:rPr>
            <w:rFonts w:asciiTheme="minorHAnsi" w:eastAsiaTheme="minorEastAsia" w:hAnsiTheme="minorHAnsi" w:cstheme="minorBidi"/>
            <w:lang w:val="en-CA" w:eastAsia="en-CA"/>
          </w:rPr>
          <w:tab/>
        </w:r>
        <w:r w:rsidR="00CD2C5D">
          <w:rPr>
            <w:rStyle w:val="Hipervnculo"/>
          </w:rPr>
          <w:t>Mecanismo f</w:t>
        </w:r>
        <w:r w:rsidR="000B078F" w:rsidRPr="00EE0850">
          <w:rPr>
            <w:rStyle w:val="Hipervnculo"/>
          </w:rPr>
          <w:t>inanci</w:t>
        </w:r>
        <w:r w:rsidR="00CD2C5D">
          <w:rPr>
            <w:rStyle w:val="Hipervnculo"/>
          </w:rPr>
          <w:t>ero</w:t>
        </w:r>
        <w:r w:rsidR="000B078F" w:rsidRPr="00EE0850">
          <w:rPr>
            <w:webHidden/>
          </w:rPr>
          <w:tab/>
        </w:r>
        <w:r w:rsidRPr="00EE0850">
          <w:rPr>
            <w:webHidden/>
          </w:rPr>
          <w:fldChar w:fldCharType="begin"/>
        </w:r>
        <w:r w:rsidR="000B078F" w:rsidRPr="00EE0850">
          <w:rPr>
            <w:webHidden/>
          </w:rPr>
          <w:instrText xml:space="preserve"> PAGEREF _Toc256208 \h </w:instrText>
        </w:r>
        <w:r w:rsidRPr="00EE0850">
          <w:rPr>
            <w:webHidden/>
          </w:rPr>
        </w:r>
        <w:r w:rsidRPr="00EE0850">
          <w:rPr>
            <w:webHidden/>
          </w:rPr>
          <w:fldChar w:fldCharType="separate"/>
        </w:r>
        <w:r w:rsidR="008C1F6C">
          <w:rPr>
            <w:webHidden/>
          </w:rPr>
          <w:t>31</w:t>
        </w:r>
        <w:r w:rsidRPr="00EE0850">
          <w:rPr>
            <w:webHidden/>
          </w:rPr>
          <w:fldChar w:fldCharType="end"/>
        </w:r>
      </w:hyperlink>
    </w:p>
    <w:p w:rsidR="000B078F" w:rsidRPr="00EE0850" w:rsidRDefault="00F4408C" w:rsidP="00471756">
      <w:pPr>
        <w:pStyle w:val="TDC2"/>
        <w:spacing w:line="240" w:lineRule="auto"/>
        <w:rPr>
          <w:rFonts w:asciiTheme="minorHAnsi" w:eastAsiaTheme="minorEastAsia" w:hAnsiTheme="minorHAnsi" w:cstheme="minorBidi"/>
          <w:lang w:val="en-CA" w:eastAsia="en-CA"/>
        </w:rPr>
      </w:pPr>
      <w:hyperlink w:anchor="_Toc256209" w:history="1">
        <w:r w:rsidR="000B078F" w:rsidRPr="00EE0850">
          <w:rPr>
            <w:rStyle w:val="Hipervnculo"/>
          </w:rPr>
          <w:t>3/9.</w:t>
        </w:r>
        <w:r w:rsidR="000B078F" w:rsidRPr="00EE0850">
          <w:rPr>
            <w:rFonts w:asciiTheme="minorHAnsi" w:eastAsiaTheme="minorEastAsia" w:hAnsiTheme="minorHAnsi" w:cstheme="minorBidi"/>
            <w:lang w:val="en-CA" w:eastAsia="en-CA"/>
          </w:rPr>
          <w:tab/>
        </w:r>
        <w:r w:rsidR="00E126E4">
          <w:rPr>
            <w:rStyle w:val="Hipervnculo"/>
          </w:rPr>
          <w:t>Mayor</w:t>
        </w:r>
        <w:r w:rsidR="000B078F" w:rsidRPr="00EE0850">
          <w:rPr>
            <w:rStyle w:val="Hipervnculo"/>
          </w:rPr>
          <w:t xml:space="preserve"> integra</w:t>
        </w:r>
        <w:r w:rsidR="00E126E4">
          <w:rPr>
            <w:rStyle w:val="Hipervnculo"/>
          </w:rPr>
          <w:t>c</w:t>
        </w:r>
        <w:r w:rsidR="000B078F" w:rsidRPr="00EE0850">
          <w:rPr>
            <w:rStyle w:val="Hipervnculo"/>
          </w:rPr>
          <w:t>i</w:t>
        </w:r>
        <w:r w:rsidR="00E126E4">
          <w:rPr>
            <w:rStyle w:val="Hipervnculo"/>
          </w:rPr>
          <w:t>ó</w:t>
        </w:r>
        <w:r w:rsidR="000B078F" w:rsidRPr="00EE0850">
          <w:rPr>
            <w:rStyle w:val="Hipervnculo"/>
          </w:rPr>
          <w:t xml:space="preserve">n </w:t>
        </w:r>
        <w:r w:rsidR="00E126E4">
          <w:rPr>
            <w:rStyle w:val="Hipervnculo"/>
          </w:rPr>
          <w:t>e</w:t>
        </w:r>
        <w:r w:rsidR="000B078F" w:rsidRPr="00EE0850">
          <w:rPr>
            <w:rStyle w:val="Hipervnculo"/>
          </w:rPr>
          <w:t>n</w:t>
        </w:r>
        <w:r w:rsidR="00E126E4">
          <w:rPr>
            <w:rStyle w:val="Hipervnculo"/>
          </w:rPr>
          <w:t xml:space="preserve"> </w:t>
        </w:r>
        <w:r w:rsidR="000B078F" w:rsidRPr="00EE0850">
          <w:rPr>
            <w:rStyle w:val="Hipervnculo"/>
          </w:rPr>
          <w:t>e</w:t>
        </w:r>
        <w:r w:rsidR="00E126E4">
          <w:rPr>
            <w:rStyle w:val="Hipervnculo"/>
          </w:rPr>
          <w:t>l</w:t>
        </w:r>
        <w:r w:rsidR="000B078F" w:rsidRPr="00EE0850">
          <w:rPr>
            <w:rStyle w:val="Hipervnculo"/>
          </w:rPr>
          <w:t xml:space="preserve"> </w:t>
        </w:r>
        <w:r w:rsidR="00E126E4">
          <w:rPr>
            <w:rStyle w:val="Hipervnculo"/>
          </w:rPr>
          <w:t>marco del</w:t>
        </w:r>
        <w:r w:rsidR="000B078F" w:rsidRPr="00EE0850">
          <w:rPr>
            <w:rStyle w:val="Hipervnculo"/>
          </w:rPr>
          <w:t xml:space="preserve"> Convenio </w:t>
        </w:r>
        <w:r w:rsidR="00E126E4">
          <w:rPr>
            <w:rStyle w:val="Hipervnculo"/>
          </w:rPr>
          <w:t>y su</w:t>
        </w:r>
        <w:r w:rsidR="000B078F" w:rsidRPr="00EE0850">
          <w:rPr>
            <w:rStyle w:val="Hipervnculo"/>
          </w:rPr>
          <w:t>s Protocol</w:t>
        </w:r>
        <w:r w:rsidR="00E126E4">
          <w:rPr>
            <w:rStyle w:val="Hipervnculo"/>
          </w:rPr>
          <w:t>o</w:t>
        </w:r>
        <w:r w:rsidR="000B078F" w:rsidRPr="00EE0850">
          <w:rPr>
            <w:rStyle w:val="Hipervnculo"/>
          </w:rPr>
          <w:t xml:space="preserve">s </w:t>
        </w:r>
        <w:r w:rsidR="00E126E4">
          <w:rPr>
            <w:rStyle w:val="Hipervnculo"/>
          </w:rPr>
          <w:t>con</w:t>
        </w:r>
        <w:r w:rsidR="000B078F" w:rsidRPr="00EE0850">
          <w:rPr>
            <w:rStyle w:val="Hipervnculo"/>
          </w:rPr>
          <w:t xml:space="preserve"> respect</w:t>
        </w:r>
        <w:r w:rsidR="00E126E4">
          <w:rPr>
            <w:rStyle w:val="Hipervnculo"/>
          </w:rPr>
          <w:t>o a dispos</w:t>
        </w:r>
        <w:r w:rsidR="000B078F" w:rsidRPr="00EE0850">
          <w:rPr>
            <w:rStyle w:val="Hipervnculo"/>
          </w:rPr>
          <w:t>i</w:t>
        </w:r>
        <w:r w:rsidR="00E126E4">
          <w:rPr>
            <w:rStyle w:val="Hipervnculo"/>
          </w:rPr>
          <w:t>ci</w:t>
        </w:r>
        <w:r w:rsidR="000B078F" w:rsidRPr="00EE0850">
          <w:rPr>
            <w:rStyle w:val="Hipervnculo"/>
          </w:rPr>
          <w:t>on</w:t>
        </w:r>
        <w:r w:rsidR="00E126E4">
          <w:rPr>
            <w:rStyle w:val="Hipervnculo"/>
          </w:rPr>
          <w:t>e</w:t>
        </w:r>
        <w:r w:rsidR="000B078F" w:rsidRPr="00EE0850">
          <w:rPr>
            <w:rStyle w:val="Hipervnculo"/>
          </w:rPr>
          <w:t>s rela</w:t>
        </w:r>
        <w:r w:rsidR="00E126E4">
          <w:rPr>
            <w:rStyle w:val="Hipervnculo"/>
          </w:rPr>
          <w:t>cionadas con el</w:t>
        </w:r>
        <w:r w:rsidR="000B078F" w:rsidRPr="00EE0850">
          <w:rPr>
            <w:rStyle w:val="Hipervnculo"/>
          </w:rPr>
          <w:t xml:space="preserve"> acces</w:t>
        </w:r>
        <w:r w:rsidR="00E126E4">
          <w:rPr>
            <w:rStyle w:val="Hipervnculo"/>
          </w:rPr>
          <w:t>o y la</w:t>
        </w:r>
        <w:r w:rsidR="000B078F" w:rsidRPr="00EE0850">
          <w:rPr>
            <w:rStyle w:val="Hipervnculo"/>
          </w:rPr>
          <w:t xml:space="preserve"> </w:t>
        </w:r>
        <w:r w:rsidR="00E126E4">
          <w:rPr>
            <w:rStyle w:val="Hipervnculo"/>
          </w:rPr>
          <w:t xml:space="preserve">participación en los </w:t>
        </w:r>
        <w:r w:rsidR="000B078F" w:rsidRPr="00EE0850">
          <w:rPr>
            <w:rStyle w:val="Hipervnculo"/>
          </w:rPr>
          <w:t>benefi</w:t>
        </w:r>
        <w:r w:rsidR="00E126E4">
          <w:rPr>
            <w:rStyle w:val="Hipervnculo"/>
          </w:rPr>
          <w:t>cios</w:t>
        </w:r>
        <w:r w:rsidR="000B078F" w:rsidRPr="00EE0850">
          <w:rPr>
            <w:webHidden/>
          </w:rPr>
          <w:tab/>
        </w:r>
        <w:r w:rsidRPr="00EE0850">
          <w:rPr>
            <w:webHidden/>
          </w:rPr>
          <w:fldChar w:fldCharType="begin"/>
        </w:r>
        <w:r w:rsidR="000B078F" w:rsidRPr="00EE0850">
          <w:rPr>
            <w:webHidden/>
          </w:rPr>
          <w:instrText xml:space="preserve"> PAGEREF _Toc256209 \h </w:instrText>
        </w:r>
        <w:r w:rsidRPr="00EE0850">
          <w:rPr>
            <w:webHidden/>
          </w:rPr>
        </w:r>
        <w:r w:rsidRPr="00EE0850">
          <w:rPr>
            <w:webHidden/>
          </w:rPr>
          <w:fldChar w:fldCharType="separate"/>
        </w:r>
        <w:r w:rsidR="00DD1A58">
          <w:rPr>
            <w:webHidden/>
          </w:rPr>
          <w:t>3</w:t>
        </w:r>
        <w:r w:rsidR="008C1F6C">
          <w:rPr>
            <w:webHidden/>
          </w:rPr>
          <w:t>2</w:t>
        </w:r>
        <w:r w:rsidRPr="00EE0850">
          <w:rPr>
            <w:webHidden/>
          </w:rPr>
          <w:fldChar w:fldCharType="end"/>
        </w:r>
      </w:hyperlink>
    </w:p>
    <w:p w:rsidR="000B078F" w:rsidRPr="00EE0850" w:rsidRDefault="00F4408C" w:rsidP="001D4A8D">
      <w:pPr>
        <w:pStyle w:val="TDC2"/>
        <w:spacing w:line="240" w:lineRule="auto"/>
        <w:rPr>
          <w:rFonts w:asciiTheme="minorHAnsi" w:eastAsiaTheme="minorEastAsia" w:hAnsiTheme="minorHAnsi" w:cstheme="minorBidi"/>
          <w:lang w:val="en-CA" w:eastAsia="en-CA"/>
        </w:rPr>
      </w:pPr>
      <w:hyperlink w:anchor="_Toc256210" w:history="1">
        <w:r w:rsidR="000B078F" w:rsidRPr="00EE0850">
          <w:rPr>
            <w:rStyle w:val="Hipervnculo"/>
          </w:rPr>
          <w:t>3/10.</w:t>
        </w:r>
        <w:r w:rsidR="000B078F" w:rsidRPr="00EE0850">
          <w:rPr>
            <w:rFonts w:asciiTheme="minorHAnsi" w:eastAsiaTheme="minorEastAsia" w:hAnsiTheme="minorHAnsi" w:cstheme="minorBidi"/>
            <w:lang w:val="en-CA" w:eastAsia="en-CA"/>
          </w:rPr>
          <w:tab/>
        </w:r>
        <w:r w:rsidR="005D0A6E">
          <w:rPr>
            <w:rStyle w:val="Hipervnculo"/>
          </w:rPr>
          <w:t>Exam</w:t>
        </w:r>
        <w:r w:rsidR="000B078F" w:rsidRPr="00EE0850">
          <w:rPr>
            <w:rStyle w:val="Hipervnculo"/>
          </w:rPr>
          <w:t>e</w:t>
        </w:r>
        <w:r w:rsidR="005D0A6E">
          <w:rPr>
            <w:rStyle w:val="Hipervnculo"/>
          </w:rPr>
          <w:t>n de la experiencia</w:t>
        </w:r>
        <w:r w:rsidR="000B078F" w:rsidRPr="00EE0850">
          <w:rPr>
            <w:rStyle w:val="Hipervnculo"/>
          </w:rPr>
          <w:t xml:space="preserve"> </w:t>
        </w:r>
        <w:r w:rsidR="005D0A6E">
          <w:rPr>
            <w:rStyle w:val="Hipervnculo"/>
          </w:rPr>
          <w:t>e</w:t>
        </w:r>
        <w:r w:rsidR="000B078F" w:rsidRPr="00EE0850">
          <w:rPr>
            <w:rStyle w:val="Hipervnculo"/>
          </w:rPr>
          <w:t xml:space="preserve">n </w:t>
        </w:r>
        <w:r w:rsidR="005D0A6E">
          <w:rPr>
            <w:rStyle w:val="Hipervnculo"/>
          </w:rPr>
          <w:t xml:space="preserve">la celebración de reuniones </w:t>
        </w:r>
        <w:r w:rsidR="000B078F" w:rsidRPr="00EE0850">
          <w:rPr>
            <w:rStyle w:val="Hipervnculo"/>
          </w:rPr>
          <w:t>concurrent</w:t>
        </w:r>
        <w:r w:rsidR="005D0A6E">
          <w:rPr>
            <w:rStyle w:val="Hipervnculo"/>
          </w:rPr>
          <w:t>es de la Confe</w:t>
        </w:r>
        <w:r w:rsidR="000B078F" w:rsidRPr="00EE0850">
          <w:rPr>
            <w:rStyle w:val="Hipervnculo"/>
          </w:rPr>
          <w:t>renc</w:t>
        </w:r>
        <w:r w:rsidR="005D0A6E">
          <w:rPr>
            <w:rStyle w:val="Hipervnculo"/>
          </w:rPr>
          <w:t>ia de las</w:t>
        </w:r>
        <w:r w:rsidR="000B078F" w:rsidRPr="00EE0850">
          <w:rPr>
            <w:rStyle w:val="Hipervnculo"/>
          </w:rPr>
          <w:t xml:space="preserve"> Partes </w:t>
        </w:r>
        <w:r w:rsidR="005D0A6E">
          <w:rPr>
            <w:rStyle w:val="Hipervnculo"/>
          </w:rPr>
          <w:t>en el</w:t>
        </w:r>
        <w:r w:rsidR="000B078F" w:rsidRPr="00EE0850">
          <w:rPr>
            <w:rStyle w:val="Hipervnculo"/>
          </w:rPr>
          <w:t xml:space="preserve"> Convenio, </w:t>
        </w:r>
        <w:r w:rsidR="005D0A6E">
          <w:rPr>
            <w:rStyle w:val="Hipervnculo"/>
          </w:rPr>
          <w:t>la</w:t>
        </w:r>
        <w:r w:rsidR="000B078F" w:rsidRPr="00EE0850">
          <w:rPr>
            <w:rStyle w:val="Hipervnculo"/>
          </w:rPr>
          <w:t xml:space="preserve"> Conferenc</w:t>
        </w:r>
        <w:r w:rsidR="005D0A6E">
          <w:rPr>
            <w:rStyle w:val="Hipervnculo"/>
          </w:rPr>
          <w:t>ia de las</w:t>
        </w:r>
        <w:r w:rsidR="000B078F" w:rsidRPr="00EE0850">
          <w:rPr>
            <w:rStyle w:val="Hipervnculo"/>
          </w:rPr>
          <w:t xml:space="preserve"> Partes </w:t>
        </w:r>
        <w:r w:rsidR="005D0A6E">
          <w:rPr>
            <w:rStyle w:val="Hipervnculo"/>
          </w:rPr>
          <w:t xml:space="preserve">que actúa como reunión de las </w:t>
        </w:r>
        <w:r w:rsidR="000B078F" w:rsidRPr="00EE0850">
          <w:rPr>
            <w:rStyle w:val="Hipervnculo"/>
          </w:rPr>
          <w:t xml:space="preserve">Partes </w:t>
        </w:r>
        <w:r w:rsidR="005D0A6E">
          <w:rPr>
            <w:rStyle w:val="Hipervnculo"/>
          </w:rPr>
          <w:t>en el Protocolo de</w:t>
        </w:r>
        <w:r w:rsidR="000B078F" w:rsidRPr="00EE0850">
          <w:rPr>
            <w:rStyle w:val="Hipervnculo"/>
          </w:rPr>
          <w:t xml:space="preserve"> Cartagena</w:t>
        </w:r>
        <w:r w:rsidR="005D0A6E">
          <w:rPr>
            <w:rStyle w:val="Hipervnculo"/>
          </w:rPr>
          <w:t xml:space="preserve"> y la</w:t>
        </w:r>
        <w:r w:rsidR="000B078F" w:rsidRPr="00EE0850">
          <w:rPr>
            <w:rStyle w:val="Hipervnculo"/>
          </w:rPr>
          <w:t xml:space="preserve"> Conferenc</w:t>
        </w:r>
        <w:r w:rsidR="005D0A6E">
          <w:rPr>
            <w:rStyle w:val="Hipervnculo"/>
          </w:rPr>
          <w:t>ia de las</w:t>
        </w:r>
        <w:r w:rsidR="000B078F" w:rsidRPr="00EE0850">
          <w:rPr>
            <w:rStyle w:val="Hipervnculo"/>
          </w:rPr>
          <w:t xml:space="preserve"> Partes </w:t>
        </w:r>
        <w:r w:rsidR="005D0A6E">
          <w:rPr>
            <w:rStyle w:val="Hipervnculo"/>
          </w:rPr>
          <w:t xml:space="preserve">que actúa como reunión de las </w:t>
        </w:r>
        <w:r w:rsidR="000B078F" w:rsidRPr="00EE0850">
          <w:rPr>
            <w:rStyle w:val="Hipervnculo"/>
          </w:rPr>
          <w:t xml:space="preserve">Partes </w:t>
        </w:r>
        <w:r w:rsidR="005D0A6E">
          <w:rPr>
            <w:rStyle w:val="Hipervnculo"/>
          </w:rPr>
          <w:t>en el Protocolo de</w:t>
        </w:r>
        <w:r w:rsidR="000B078F" w:rsidRPr="00EE0850">
          <w:rPr>
            <w:rStyle w:val="Hipervnculo"/>
          </w:rPr>
          <w:t xml:space="preserve"> Nagoya</w:t>
        </w:r>
        <w:r w:rsidR="000B078F" w:rsidRPr="00EE0850">
          <w:rPr>
            <w:webHidden/>
          </w:rPr>
          <w:tab/>
        </w:r>
        <w:r w:rsidRPr="00EE0850">
          <w:rPr>
            <w:webHidden/>
          </w:rPr>
          <w:fldChar w:fldCharType="begin"/>
        </w:r>
        <w:r w:rsidR="000B078F" w:rsidRPr="00EE0850">
          <w:rPr>
            <w:webHidden/>
          </w:rPr>
          <w:instrText xml:space="preserve"> PAGEREF _Toc256210 \h </w:instrText>
        </w:r>
        <w:r w:rsidRPr="00EE0850">
          <w:rPr>
            <w:webHidden/>
          </w:rPr>
        </w:r>
        <w:r w:rsidRPr="00EE0850">
          <w:rPr>
            <w:webHidden/>
          </w:rPr>
          <w:fldChar w:fldCharType="separate"/>
        </w:r>
        <w:r w:rsidR="00DD1A58">
          <w:rPr>
            <w:webHidden/>
          </w:rPr>
          <w:t>3</w:t>
        </w:r>
        <w:r w:rsidR="008C1F6C">
          <w:rPr>
            <w:webHidden/>
          </w:rPr>
          <w:t>3</w:t>
        </w:r>
        <w:r w:rsidRPr="00EE0850">
          <w:rPr>
            <w:webHidden/>
          </w:rPr>
          <w:fldChar w:fldCharType="end"/>
        </w:r>
      </w:hyperlink>
    </w:p>
    <w:p w:rsidR="000B078F" w:rsidRPr="00EE0850" w:rsidRDefault="00F4408C" w:rsidP="001D4A8D">
      <w:pPr>
        <w:pStyle w:val="TDC2"/>
        <w:spacing w:line="240" w:lineRule="auto"/>
        <w:rPr>
          <w:rFonts w:asciiTheme="minorHAnsi" w:eastAsiaTheme="minorEastAsia" w:hAnsiTheme="minorHAnsi" w:cstheme="minorBidi"/>
          <w:lang w:val="en-CA" w:eastAsia="en-CA"/>
        </w:rPr>
      </w:pPr>
      <w:hyperlink w:anchor="_Toc256211" w:history="1">
        <w:r w:rsidR="000B078F" w:rsidRPr="00EE0850">
          <w:rPr>
            <w:rStyle w:val="Hipervnculo"/>
          </w:rPr>
          <w:t>3/11.</w:t>
        </w:r>
        <w:r w:rsidR="000B078F" w:rsidRPr="00EE0850">
          <w:rPr>
            <w:rFonts w:asciiTheme="minorHAnsi" w:eastAsiaTheme="minorEastAsia" w:hAnsiTheme="minorHAnsi" w:cstheme="minorBidi"/>
            <w:lang w:val="en-CA" w:eastAsia="en-CA"/>
          </w:rPr>
          <w:tab/>
        </w:r>
        <w:r w:rsidR="000B078F" w:rsidRPr="00EE0850">
          <w:rPr>
            <w:rStyle w:val="Hipervnculo"/>
          </w:rPr>
          <w:t>Proced</w:t>
        </w:r>
        <w:r w:rsidR="005D0A6E">
          <w:rPr>
            <w:rStyle w:val="Hipervnculo"/>
          </w:rPr>
          <w:t>imiento para evitar o tratar conflictos de</w:t>
        </w:r>
        <w:r w:rsidR="000B078F" w:rsidRPr="00EE0850">
          <w:rPr>
            <w:rStyle w:val="Hipervnculo"/>
          </w:rPr>
          <w:t xml:space="preserve"> interes</w:t>
        </w:r>
        <w:r w:rsidR="005D0A6E">
          <w:rPr>
            <w:rStyle w:val="Hipervnculo"/>
          </w:rPr>
          <w:t xml:space="preserve">es en los grupos de </w:t>
        </w:r>
        <w:r w:rsidR="000B078F" w:rsidRPr="00EE0850">
          <w:rPr>
            <w:rStyle w:val="Hipervnculo"/>
          </w:rPr>
          <w:t>experto</w:t>
        </w:r>
        <w:r w:rsidR="005D0A6E">
          <w:rPr>
            <w:rStyle w:val="Hipervnculo"/>
          </w:rPr>
          <w:t>s</w:t>
        </w:r>
        <w:r w:rsidR="000B078F" w:rsidRPr="00EE0850">
          <w:rPr>
            <w:webHidden/>
          </w:rPr>
          <w:tab/>
        </w:r>
        <w:r w:rsidRPr="00EE0850">
          <w:rPr>
            <w:webHidden/>
          </w:rPr>
          <w:fldChar w:fldCharType="begin"/>
        </w:r>
        <w:r w:rsidR="000B078F" w:rsidRPr="00EE0850">
          <w:rPr>
            <w:webHidden/>
          </w:rPr>
          <w:instrText xml:space="preserve"> PAGEREF _Toc256211 \h </w:instrText>
        </w:r>
        <w:r w:rsidRPr="00EE0850">
          <w:rPr>
            <w:webHidden/>
          </w:rPr>
        </w:r>
        <w:r w:rsidRPr="00EE0850">
          <w:rPr>
            <w:webHidden/>
          </w:rPr>
          <w:fldChar w:fldCharType="separate"/>
        </w:r>
        <w:r w:rsidR="00DD1A58">
          <w:rPr>
            <w:webHidden/>
          </w:rPr>
          <w:t>3</w:t>
        </w:r>
        <w:r w:rsidR="008C1F6C">
          <w:rPr>
            <w:webHidden/>
          </w:rPr>
          <w:t>4</w:t>
        </w:r>
        <w:r w:rsidRPr="00EE0850">
          <w:rPr>
            <w:webHidden/>
          </w:rPr>
          <w:fldChar w:fldCharType="end"/>
        </w:r>
      </w:hyperlink>
    </w:p>
    <w:p w:rsidR="000B078F" w:rsidRPr="00EE0850" w:rsidRDefault="00F4408C" w:rsidP="001D4A8D">
      <w:pPr>
        <w:pStyle w:val="TDC2"/>
        <w:spacing w:line="240" w:lineRule="auto"/>
        <w:rPr>
          <w:rFonts w:asciiTheme="minorHAnsi" w:eastAsiaTheme="minorEastAsia" w:hAnsiTheme="minorHAnsi" w:cstheme="minorBidi"/>
          <w:lang w:val="en-CA" w:eastAsia="en-CA"/>
        </w:rPr>
      </w:pPr>
      <w:hyperlink w:anchor="_Toc256212" w:history="1">
        <w:r w:rsidR="000B078F" w:rsidRPr="00EE0850">
          <w:rPr>
            <w:rStyle w:val="Hipervnculo"/>
          </w:rPr>
          <w:t>3/12.</w:t>
        </w:r>
        <w:r w:rsidR="000B078F" w:rsidRPr="00EE0850">
          <w:rPr>
            <w:rFonts w:asciiTheme="minorHAnsi" w:eastAsiaTheme="minorEastAsia" w:hAnsiTheme="minorHAnsi" w:cstheme="minorBidi"/>
            <w:lang w:val="en-CA" w:eastAsia="en-CA"/>
          </w:rPr>
          <w:tab/>
        </w:r>
        <w:r w:rsidR="00340D34">
          <w:rPr>
            <w:rStyle w:val="Hipervnculo"/>
          </w:rPr>
          <w:t>Información d</w:t>
        </w:r>
        <w:r w:rsidR="000B078F" w:rsidRPr="00EE0850">
          <w:rPr>
            <w:rStyle w:val="Hipervnculo"/>
          </w:rPr>
          <w:t>igital s</w:t>
        </w:r>
        <w:r w:rsidR="00340D34">
          <w:rPr>
            <w:rStyle w:val="Hipervnculo"/>
          </w:rPr>
          <w:t>obre s</w:t>
        </w:r>
        <w:r w:rsidR="000B078F" w:rsidRPr="00EE0850">
          <w:rPr>
            <w:rStyle w:val="Hipervnculo"/>
          </w:rPr>
          <w:t>e</w:t>
        </w:r>
        <w:r w:rsidR="00340D34">
          <w:rPr>
            <w:rStyle w:val="Hipervnculo"/>
          </w:rPr>
          <w:t>c</w:t>
        </w:r>
        <w:r w:rsidR="000B078F" w:rsidRPr="00EE0850">
          <w:rPr>
            <w:rStyle w:val="Hipervnculo"/>
          </w:rPr>
          <w:t>uenc</w:t>
        </w:r>
        <w:r w:rsidR="00340D34">
          <w:rPr>
            <w:rStyle w:val="Hipervnculo"/>
          </w:rPr>
          <w:t xml:space="preserve">ias de recursos </w:t>
        </w:r>
        <w:r w:rsidR="000B078F" w:rsidRPr="00EE0850">
          <w:rPr>
            <w:rStyle w:val="Hipervnculo"/>
          </w:rPr>
          <w:t>gen</w:t>
        </w:r>
        <w:r w:rsidR="00340D34">
          <w:rPr>
            <w:rStyle w:val="Hipervnculo"/>
          </w:rPr>
          <w:t>é</w:t>
        </w:r>
        <w:r w:rsidR="000B078F" w:rsidRPr="00EE0850">
          <w:rPr>
            <w:rStyle w:val="Hipervnculo"/>
          </w:rPr>
          <w:t>tic</w:t>
        </w:r>
        <w:r w:rsidR="00340D34">
          <w:rPr>
            <w:rStyle w:val="Hipervnculo"/>
          </w:rPr>
          <w:t>o</w:t>
        </w:r>
        <w:r w:rsidR="000B078F" w:rsidRPr="00EE0850">
          <w:rPr>
            <w:rStyle w:val="Hipervnculo"/>
          </w:rPr>
          <w:t>s</w:t>
        </w:r>
        <w:r w:rsidR="000B078F" w:rsidRPr="00EE0850">
          <w:rPr>
            <w:webHidden/>
          </w:rPr>
          <w:tab/>
        </w:r>
        <w:r w:rsidRPr="00EE0850">
          <w:rPr>
            <w:webHidden/>
          </w:rPr>
          <w:fldChar w:fldCharType="begin"/>
        </w:r>
        <w:r w:rsidR="000B078F" w:rsidRPr="00EE0850">
          <w:rPr>
            <w:webHidden/>
          </w:rPr>
          <w:instrText xml:space="preserve"> PAGEREF _Toc256212 \h </w:instrText>
        </w:r>
        <w:r w:rsidRPr="00EE0850">
          <w:rPr>
            <w:webHidden/>
          </w:rPr>
        </w:r>
        <w:r w:rsidRPr="00EE0850">
          <w:rPr>
            <w:webHidden/>
          </w:rPr>
          <w:fldChar w:fldCharType="separate"/>
        </w:r>
        <w:r w:rsidR="00DD1A58">
          <w:rPr>
            <w:webHidden/>
          </w:rPr>
          <w:t>3</w:t>
        </w:r>
        <w:r w:rsidR="008C1F6C">
          <w:rPr>
            <w:webHidden/>
          </w:rPr>
          <w:t>5</w:t>
        </w:r>
        <w:r w:rsidRPr="00EE0850">
          <w:rPr>
            <w:webHidden/>
          </w:rPr>
          <w:fldChar w:fldCharType="end"/>
        </w:r>
      </w:hyperlink>
      <w:bookmarkStart w:id="0" w:name="_GoBack"/>
      <w:bookmarkEnd w:id="0"/>
    </w:p>
    <w:p w:rsidR="000B078F" w:rsidRPr="00EE0850" w:rsidRDefault="00F4408C" w:rsidP="001D4A8D">
      <w:pPr>
        <w:pStyle w:val="TDC2"/>
        <w:spacing w:line="240" w:lineRule="auto"/>
        <w:rPr>
          <w:rFonts w:asciiTheme="minorHAnsi" w:eastAsiaTheme="minorEastAsia" w:hAnsiTheme="minorHAnsi" w:cstheme="minorBidi"/>
          <w:lang w:val="en-CA" w:eastAsia="en-CA"/>
        </w:rPr>
      </w:pPr>
      <w:hyperlink w:anchor="_Toc256213" w:history="1">
        <w:r w:rsidR="000B078F" w:rsidRPr="00EE0850">
          <w:rPr>
            <w:rStyle w:val="Hipervnculo"/>
          </w:rPr>
          <w:t>3/13.</w:t>
        </w:r>
        <w:r w:rsidR="000B078F" w:rsidRPr="00EE0850">
          <w:rPr>
            <w:rFonts w:asciiTheme="minorHAnsi" w:eastAsiaTheme="minorEastAsia" w:hAnsiTheme="minorHAnsi" w:cstheme="minorBidi"/>
            <w:lang w:val="en-CA" w:eastAsia="en-CA"/>
          </w:rPr>
          <w:tab/>
        </w:r>
        <w:r w:rsidR="00340D34">
          <w:rPr>
            <w:rStyle w:val="Hipervnculo"/>
          </w:rPr>
          <w:t xml:space="preserve">Mecanismo mundial </w:t>
        </w:r>
        <w:r w:rsidR="000B078F" w:rsidRPr="00EE0850">
          <w:rPr>
            <w:rStyle w:val="Hipervnculo"/>
          </w:rPr>
          <w:t xml:space="preserve">multilateral </w:t>
        </w:r>
        <w:r w:rsidR="008D5466">
          <w:rPr>
            <w:rStyle w:val="Hipervnculo"/>
          </w:rPr>
          <w:t xml:space="preserve">de participación en los </w:t>
        </w:r>
        <w:r w:rsidR="000B078F" w:rsidRPr="00EE0850">
          <w:rPr>
            <w:rStyle w:val="Hipervnculo"/>
          </w:rPr>
          <w:t>benefi</w:t>
        </w:r>
        <w:r w:rsidR="008D5466">
          <w:rPr>
            <w:rStyle w:val="Hipervnculo"/>
          </w:rPr>
          <w:t>cios</w:t>
        </w:r>
        <w:r w:rsidR="000B078F" w:rsidRPr="00EE0850">
          <w:rPr>
            <w:rStyle w:val="Hipervnculo"/>
          </w:rPr>
          <w:t xml:space="preserve"> (</w:t>
        </w:r>
        <w:r w:rsidR="008D5466">
          <w:rPr>
            <w:rStyle w:val="Hipervnculo"/>
          </w:rPr>
          <w:t>a</w:t>
        </w:r>
        <w:r w:rsidR="000B078F" w:rsidRPr="00EE0850">
          <w:rPr>
            <w:rStyle w:val="Hipervnculo"/>
          </w:rPr>
          <w:t>rt</w:t>
        </w:r>
        <w:r w:rsidR="008D5466">
          <w:rPr>
            <w:rStyle w:val="Hipervnculo"/>
          </w:rPr>
          <w:t>í</w:t>
        </w:r>
        <w:r w:rsidR="000B078F" w:rsidRPr="00EE0850">
          <w:rPr>
            <w:rStyle w:val="Hipervnculo"/>
          </w:rPr>
          <w:t>c</w:t>
        </w:r>
        <w:r w:rsidR="008D5466">
          <w:rPr>
            <w:rStyle w:val="Hipervnculo"/>
          </w:rPr>
          <w:t>u</w:t>
        </w:r>
        <w:r w:rsidR="000B078F" w:rsidRPr="00EE0850">
          <w:rPr>
            <w:rStyle w:val="Hipervnculo"/>
          </w:rPr>
          <w:t>l</w:t>
        </w:r>
        <w:r w:rsidR="008D5466">
          <w:rPr>
            <w:rStyle w:val="Hipervnculo"/>
          </w:rPr>
          <w:t>o</w:t>
        </w:r>
        <w:r w:rsidR="000B078F" w:rsidRPr="00EE0850">
          <w:rPr>
            <w:rStyle w:val="Hipervnculo"/>
          </w:rPr>
          <w:t xml:space="preserve"> 10)</w:t>
        </w:r>
        <w:r w:rsidR="000B078F" w:rsidRPr="00EE0850">
          <w:rPr>
            <w:webHidden/>
          </w:rPr>
          <w:tab/>
        </w:r>
        <w:r w:rsidRPr="00EE0850">
          <w:rPr>
            <w:webHidden/>
          </w:rPr>
          <w:fldChar w:fldCharType="begin"/>
        </w:r>
        <w:r w:rsidR="000B078F" w:rsidRPr="00EE0850">
          <w:rPr>
            <w:webHidden/>
          </w:rPr>
          <w:instrText xml:space="preserve"> PAGEREF _Toc256213 \h </w:instrText>
        </w:r>
        <w:r w:rsidRPr="00EE0850">
          <w:rPr>
            <w:webHidden/>
          </w:rPr>
        </w:r>
        <w:r w:rsidRPr="00EE0850">
          <w:rPr>
            <w:webHidden/>
          </w:rPr>
          <w:fldChar w:fldCharType="separate"/>
        </w:r>
        <w:r w:rsidR="00DD1A58">
          <w:rPr>
            <w:webHidden/>
          </w:rPr>
          <w:t>3</w:t>
        </w:r>
        <w:r w:rsidR="008C1F6C">
          <w:rPr>
            <w:webHidden/>
          </w:rPr>
          <w:t>6</w:t>
        </w:r>
        <w:r w:rsidRPr="00EE0850">
          <w:rPr>
            <w:webHidden/>
          </w:rPr>
          <w:fldChar w:fldCharType="end"/>
        </w:r>
      </w:hyperlink>
    </w:p>
    <w:p w:rsidR="000B078F" w:rsidRPr="00EE0850" w:rsidRDefault="00F4408C" w:rsidP="001D4A8D">
      <w:pPr>
        <w:pStyle w:val="TDC2"/>
        <w:spacing w:line="240" w:lineRule="auto"/>
        <w:rPr>
          <w:rFonts w:asciiTheme="minorHAnsi" w:eastAsiaTheme="minorEastAsia" w:hAnsiTheme="minorHAnsi" w:cstheme="minorBidi"/>
          <w:lang w:val="en-CA" w:eastAsia="en-CA"/>
        </w:rPr>
      </w:pPr>
      <w:hyperlink w:anchor="_Toc256214" w:history="1">
        <w:r w:rsidR="000B078F" w:rsidRPr="00EE0850">
          <w:rPr>
            <w:rStyle w:val="Hipervnculo"/>
          </w:rPr>
          <w:t>3/14.</w:t>
        </w:r>
        <w:r w:rsidR="000B078F" w:rsidRPr="00EE0850">
          <w:rPr>
            <w:rFonts w:asciiTheme="minorHAnsi" w:eastAsiaTheme="minorEastAsia" w:hAnsiTheme="minorHAnsi" w:cstheme="minorBidi"/>
            <w:lang w:val="en-CA" w:eastAsia="en-CA"/>
          </w:rPr>
          <w:tab/>
        </w:r>
        <w:r w:rsidR="008D5466">
          <w:rPr>
            <w:rStyle w:val="Hipervnculo"/>
          </w:rPr>
          <w:t>Instrumentos internacionales es</w:t>
        </w:r>
        <w:r w:rsidR="000B078F" w:rsidRPr="00EE0850">
          <w:rPr>
            <w:rStyle w:val="Hipervnculo"/>
          </w:rPr>
          <w:t>pecializ</w:t>
        </w:r>
        <w:r w:rsidR="008D5466">
          <w:rPr>
            <w:rStyle w:val="Hipervnculo"/>
          </w:rPr>
          <w:t>a</w:t>
        </w:r>
        <w:r w:rsidR="000B078F" w:rsidRPr="00EE0850">
          <w:rPr>
            <w:rStyle w:val="Hipervnculo"/>
          </w:rPr>
          <w:t>d</w:t>
        </w:r>
        <w:r w:rsidR="008D5466">
          <w:rPr>
            <w:rStyle w:val="Hipervnculo"/>
          </w:rPr>
          <w:t>os</w:t>
        </w:r>
        <w:r w:rsidR="000B078F" w:rsidRPr="00EE0850">
          <w:rPr>
            <w:rStyle w:val="Hipervnculo"/>
          </w:rPr>
          <w:t xml:space="preserve"> </w:t>
        </w:r>
        <w:r w:rsidR="008D5466">
          <w:rPr>
            <w:rStyle w:val="Hipervnculo"/>
          </w:rPr>
          <w:t xml:space="preserve">de </w:t>
        </w:r>
        <w:r w:rsidR="000B078F" w:rsidRPr="00EE0850">
          <w:rPr>
            <w:rStyle w:val="Hipervnculo"/>
          </w:rPr>
          <w:t>acces</w:t>
        </w:r>
        <w:r w:rsidR="008D5466">
          <w:rPr>
            <w:rStyle w:val="Hipervnculo"/>
          </w:rPr>
          <w:t xml:space="preserve">o y participación en los </w:t>
        </w:r>
        <w:r w:rsidR="000B078F" w:rsidRPr="00EE0850">
          <w:rPr>
            <w:rStyle w:val="Hipervnculo"/>
          </w:rPr>
          <w:t>benefi</w:t>
        </w:r>
        <w:r w:rsidR="008D5466">
          <w:rPr>
            <w:rStyle w:val="Hipervnculo"/>
          </w:rPr>
          <w:t xml:space="preserve">cios dentro del </w:t>
        </w:r>
        <w:r w:rsidR="000B078F" w:rsidRPr="00EE0850">
          <w:rPr>
            <w:rStyle w:val="Hipervnculo"/>
          </w:rPr>
          <w:t>context</w:t>
        </w:r>
        <w:r w:rsidR="008D5466">
          <w:rPr>
            <w:rStyle w:val="Hipervnculo"/>
          </w:rPr>
          <w:t>o del</w:t>
        </w:r>
        <w:r w:rsidR="000B078F" w:rsidRPr="00EE0850">
          <w:rPr>
            <w:rStyle w:val="Hipervnculo"/>
          </w:rPr>
          <w:t xml:space="preserve"> </w:t>
        </w:r>
        <w:r w:rsidR="008D5466">
          <w:rPr>
            <w:rStyle w:val="Hipervnculo"/>
          </w:rPr>
          <w:t>a</w:t>
        </w:r>
        <w:r w:rsidR="000B078F" w:rsidRPr="00EE0850">
          <w:rPr>
            <w:rStyle w:val="Hipervnculo"/>
          </w:rPr>
          <w:t>rt</w:t>
        </w:r>
        <w:r w:rsidR="008D5466">
          <w:rPr>
            <w:rStyle w:val="Hipervnculo"/>
          </w:rPr>
          <w:t>í</w:t>
        </w:r>
        <w:r w:rsidR="000B078F" w:rsidRPr="00EE0850">
          <w:rPr>
            <w:rStyle w:val="Hipervnculo"/>
          </w:rPr>
          <w:t>c</w:t>
        </w:r>
        <w:r w:rsidR="008D5466">
          <w:rPr>
            <w:rStyle w:val="Hipervnculo"/>
          </w:rPr>
          <w:t>u</w:t>
        </w:r>
        <w:r w:rsidR="000B078F" w:rsidRPr="00EE0850">
          <w:rPr>
            <w:rStyle w:val="Hipervnculo"/>
          </w:rPr>
          <w:t>l</w:t>
        </w:r>
        <w:r w:rsidR="008D5466">
          <w:rPr>
            <w:rStyle w:val="Hipervnculo"/>
          </w:rPr>
          <w:t>o</w:t>
        </w:r>
        <w:r w:rsidR="000B078F" w:rsidRPr="00EE0850">
          <w:rPr>
            <w:rStyle w:val="Hipervnculo"/>
          </w:rPr>
          <w:t xml:space="preserve"> 4, p</w:t>
        </w:r>
        <w:r w:rsidR="008D5466">
          <w:rPr>
            <w:rStyle w:val="Hipervnculo"/>
          </w:rPr>
          <w:t>á</w:t>
        </w:r>
        <w:r w:rsidR="000B078F" w:rsidRPr="00EE0850">
          <w:rPr>
            <w:rStyle w:val="Hipervnculo"/>
          </w:rPr>
          <w:t>r</w:t>
        </w:r>
        <w:r w:rsidR="008D5466">
          <w:rPr>
            <w:rStyle w:val="Hipervnculo"/>
          </w:rPr>
          <w:t>r</w:t>
        </w:r>
        <w:r w:rsidR="000B078F" w:rsidRPr="00EE0850">
          <w:rPr>
            <w:rStyle w:val="Hipervnculo"/>
          </w:rPr>
          <w:t>a</w:t>
        </w:r>
        <w:r w:rsidR="008D5466">
          <w:rPr>
            <w:rStyle w:val="Hipervnculo"/>
          </w:rPr>
          <w:t>fo</w:t>
        </w:r>
        <w:r w:rsidR="000B078F" w:rsidRPr="00EE0850">
          <w:rPr>
            <w:rStyle w:val="Hipervnculo"/>
          </w:rPr>
          <w:t xml:space="preserve"> 4</w:t>
        </w:r>
        <w:r w:rsidR="008D5466">
          <w:rPr>
            <w:rStyle w:val="Hipervnculo"/>
          </w:rPr>
          <w:t xml:space="preserve"> del Protocolo de</w:t>
        </w:r>
        <w:r w:rsidR="000B078F" w:rsidRPr="00EE0850">
          <w:rPr>
            <w:rStyle w:val="Hipervnculo"/>
          </w:rPr>
          <w:t xml:space="preserve"> Nagoya</w:t>
        </w:r>
        <w:r w:rsidR="000B078F" w:rsidRPr="00EE0850">
          <w:rPr>
            <w:webHidden/>
          </w:rPr>
          <w:tab/>
        </w:r>
        <w:r w:rsidRPr="00EE0850">
          <w:rPr>
            <w:webHidden/>
          </w:rPr>
          <w:fldChar w:fldCharType="begin"/>
        </w:r>
        <w:r w:rsidR="000B078F" w:rsidRPr="00EE0850">
          <w:rPr>
            <w:webHidden/>
          </w:rPr>
          <w:instrText xml:space="preserve"> PAGEREF _Toc256214 \h </w:instrText>
        </w:r>
        <w:r w:rsidRPr="00EE0850">
          <w:rPr>
            <w:webHidden/>
          </w:rPr>
        </w:r>
        <w:r w:rsidRPr="00EE0850">
          <w:rPr>
            <w:webHidden/>
          </w:rPr>
          <w:fldChar w:fldCharType="separate"/>
        </w:r>
        <w:r w:rsidR="00DD1A58">
          <w:rPr>
            <w:webHidden/>
          </w:rPr>
          <w:t>3</w:t>
        </w:r>
        <w:r w:rsidR="008C1F6C">
          <w:rPr>
            <w:webHidden/>
          </w:rPr>
          <w:t>8</w:t>
        </w:r>
        <w:r w:rsidRPr="00EE0850">
          <w:rPr>
            <w:webHidden/>
          </w:rPr>
          <w:fldChar w:fldCharType="end"/>
        </w:r>
      </w:hyperlink>
    </w:p>
    <w:p w:rsidR="000B078F" w:rsidRPr="00EE0850" w:rsidRDefault="00F4408C" w:rsidP="00B37852">
      <w:pPr>
        <w:pStyle w:val="TDC2"/>
        <w:spacing w:line="240" w:lineRule="auto"/>
        <w:rPr>
          <w:rFonts w:asciiTheme="minorHAnsi" w:eastAsiaTheme="minorEastAsia" w:hAnsiTheme="minorHAnsi" w:cstheme="minorBidi"/>
          <w:lang w:val="en-CA" w:eastAsia="en-CA"/>
        </w:rPr>
      </w:pPr>
      <w:hyperlink w:anchor="_Toc256215" w:history="1">
        <w:r w:rsidR="000B078F" w:rsidRPr="00EE0850">
          <w:rPr>
            <w:rStyle w:val="Hipervnculo"/>
            <w:snapToGrid w:val="0"/>
          </w:rPr>
          <w:t>3/15.</w:t>
        </w:r>
        <w:r w:rsidR="000B078F" w:rsidRPr="00EE0850">
          <w:rPr>
            <w:rFonts w:asciiTheme="minorHAnsi" w:eastAsiaTheme="minorEastAsia" w:hAnsiTheme="minorHAnsi" w:cstheme="minorBidi"/>
            <w:lang w:val="en-CA" w:eastAsia="en-CA"/>
          </w:rPr>
          <w:tab/>
        </w:r>
        <w:r w:rsidR="000B078F" w:rsidRPr="00EE0850">
          <w:rPr>
            <w:rStyle w:val="Hipervnculo"/>
            <w:snapToGrid w:val="0"/>
          </w:rPr>
          <w:t>Prepara</w:t>
        </w:r>
        <w:r w:rsidR="006F0D8F">
          <w:rPr>
            <w:rStyle w:val="Hipervnculo"/>
            <w:snapToGrid w:val="0"/>
          </w:rPr>
          <w:t>c</w:t>
        </w:r>
        <w:r w:rsidR="000B078F" w:rsidRPr="00EE0850">
          <w:rPr>
            <w:rStyle w:val="Hipervnculo"/>
            <w:snapToGrid w:val="0"/>
          </w:rPr>
          <w:t>i</w:t>
        </w:r>
        <w:r w:rsidR="006F0D8F">
          <w:rPr>
            <w:rStyle w:val="Hipervnculo"/>
            <w:snapToGrid w:val="0"/>
          </w:rPr>
          <w:t>ó</w:t>
        </w:r>
        <w:r w:rsidR="000B078F" w:rsidRPr="00EE0850">
          <w:rPr>
            <w:rStyle w:val="Hipervnculo"/>
            <w:snapToGrid w:val="0"/>
          </w:rPr>
          <w:t xml:space="preserve">n </w:t>
        </w:r>
        <w:r w:rsidR="006F0D8F">
          <w:rPr>
            <w:rStyle w:val="Hipervnculo"/>
            <w:snapToGrid w:val="0"/>
          </w:rPr>
          <w:t>pa</w:t>
        </w:r>
        <w:r w:rsidR="000B078F" w:rsidRPr="00EE0850">
          <w:rPr>
            <w:rStyle w:val="Hipervnculo"/>
            <w:snapToGrid w:val="0"/>
          </w:rPr>
          <w:t>r</w:t>
        </w:r>
        <w:r w:rsidR="006F0D8F">
          <w:rPr>
            <w:rStyle w:val="Hipervnculo"/>
            <w:snapToGrid w:val="0"/>
          </w:rPr>
          <w:t>a el seguimi</w:t>
        </w:r>
        <w:r w:rsidR="000B078F" w:rsidRPr="00EE0850">
          <w:rPr>
            <w:rStyle w:val="Hipervnculo"/>
            <w:snapToGrid w:val="0"/>
          </w:rPr>
          <w:t>e</w:t>
        </w:r>
        <w:r w:rsidR="006F0D8F">
          <w:rPr>
            <w:rStyle w:val="Hipervnculo"/>
            <w:snapToGrid w:val="0"/>
          </w:rPr>
          <w:t>nt</w:t>
        </w:r>
        <w:r w:rsidR="000B078F" w:rsidRPr="00EE0850">
          <w:rPr>
            <w:rStyle w:val="Hipervnculo"/>
            <w:snapToGrid w:val="0"/>
          </w:rPr>
          <w:t>o</w:t>
        </w:r>
        <w:r w:rsidR="006F0D8F">
          <w:rPr>
            <w:rStyle w:val="Hipervnculo"/>
            <w:snapToGrid w:val="0"/>
          </w:rPr>
          <w:t xml:space="preserve"> del</w:t>
        </w:r>
        <w:r w:rsidR="000B078F" w:rsidRPr="00EE0850">
          <w:rPr>
            <w:rStyle w:val="Hipervnculo"/>
            <w:snapToGrid w:val="0"/>
          </w:rPr>
          <w:t xml:space="preserve"> </w:t>
        </w:r>
        <w:r w:rsidR="006F0D8F">
          <w:rPr>
            <w:rStyle w:val="Hipervnculo"/>
            <w:snapToGrid w:val="0"/>
          </w:rPr>
          <w:t>Plan Es</w:t>
        </w:r>
        <w:r w:rsidR="000B078F" w:rsidRPr="00EE0850">
          <w:rPr>
            <w:rStyle w:val="Hipervnculo"/>
            <w:snapToGrid w:val="0"/>
          </w:rPr>
          <w:t>trat</w:t>
        </w:r>
        <w:r w:rsidR="006F0D8F">
          <w:rPr>
            <w:rStyle w:val="Hipervnculo"/>
            <w:snapToGrid w:val="0"/>
          </w:rPr>
          <w:t>é</w:t>
        </w:r>
        <w:r w:rsidR="000B078F" w:rsidRPr="00EE0850">
          <w:rPr>
            <w:rStyle w:val="Hipervnculo"/>
            <w:snapToGrid w:val="0"/>
          </w:rPr>
          <w:t>gic</w:t>
        </w:r>
        <w:r w:rsidR="006F0D8F">
          <w:rPr>
            <w:rStyle w:val="Hipervnculo"/>
            <w:snapToGrid w:val="0"/>
          </w:rPr>
          <w:t>o p</w:t>
        </w:r>
        <w:r w:rsidR="000B078F" w:rsidRPr="00EE0850">
          <w:rPr>
            <w:rStyle w:val="Hipervnculo"/>
            <w:snapToGrid w:val="0"/>
          </w:rPr>
          <w:t>a</w:t>
        </w:r>
        <w:r w:rsidR="006F0D8F">
          <w:rPr>
            <w:rStyle w:val="Hipervnculo"/>
            <w:snapToGrid w:val="0"/>
          </w:rPr>
          <w:t xml:space="preserve">ra la Diversidad </w:t>
        </w:r>
        <w:r w:rsidR="000B078F" w:rsidRPr="00EE0850">
          <w:rPr>
            <w:rStyle w:val="Hipervnculo"/>
            <w:snapToGrid w:val="0"/>
          </w:rPr>
          <w:t>Bio</w:t>
        </w:r>
        <w:r w:rsidR="006F0D8F">
          <w:rPr>
            <w:rStyle w:val="Hipervnculo"/>
            <w:snapToGrid w:val="0"/>
          </w:rPr>
          <w:t>lóg</w:t>
        </w:r>
        <w:r w:rsidR="000B078F" w:rsidRPr="00EE0850">
          <w:rPr>
            <w:rStyle w:val="Hipervnculo"/>
            <w:snapToGrid w:val="0"/>
          </w:rPr>
          <w:t>i</w:t>
        </w:r>
        <w:r w:rsidR="006F0D8F">
          <w:rPr>
            <w:rStyle w:val="Hipervnculo"/>
            <w:snapToGrid w:val="0"/>
          </w:rPr>
          <w:t>ca</w:t>
        </w:r>
        <w:r w:rsidR="000B078F" w:rsidRPr="00EE0850">
          <w:rPr>
            <w:rStyle w:val="Hipervnculo"/>
            <w:snapToGrid w:val="0"/>
          </w:rPr>
          <w:t xml:space="preserve"> 2011-2020</w:t>
        </w:r>
        <w:r w:rsidR="000B078F" w:rsidRPr="00EE0850">
          <w:rPr>
            <w:webHidden/>
          </w:rPr>
          <w:tab/>
        </w:r>
        <w:r w:rsidRPr="00EE0850">
          <w:rPr>
            <w:webHidden/>
          </w:rPr>
          <w:fldChar w:fldCharType="begin"/>
        </w:r>
        <w:r w:rsidR="000B078F" w:rsidRPr="00EE0850">
          <w:rPr>
            <w:webHidden/>
          </w:rPr>
          <w:instrText xml:space="preserve"> PAGEREF _Toc256215 \h </w:instrText>
        </w:r>
        <w:r w:rsidRPr="00EE0850">
          <w:rPr>
            <w:webHidden/>
          </w:rPr>
        </w:r>
        <w:r w:rsidRPr="00EE0850">
          <w:rPr>
            <w:webHidden/>
          </w:rPr>
          <w:fldChar w:fldCharType="separate"/>
        </w:r>
        <w:r w:rsidR="008C1F6C">
          <w:rPr>
            <w:webHidden/>
          </w:rPr>
          <w:t>40</w:t>
        </w:r>
        <w:r w:rsidRPr="00EE0850">
          <w:rPr>
            <w:webHidden/>
          </w:rPr>
          <w:fldChar w:fldCharType="end"/>
        </w:r>
      </w:hyperlink>
    </w:p>
    <w:p w:rsidR="000B078F" w:rsidRPr="00EE0850" w:rsidRDefault="00F4408C" w:rsidP="0040389B">
      <w:pPr>
        <w:pStyle w:val="TDC2"/>
        <w:spacing w:line="240" w:lineRule="auto"/>
        <w:rPr>
          <w:rFonts w:asciiTheme="minorHAnsi" w:eastAsiaTheme="minorEastAsia" w:hAnsiTheme="minorHAnsi" w:cstheme="minorBidi"/>
          <w:lang w:val="en-CA" w:eastAsia="en-CA"/>
        </w:rPr>
      </w:pPr>
      <w:hyperlink w:anchor="_Toc256216" w:history="1">
        <w:r w:rsidR="000B078F" w:rsidRPr="00EE0850">
          <w:rPr>
            <w:rStyle w:val="Hipervnculo"/>
          </w:rPr>
          <w:t>3/16.</w:t>
        </w:r>
        <w:r w:rsidR="000B078F" w:rsidRPr="00EE0850">
          <w:rPr>
            <w:rFonts w:asciiTheme="minorHAnsi" w:eastAsiaTheme="minorEastAsia" w:hAnsiTheme="minorHAnsi" w:cstheme="minorBidi"/>
            <w:lang w:val="en-CA" w:eastAsia="en-CA"/>
          </w:rPr>
          <w:tab/>
        </w:r>
        <w:r w:rsidR="006F0D8F">
          <w:rPr>
            <w:rStyle w:val="Hipervnculo"/>
          </w:rPr>
          <w:t xml:space="preserve">Presupuesto para el programa de trabajo integrado de la </w:t>
        </w:r>
        <w:r w:rsidR="000B078F" w:rsidRPr="00EE0850">
          <w:rPr>
            <w:rStyle w:val="Hipervnculo"/>
          </w:rPr>
          <w:t>Secretar</w:t>
        </w:r>
        <w:r w:rsidR="006F0D8F">
          <w:rPr>
            <w:rStyle w:val="Hipervnculo"/>
          </w:rPr>
          <w:t>ía</w:t>
        </w:r>
        <w:r w:rsidR="000B078F" w:rsidRPr="00EE0850">
          <w:rPr>
            <w:webHidden/>
          </w:rPr>
          <w:tab/>
        </w:r>
        <w:r w:rsidRPr="00EE0850">
          <w:rPr>
            <w:webHidden/>
          </w:rPr>
          <w:fldChar w:fldCharType="begin"/>
        </w:r>
        <w:r w:rsidR="000B078F" w:rsidRPr="00EE0850">
          <w:rPr>
            <w:webHidden/>
          </w:rPr>
          <w:instrText xml:space="preserve"> PAGEREF _Toc256216 \h </w:instrText>
        </w:r>
        <w:r w:rsidRPr="00EE0850">
          <w:rPr>
            <w:webHidden/>
          </w:rPr>
        </w:r>
        <w:r w:rsidRPr="00EE0850">
          <w:rPr>
            <w:webHidden/>
          </w:rPr>
          <w:fldChar w:fldCharType="separate"/>
        </w:r>
        <w:r w:rsidR="008C1F6C">
          <w:rPr>
            <w:webHidden/>
          </w:rPr>
          <w:t>41</w:t>
        </w:r>
        <w:r w:rsidRPr="00EE0850">
          <w:rPr>
            <w:webHidden/>
          </w:rPr>
          <w:fldChar w:fldCharType="end"/>
        </w:r>
      </w:hyperlink>
    </w:p>
    <w:p w:rsidR="000B078F" w:rsidRPr="00EE0850" w:rsidRDefault="00F4408C" w:rsidP="000C6220">
      <w:pPr>
        <w:pStyle w:val="TDC1"/>
        <w:tabs>
          <w:tab w:val="clear" w:pos="9350"/>
          <w:tab w:val="left" w:pos="9356"/>
        </w:tabs>
        <w:spacing w:line="240" w:lineRule="auto"/>
        <w:ind w:right="610"/>
        <w:rPr>
          <w:rFonts w:asciiTheme="minorHAnsi" w:eastAsiaTheme="minorEastAsia" w:hAnsiTheme="minorHAnsi" w:cstheme="minorBidi"/>
          <w:lang w:eastAsia="en-CA"/>
        </w:rPr>
      </w:pPr>
      <w:hyperlink w:anchor="_Toc256217" w:history="1">
        <w:r w:rsidR="000B078F" w:rsidRPr="00EE0850">
          <w:rPr>
            <w:rStyle w:val="Hipervnculo"/>
          </w:rPr>
          <w:t xml:space="preserve">II. </w:t>
        </w:r>
        <w:r w:rsidR="000B078F" w:rsidRPr="00EE0850">
          <w:rPr>
            <w:rFonts w:asciiTheme="minorHAnsi" w:eastAsiaTheme="minorEastAsia" w:hAnsiTheme="minorHAnsi" w:cstheme="minorBidi"/>
            <w:lang w:eastAsia="en-CA"/>
          </w:rPr>
          <w:tab/>
        </w:r>
        <w:r w:rsidR="000B078F" w:rsidRPr="00EE0850">
          <w:rPr>
            <w:rStyle w:val="Hipervnculo"/>
          </w:rPr>
          <w:t>AC</w:t>
        </w:r>
        <w:r w:rsidR="006F0D8F">
          <w:rPr>
            <w:rStyle w:val="Hipervnculo"/>
          </w:rPr>
          <w:t>TAS DE LA REUNIÓN</w:t>
        </w:r>
        <w:r w:rsidR="000B078F" w:rsidRPr="00EE0850">
          <w:rPr>
            <w:webHidden/>
          </w:rPr>
          <w:tab/>
        </w:r>
        <w:r w:rsidRPr="00EE0850">
          <w:rPr>
            <w:webHidden/>
          </w:rPr>
          <w:fldChar w:fldCharType="begin"/>
        </w:r>
        <w:r w:rsidR="000B078F" w:rsidRPr="00EE0850">
          <w:rPr>
            <w:webHidden/>
          </w:rPr>
          <w:instrText xml:space="preserve"> PAGEREF _Toc256217 \h </w:instrText>
        </w:r>
        <w:r w:rsidRPr="00EE0850">
          <w:rPr>
            <w:webHidden/>
          </w:rPr>
        </w:r>
        <w:r w:rsidRPr="00EE0850">
          <w:rPr>
            <w:webHidden/>
          </w:rPr>
          <w:fldChar w:fldCharType="separate"/>
        </w:r>
        <w:r w:rsidR="00DD1A58">
          <w:rPr>
            <w:webHidden/>
          </w:rPr>
          <w:t>5</w:t>
        </w:r>
        <w:r w:rsidRPr="00EE0850">
          <w:rPr>
            <w:webHidden/>
          </w:rPr>
          <w:fldChar w:fldCharType="end"/>
        </w:r>
      </w:hyperlink>
      <w:r w:rsidR="008C1F6C">
        <w:t>1</w:t>
      </w:r>
    </w:p>
    <w:p w:rsidR="000B078F" w:rsidRPr="00EE0850" w:rsidRDefault="00F4408C" w:rsidP="00341EFA">
      <w:pPr>
        <w:pStyle w:val="TDC2"/>
        <w:spacing w:line="240" w:lineRule="auto"/>
        <w:rPr>
          <w:rFonts w:asciiTheme="minorHAnsi" w:eastAsiaTheme="minorEastAsia" w:hAnsiTheme="minorHAnsi" w:cstheme="minorBidi"/>
          <w:lang w:val="en-CA" w:eastAsia="en-CA"/>
        </w:rPr>
      </w:pPr>
      <w:hyperlink w:anchor="_Toc256218" w:history="1">
        <w:r w:rsidR="006F0D8F">
          <w:rPr>
            <w:rStyle w:val="Hipervnculo"/>
          </w:rPr>
          <w:t>T</w:t>
        </w:r>
        <w:r w:rsidR="00C5397F" w:rsidRPr="00EE0850">
          <w:rPr>
            <w:rStyle w:val="Hipervnculo"/>
          </w:rPr>
          <w:t>em</w:t>
        </w:r>
        <w:r w:rsidR="006F0D8F">
          <w:rPr>
            <w:rStyle w:val="Hipervnculo"/>
          </w:rPr>
          <w:t>a</w:t>
        </w:r>
        <w:r w:rsidR="000B078F" w:rsidRPr="00EE0850">
          <w:rPr>
            <w:rStyle w:val="Hipervnculo"/>
          </w:rPr>
          <w:t xml:space="preserve"> 1.</w:t>
        </w:r>
        <w:r w:rsidR="000B078F" w:rsidRPr="00EE0850">
          <w:rPr>
            <w:rFonts w:asciiTheme="minorHAnsi" w:eastAsiaTheme="minorEastAsia" w:hAnsiTheme="minorHAnsi" w:cstheme="minorBidi"/>
            <w:lang w:val="en-CA" w:eastAsia="en-CA"/>
          </w:rPr>
          <w:tab/>
        </w:r>
        <w:r w:rsidR="006F0D8F">
          <w:rPr>
            <w:rStyle w:val="Hipervnculo"/>
          </w:rPr>
          <w:t>A</w:t>
        </w:r>
        <w:r w:rsidR="000B078F" w:rsidRPr="00EE0850">
          <w:rPr>
            <w:rStyle w:val="Hipervnculo"/>
          </w:rPr>
          <w:t>pe</w:t>
        </w:r>
        <w:r w:rsidR="006F0D8F">
          <w:rPr>
            <w:rStyle w:val="Hipervnculo"/>
          </w:rPr>
          <w:t>rtura d</w:t>
        </w:r>
        <w:r w:rsidR="000B078F" w:rsidRPr="00EE0850">
          <w:rPr>
            <w:rStyle w:val="Hipervnculo"/>
          </w:rPr>
          <w:t xml:space="preserve">e </w:t>
        </w:r>
        <w:r w:rsidR="006F0D8F">
          <w:rPr>
            <w:rStyle w:val="Hipervnculo"/>
          </w:rPr>
          <w:t>la r</w:t>
        </w:r>
        <w:r w:rsidR="000B078F" w:rsidRPr="00EE0850">
          <w:rPr>
            <w:rStyle w:val="Hipervnculo"/>
          </w:rPr>
          <w:t>e</w:t>
        </w:r>
        <w:r w:rsidR="006F0D8F">
          <w:rPr>
            <w:rStyle w:val="Hipervnculo"/>
          </w:rPr>
          <w:t>un</w:t>
        </w:r>
        <w:r w:rsidR="000B078F" w:rsidRPr="00EE0850">
          <w:rPr>
            <w:rStyle w:val="Hipervnculo"/>
          </w:rPr>
          <w:t>i</w:t>
        </w:r>
        <w:r w:rsidR="006F0D8F">
          <w:rPr>
            <w:rStyle w:val="Hipervnculo"/>
          </w:rPr>
          <w:t>ó</w:t>
        </w:r>
        <w:r w:rsidR="000B078F" w:rsidRPr="00EE0850">
          <w:rPr>
            <w:rStyle w:val="Hipervnculo"/>
          </w:rPr>
          <w:t>n</w:t>
        </w:r>
        <w:r w:rsidR="000B078F" w:rsidRPr="00EE0850">
          <w:rPr>
            <w:webHidden/>
          </w:rPr>
          <w:tab/>
        </w:r>
        <w:r w:rsidRPr="00EE0850">
          <w:rPr>
            <w:webHidden/>
          </w:rPr>
          <w:fldChar w:fldCharType="begin"/>
        </w:r>
        <w:r w:rsidR="000B078F" w:rsidRPr="00EE0850">
          <w:rPr>
            <w:webHidden/>
          </w:rPr>
          <w:instrText xml:space="preserve"> PAGEREF _Toc256218 \h </w:instrText>
        </w:r>
        <w:r w:rsidRPr="00EE0850">
          <w:rPr>
            <w:webHidden/>
          </w:rPr>
        </w:r>
        <w:r w:rsidRPr="00EE0850">
          <w:rPr>
            <w:webHidden/>
          </w:rPr>
          <w:fldChar w:fldCharType="separate"/>
        </w:r>
        <w:r w:rsidR="008C1F6C">
          <w:rPr>
            <w:webHidden/>
          </w:rPr>
          <w:t>52</w:t>
        </w:r>
        <w:r w:rsidRPr="00EE0850">
          <w:rPr>
            <w:webHidden/>
          </w:rPr>
          <w:fldChar w:fldCharType="end"/>
        </w:r>
      </w:hyperlink>
    </w:p>
    <w:p w:rsidR="000B078F" w:rsidRPr="00EE0850" w:rsidRDefault="00F4408C" w:rsidP="00341EFA">
      <w:pPr>
        <w:pStyle w:val="TDC2"/>
        <w:spacing w:line="240" w:lineRule="auto"/>
        <w:rPr>
          <w:rFonts w:asciiTheme="minorHAnsi" w:eastAsiaTheme="minorEastAsia" w:hAnsiTheme="minorHAnsi" w:cstheme="minorBidi"/>
          <w:lang w:val="en-CA" w:eastAsia="en-CA"/>
        </w:rPr>
      </w:pPr>
      <w:hyperlink w:anchor="_Toc256219" w:history="1">
        <w:r w:rsidR="006F0D8F">
          <w:rPr>
            <w:rStyle w:val="Hipervnculo"/>
          </w:rPr>
          <w:t>T</w:t>
        </w:r>
        <w:r w:rsidR="00C5397F" w:rsidRPr="00EE0850">
          <w:rPr>
            <w:rStyle w:val="Hipervnculo"/>
          </w:rPr>
          <w:t>em</w:t>
        </w:r>
        <w:r w:rsidR="006F0D8F">
          <w:rPr>
            <w:rStyle w:val="Hipervnculo"/>
          </w:rPr>
          <w:t>a</w:t>
        </w:r>
        <w:r w:rsidR="000B078F" w:rsidRPr="00EE0850">
          <w:rPr>
            <w:rStyle w:val="Hipervnculo"/>
          </w:rPr>
          <w:t xml:space="preserve"> 2.</w:t>
        </w:r>
        <w:r w:rsidR="000B078F" w:rsidRPr="00EE0850">
          <w:rPr>
            <w:rFonts w:asciiTheme="minorHAnsi" w:eastAsiaTheme="minorEastAsia" w:hAnsiTheme="minorHAnsi" w:cstheme="minorBidi"/>
            <w:lang w:val="en-CA" w:eastAsia="en-CA"/>
          </w:rPr>
          <w:tab/>
        </w:r>
        <w:r w:rsidR="006F0D8F">
          <w:rPr>
            <w:rStyle w:val="Hipervnculo"/>
          </w:rPr>
          <w:t>Cuestiones de o</w:t>
        </w:r>
        <w:r w:rsidR="00C5397F" w:rsidRPr="00EE0850">
          <w:rPr>
            <w:rStyle w:val="Hipervnculo"/>
          </w:rPr>
          <w:t>rganiza</w:t>
        </w:r>
        <w:r w:rsidR="006F0D8F">
          <w:rPr>
            <w:rStyle w:val="Hipervnculo"/>
          </w:rPr>
          <w:t>ción</w:t>
        </w:r>
        <w:r w:rsidR="000B078F" w:rsidRPr="00EE0850">
          <w:rPr>
            <w:webHidden/>
          </w:rPr>
          <w:tab/>
        </w:r>
        <w:r w:rsidRPr="00EE0850">
          <w:rPr>
            <w:webHidden/>
          </w:rPr>
          <w:fldChar w:fldCharType="begin"/>
        </w:r>
        <w:r w:rsidR="000B078F" w:rsidRPr="00EE0850">
          <w:rPr>
            <w:webHidden/>
          </w:rPr>
          <w:instrText xml:space="preserve"> PAGEREF _Toc256219 \h </w:instrText>
        </w:r>
        <w:r w:rsidRPr="00EE0850">
          <w:rPr>
            <w:webHidden/>
          </w:rPr>
        </w:r>
        <w:r w:rsidRPr="00EE0850">
          <w:rPr>
            <w:webHidden/>
          </w:rPr>
          <w:fldChar w:fldCharType="separate"/>
        </w:r>
        <w:r w:rsidR="008C1F6C">
          <w:rPr>
            <w:webHidden/>
          </w:rPr>
          <w:t>53</w:t>
        </w:r>
        <w:r w:rsidRPr="00EE0850">
          <w:rPr>
            <w:webHidden/>
          </w:rPr>
          <w:fldChar w:fldCharType="end"/>
        </w:r>
      </w:hyperlink>
    </w:p>
    <w:p w:rsidR="000B078F" w:rsidRPr="00EE0850" w:rsidRDefault="00F4408C" w:rsidP="00A162E7">
      <w:pPr>
        <w:pStyle w:val="TDC2"/>
        <w:spacing w:line="240" w:lineRule="auto"/>
        <w:rPr>
          <w:rFonts w:asciiTheme="minorHAnsi" w:eastAsiaTheme="minorEastAsia" w:hAnsiTheme="minorHAnsi" w:cstheme="minorBidi"/>
          <w:lang w:val="en-CA" w:eastAsia="en-CA"/>
        </w:rPr>
      </w:pPr>
      <w:hyperlink w:anchor="_Toc256220" w:history="1">
        <w:r w:rsidR="006F0D8F">
          <w:rPr>
            <w:rStyle w:val="Hipervnculo"/>
          </w:rPr>
          <w:t>T</w:t>
        </w:r>
        <w:r w:rsidR="00C5397F" w:rsidRPr="00EE0850">
          <w:rPr>
            <w:rStyle w:val="Hipervnculo"/>
          </w:rPr>
          <w:t>em</w:t>
        </w:r>
        <w:r w:rsidR="006F0D8F">
          <w:rPr>
            <w:rStyle w:val="Hipervnculo"/>
          </w:rPr>
          <w:t>a</w:t>
        </w:r>
        <w:r w:rsidR="000B078F" w:rsidRPr="00EE0850">
          <w:rPr>
            <w:rStyle w:val="Hipervnculo"/>
          </w:rPr>
          <w:t xml:space="preserve"> 3.</w:t>
        </w:r>
        <w:r w:rsidR="000B078F" w:rsidRPr="00EE0850">
          <w:rPr>
            <w:rFonts w:asciiTheme="minorHAnsi" w:eastAsiaTheme="minorEastAsia" w:hAnsiTheme="minorHAnsi" w:cstheme="minorBidi"/>
            <w:lang w:val="en-CA" w:eastAsia="en-CA"/>
          </w:rPr>
          <w:tab/>
        </w:r>
        <w:r w:rsidR="006F0D8F">
          <w:rPr>
            <w:rStyle w:val="Hipervnculo"/>
          </w:rPr>
          <w:t>Inf</w:t>
        </w:r>
        <w:r w:rsidR="00C5397F" w:rsidRPr="00EE0850">
          <w:rPr>
            <w:rStyle w:val="Hipervnculo"/>
          </w:rPr>
          <w:t>or</w:t>
        </w:r>
        <w:r w:rsidR="006F0D8F">
          <w:rPr>
            <w:rStyle w:val="Hipervnculo"/>
          </w:rPr>
          <w:t>me sobre las</w:t>
        </w:r>
        <w:r w:rsidR="00C5397F" w:rsidRPr="00EE0850">
          <w:rPr>
            <w:rStyle w:val="Hipervnculo"/>
          </w:rPr>
          <w:t xml:space="preserve"> creden</w:t>
        </w:r>
        <w:r w:rsidR="006F0D8F">
          <w:rPr>
            <w:rStyle w:val="Hipervnculo"/>
          </w:rPr>
          <w:t>c</w:t>
        </w:r>
        <w:r w:rsidR="00C5397F" w:rsidRPr="00EE0850">
          <w:rPr>
            <w:rStyle w:val="Hipervnculo"/>
          </w:rPr>
          <w:t>ial</w:t>
        </w:r>
        <w:r w:rsidR="006F0D8F">
          <w:rPr>
            <w:rStyle w:val="Hipervnculo"/>
          </w:rPr>
          <w:t>e</w:t>
        </w:r>
        <w:r w:rsidR="00C5397F" w:rsidRPr="00EE0850">
          <w:rPr>
            <w:rStyle w:val="Hipervnculo"/>
          </w:rPr>
          <w:t xml:space="preserve">s </w:t>
        </w:r>
        <w:r w:rsidR="006F0D8F">
          <w:rPr>
            <w:rStyle w:val="Hipervnculo"/>
          </w:rPr>
          <w:t>de los</w:t>
        </w:r>
        <w:r w:rsidR="00C5397F" w:rsidRPr="00EE0850">
          <w:rPr>
            <w:rStyle w:val="Hipervnculo"/>
          </w:rPr>
          <w:t xml:space="preserve"> representa</w:t>
        </w:r>
        <w:r w:rsidR="006F0D8F">
          <w:rPr>
            <w:rStyle w:val="Hipervnculo"/>
          </w:rPr>
          <w:t>n</w:t>
        </w:r>
        <w:r w:rsidR="00C5397F" w:rsidRPr="00EE0850">
          <w:rPr>
            <w:rStyle w:val="Hipervnculo"/>
          </w:rPr>
          <w:t xml:space="preserve">tes </w:t>
        </w:r>
        <w:r w:rsidR="006F0D8F">
          <w:rPr>
            <w:rStyle w:val="Hipervnculo"/>
          </w:rPr>
          <w:t>an</w:t>
        </w:r>
        <w:r w:rsidR="00C5397F" w:rsidRPr="00EE0850">
          <w:rPr>
            <w:rStyle w:val="Hipervnculo"/>
          </w:rPr>
          <w:t>t</w:t>
        </w:r>
        <w:r w:rsidR="006F0D8F">
          <w:rPr>
            <w:rStyle w:val="Hipervnculo"/>
          </w:rPr>
          <w:t>e</w:t>
        </w:r>
        <w:r w:rsidR="00C5397F" w:rsidRPr="00EE0850">
          <w:rPr>
            <w:rStyle w:val="Hipervnculo"/>
          </w:rPr>
          <w:t xml:space="preserve"> </w:t>
        </w:r>
        <w:r w:rsidR="006F0D8F">
          <w:rPr>
            <w:rStyle w:val="Hipervnculo"/>
          </w:rPr>
          <w:t>la</w:t>
        </w:r>
        <w:r w:rsidR="00C5397F" w:rsidRPr="00EE0850">
          <w:rPr>
            <w:rStyle w:val="Hipervnculo"/>
          </w:rPr>
          <w:t xml:space="preserve"> t</w:t>
        </w:r>
        <w:r w:rsidR="006F0D8F">
          <w:rPr>
            <w:rStyle w:val="Hipervnculo"/>
          </w:rPr>
          <w:t>ercera</w:t>
        </w:r>
        <w:r w:rsidR="00C5397F" w:rsidRPr="00EE0850">
          <w:rPr>
            <w:rStyle w:val="Hipervnculo"/>
          </w:rPr>
          <w:t xml:space="preserve"> </w:t>
        </w:r>
        <w:r w:rsidR="006F0D8F">
          <w:rPr>
            <w:rStyle w:val="Hipervnculo"/>
          </w:rPr>
          <w:t>reun</w:t>
        </w:r>
        <w:r w:rsidR="00C5397F" w:rsidRPr="00EE0850">
          <w:rPr>
            <w:rStyle w:val="Hipervnculo"/>
          </w:rPr>
          <w:t>i</w:t>
        </w:r>
        <w:r w:rsidR="006F0D8F">
          <w:rPr>
            <w:rStyle w:val="Hipervnculo"/>
          </w:rPr>
          <w:t>ó</w:t>
        </w:r>
        <w:r w:rsidR="00C5397F" w:rsidRPr="00EE0850">
          <w:rPr>
            <w:rStyle w:val="Hipervnculo"/>
          </w:rPr>
          <w:t xml:space="preserve">n </w:t>
        </w:r>
        <w:r w:rsidR="006F0D8F">
          <w:rPr>
            <w:rStyle w:val="Hipervnculo"/>
          </w:rPr>
          <w:t>de la</w:t>
        </w:r>
        <w:r w:rsidR="00C5397F" w:rsidRPr="00EE0850">
          <w:rPr>
            <w:rStyle w:val="Hipervnculo"/>
          </w:rPr>
          <w:t xml:space="preserve"> Conferenc</w:t>
        </w:r>
        <w:r w:rsidR="006F0D8F">
          <w:rPr>
            <w:rStyle w:val="Hipervnculo"/>
          </w:rPr>
          <w:t>ia de las</w:t>
        </w:r>
        <w:r w:rsidR="00C5397F" w:rsidRPr="00EE0850">
          <w:rPr>
            <w:rStyle w:val="Hipervnculo"/>
          </w:rPr>
          <w:t xml:space="preserve"> Partes </w:t>
        </w:r>
        <w:r w:rsidR="006F0D8F">
          <w:rPr>
            <w:rStyle w:val="Hipervnculo"/>
          </w:rPr>
          <w:t>que actúa como reunión de las</w:t>
        </w:r>
        <w:r w:rsidR="00C5397F" w:rsidRPr="00EE0850">
          <w:rPr>
            <w:rStyle w:val="Hipervnculo"/>
          </w:rPr>
          <w:t xml:space="preserve"> Partes </w:t>
        </w:r>
        <w:r w:rsidR="006F0D8F">
          <w:rPr>
            <w:rStyle w:val="Hipervnculo"/>
          </w:rPr>
          <w:t>en el Protocolo de</w:t>
        </w:r>
        <w:r w:rsidR="00C5397F" w:rsidRPr="00EE0850">
          <w:rPr>
            <w:rStyle w:val="Hipervnculo"/>
          </w:rPr>
          <w:t xml:space="preserve"> Nagoya</w:t>
        </w:r>
        <w:r w:rsidR="000B078F" w:rsidRPr="00EE0850">
          <w:rPr>
            <w:webHidden/>
          </w:rPr>
          <w:tab/>
        </w:r>
        <w:r w:rsidRPr="00EE0850">
          <w:rPr>
            <w:webHidden/>
          </w:rPr>
          <w:fldChar w:fldCharType="begin"/>
        </w:r>
        <w:r w:rsidR="000B078F" w:rsidRPr="00EE0850">
          <w:rPr>
            <w:webHidden/>
          </w:rPr>
          <w:instrText xml:space="preserve"> PAGEREF _Toc256220 \h </w:instrText>
        </w:r>
        <w:r w:rsidRPr="00EE0850">
          <w:rPr>
            <w:webHidden/>
          </w:rPr>
        </w:r>
        <w:r w:rsidRPr="00EE0850">
          <w:rPr>
            <w:webHidden/>
          </w:rPr>
          <w:fldChar w:fldCharType="separate"/>
        </w:r>
        <w:r w:rsidR="008C1F6C">
          <w:rPr>
            <w:webHidden/>
          </w:rPr>
          <w:t>55</w:t>
        </w:r>
        <w:r w:rsidRPr="00EE0850">
          <w:rPr>
            <w:webHidden/>
          </w:rPr>
          <w:fldChar w:fldCharType="end"/>
        </w:r>
      </w:hyperlink>
    </w:p>
    <w:p w:rsidR="000B078F" w:rsidRPr="00EE0850" w:rsidRDefault="00F4408C" w:rsidP="00341A72">
      <w:pPr>
        <w:pStyle w:val="TDC2"/>
        <w:spacing w:line="240" w:lineRule="auto"/>
        <w:rPr>
          <w:rFonts w:asciiTheme="minorHAnsi" w:eastAsiaTheme="minorEastAsia" w:hAnsiTheme="minorHAnsi" w:cstheme="minorBidi"/>
          <w:lang w:val="en-CA" w:eastAsia="en-CA"/>
        </w:rPr>
      </w:pPr>
      <w:hyperlink w:anchor="_Toc256221" w:history="1">
        <w:r w:rsidR="006F0D8F">
          <w:rPr>
            <w:rStyle w:val="Hipervnculo"/>
          </w:rPr>
          <w:t>T</w:t>
        </w:r>
        <w:r w:rsidR="00C5397F" w:rsidRPr="00EE0850">
          <w:rPr>
            <w:rStyle w:val="Hipervnculo"/>
          </w:rPr>
          <w:t>em</w:t>
        </w:r>
        <w:r w:rsidR="006F0D8F">
          <w:rPr>
            <w:rStyle w:val="Hipervnculo"/>
          </w:rPr>
          <w:t>a</w:t>
        </w:r>
        <w:r w:rsidR="00C5397F" w:rsidRPr="00EE0850">
          <w:rPr>
            <w:rStyle w:val="Hipervnculo"/>
          </w:rPr>
          <w:t xml:space="preserve"> 4.</w:t>
        </w:r>
        <w:r w:rsidR="00C5397F" w:rsidRPr="00EE0850">
          <w:rPr>
            <w:rFonts w:asciiTheme="minorHAnsi" w:eastAsiaTheme="minorEastAsia" w:hAnsiTheme="minorHAnsi" w:cstheme="minorBidi"/>
            <w:lang w:val="en-CA" w:eastAsia="en-CA"/>
          </w:rPr>
          <w:tab/>
        </w:r>
        <w:r w:rsidR="006F0D8F">
          <w:rPr>
            <w:rStyle w:val="Hipervnculo"/>
          </w:rPr>
          <w:t>Inf</w:t>
        </w:r>
        <w:r w:rsidR="00C5397F" w:rsidRPr="00EE0850">
          <w:rPr>
            <w:rStyle w:val="Hipervnculo"/>
          </w:rPr>
          <w:t>or</w:t>
        </w:r>
        <w:r w:rsidR="006F0D8F">
          <w:rPr>
            <w:rStyle w:val="Hipervnculo"/>
          </w:rPr>
          <w:t>me</w:t>
        </w:r>
        <w:r w:rsidR="00C5397F" w:rsidRPr="00EE0850">
          <w:rPr>
            <w:rStyle w:val="Hipervnculo"/>
          </w:rPr>
          <w:t xml:space="preserve">s </w:t>
        </w:r>
        <w:r w:rsidR="006F0D8F">
          <w:rPr>
            <w:rStyle w:val="Hipervnculo"/>
          </w:rPr>
          <w:t xml:space="preserve">de los Órganos </w:t>
        </w:r>
        <w:r w:rsidR="00C5397F" w:rsidRPr="00EE0850">
          <w:rPr>
            <w:rStyle w:val="Hipervnculo"/>
          </w:rPr>
          <w:t>Subsidiar</w:t>
        </w:r>
        <w:r w:rsidR="006F0D8F">
          <w:rPr>
            <w:rStyle w:val="Hipervnculo"/>
          </w:rPr>
          <w:t>io</w:t>
        </w:r>
        <w:r w:rsidR="00C5397F" w:rsidRPr="00EE0850">
          <w:rPr>
            <w:rStyle w:val="Hipervnculo"/>
          </w:rPr>
          <w:t>s</w:t>
        </w:r>
        <w:r w:rsidR="00C5397F" w:rsidRPr="00EE0850">
          <w:rPr>
            <w:webHidden/>
          </w:rPr>
          <w:tab/>
        </w:r>
        <w:r w:rsidRPr="00EE0850">
          <w:rPr>
            <w:webHidden/>
          </w:rPr>
          <w:fldChar w:fldCharType="begin"/>
        </w:r>
        <w:r w:rsidR="000B078F" w:rsidRPr="00EE0850">
          <w:rPr>
            <w:webHidden/>
          </w:rPr>
          <w:instrText xml:space="preserve"> PAGEREF _Toc256221 \h </w:instrText>
        </w:r>
        <w:r w:rsidRPr="00EE0850">
          <w:rPr>
            <w:webHidden/>
          </w:rPr>
        </w:r>
        <w:r w:rsidRPr="00EE0850">
          <w:rPr>
            <w:webHidden/>
          </w:rPr>
          <w:fldChar w:fldCharType="separate"/>
        </w:r>
        <w:r w:rsidR="008C1F6C">
          <w:rPr>
            <w:webHidden/>
          </w:rPr>
          <w:t>56</w:t>
        </w:r>
        <w:r w:rsidRPr="00EE0850">
          <w:rPr>
            <w:webHidden/>
          </w:rPr>
          <w:fldChar w:fldCharType="end"/>
        </w:r>
      </w:hyperlink>
    </w:p>
    <w:p w:rsidR="000B078F" w:rsidRPr="00EE0850" w:rsidRDefault="00F4408C" w:rsidP="004C4689">
      <w:pPr>
        <w:pStyle w:val="TDC2"/>
        <w:spacing w:line="240" w:lineRule="auto"/>
        <w:rPr>
          <w:rFonts w:asciiTheme="minorHAnsi" w:eastAsiaTheme="minorEastAsia" w:hAnsiTheme="minorHAnsi" w:cstheme="minorBidi"/>
          <w:lang w:val="en-CA" w:eastAsia="en-CA"/>
        </w:rPr>
      </w:pPr>
      <w:hyperlink w:anchor="_Toc256222" w:history="1">
        <w:r w:rsidR="006F0D8F">
          <w:rPr>
            <w:rStyle w:val="Hipervnculo"/>
          </w:rPr>
          <w:t>T</w:t>
        </w:r>
        <w:r w:rsidR="00C5397F" w:rsidRPr="00EE0850">
          <w:rPr>
            <w:rStyle w:val="Hipervnculo"/>
          </w:rPr>
          <w:t>em</w:t>
        </w:r>
        <w:r w:rsidR="006F0D8F">
          <w:rPr>
            <w:rStyle w:val="Hipervnculo"/>
          </w:rPr>
          <w:t>a</w:t>
        </w:r>
        <w:r w:rsidR="00C5397F" w:rsidRPr="00EE0850">
          <w:rPr>
            <w:rStyle w:val="Hipervnculo"/>
          </w:rPr>
          <w:t xml:space="preserve"> 5.</w:t>
        </w:r>
        <w:r w:rsidR="00C5397F" w:rsidRPr="00EE0850">
          <w:rPr>
            <w:rFonts w:asciiTheme="minorHAnsi" w:eastAsiaTheme="minorEastAsia" w:hAnsiTheme="minorHAnsi" w:cstheme="minorBidi"/>
            <w:lang w:val="en-CA" w:eastAsia="en-CA"/>
          </w:rPr>
          <w:tab/>
        </w:r>
        <w:r w:rsidR="006F0D8F">
          <w:rPr>
            <w:rStyle w:val="Hipervnculo"/>
          </w:rPr>
          <w:t>Inf</w:t>
        </w:r>
        <w:r w:rsidR="00C5397F" w:rsidRPr="00EE0850">
          <w:rPr>
            <w:rStyle w:val="Hipervnculo"/>
          </w:rPr>
          <w:t>or</w:t>
        </w:r>
        <w:r w:rsidR="006F0D8F">
          <w:rPr>
            <w:rStyle w:val="Hipervnculo"/>
          </w:rPr>
          <w:t>me del Comité d</w:t>
        </w:r>
        <w:r w:rsidR="00C5397F" w:rsidRPr="00EE0850">
          <w:rPr>
            <w:rStyle w:val="Hipervnculo"/>
          </w:rPr>
          <w:t>e C</w:t>
        </w:r>
        <w:r w:rsidR="006F0D8F">
          <w:rPr>
            <w:rStyle w:val="Hipervnculo"/>
          </w:rPr>
          <w:t>u</w:t>
        </w:r>
        <w:r w:rsidR="00C5397F" w:rsidRPr="00EE0850">
          <w:rPr>
            <w:rStyle w:val="Hipervnculo"/>
          </w:rPr>
          <w:t>mpli</w:t>
        </w:r>
        <w:r w:rsidR="006F0D8F">
          <w:rPr>
            <w:rStyle w:val="Hipervnculo"/>
          </w:rPr>
          <w:t>miento</w:t>
        </w:r>
        <w:r w:rsidR="00C5397F" w:rsidRPr="00EE0850">
          <w:rPr>
            <w:rStyle w:val="Hipervnculo"/>
          </w:rPr>
          <w:t xml:space="preserve"> (</w:t>
        </w:r>
        <w:r w:rsidR="006F0D8F">
          <w:rPr>
            <w:rStyle w:val="Hipervnculo"/>
          </w:rPr>
          <w:t>a</w:t>
        </w:r>
        <w:r w:rsidR="00C5397F" w:rsidRPr="00EE0850">
          <w:rPr>
            <w:rStyle w:val="Hipervnculo"/>
          </w:rPr>
          <w:t>rt</w:t>
        </w:r>
        <w:r w:rsidR="006F0D8F">
          <w:rPr>
            <w:rStyle w:val="Hipervnculo"/>
          </w:rPr>
          <w:t>í</w:t>
        </w:r>
        <w:r w:rsidR="00C5397F" w:rsidRPr="00EE0850">
          <w:rPr>
            <w:rStyle w:val="Hipervnculo"/>
          </w:rPr>
          <w:t>c</w:t>
        </w:r>
        <w:r w:rsidR="006F0D8F">
          <w:rPr>
            <w:rStyle w:val="Hipervnculo"/>
          </w:rPr>
          <w:t>u</w:t>
        </w:r>
        <w:r w:rsidR="00C5397F" w:rsidRPr="00EE0850">
          <w:rPr>
            <w:rStyle w:val="Hipervnculo"/>
          </w:rPr>
          <w:t>l</w:t>
        </w:r>
        <w:r w:rsidR="006F0D8F">
          <w:rPr>
            <w:rStyle w:val="Hipervnculo"/>
          </w:rPr>
          <w:t>o</w:t>
        </w:r>
        <w:r w:rsidR="00C5397F" w:rsidRPr="00EE0850">
          <w:rPr>
            <w:rStyle w:val="Hipervnculo"/>
          </w:rPr>
          <w:t> 30)</w:t>
        </w:r>
        <w:r w:rsidR="00C5397F" w:rsidRPr="00EE0850">
          <w:rPr>
            <w:webHidden/>
          </w:rPr>
          <w:tab/>
        </w:r>
        <w:r w:rsidRPr="00EE0850">
          <w:rPr>
            <w:webHidden/>
          </w:rPr>
          <w:fldChar w:fldCharType="begin"/>
        </w:r>
        <w:r w:rsidR="000B078F" w:rsidRPr="00EE0850">
          <w:rPr>
            <w:webHidden/>
          </w:rPr>
          <w:instrText xml:space="preserve"> PAGEREF _Toc256222 \h </w:instrText>
        </w:r>
        <w:r w:rsidRPr="00EE0850">
          <w:rPr>
            <w:webHidden/>
          </w:rPr>
        </w:r>
        <w:r w:rsidRPr="00EE0850">
          <w:rPr>
            <w:webHidden/>
          </w:rPr>
          <w:fldChar w:fldCharType="separate"/>
        </w:r>
        <w:r w:rsidR="00DD1A58">
          <w:rPr>
            <w:webHidden/>
          </w:rPr>
          <w:t>5</w:t>
        </w:r>
        <w:r w:rsidR="008C1F6C">
          <w:rPr>
            <w:webHidden/>
          </w:rPr>
          <w:t>6</w:t>
        </w:r>
        <w:r w:rsidRPr="00EE0850">
          <w:rPr>
            <w:webHidden/>
          </w:rPr>
          <w:fldChar w:fldCharType="end"/>
        </w:r>
      </w:hyperlink>
    </w:p>
    <w:p w:rsidR="000B078F" w:rsidRPr="00EE0850" w:rsidRDefault="00F4408C" w:rsidP="00D006F2">
      <w:pPr>
        <w:pStyle w:val="TDC2"/>
        <w:spacing w:line="240" w:lineRule="auto"/>
        <w:rPr>
          <w:rFonts w:asciiTheme="minorHAnsi" w:eastAsiaTheme="minorEastAsia" w:hAnsiTheme="minorHAnsi" w:cstheme="minorBidi"/>
          <w:lang w:val="en-CA" w:eastAsia="en-CA"/>
        </w:rPr>
      </w:pPr>
      <w:hyperlink w:anchor="_Toc256223" w:history="1">
        <w:r w:rsidR="006F0D8F">
          <w:rPr>
            <w:rStyle w:val="Hipervnculo"/>
            <w:sz w:val="22"/>
          </w:rPr>
          <w:t>T</w:t>
        </w:r>
        <w:r w:rsidR="00C5397F" w:rsidRPr="00EE0850">
          <w:rPr>
            <w:rStyle w:val="Hipervnculo"/>
            <w:sz w:val="22"/>
          </w:rPr>
          <w:t>em</w:t>
        </w:r>
        <w:r w:rsidR="006F0D8F">
          <w:rPr>
            <w:rStyle w:val="Hipervnculo"/>
            <w:sz w:val="22"/>
          </w:rPr>
          <w:t>a</w:t>
        </w:r>
        <w:r w:rsidR="00C5397F" w:rsidRPr="00EE0850">
          <w:rPr>
            <w:rStyle w:val="Hipervnculo"/>
            <w:sz w:val="22"/>
          </w:rPr>
          <w:t xml:space="preserve"> 6.</w:t>
        </w:r>
        <w:r w:rsidR="00C5397F" w:rsidRPr="00EE0850">
          <w:rPr>
            <w:rFonts w:asciiTheme="minorHAnsi" w:eastAsiaTheme="minorEastAsia" w:hAnsiTheme="minorHAnsi" w:cstheme="minorBidi"/>
            <w:lang w:val="en-CA" w:eastAsia="en-CA"/>
          </w:rPr>
          <w:tab/>
        </w:r>
        <w:r w:rsidR="00C5397F" w:rsidRPr="00EE0850">
          <w:rPr>
            <w:rStyle w:val="Hipervnculo"/>
            <w:sz w:val="22"/>
          </w:rPr>
          <w:t>Administra</w:t>
        </w:r>
        <w:r w:rsidR="006F0D8F">
          <w:rPr>
            <w:rStyle w:val="Hipervnculo"/>
            <w:sz w:val="22"/>
          </w:rPr>
          <w:t>c</w:t>
        </w:r>
        <w:r w:rsidR="00C5397F" w:rsidRPr="00EE0850">
          <w:rPr>
            <w:rStyle w:val="Hipervnculo"/>
            <w:sz w:val="22"/>
          </w:rPr>
          <w:t>i</w:t>
        </w:r>
        <w:r w:rsidR="006F0D8F">
          <w:rPr>
            <w:rStyle w:val="Hipervnculo"/>
            <w:sz w:val="22"/>
          </w:rPr>
          <w:t>ó</w:t>
        </w:r>
        <w:r w:rsidR="00C5397F" w:rsidRPr="00EE0850">
          <w:rPr>
            <w:rStyle w:val="Hipervnculo"/>
            <w:sz w:val="22"/>
          </w:rPr>
          <w:t xml:space="preserve">n </w:t>
        </w:r>
        <w:r w:rsidR="006F0D8F">
          <w:rPr>
            <w:rStyle w:val="Hipervnculo"/>
            <w:sz w:val="22"/>
          </w:rPr>
          <w:t>del</w:t>
        </w:r>
        <w:r w:rsidR="00C5397F" w:rsidRPr="00EE0850">
          <w:rPr>
            <w:rStyle w:val="Hipervnculo"/>
            <w:sz w:val="22"/>
          </w:rPr>
          <w:t xml:space="preserve"> Protocol</w:t>
        </w:r>
        <w:r w:rsidR="006F0D8F">
          <w:rPr>
            <w:rStyle w:val="Hipervnculo"/>
            <w:sz w:val="22"/>
          </w:rPr>
          <w:t>o y presupuesto para los fondos fiduciario</w:t>
        </w:r>
        <w:r w:rsidR="00C5397F" w:rsidRPr="00EE0850">
          <w:rPr>
            <w:rStyle w:val="Hipervnculo"/>
            <w:sz w:val="22"/>
          </w:rPr>
          <w:t>s</w:t>
        </w:r>
        <w:r w:rsidR="00C5397F" w:rsidRPr="00EE0850">
          <w:rPr>
            <w:webHidden/>
          </w:rPr>
          <w:tab/>
        </w:r>
        <w:r w:rsidRPr="00EE0850">
          <w:rPr>
            <w:webHidden/>
          </w:rPr>
          <w:fldChar w:fldCharType="begin"/>
        </w:r>
        <w:r w:rsidR="000B078F" w:rsidRPr="00EE0850">
          <w:rPr>
            <w:webHidden/>
          </w:rPr>
          <w:instrText xml:space="preserve"> PAGEREF _Toc256223 \h </w:instrText>
        </w:r>
        <w:r w:rsidRPr="00EE0850">
          <w:rPr>
            <w:webHidden/>
          </w:rPr>
        </w:r>
        <w:r w:rsidRPr="00EE0850">
          <w:rPr>
            <w:webHidden/>
          </w:rPr>
          <w:fldChar w:fldCharType="separate"/>
        </w:r>
        <w:r w:rsidR="00DD1A58">
          <w:rPr>
            <w:webHidden/>
          </w:rPr>
          <w:t>5</w:t>
        </w:r>
        <w:r w:rsidR="008C1F6C">
          <w:rPr>
            <w:webHidden/>
          </w:rPr>
          <w:t>7</w:t>
        </w:r>
        <w:r w:rsidRPr="00EE0850">
          <w:rPr>
            <w:webHidden/>
          </w:rPr>
          <w:fldChar w:fldCharType="end"/>
        </w:r>
      </w:hyperlink>
    </w:p>
    <w:p w:rsidR="000B078F" w:rsidRPr="00EE0850" w:rsidRDefault="00F4408C" w:rsidP="00D006F2">
      <w:pPr>
        <w:pStyle w:val="TDC2"/>
        <w:spacing w:line="240" w:lineRule="auto"/>
        <w:rPr>
          <w:rFonts w:asciiTheme="minorHAnsi" w:eastAsiaTheme="minorEastAsia" w:hAnsiTheme="minorHAnsi" w:cstheme="minorBidi"/>
          <w:lang w:val="en-CA" w:eastAsia="en-CA"/>
        </w:rPr>
      </w:pPr>
      <w:hyperlink w:anchor="_Toc256224" w:history="1">
        <w:r w:rsidR="006F0D8F">
          <w:rPr>
            <w:rStyle w:val="Hipervnculo"/>
          </w:rPr>
          <w:t>T</w:t>
        </w:r>
        <w:r w:rsidR="00C5397F" w:rsidRPr="00EE0850">
          <w:rPr>
            <w:rStyle w:val="Hipervnculo"/>
          </w:rPr>
          <w:t>em</w:t>
        </w:r>
        <w:r w:rsidR="006F0D8F">
          <w:rPr>
            <w:rStyle w:val="Hipervnculo"/>
          </w:rPr>
          <w:t>a</w:t>
        </w:r>
        <w:r w:rsidR="000B078F" w:rsidRPr="00EE0850">
          <w:rPr>
            <w:rStyle w:val="Hipervnculo"/>
          </w:rPr>
          <w:t xml:space="preserve"> 7.</w:t>
        </w:r>
        <w:r w:rsidR="000B078F" w:rsidRPr="00EE0850">
          <w:rPr>
            <w:rFonts w:asciiTheme="minorHAnsi" w:eastAsiaTheme="minorEastAsia" w:hAnsiTheme="minorHAnsi" w:cstheme="minorBidi"/>
            <w:lang w:val="en-CA" w:eastAsia="en-CA"/>
          </w:rPr>
          <w:tab/>
        </w:r>
        <w:r w:rsidR="006F0D8F">
          <w:rPr>
            <w:rStyle w:val="Hipervnculo"/>
          </w:rPr>
          <w:t>Evaluaci</w:t>
        </w:r>
        <w:r w:rsidR="00461A5F">
          <w:rPr>
            <w:rStyle w:val="Hipervnculo"/>
          </w:rPr>
          <w:t>ón y revisión</w:t>
        </w:r>
        <w:r w:rsidR="006F0D8F">
          <w:rPr>
            <w:rStyle w:val="Hipervnculo"/>
          </w:rPr>
          <w:t xml:space="preserve"> de la </w:t>
        </w:r>
        <w:r w:rsidR="000B078F" w:rsidRPr="00EE0850">
          <w:rPr>
            <w:rStyle w:val="Hipervnculo"/>
          </w:rPr>
          <w:t>ef</w:t>
        </w:r>
        <w:r w:rsidR="006F0D8F">
          <w:rPr>
            <w:rStyle w:val="Hipervnculo"/>
          </w:rPr>
          <w:t>i</w:t>
        </w:r>
        <w:r w:rsidR="000B078F" w:rsidRPr="00EE0850">
          <w:rPr>
            <w:rStyle w:val="Hipervnculo"/>
          </w:rPr>
          <w:t>c</w:t>
        </w:r>
        <w:r w:rsidR="006F0D8F">
          <w:rPr>
            <w:rStyle w:val="Hipervnculo"/>
          </w:rPr>
          <w:t xml:space="preserve">acia del </w:t>
        </w:r>
        <w:r w:rsidR="000B078F" w:rsidRPr="00EE0850">
          <w:rPr>
            <w:rStyle w:val="Hipervnculo"/>
          </w:rPr>
          <w:t>Protocol</w:t>
        </w:r>
        <w:r w:rsidR="006F0D8F">
          <w:rPr>
            <w:rStyle w:val="Hipervnculo"/>
          </w:rPr>
          <w:t>o</w:t>
        </w:r>
        <w:r w:rsidR="000B078F" w:rsidRPr="00EE0850">
          <w:rPr>
            <w:rStyle w:val="Hipervnculo"/>
          </w:rPr>
          <w:t xml:space="preserve"> (</w:t>
        </w:r>
        <w:r w:rsidR="006F0D8F">
          <w:rPr>
            <w:rStyle w:val="Hipervnculo"/>
          </w:rPr>
          <w:t>a</w:t>
        </w:r>
        <w:r w:rsidR="000B078F" w:rsidRPr="00EE0850">
          <w:rPr>
            <w:rStyle w:val="Hipervnculo"/>
          </w:rPr>
          <w:t>rt</w:t>
        </w:r>
        <w:r w:rsidR="006F0D8F">
          <w:rPr>
            <w:rStyle w:val="Hipervnculo"/>
          </w:rPr>
          <w:t>í</w:t>
        </w:r>
        <w:r w:rsidR="000B078F" w:rsidRPr="00EE0850">
          <w:rPr>
            <w:rStyle w:val="Hipervnculo"/>
          </w:rPr>
          <w:t>c</w:t>
        </w:r>
        <w:r w:rsidR="006F0D8F">
          <w:rPr>
            <w:rStyle w:val="Hipervnculo"/>
          </w:rPr>
          <w:t>u</w:t>
        </w:r>
        <w:r w:rsidR="000B078F" w:rsidRPr="00EE0850">
          <w:rPr>
            <w:rStyle w:val="Hipervnculo"/>
          </w:rPr>
          <w:t>l</w:t>
        </w:r>
        <w:r w:rsidR="006F0D8F">
          <w:rPr>
            <w:rStyle w:val="Hipervnculo"/>
          </w:rPr>
          <w:t>o</w:t>
        </w:r>
        <w:r w:rsidR="000B078F" w:rsidRPr="00EE0850">
          <w:rPr>
            <w:rStyle w:val="Hipervnculo"/>
          </w:rPr>
          <w:t xml:space="preserve"> 31)</w:t>
        </w:r>
        <w:r w:rsidR="000B078F" w:rsidRPr="00EE0850">
          <w:rPr>
            <w:webHidden/>
          </w:rPr>
          <w:tab/>
        </w:r>
        <w:r w:rsidRPr="00EE0850">
          <w:rPr>
            <w:webHidden/>
          </w:rPr>
          <w:fldChar w:fldCharType="begin"/>
        </w:r>
        <w:r w:rsidR="000B078F" w:rsidRPr="00EE0850">
          <w:rPr>
            <w:webHidden/>
          </w:rPr>
          <w:instrText xml:space="preserve"> PAGEREF _Toc256224 \h </w:instrText>
        </w:r>
        <w:r w:rsidRPr="00EE0850">
          <w:rPr>
            <w:webHidden/>
          </w:rPr>
        </w:r>
        <w:r w:rsidRPr="00EE0850">
          <w:rPr>
            <w:webHidden/>
          </w:rPr>
          <w:fldChar w:fldCharType="separate"/>
        </w:r>
        <w:r w:rsidR="00DD1A58">
          <w:rPr>
            <w:webHidden/>
          </w:rPr>
          <w:t>5</w:t>
        </w:r>
        <w:r w:rsidR="008C1F6C">
          <w:rPr>
            <w:webHidden/>
          </w:rPr>
          <w:t>7</w:t>
        </w:r>
        <w:r w:rsidRPr="00EE0850">
          <w:rPr>
            <w:webHidden/>
          </w:rPr>
          <w:fldChar w:fldCharType="end"/>
        </w:r>
      </w:hyperlink>
    </w:p>
    <w:p w:rsidR="000B078F" w:rsidRPr="00EE0850" w:rsidRDefault="00F4408C" w:rsidP="00D006F2">
      <w:pPr>
        <w:pStyle w:val="TDC2"/>
        <w:spacing w:line="240" w:lineRule="auto"/>
        <w:rPr>
          <w:rFonts w:asciiTheme="minorHAnsi" w:eastAsiaTheme="minorEastAsia" w:hAnsiTheme="minorHAnsi" w:cstheme="minorBidi"/>
          <w:lang w:val="en-CA" w:eastAsia="en-CA"/>
        </w:rPr>
      </w:pPr>
      <w:hyperlink w:anchor="_Toc256225" w:history="1">
        <w:r w:rsidR="00461A5F">
          <w:rPr>
            <w:rStyle w:val="Hipervnculo"/>
          </w:rPr>
          <w:t>T</w:t>
        </w:r>
        <w:r w:rsidR="00C5397F" w:rsidRPr="00EE0850">
          <w:rPr>
            <w:rStyle w:val="Hipervnculo"/>
          </w:rPr>
          <w:t>em</w:t>
        </w:r>
        <w:r w:rsidR="00461A5F">
          <w:rPr>
            <w:rStyle w:val="Hipervnculo"/>
          </w:rPr>
          <w:t>a</w:t>
        </w:r>
        <w:r w:rsidR="000B078F" w:rsidRPr="00EE0850">
          <w:rPr>
            <w:rStyle w:val="Hipervnculo"/>
          </w:rPr>
          <w:t xml:space="preserve"> 8.</w:t>
        </w:r>
        <w:r w:rsidR="000B078F" w:rsidRPr="00EE0850">
          <w:rPr>
            <w:rFonts w:asciiTheme="minorHAnsi" w:eastAsiaTheme="minorEastAsia" w:hAnsiTheme="minorHAnsi" w:cstheme="minorBidi"/>
            <w:lang w:val="en-CA" w:eastAsia="en-CA"/>
          </w:rPr>
          <w:tab/>
        </w:r>
        <w:r w:rsidR="00683886">
          <w:rPr>
            <w:rStyle w:val="Hipervnculo"/>
          </w:rPr>
          <w:t>Mecanismo f</w:t>
        </w:r>
        <w:r w:rsidR="000B078F" w:rsidRPr="00EE0850">
          <w:rPr>
            <w:rStyle w:val="Hipervnculo"/>
          </w:rPr>
          <w:t>inanci</w:t>
        </w:r>
        <w:r w:rsidR="00683886">
          <w:rPr>
            <w:rStyle w:val="Hipervnculo"/>
          </w:rPr>
          <w:t xml:space="preserve">ero y </w:t>
        </w:r>
        <w:r w:rsidR="000B078F" w:rsidRPr="00EE0850">
          <w:rPr>
            <w:rStyle w:val="Hipervnculo"/>
          </w:rPr>
          <w:t>re</w:t>
        </w:r>
        <w:r w:rsidR="00683886">
          <w:rPr>
            <w:rStyle w:val="Hipervnculo"/>
          </w:rPr>
          <w:t>cursos financi</w:t>
        </w:r>
        <w:r w:rsidR="000B078F" w:rsidRPr="00EE0850">
          <w:rPr>
            <w:rStyle w:val="Hipervnculo"/>
          </w:rPr>
          <w:t>e</w:t>
        </w:r>
        <w:r w:rsidR="00683886">
          <w:rPr>
            <w:rStyle w:val="Hipervnculo"/>
          </w:rPr>
          <w:t>ros (a</w:t>
        </w:r>
        <w:r w:rsidR="000B078F" w:rsidRPr="00EE0850">
          <w:rPr>
            <w:rStyle w:val="Hipervnculo"/>
          </w:rPr>
          <w:t>rt</w:t>
        </w:r>
        <w:r w:rsidR="00683886">
          <w:rPr>
            <w:rStyle w:val="Hipervnculo"/>
          </w:rPr>
          <w:t>ículo</w:t>
        </w:r>
        <w:r w:rsidR="000B078F" w:rsidRPr="00EE0850">
          <w:rPr>
            <w:rStyle w:val="Hipervnculo"/>
          </w:rPr>
          <w:t xml:space="preserve"> 25)</w:t>
        </w:r>
        <w:r w:rsidR="000B078F" w:rsidRPr="00EE0850">
          <w:rPr>
            <w:webHidden/>
          </w:rPr>
          <w:tab/>
        </w:r>
        <w:r w:rsidRPr="00EE0850">
          <w:rPr>
            <w:webHidden/>
          </w:rPr>
          <w:fldChar w:fldCharType="begin"/>
        </w:r>
        <w:r w:rsidR="000B078F" w:rsidRPr="00EE0850">
          <w:rPr>
            <w:webHidden/>
          </w:rPr>
          <w:instrText xml:space="preserve"> PAGEREF _Toc256225 \h </w:instrText>
        </w:r>
        <w:r w:rsidRPr="00EE0850">
          <w:rPr>
            <w:webHidden/>
          </w:rPr>
        </w:r>
        <w:r w:rsidRPr="00EE0850">
          <w:rPr>
            <w:webHidden/>
          </w:rPr>
          <w:fldChar w:fldCharType="separate"/>
        </w:r>
        <w:r w:rsidR="00DD1A58">
          <w:rPr>
            <w:webHidden/>
          </w:rPr>
          <w:t>5</w:t>
        </w:r>
        <w:r w:rsidR="008C1F6C">
          <w:rPr>
            <w:webHidden/>
          </w:rPr>
          <w:t>8</w:t>
        </w:r>
        <w:r w:rsidRPr="00EE0850">
          <w:rPr>
            <w:webHidden/>
          </w:rPr>
          <w:fldChar w:fldCharType="end"/>
        </w:r>
      </w:hyperlink>
    </w:p>
    <w:p w:rsidR="000B078F" w:rsidRPr="00EE0850" w:rsidRDefault="00F4408C" w:rsidP="00D006F2">
      <w:pPr>
        <w:pStyle w:val="TDC2"/>
        <w:spacing w:line="240" w:lineRule="auto"/>
        <w:rPr>
          <w:rFonts w:asciiTheme="minorHAnsi" w:eastAsiaTheme="minorEastAsia" w:hAnsiTheme="minorHAnsi" w:cstheme="minorBidi"/>
          <w:lang w:val="en-CA" w:eastAsia="en-CA"/>
        </w:rPr>
      </w:pPr>
      <w:hyperlink w:anchor="_Toc256226" w:history="1">
        <w:r w:rsidR="00683886">
          <w:rPr>
            <w:rStyle w:val="Hipervnculo"/>
          </w:rPr>
          <w:t>T</w:t>
        </w:r>
        <w:r w:rsidR="00C5397F" w:rsidRPr="00EE0850">
          <w:rPr>
            <w:rStyle w:val="Hipervnculo"/>
          </w:rPr>
          <w:t>em</w:t>
        </w:r>
        <w:r w:rsidR="00683886">
          <w:rPr>
            <w:rStyle w:val="Hipervnculo"/>
          </w:rPr>
          <w:t>a</w:t>
        </w:r>
        <w:r w:rsidR="000B078F" w:rsidRPr="00EE0850">
          <w:rPr>
            <w:rStyle w:val="Hipervnculo"/>
          </w:rPr>
          <w:t xml:space="preserve"> 9.</w:t>
        </w:r>
        <w:r w:rsidR="000B078F" w:rsidRPr="00EE0850">
          <w:rPr>
            <w:rFonts w:asciiTheme="minorHAnsi" w:eastAsiaTheme="minorEastAsia" w:hAnsiTheme="minorHAnsi" w:cstheme="minorBidi"/>
            <w:lang w:val="en-CA" w:eastAsia="en-CA"/>
          </w:rPr>
          <w:tab/>
        </w:r>
        <w:r w:rsidR="000B078F" w:rsidRPr="00EE0850">
          <w:rPr>
            <w:rStyle w:val="Hipervnculo"/>
          </w:rPr>
          <w:t>Me</w:t>
        </w:r>
        <w:r w:rsidR="00683886">
          <w:rPr>
            <w:rStyle w:val="Hipervnculo"/>
          </w:rPr>
          <w:t>did</w:t>
        </w:r>
        <w:r w:rsidR="000B078F" w:rsidRPr="00EE0850">
          <w:rPr>
            <w:rStyle w:val="Hipervnculo"/>
          </w:rPr>
          <w:t xml:space="preserve">as </w:t>
        </w:r>
        <w:r w:rsidR="00683886">
          <w:rPr>
            <w:rStyle w:val="Hipervnculo"/>
          </w:rPr>
          <w:t>para brindar as</w:t>
        </w:r>
        <w:r w:rsidR="000B078F" w:rsidRPr="00EE0850">
          <w:rPr>
            <w:rStyle w:val="Hipervnculo"/>
          </w:rPr>
          <w:t>ist</w:t>
        </w:r>
        <w:r w:rsidR="00683886">
          <w:rPr>
            <w:rStyle w:val="Hipervnculo"/>
          </w:rPr>
          <w:t>encia</w:t>
        </w:r>
        <w:r w:rsidR="000B078F" w:rsidRPr="00EE0850">
          <w:rPr>
            <w:rStyle w:val="Hipervnculo"/>
          </w:rPr>
          <w:t xml:space="preserve"> </w:t>
        </w:r>
        <w:r w:rsidR="00683886">
          <w:rPr>
            <w:rStyle w:val="Hipervnculo"/>
          </w:rPr>
          <w:t>para la creación de c</w:t>
        </w:r>
        <w:r w:rsidR="000B078F" w:rsidRPr="00EE0850">
          <w:rPr>
            <w:rStyle w:val="Hipervnculo"/>
          </w:rPr>
          <w:t>apaci</w:t>
        </w:r>
        <w:r w:rsidR="00683886">
          <w:rPr>
            <w:rStyle w:val="Hipervnculo"/>
          </w:rPr>
          <w:t xml:space="preserve">dades y el desarrollo de </w:t>
        </w:r>
        <w:r w:rsidR="000B078F" w:rsidRPr="00EE0850">
          <w:rPr>
            <w:rStyle w:val="Hipervnculo"/>
          </w:rPr>
          <w:t>capaci</w:t>
        </w:r>
        <w:r w:rsidR="00683886">
          <w:rPr>
            <w:rStyle w:val="Hipervnculo"/>
          </w:rPr>
          <w:t>dades</w:t>
        </w:r>
        <w:r w:rsidR="000B078F" w:rsidRPr="00EE0850">
          <w:rPr>
            <w:rStyle w:val="Hipervnculo"/>
          </w:rPr>
          <w:t xml:space="preserve"> (</w:t>
        </w:r>
        <w:r w:rsidR="00683886">
          <w:rPr>
            <w:rStyle w:val="Hipervnculo"/>
          </w:rPr>
          <w:t>a</w:t>
        </w:r>
        <w:r w:rsidR="000B078F" w:rsidRPr="00EE0850">
          <w:rPr>
            <w:rStyle w:val="Hipervnculo"/>
          </w:rPr>
          <w:t>rt</w:t>
        </w:r>
        <w:r w:rsidR="00683886">
          <w:rPr>
            <w:rStyle w:val="Hipervnculo"/>
          </w:rPr>
          <w:t>í</w:t>
        </w:r>
        <w:r w:rsidR="000B078F" w:rsidRPr="00EE0850">
          <w:rPr>
            <w:rStyle w:val="Hipervnculo"/>
          </w:rPr>
          <w:t>c</w:t>
        </w:r>
        <w:r w:rsidR="00683886">
          <w:rPr>
            <w:rStyle w:val="Hipervnculo"/>
          </w:rPr>
          <w:t>u</w:t>
        </w:r>
        <w:r w:rsidR="000B078F" w:rsidRPr="00EE0850">
          <w:rPr>
            <w:rStyle w:val="Hipervnculo"/>
          </w:rPr>
          <w:t>l</w:t>
        </w:r>
        <w:r w:rsidR="00683886">
          <w:rPr>
            <w:rStyle w:val="Hipervnculo"/>
          </w:rPr>
          <w:t>o</w:t>
        </w:r>
        <w:r w:rsidR="000B078F" w:rsidRPr="00EE0850">
          <w:rPr>
            <w:rStyle w:val="Hipervnculo"/>
          </w:rPr>
          <w:t xml:space="preserve"> 22)</w:t>
        </w:r>
        <w:r w:rsidR="000B078F" w:rsidRPr="00EE0850">
          <w:rPr>
            <w:webHidden/>
          </w:rPr>
          <w:tab/>
        </w:r>
        <w:r w:rsidRPr="00EE0850">
          <w:rPr>
            <w:webHidden/>
          </w:rPr>
          <w:fldChar w:fldCharType="begin"/>
        </w:r>
        <w:r w:rsidR="000B078F" w:rsidRPr="00EE0850">
          <w:rPr>
            <w:webHidden/>
          </w:rPr>
          <w:instrText xml:space="preserve"> PAGEREF _Toc256226 \h </w:instrText>
        </w:r>
        <w:r w:rsidRPr="00EE0850">
          <w:rPr>
            <w:webHidden/>
          </w:rPr>
        </w:r>
        <w:r w:rsidRPr="00EE0850">
          <w:rPr>
            <w:webHidden/>
          </w:rPr>
          <w:fldChar w:fldCharType="separate"/>
        </w:r>
        <w:r w:rsidR="00DD1A58">
          <w:rPr>
            <w:webHidden/>
          </w:rPr>
          <w:t>5</w:t>
        </w:r>
        <w:r w:rsidR="009425BB">
          <w:rPr>
            <w:webHidden/>
          </w:rPr>
          <w:t>9</w:t>
        </w:r>
        <w:r w:rsidRPr="00EE0850">
          <w:rPr>
            <w:webHidden/>
          </w:rPr>
          <w:fldChar w:fldCharType="end"/>
        </w:r>
      </w:hyperlink>
    </w:p>
    <w:p w:rsidR="000B078F" w:rsidRPr="00EE0850" w:rsidRDefault="00F4408C" w:rsidP="00D006F2">
      <w:pPr>
        <w:pStyle w:val="TDC2"/>
        <w:spacing w:line="240" w:lineRule="auto"/>
        <w:rPr>
          <w:rFonts w:asciiTheme="minorHAnsi" w:eastAsiaTheme="minorEastAsia" w:hAnsiTheme="minorHAnsi" w:cstheme="minorBidi"/>
          <w:lang w:val="en-CA" w:eastAsia="en-CA"/>
        </w:rPr>
      </w:pPr>
      <w:hyperlink w:anchor="_Toc256227" w:history="1">
        <w:r w:rsidR="00683886">
          <w:rPr>
            <w:rStyle w:val="Hipervnculo"/>
          </w:rPr>
          <w:t>T</w:t>
        </w:r>
        <w:r w:rsidR="00C5397F" w:rsidRPr="00EE0850">
          <w:rPr>
            <w:rStyle w:val="Hipervnculo"/>
          </w:rPr>
          <w:t>em</w:t>
        </w:r>
        <w:r w:rsidR="00683886">
          <w:rPr>
            <w:rStyle w:val="Hipervnculo"/>
          </w:rPr>
          <w:t>a</w:t>
        </w:r>
        <w:r w:rsidR="000B078F" w:rsidRPr="00EE0850">
          <w:rPr>
            <w:rStyle w:val="Hipervnculo"/>
          </w:rPr>
          <w:t xml:space="preserve"> 10.</w:t>
        </w:r>
        <w:r w:rsidR="000B078F" w:rsidRPr="00EE0850">
          <w:rPr>
            <w:rFonts w:asciiTheme="minorHAnsi" w:eastAsiaTheme="minorEastAsia" w:hAnsiTheme="minorHAnsi" w:cstheme="minorBidi"/>
            <w:lang w:val="en-CA" w:eastAsia="en-CA"/>
          </w:rPr>
          <w:tab/>
        </w:r>
        <w:r w:rsidR="004D1D82">
          <w:rPr>
            <w:rStyle w:val="Hipervnculo"/>
          </w:rPr>
          <w:t xml:space="preserve">El Centro de Intercambio de Información sobre </w:t>
        </w:r>
        <w:r w:rsidR="000B078F" w:rsidRPr="00EE0850">
          <w:rPr>
            <w:rStyle w:val="Hipervnculo"/>
          </w:rPr>
          <w:t>Acces</w:t>
        </w:r>
        <w:r w:rsidR="004D1D82">
          <w:rPr>
            <w:rStyle w:val="Hipervnculo"/>
          </w:rPr>
          <w:t xml:space="preserve">o y Participación en los </w:t>
        </w:r>
        <w:r w:rsidR="000B078F" w:rsidRPr="00EE0850">
          <w:rPr>
            <w:rStyle w:val="Hipervnculo"/>
          </w:rPr>
          <w:t>Benefi</w:t>
        </w:r>
        <w:r w:rsidR="004D1D82">
          <w:rPr>
            <w:rStyle w:val="Hipervnculo"/>
          </w:rPr>
          <w:t>cios e Intercambio de Información</w:t>
        </w:r>
        <w:r w:rsidR="000B078F" w:rsidRPr="00EE0850">
          <w:rPr>
            <w:rStyle w:val="Hipervnculo"/>
          </w:rPr>
          <w:t xml:space="preserve"> (</w:t>
        </w:r>
        <w:r w:rsidR="004D1D82">
          <w:rPr>
            <w:rStyle w:val="Hipervnculo"/>
          </w:rPr>
          <w:t>a</w:t>
        </w:r>
        <w:r w:rsidR="000B078F" w:rsidRPr="00EE0850">
          <w:rPr>
            <w:rStyle w:val="Hipervnculo"/>
          </w:rPr>
          <w:t>rt</w:t>
        </w:r>
        <w:r w:rsidR="004D1D82">
          <w:rPr>
            <w:rStyle w:val="Hipervnculo"/>
          </w:rPr>
          <w:t>í</w:t>
        </w:r>
        <w:r w:rsidR="000B078F" w:rsidRPr="00EE0850">
          <w:rPr>
            <w:rStyle w:val="Hipervnculo"/>
          </w:rPr>
          <w:t>c</w:t>
        </w:r>
        <w:r w:rsidR="004D1D82">
          <w:rPr>
            <w:rStyle w:val="Hipervnculo"/>
          </w:rPr>
          <w:t>u</w:t>
        </w:r>
        <w:r w:rsidR="000B078F" w:rsidRPr="00EE0850">
          <w:rPr>
            <w:rStyle w:val="Hipervnculo"/>
          </w:rPr>
          <w:t>l</w:t>
        </w:r>
        <w:r w:rsidR="004D1D82">
          <w:rPr>
            <w:rStyle w:val="Hipervnculo"/>
          </w:rPr>
          <w:t>o</w:t>
        </w:r>
        <w:r w:rsidR="000B078F" w:rsidRPr="00EE0850">
          <w:rPr>
            <w:rStyle w:val="Hipervnculo"/>
          </w:rPr>
          <w:t xml:space="preserve"> 14)</w:t>
        </w:r>
        <w:r w:rsidR="000B078F" w:rsidRPr="00EE0850">
          <w:rPr>
            <w:webHidden/>
          </w:rPr>
          <w:tab/>
        </w:r>
        <w:r w:rsidR="00C5397F" w:rsidRPr="00EE0850">
          <w:rPr>
            <w:webHidden/>
          </w:rPr>
          <w:tab/>
        </w:r>
        <w:r w:rsidRPr="00EE0850">
          <w:rPr>
            <w:webHidden/>
          </w:rPr>
          <w:fldChar w:fldCharType="begin"/>
        </w:r>
        <w:r w:rsidR="000B078F" w:rsidRPr="00EE0850">
          <w:rPr>
            <w:webHidden/>
          </w:rPr>
          <w:instrText xml:space="preserve"> PAGEREF _Toc256227 \h </w:instrText>
        </w:r>
        <w:r w:rsidRPr="00EE0850">
          <w:rPr>
            <w:webHidden/>
          </w:rPr>
        </w:r>
        <w:r w:rsidRPr="00EE0850">
          <w:rPr>
            <w:webHidden/>
          </w:rPr>
          <w:fldChar w:fldCharType="separate"/>
        </w:r>
        <w:r w:rsidR="00DD1A58">
          <w:rPr>
            <w:webHidden/>
          </w:rPr>
          <w:t>5</w:t>
        </w:r>
        <w:r w:rsidR="008C1F6C">
          <w:rPr>
            <w:webHidden/>
          </w:rPr>
          <w:t>9</w:t>
        </w:r>
        <w:r w:rsidRPr="00EE0850">
          <w:rPr>
            <w:webHidden/>
          </w:rPr>
          <w:fldChar w:fldCharType="end"/>
        </w:r>
      </w:hyperlink>
    </w:p>
    <w:p w:rsidR="000B078F" w:rsidRPr="00EE0850" w:rsidRDefault="00F4408C" w:rsidP="00D006F2">
      <w:pPr>
        <w:pStyle w:val="TDC2"/>
        <w:spacing w:line="240" w:lineRule="auto"/>
        <w:rPr>
          <w:rFonts w:asciiTheme="minorHAnsi" w:eastAsiaTheme="minorEastAsia" w:hAnsiTheme="minorHAnsi" w:cstheme="minorBidi"/>
          <w:lang w:val="en-CA" w:eastAsia="en-CA"/>
        </w:rPr>
      </w:pPr>
      <w:hyperlink w:anchor="_Toc256228" w:history="1">
        <w:r w:rsidR="004D1D82">
          <w:rPr>
            <w:rStyle w:val="Hipervnculo"/>
          </w:rPr>
          <w:t>T</w:t>
        </w:r>
        <w:r w:rsidR="00C5397F" w:rsidRPr="00EE0850">
          <w:rPr>
            <w:rStyle w:val="Hipervnculo"/>
          </w:rPr>
          <w:t>em</w:t>
        </w:r>
        <w:r w:rsidR="004D1D82">
          <w:rPr>
            <w:rStyle w:val="Hipervnculo"/>
          </w:rPr>
          <w:t>a</w:t>
        </w:r>
        <w:r w:rsidR="000B078F" w:rsidRPr="00EE0850">
          <w:rPr>
            <w:rStyle w:val="Hipervnculo"/>
          </w:rPr>
          <w:t xml:space="preserve"> 11.</w:t>
        </w:r>
        <w:r w:rsidR="000B078F" w:rsidRPr="00EE0850">
          <w:rPr>
            <w:rFonts w:asciiTheme="minorHAnsi" w:eastAsiaTheme="minorEastAsia" w:hAnsiTheme="minorHAnsi" w:cstheme="minorBidi"/>
            <w:lang w:val="en-CA" w:eastAsia="en-CA"/>
          </w:rPr>
          <w:tab/>
        </w:r>
        <w:r w:rsidR="004D1D82">
          <w:rPr>
            <w:rStyle w:val="Hipervnculo"/>
          </w:rPr>
          <w:t xml:space="preserve">Vigilancia y presentación </w:t>
        </w:r>
        <w:r w:rsidR="000B078F" w:rsidRPr="00EE0850">
          <w:rPr>
            <w:rStyle w:val="Hipervnculo"/>
          </w:rPr>
          <w:t>d</w:t>
        </w:r>
        <w:r w:rsidR="004D1D82">
          <w:rPr>
            <w:rStyle w:val="Hipervnculo"/>
          </w:rPr>
          <w:t>e</w:t>
        </w:r>
        <w:r w:rsidR="000B078F" w:rsidRPr="00EE0850">
          <w:rPr>
            <w:rStyle w:val="Hipervnculo"/>
          </w:rPr>
          <w:t xml:space="preserve"> </w:t>
        </w:r>
        <w:r w:rsidR="004D1D82">
          <w:rPr>
            <w:rStyle w:val="Hipervnculo"/>
          </w:rPr>
          <w:t>inf</w:t>
        </w:r>
        <w:r w:rsidR="000B078F" w:rsidRPr="00EE0850">
          <w:rPr>
            <w:rStyle w:val="Hipervnculo"/>
          </w:rPr>
          <w:t>or</w:t>
        </w:r>
        <w:r w:rsidR="004D1D82">
          <w:rPr>
            <w:rStyle w:val="Hipervnculo"/>
          </w:rPr>
          <w:t>mes</w:t>
        </w:r>
        <w:r w:rsidR="000B078F" w:rsidRPr="00EE0850">
          <w:rPr>
            <w:rStyle w:val="Hipervnculo"/>
          </w:rPr>
          <w:t xml:space="preserve"> (</w:t>
        </w:r>
        <w:r w:rsidR="004D1D82">
          <w:rPr>
            <w:rStyle w:val="Hipervnculo"/>
          </w:rPr>
          <w:t>a</w:t>
        </w:r>
        <w:r w:rsidR="000B078F" w:rsidRPr="00EE0850">
          <w:rPr>
            <w:rStyle w:val="Hipervnculo"/>
          </w:rPr>
          <w:t>rt</w:t>
        </w:r>
        <w:r w:rsidR="004D1D82">
          <w:rPr>
            <w:rStyle w:val="Hipervnculo"/>
          </w:rPr>
          <w:t>í</w:t>
        </w:r>
        <w:r w:rsidR="000B078F" w:rsidRPr="00EE0850">
          <w:rPr>
            <w:rStyle w:val="Hipervnculo"/>
          </w:rPr>
          <w:t>c</w:t>
        </w:r>
        <w:r w:rsidR="004D1D82">
          <w:rPr>
            <w:rStyle w:val="Hipervnculo"/>
          </w:rPr>
          <w:t>u</w:t>
        </w:r>
        <w:r w:rsidR="000B078F" w:rsidRPr="00EE0850">
          <w:rPr>
            <w:rStyle w:val="Hipervnculo"/>
          </w:rPr>
          <w:t>l</w:t>
        </w:r>
        <w:r w:rsidR="004D1D82">
          <w:rPr>
            <w:rStyle w:val="Hipervnculo"/>
          </w:rPr>
          <w:t>o</w:t>
        </w:r>
        <w:r w:rsidR="000B078F" w:rsidRPr="00EE0850">
          <w:rPr>
            <w:rStyle w:val="Hipervnculo"/>
          </w:rPr>
          <w:t xml:space="preserve"> 29)</w:t>
        </w:r>
        <w:r w:rsidR="000B078F" w:rsidRPr="00EE0850">
          <w:rPr>
            <w:webHidden/>
          </w:rPr>
          <w:tab/>
        </w:r>
        <w:r w:rsidRPr="00EE0850">
          <w:rPr>
            <w:webHidden/>
          </w:rPr>
          <w:fldChar w:fldCharType="begin"/>
        </w:r>
        <w:r w:rsidR="000B078F" w:rsidRPr="00EE0850">
          <w:rPr>
            <w:webHidden/>
          </w:rPr>
          <w:instrText xml:space="preserve"> PAGEREF _Toc256228 \h </w:instrText>
        </w:r>
        <w:r w:rsidRPr="00EE0850">
          <w:rPr>
            <w:webHidden/>
          </w:rPr>
        </w:r>
        <w:r w:rsidRPr="00EE0850">
          <w:rPr>
            <w:webHidden/>
          </w:rPr>
          <w:fldChar w:fldCharType="separate"/>
        </w:r>
        <w:r w:rsidR="008C1F6C">
          <w:rPr>
            <w:webHidden/>
          </w:rPr>
          <w:t>60</w:t>
        </w:r>
        <w:r w:rsidRPr="00EE0850">
          <w:rPr>
            <w:webHidden/>
          </w:rPr>
          <w:fldChar w:fldCharType="end"/>
        </w:r>
      </w:hyperlink>
    </w:p>
    <w:p w:rsidR="000B078F" w:rsidRPr="00EE0850" w:rsidRDefault="00F4408C" w:rsidP="00D006F2">
      <w:pPr>
        <w:pStyle w:val="TDC2"/>
        <w:spacing w:line="240" w:lineRule="auto"/>
        <w:rPr>
          <w:rFonts w:asciiTheme="minorHAnsi" w:eastAsiaTheme="minorEastAsia" w:hAnsiTheme="minorHAnsi" w:cstheme="minorBidi"/>
          <w:lang w:val="en-CA" w:eastAsia="en-CA"/>
        </w:rPr>
      </w:pPr>
      <w:hyperlink w:anchor="_Toc256229" w:history="1">
        <w:r w:rsidR="004D1D82">
          <w:rPr>
            <w:rStyle w:val="Hipervnculo"/>
          </w:rPr>
          <w:t>T</w:t>
        </w:r>
        <w:r w:rsidR="00C5397F" w:rsidRPr="00EE0850">
          <w:rPr>
            <w:rStyle w:val="Hipervnculo"/>
          </w:rPr>
          <w:t>em</w:t>
        </w:r>
        <w:r w:rsidR="004D1D82">
          <w:rPr>
            <w:rStyle w:val="Hipervnculo"/>
          </w:rPr>
          <w:t>a</w:t>
        </w:r>
        <w:r w:rsidR="000B078F" w:rsidRPr="00EE0850">
          <w:rPr>
            <w:rStyle w:val="Hipervnculo"/>
          </w:rPr>
          <w:t xml:space="preserve"> 12.</w:t>
        </w:r>
        <w:r w:rsidR="000B078F" w:rsidRPr="00EE0850">
          <w:rPr>
            <w:rFonts w:asciiTheme="minorHAnsi" w:eastAsiaTheme="minorEastAsia" w:hAnsiTheme="minorHAnsi" w:cstheme="minorBidi"/>
            <w:lang w:val="en-CA" w:eastAsia="en-CA"/>
          </w:rPr>
          <w:tab/>
        </w:r>
        <w:r w:rsidR="000B078F" w:rsidRPr="00EE0850">
          <w:rPr>
            <w:rStyle w:val="Hipervnculo"/>
          </w:rPr>
          <w:t>Me</w:t>
        </w:r>
        <w:r w:rsidR="004D1D82">
          <w:rPr>
            <w:rStyle w:val="Hipervnculo"/>
          </w:rPr>
          <w:t>did</w:t>
        </w:r>
        <w:r w:rsidR="000B078F" w:rsidRPr="00EE0850">
          <w:rPr>
            <w:rStyle w:val="Hipervnculo"/>
          </w:rPr>
          <w:t>as</w:t>
        </w:r>
        <w:r w:rsidR="004D1D82">
          <w:rPr>
            <w:rStyle w:val="Hipervnculo"/>
          </w:rPr>
          <w:t xml:space="preserve"> para</w:t>
        </w:r>
        <w:r w:rsidR="000B078F" w:rsidRPr="00EE0850">
          <w:rPr>
            <w:rStyle w:val="Hipervnculo"/>
          </w:rPr>
          <w:t xml:space="preserve"> </w:t>
        </w:r>
        <w:r w:rsidR="004D1D82">
          <w:rPr>
            <w:rStyle w:val="Hipervnculo"/>
          </w:rPr>
          <w:t>aumentar la conc</w:t>
        </w:r>
        <w:r w:rsidR="000B078F" w:rsidRPr="00EE0850">
          <w:rPr>
            <w:rStyle w:val="Hipervnculo"/>
          </w:rPr>
          <w:t>ien</w:t>
        </w:r>
        <w:r w:rsidR="004D1D82">
          <w:rPr>
            <w:rStyle w:val="Hipervnculo"/>
          </w:rPr>
          <w:t xml:space="preserve">ciación acerca de la </w:t>
        </w:r>
        <w:r w:rsidR="000B078F" w:rsidRPr="00EE0850">
          <w:rPr>
            <w:rStyle w:val="Hipervnculo"/>
          </w:rPr>
          <w:t>importanc</w:t>
        </w:r>
        <w:r w:rsidR="004D1D82">
          <w:rPr>
            <w:rStyle w:val="Hipervnculo"/>
          </w:rPr>
          <w:t xml:space="preserve">ia de los recursos </w:t>
        </w:r>
        <w:r w:rsidR="000B078F" w:rsidRPr="00EE0850">
          <w:rPr>
            <w:rStyle w:val="Hipervnculo"/>
          </w:rPr>
          <w:t>gen</w:t>
        </w:r>
        <w:r w:rsidR="004D1D82">
          <w:rPr>
            <w:rStyle w:val="Hipervnculo"/>
          </w:rPr>
          <w:t>é</w:t>
        </w:r>
        <w:r w:rsidR="000B078F" w:rsidRPr="00EE0850">
          <w:rPr>
            <w:rStyle w:val="Hipervnculo"/>
          </w:rPr>
          <w:t xml:space="preserve">ticos </w:t>
        </w:r>
        <w:r w:rsidR="004D1D82">
          <w:rPr>
            <w:rStyle w:val="Hipervnculo"/>
          </w:rPr>
          <w:t xml:space="preserve">y conocimientos tradicionales </w:t>
        </w:r>
        <w:r w:rsidR="000B078F" w:rsidRPr="00EE0850">
          <w:rPr>
            <w:rStyle w:val="Hipervnculo"/>
          </w:rPr>
          <w:t>asocia</w:t>
        </w:r>
        <w:r w:rsidR="004D1D82">
          <w:rPr>
            <w:rStyle w:val="Hipervnculo"/>
          </w:rPr>
          <w:t>dos</w:t>
        </w:r>
        <w:r w:rsidR="000B078F" w:rsidRPr="00EE0850">
          <w:rPr>
            <w:rStyle w:val="Hipervnculo"/>
          </w:rPr>
          <w:t xml:space="preserve"> (</w:t>
        </w:r>
        <w:r w:rsidR="004D1D82">
          <w:rPr>
            <w:rStyle w:val="Hipervnculo"/>
          </w:rPr>
          <w:t>a</w:t>
        </w:r>
        <w:r w:rsidR="000B078F" w:rsidRPr="00EE0850">
          <w:rPr>
            <w:rStyle w:val="Hipervnculo"/>
          </w:rPr>
          <w:t>rt</w:t>
        </w:r>
        <w:r w:rsidR="004D1D82">
          <w:rPr>
            <w:rStyle w:val="Hipervnculo"/>
          </w:rPr>
          <w:t>í</w:t>
        </w:r>
        <w:r w:rsidR="000B078F" w:rsidRPr="00EE0850">
          <w:rPr>
            <w:rStyle w:val="Hipervnculo"/>
          </w:rPr>
          <w:t>c</w:t>
        </w:r>
        <w:r w:rsidR="004D1D82">
          <w:rPr>
            <w:rStyle w:val="Hipervnculo"/>
          </w:rPr>
          <w:t>u</w:t>
        </w:r>
        <w:r w:rsidR="000B078F" w:rsidRPr="00EE0850">
          <w:rPr>
            <w:rStyle w:val="Hipervnculo"/>
          </w:rPr>
          <w:t>l</w:t>
        </w:r>
        <w:r w:rsidR="004D1D82">
          <w:rPr>
            <w:rStyle w:val="Hipervnculo"/>
          </w:rPr>
          <w:t>o</w:t>
        </w:r>
        <w:r w:rsidR="000B078F" w:rsidRPr="00EE0850">
          <w:rPr>
            <w:rStyle w:val="Hipervnculo"/>
          </w:rPr>
          <w:t xml:space="preserve"> 21)</w:t>
        </w:r>
        <w:r w:rsidR="000B078F" w:rsidRPr="00EE0850">
          <w:rPr>
            <w:webHidden/>
          </w:rPr>
          <w:tab/>
        </w:r>
        <w:r w:rsidRPr="00EE0850">
          <w:rPr>
            <w:webHidden/>
          </w:rPr>
          <w:fldChar w:fldCharType="begin"/>
        </w:r>
        <w:r w:rsidR="000B078F" w:rsidRPr="00EE0850">
          <w:rPr>
            <w:webHidden/>
          </w:rPr>
          <w:instrText xml:space="preserve"> PAGEREF _Toc256229 \h </w:instrText>
        </w:r>
        <w:r w:rsidRPr="00EE0850">
          <w:rPr>
            <w:webHidden/>
          </w:rPr>
        </w:r>
        <w:r w:rsidRPr="00EE0850">
          <w:rPr>
            <w:webHidden/>
          </w:rPr>
          <w:fldChar w:fldCharType="separate"/>
        </w:r>
        <w:r w:rsidR="008C1F6C">
          <w:rPr>
            <w:webHidden/>
          </w:rPr>
          <w:t>61</w:t>
        </w:r>
        <w:r w:rsidRPr="00EE0850">
          <w:rPr>
            <w:webHidden/>
          </w:rPr>
          <w:fldChar w:fldCharType="end"/>
        </w:r>
      </w:hyperlink>
    </w:p>
    <w:p w:rsidR="000B078F" w:rsidRPr="00EE0850" w:rsidRDefault="00F4408C" w:rsidP="00D006F2">
      <w:pPr>
        <w:pStyle w:val="TDC2"/>
        <w:spacing w:line="240" w:lineRule="auto"/>
        <w:rPr>
          <w:rFonts w:asciiTheme="minorHAnsi" w:eastAsiaTheme="minorEastAsia" w:hAnsiTheme="minorHAnsi" w:cstheme="minorBidi"/>
          <w:lang w:val="en-CA" w:eastAsia="en-CA"/>
        </w:rPr>
      </w:pPr>
      <w:hyperlink w:anchor="_Toc256230" w:history="1">
        <w:r w:rsidR="004D1D82">
          <w:rPr>
            <w:rStyle w:val="Hipervnculo"/>
          </w:rPr>
          <w:t>T</w:t>
        </w:r>
        <w:r w:rsidR="00C5397F" w:rsidRPr="00EE0850">
          <w:rPr>
            <w:rStyle w:val="Hipervnculo"/>
          </w:rPr>
          <w:t>em</w:t>
        </w:r>
        <w:r w:rsidR="004D1D82">
          <w:rPr>
            <w:rStyle w:val="Hipervnculo"/>
          </w:rPr>
          <w:t>a</w:t>
        </w:r>
        <w:r w:rsidR="000B078F" w:rsidRPr="00EE0850">
          <w:rPr>
            <w:rStyle w:val="Hipervnculo"/>
          </w:rPr>
          <w:t xml:space="preserve"> 13.</w:t>
        </w:r>
        <w:r w:rsidR="000B078F" w:rsidRPr="00EE0850">
          <w:rPr>
            <w:rFonts w:asciiTheme="minorHAnsi" w:eastAsiaTheme="minorEastAsia" w:hAnsiTheme="minorHAnsi" w:cstheme="minorBidi"/>
            <w:lang w:val="en-CA" w:eastAsia="en-CA"/>
          </w:rPr>
          <w:tab/>
        </w:r>
        <w:r w:rsidR="004D1D82">
          <w:rPr>
            <w:rStyle w:val="Hipervnculo"/>
          </w:rPr>
          <w:t xml:space="preserve">Mayor </w:t>
        </w:r>
        <w:r w:rsidR="000B078F" w:rsidRPr="00EE0850">
          <w:rPr>
            <w:rStyle w:val="Hipervnculo"/>
          </w:rPr>
          <w:t>integra</w:t>
        </w:r>
        <w:r w:rsidR="004D1D82">
          <w:rPr>
            <w:rStyle w:val="Hipervnculo"/>
          </w:rPr>
          <w:t>c</w:t>
        </w:r>
        <w:r w:rsidR="000B078F" w:rsidRPr="00EE0850">
          <w:rPr>
            <w:rStyle w:val="Hipervnculo"/>
          </w:rPr>
          <w:t>i</w:t>
        </w:r>
        <w:r w:rsidR="004D1D82">
          <w:rPr>
            <w:rStyle w:val="Hipervnculo"/>
          </w:rPr>
          <w:t>ó</w:t>
        </w:r>
        <w:r w:rsidR="000B078F" w:rsidRPr="00EE0850">
          <w:rPr>
            <w:rStyle w:val="Hipervnculo"/>
          </w:rPr>
          <w:t xml:space="preserve">n </w:t>
        </w:r>
        <w:r w:rsidR="004D1D82">
          <w:rPr>
            <w:rStyle w:val="Hipervnculo"/>
          </w:rPr>
          <w:t xml:space="preserve">en el marco del </w:t>
        </w:r>
        <w:r w:rsidR="000B078F" w:rsidRPr="00EE0850">
          <w:rPr>
            <w:rStyle w:val="Hipervnculo"/>
          </w:rPr>
          <w:t>Convenio</w:t>
        </w:r>
        <w:r w:rsidR="004D1D82">
          <w:rPr>
            <w:rStyle w:val="Hipervnculo"/>
          </w:rPr>
          <w:t xml:space="preserve"> y su</w:t>
        </w:r>
        <w:r w:rsidR="000B078F" w:rsidRPr="00EE0850">
          <w:rPr>
            <w:rStyle w:val="Hipervnculo"/>
          </w:rPr>
          <w:t>s Protocol</w:t>
        </w:r>
        <w:r w:rsidR="004D1D82">
          <w:rPr>
            <w:rStyle w:val="Hipervnculo"/>
          </w:rPr>
          <w:t>o</w:t>
        </w:r>
        <w:r w:rsidR="000B078F" w:rsidRPr="00EE0850">
          <w:rPr>
            <w:rStyle w:val="Hipervnculo"/>
          </w:rPr>
          <w:t xml:space="preserve">s </w:t>
        </w:r>
        <w:r w:rsidR="004D1D82">
          <w:rPr>
            <w:rStyle w:val="Hipervnculo"/>
          </w:rPr>
          <w:t xml:space="preserve">con </w:t>
        </w:r>
        <w:r w:rsidR="000B078F" w:rsidRPr="00EE0850">
          <w:rPr>
            <w:rStyle w:val="Hipervnculo"/>
          </w:rPr>
          <w:t>respect</w:t>
        </w:r>
        <w:r w:rsidR="00BA3D79">
          <w:rPr>
            <w:rStyle w:val="Hipervnculo"/>
          </w:rPr>
          <w:t xml:space="preserve">o a </w:t>
        </w:r>
        <w:r w:rsidR="004D1D82">
          <w:rPr>
            <w:rStyle w:val="Hipervnculo"/>
          </w:rPr>
          <w:t xml:space="preserve">disposiciones </w:t>
        </w:r>
        <w:r w:rsidR="000B078F" w:rsidRPr="00EE0850">
          <w:rPr>
            <w:rStyle w:val="Hipervnculo"/>
          </w:rPr>
          <w:t>rela</w:t>
        </w:r>
        <w:r w:rsidR="00BA3D79">
          <w:rPr>
            <w:rStyle w:val="Hipervnculo"/>
          </w:rPr>
          <w:t xml:space="preserve">cionadas con el </w:t>
        </w:r>
        <w:r w:rsidR="000B078F" w:rsidRPr="00EE0850">
          <w:rPr>
            <w:rStyle w:val="Hipervnculo"/>
          </w:rPr>
          <w:t>acces</w:t>
        </w:r>
        <w:r w:rsidR="00BA3D79">
          <w:rPr>
            <w:rStyle w:val="Hipervnculo"/>
          </w:rPr>
          <w:t xml:space="preserve">o y la participación en los </w:t>
        </w:r>
        <w:r w:rsidR="000B078F" w:rsidRPr="00EE0850">
          <w:rPr>
            <w:rStyle w:val="Hipervnculo"/>
          </w:rPr>
          <w:t>benefi</w:t>
        </w:r>
        <w:r w:rsidR="00BA3D79">
          <w:rPr>
            <w:rStyle w:val="Hipervnculo"/>
          </w:rPr>
          <w:t>cios</w:t>
        </w:r>
        <w:r w:rsidR="000B078F" w:rsidRPr="00EE0850">
          <w:rPr>
            <w:webHidden/>
          </w:rPr>
          <w:tab/>
        </w:r>
        <w:r w:rsidRPr="00EE0850">
          <w:rPr>
            <w:webHidden/>
          </w:rPr>
          <w:fldChar w:fldCharType="begin"/>
        </w:r>
        <w:r w:rsidR="000B078F" w:rsidRPr="00EE0850">
          <w:rPr>
            <w:webHidden/>
          </w:rPr>
          <w:instrText xml:space="preserve"> PAGEREF _Toc256230 \h </w:instrText>
        </w:r>
        <w:r w:rsidRPr="00EE0850">
          <w:rPr>
            <w:webHidden/>
          </w:rPr>
        </w:r>
        <w:r w:rsidRPr="00EE0850">
          <w:rPr>
            <w:webHidden/>
          </w:rPr>
          <w:fldChar w:fldCharType="separate"/>
        </w:r>
        <w:r w:rsidR="008C1F6C">
          <w:rPr>
            <w:webHidden/>
          </w:rPr>
          <w:t>61</w:t>
        </w:r>
        <w:r w:rsidRPr="00EE0850">
          <w:rPr>
            <w:webHidden/>
          </w:rPr>
          <w:fldChar w:fldCharType="end"/>
        </w:r>
      </w:hyperlink>
    </w:p>
    <w:p w:rsidR="000B078F" w:rsidRPr="00EE0850" w:rsidRDefault="00F4408C" w:rsidP="00D006F2">
      <w:pPr>
        <w:pStyle w:val="TDC2"/>
        <w:spacing w:line="240" w:lineRule="auto"/>
        <w:rPr>
          <w:rFonts w:asciiTheme="minorHAnsi" w:eastAsiaTheme="minorEastAsia" w:hAnsiTheme="minorHAnsi" w:cstheme="minorBidi"/>
          <w:lang w:val="en-CA" w:eastAsia="en-CA"/>
        </w:rPr>
      </w:pPr>
      <w:hyperlink w:anchor="_Toc256231" w:history="1">
        <w:r w:rsidR="00BA3D79">
          <w:rPr>
            <w:rStyle w:val="Hipervnculo"/>
          </w:rPr>
          <w:t>T</w:t>
        </w:r>
        <w:r w:rsidR="00C5397F" w:rsidRPr="00EE0850">
          <w:rPr>
            <w:rStyle w:val="Hipervnculo"/>
          </w:rPr>
          <w:t>em</w:t>
        </w:r>
        <w:r w:rsidR="00BA3D79">
          <w:rPr>
            <w:rStyle w:val="Hipervnculo"/>
          </w:rPr>
          <w:t>a</w:t>
        </w:r>
        <w:r w:rsidR="000B078F" w:rsidRPr="00EE0850">
          <w:rPr>
            <w:rStyle w:val="Hipervnculo"/>
          </w:rPr>
          <w:t xml:space="preserve"> 14.</w:t>
        </w:r>
        <w:r w:rsidR="000B078F" w:rsidRPr="00EE0850">
          <w:rPr>
            <w:rFonts w:asciiTheme="minorHAnsi" w:eastAsiaTheme="minorEastAsia" w:hAnsiTheme="minorHAnsi" w:cstheme="minorBidi"/>
            <w:lang w:val="en-CA" w:eastAsia="en-CA"/>
          </w:rPr>
          <w:tab/>
        </w:r>
        <w:r w:rsidR="000B078F" w:rsidRPr="00EE0850">
          <w:rPr>
            <w:rStyle w:val="Hipervnculo"/>
          </w:rPr>
          <w:t>Coopera</w:t>
        </w:r>
        <w:r w:rsidR="00BA3D79">
          <w:rPr>
            <w:rStyle w:val="Hipervnculo"/>
          </w:rPr>
          <w:t>c</w:t>
        </w:r>
        <w:r w:rsidR="000B078F" w:rsidRPr="00EE0850">
          <w:rPr>
            <w:rStyle w:val="Hipervnculo"/>
          </w:rPr>
          <w:t>i</w:t>
        </w:r>
        <w:r w:rsidR="00BA3D79">
          <w:rPr>
            <w:rStyle w:val="Hipervnculo"/>
          </w:rPr>
          <w:t>ó</w:t>
        </w:r>
        <w:r w:rsidR="000B078F" w:rsidRPr="00EE0850">
          <w:rPr>
            <w:rStyle w:val="Hipervnculo"/>
          </w:rPr>
          <w:t xml:space="preserve">n </w:t>
        </w:r>
        <w:r w:rsidR="00BA3D79">
          <w:rPr>
            <w:rStyle w:val="Hipervnculo"/>
          </w:rPr>
          <w:t>con</w:t>
        </w:r>
        <w:r w:rsidR="000B078F" w:rsidRPr="00EE0850">
          <w:rPr>
            <w:rStyle w:val="Hipervnculo"/>
          </w:rPr>
          <w:t xml:space="preserve"> ot</w:t>
        </w:r>
        <w:r w:rsidR="00BA3D79">
          <w:rPr>
            <w:rStyle w:val="Hipervnculo"/>
          </w:rPr>
          <w:t>ros convenios, organizaciones e iniciativas internacional</w:t>
        </w:r>
        <w:r w:rsidR="000B078F" w:rsidRPr="00EE0850">
          <w:rPr>
            <w:rStyle w:val="Hipervnculo"/>
          </w:rPr>
          <w:t>es</w:t>
        </w:r>
        <w:r w:rsidR="000B078F" w:rsidRPr="00EE0850">
          <w:rPr>
            <w:webHidden/>
          </w:rPr>
          <w:tab/>
        </w:r>
        <w:r w:rsidRPr="00EE0850">
          <w:rPr>
            <w:webHidden/>
          </w:rPr>
          <w:fldChar w:fldCharType="begin"/>
        </w:r>
        <w:r w:rsidR="000B078F" w:rsidRPr="00EE0850">
          <w:rPr>
            <w:webHidden/>
          </w:rPr>
          <w:instrText xml:space="preserve"> PAGEREF _Toc256231 \h </w:instrText>
        </w:r>
        <w:r w:rsidRPr="00EE0850">
          <w:rPr>
            <w:webHidden/>
          </w:rPr>
        </w:r>
        <w:r w:rsidRPr="00EE0850">
          <w:rPr>
            <w:webHidden/>
          </w:rPr>
          <w:fldChar w:fldCharType="separate"/>
        </w:r>
        <w:r w:rsidR="008C1F6C">
          <w:rPr>
            <w:webHidden/>
          </w:rPr>
          <w:t>62</w:t>
        </w:r>
        <w:r w:rsidRPr="00EE0850">
          <w:rPr>
            <w:webHidden/>
          </w:rPr>
          <w:fldChar w:fldCharType="end"/>
        </w:r>
      </w:hyperlink>
    </w:p>
    <w:p w:rsidR="000B078F" w:rsidRPr="00EE0850" w:rsidRDefault="00F4408C" w:rsidP="00D006F2">
      <w:pPr>
        <w:pStyle w:val="TDC2"/>
        <w:spacing w:line="240" w:lineRule="auto"/>
        <w:rPr>
          <w:rFonts w:asciiTheme="minorHAnsi" w:eastAsiaTheme="minorEastAsia" w:hAnsiTheme="minorHAnsi" w:cstheme="minorBidi"/>
          <w:lang w:val="en-CA" w:eastAsia="en-CA"/>
        </w:rPr>
      </w:pPr>
      <w:hyperlink w:anchor="_Toc256232" w:history="1">
        <w:r w:rsidR="00BA3D79">
          <w:rPr>
            <w:rStyle w:val="Hipervnculo"/>
          </w:rPr>
          <w:t>T</w:t>
        </w:r>
        <w:r w:rsidR="00C5397F" w:rsidRPr="00EE0850">
          <w:rPr>
            <w:rStyle w:val="Hipervnculo"/>
          </w:rPr>
          <w:t>em</w:t>
        </w:r>
        <w:r w:rsidR="00BA3D79">
          <w:rPr>
            <w:rStyle w:val="Hipervnculo"/>
          </w:rPr>
          <w:t>a</w:t>
        </w:r>
        <w:r w:rsidR="000B078F" w:rsidRPr="00EE0850">
          <w:rPr>
            <w:rStyle w:val="Hipervnculo"/>
          </w:rPr>
          <w:t xml:space="preserve"> 15.</w:t>
        </w:r>
        <w:r w:rsidR="000B078F" w:rsidRPr="00EE0850">
          <w:rPr>
            <w:rFonts w:asciiTheme="minorHAnsi" w:eastAsiaTheme="minorEastAsia" w:hAnsiTheme="minorHAnsi" w:cstheme="minorBidi"/>
            <w:lang w:val="en-CA" w:eastAsia="en-CA"/>
          </w:rPr>
          <w:tab/>
        </w:r>
        <w:r w:rsidR="000B078F" w:rsidRPr="00EE0850">
          <w:rPr>
            <w:rStyle w:val="Hipervnculo"/>
          </w:rPr>
          <w:t>Revi</w:t>
        </w:r>
        <w:r w:rsidR="00BA3D79">
          <w:rPr>
            <w:rStyle w:val="Hipervnculo"/>
          </w:rPr>
          <w:t xml:space="preserve">sión de la </w:t>
        </w:r>
        <w:r w:rsidR="000B078F" w:rsidRPr="00EE0850">
          <w:rPr>
            <w:rStyle w:val="Hipervnculo"/>
          </w:rPr>
          <w:t>ef</w:t>
        </w:r>
        <w:r w:rsidR="00BA3D79">
          <w:rPr>
            <w:rStyle w:val="Hipervnculo"/>
          </w:rPr>
          <w:t>icac</w:t>
        </w:r>
        <w:r w:rsidR="000B078F" w:rsidRPr="00EE0850">
          <w:rPr>
            <w:rStyle w:val="Hipervnculo"/>
          </w:rPr>
          <w:t>i</w:t>
        </w:r>
        <w:r w:rsidR="00BA3D79">
          <w:rPr>
            <w:rStyle w:val="Hipervnculo"/>
          </w:rPr>
          <w:t>a de las e</w:t>
        </w:r>
        <w:r w:rsidR="000B078F" w:rsidRPr="00EE0850">
          <w:rPr>
            <w:rStyle w:val="Hipervnculo"/>
          </w:rPr>
          <w:t>structur</w:t>
        </w:r>
        <w:r w:rsidR="00BA3D79">
          <w:rPr>
            <w:rStyle w:val="Hipervnculo"/>
          </w:rPr>
          <w:t>a</w:t>
        </w:r>
        <w:r w:rsidR="000B078F" w:rsidRPr="00EE0850">
          <w:rPr>
            <w:rStyle w:val="Hipervnculo"/>
          </w:rPr>
          <w:t xml:space="preserve">s </w:t>
        </w:r>
        <w:r w:rsidR="00BA3D79">
          <w:rPr>
            <w:rStyle w:val="Hipervnculo"/>
          </w:rPr>
          <w:t>y los</w:t>
        </w:r>
        <w:r w:rsidR="000B078F" w:rsidRPr="00EE0850">
          <w:rPr>
            <w:rStyle w:val="Hipervnculo"/>
          </w:rPr>
          <w:t xml:space="preserve"> proces</w:t>
        </w:r>
        <w:r w:rsidR="00BA3D79">
          <w:rPr>
            <w:rStyle w:val="Hipervnculo"/>
          </w:rPr>
          <w:t>o</w:t>
        </w:r>
        <w:r w:rsidR="000B078F" w:rsidRPr="00EE0850">
          <w:rPr>
            <w:rStyle w:val="Hipervnculo"/>
          </w:rPr>
          <w:t>s</w:t>
        </w:r>
        <w:r w:rsidR="000B078F" w:rsidRPr="00EE0850">
          <w:rPr>
            <w:webHidden/>
          </w:rPr>
          <w:tab/>
        </w:r>
        <w:r w:rsidRPr="00EE0850">
          <w:rPr>
            <w:webHidden/>
          </w:rPr>
          <w:fldChar w:fldCharType="begin"/>
        </w:r>
        <w:r w:rsidR="000B078F" w:rsidRPr="00EE0850">
          <w:rPr>
            <w:webHidden/>
          </w:rPr>
          <w:instrText xml:space="preserve"> PAGEREF _Toc256232 \h </w:instrText>
        </w:r>
        <w:r w:rsidRPr="00EE0850">
          <w:rPr>
            <w:webHidden/>
          </w:rPr>
        </w:r>
        <w:r w:rsidRPr="00EE0850">
          <w:rPr>
            <w:webHidden/>
          </w:rPr>
          <w:fldChar w:fldCharType="separate"/>
        </w:r>
        <w:r w:rsidR="008C1F6C">
          <w:rPr>
            <w:webHidden/>
          </w:rPr>
          <w:t>63</w:t>
        </w:r>
        <w:r w:rsidRPr="00EE0850">
          <w:rPr>
            <w:webHidden/>
          </w:rPr>
          <w:fldChar w:fldCharType="end"/>
        </w:r>
      </w:hyperlink>
    </w:p>
    <w:p w:rsidR="000B078F" w:rsidRPr="00EE0850" w:rsidRDefault="00F4408C" w:rsidP="00D006F2">
      <w:pPr>
        <w:pStyle w:val="TDC2"/>
        <w:spacing w:line="240" w:lineRule="auto"/>
        <w:rPr>
          <w:rFonts w:asciiTheme="minorHAnsi" w:eastAsiaTheme="minorEastAsia" w:hAnsiTheme="minorHAnsi" w:cstheme="minorBidi"/>
          <w:lang w:val="en-CA" w:eastAsia="en-CA"/>
        </w:rPr>
      </w:pPr>
      <w:hyperlink w:anchor="_Toc256233" w:history="1">
        <w:r w:rsidR="00BA3D79">
          <w:rPr>
            <w:rStyle w:val="Hipervnculo"/>
          </w:rPr>
          <w:t>T</w:t>
        </w:r>
        <w:r w:rsidR="00C5397F" w:rsidRPr="00EE0850">
          <w:rPr>
            <w:rStyle w:val="Hipervnculo"/>
          </w:rPr>
          <w:t>em</w:t>
        </w:r>
        <w:r w:rsidR="00BA3D79">
          <w:rPr>
            <w:rStyle w:val="Hipervnculo"/>
          </w:rPr>
          <w:t>a</w:t>
        </w:r>
        <w:r w:rsidR="000B078F" w:rsidRPr="00EE0850">
          <w:rPr>
            <w:rStyle w:val="Hipervnculo"/>
          </w:rPr>
          <w:t xml:space="preserve"> 16.</w:t>
        </w:r>
        <w:r w:rsidR="000B078F" w:rsidRPr="00EE0850">
          <w:rPr>
            <w:rFonts w:asciiTheme="minorHAnsi" w:eastAsiaTheme="minorEastAsia" w:hAnsiTheme="minorHAnsi" w:cstheme="minorBidi"/>
            <w:lang w:val="en-CA" w:eastAsia="en-CA"/>
          </w:rPr>
          <w:tab/>
        </w:r>
        <w:r w:rsidR="000B078F" w:rsidRPr="00EE0850">
          <w:rPr>
            <w:rStyle w:val="Hipervnculo"/>
          </w:rPr>
          <w:t>P</w:t>
        </w:r>
        <w:r w:rsidR="00C5397F" w:rsidRPr="00EE0850">
          <w:rPr>
            <w:rStyle w:val="Hipervnculo"/>
          </w:rPr>
          <w:t>repara</w:t>
        </w:r>
        <w:r w:rsidR="00BA3D79">
          <w:rPr>
            <w:rStyle w:val="Hipervnculo"/>
          </w:rPr>
          <w:t>c</w:t>
        </w:r>
        <w:r w:rsidR="00C5397F" w:rsidRPr="00EE0850">
          <w:rPr>
            <w:rStyle w:val="Hipervnculo"/>
          </w:rPr>
          <w:t>i</w:t>
        </w:r>
        <w:r w:rsidR="00BA3D79">
          <w:rPr>
            <w:rStyle w:val="Hipervnculo"/>
          </w:rPr>
          <w:t>ó</w:t>
        </w:r>
        <w:r w:rsidR="00C5397F" w:rsidRPr="00EE0850">
          <w:rPr>
            <w:rStyle w:val="Hipervnculo"/>
          </w:rPr>
          <w:t xml:space="preserve">n </w:t>
        </w:r>
        <w:r w:rsidR="00BA3D79">
          <w:rPr>
            <w:rStyle w:val="Hipervnculo"/>
          </w:rPr>
          <w:t>para el seguimiento del Plan</w:t>
        </w:r>
        <w:r w:rsidR="00C5397F" w:rsidRPr="00EE0850">
          <w:rPr>
            <w:rStyle w:val="Hipervnculo"/>
          </w:rPr>
          <w:t xml:space="preserve"> </w:t>
        </w:r>
        <w:r w:rsidR="00BA3D79">
          <w:rPr>
            <w:rStyle w:val="Hipervnculo"/>
          </w:rPr>
          <w:t>Es</w:t>
        </w:r>
        <w:r w:rsidR="00C5397F" w:rsidRPr="00EE0850">
          <w:rPr>
            <w:rStyle w:val="Hipervnculo"/>
          </w:rPr>
          <w:t>trat</w:t>
        </w:r>
        <w:r w:rsidR="00BA3D79">
          <w:rPr>
            <w:rStyle w:val="Hipervnculo"/>
          </w:rPr>
          <w:t>é</w:t>
        </w:r>
        <w:r w:rsidR="00C5397F" w:rsidRPr="00EE0850">
          <w:rPr>
            <w:rStyle w:val="Hipervnculo"/>
          </w:rPr>
          <w:t>gic</w:t>
        </w:r>
        <w:r w:rsidR="00BA3D79">
          <w:rPr>
            <w:rStyle w:val="Hipervnculo"/>
          </w:rPr>
          <w:t xml:space="preserve">o para la Diversidad </w:t>
        </w:r>
        <w:r w:rsidR="00C5397F" w:rsidRPr="00EE0850">
          <w:rPr>
            <w:rStyle w:val="Hipervnculo"/>
          </w:rPr>
          <w:t>Bio</w:t>
        </w:r>
        <w:r w:rsidR="00BA3D79">
          <w:rPr>
            <w:rStyle w:val="Hipervnculo"/>
          </w:rPr>
          <w:t>lógica</w:t>
        </w:r>
        <w:r w:rsidR="00C5397F" w:rsidRPr="00EE0850">
          <w:rPr>
            <w:rStyle w:val="Hipervnculo"/>
          </w:rPr>
          <w:t xml:space="preserve"> 2011-2020</w:t>
        </w:r>
        <w:r w:rsidR="000B078F" w:rsidRPr="00EE0850">
          <w:rPr>
            <w:webHidden/>
          </w:rPr>
          <w:tab/>
        </w:r>
        <w:r w:rsidRPr="00EE0850">
          <w:rPr>
            <w:webHidden/>
          </w:rPr>
          <w:fldChar w:fldCharType="begin"/>
        </w:r>
        <w:r w:rsidR="000B078F" w:rsidRPr="00EE0850">
          <w:rPr>
            <w:webHidden/>
          </w:rPr>
          <w:instrText xml:space="preserve"> PAGEREF _Toc256233 \h </w:instrText>
        </w:r>
        <w:r w:rsidRPr="00EE0850">
          <w:rPr>
            <w:webHidden/>
          </w:rPr>
        </w:r>
        <w:r w:rsidRPr="00EE0850">
          <w:rPr>
            <w:webHidden/>
          </w:rPr>
          <w:fldChar w:fldCharType="separate"/>
        </w:r>
        <w:r w:rsidR="008C1F6C">
          <w:rPr>
            <w:webHidden/>
          </w:rPr>
          <w:t>64</w:t>
        </w:r>
        <w:r w:rsidRPr="00EE0850">
          <w:rPr>
            <w:webHidden/>
          </w:rPr>
          <w:fldChar w:fldCharType="end"/>
        </w:r>
      </w:hyperlink>
    </w:p>
    <w:p w:rsidR="000B078F" w:rsidRPr="00EE0850" w:rsidRDefault="00F4408C" w:rsidP="00D006F2">
      <w:pPr>
        <w:pStyle w:val="TDC2"/>
        <w:spacing w:line="240" w:lineRule="auto"/>
        <w:rPr>
          <w:rFonts w:asciiTheme="minorHAnsi" w:eastAsiaTheme="minorEastAsia" w:hAnsiTheme="minorHAnsi" w:cstheme="minorBidi"/>
          <w:lang w:val="en-CA" w:eastAsia="en-CA"/>
        </w:rPr>
      </w:pPr>
      <w:hyperlink w:anchor="_Toc256234" w:history="1">
        <w:r w:rsidR="00BA3D79">
          <w:rPr>
            <w:rStyle w:val="Hipervnculo"/>
          </w:rPr>
          <w:t>T</w:t>
        </w:r>
        <w:r w:rsidR="00C5397F" w:rsidRPr="00EE0850">
          <w:rPr>
            <w:rStyle w:val="Hipervnculo"/>
          </w:rPr>
          <w:t>em</w:t>
        </w:r>
        <w:r w:rsidR="00BA3D79">
          <w:rPr>
            <w:rStyle w:val="Hipervnculo"/>
          </w:rPr>
          <w:t>a</w:t>
        </w:r>
        <w:r w:rsidR="000B078F" w:rsidRPr="00EE0850">
          <w:rPr>
            <w:rStyle w:val="Hipervnculo"/>
          </w:rPr>
          <w:t xml:space="preserve"> 17.</w:t>
        </w:r>
        <w:r w:rsidR="000B078F" w:rsidRPr="00EE0850">
          <w:rPr>
            <w:rFonts w:asciiTheme="minorHAnsi" w:eastAsiaTheme="minorEastAsia" w:hAnsiTheme="minorHAnsi" w:cstheme="minorBidi"/>
            <w:lang w:val="en-CA" w:eastAsia="en-CA"/>
          </w:rPr>
          <w:tab/>
        </w:r>
        <w:r w:rsidR="00BA3D79">
          <w:rPr>
            <w:rStyle w:val="Hipervnculo"/>
          </w:rPr>
          <w:t>Información d</w:t>
        </w:r>
        <w:r w:rsidR="000B078F" w:rsidRPr="00EE0850">
          <w:rPr>
            <w:rStyle w:val="Hipervnculo"/>
          </w:rPr>
          <w:t xml:space="preserve">igital </w:t>
        </w:r>
        <w:r w:rsidR="00BA3D79">
          <w:rPr>
            <w:rStyle w:val="Hipervnculo"/>
          </w:rPr>
          <w:t>sobre sec</w:t>
        </w:r>
        <w:r w:rsidR="000B078F" w:rsidRPr="00EE0850">
          <w:rPr>
            <w:rStyle w:val="Hipervnculo"/>
          </w:rPr>
          <w:t>uenc</w:t>
        </w:r>
        <w:r w:rsidR="00BA3D79">
          <w:rPr>
            <w:rStyle w:val="Hipervnculo"/>
          </w:rPr>
          <w:t xml:space="preserve">ias de recursos </w:t>
        </w:r>
        <w:r w:rsidR="000B078F" w:rsidRPr="00EE0850">
          <w:rPr>
            <w:rStyle w:val="Hipervnculo"/>
          </w:rPr>
          <w:t>gen</w:t>
        </w:r>
        <w:r w:rsidR="00BA3D79">
          <w:rPr>
            <w:rStyle w:val="Hipervnculo"/>
          </w:rPr>
          <w:t>éticos</w:t>
        </w:r>
        <w:r w:rsidR="000B078F" w:rsidRPr="00EE0850">
          <w:rPr>
            <w:webHidden/>
          </w:rPr>
          <w:tab/>
        </w:r>
        <w:r w:rsidRPr="00EE0850">
          <w:rPr>
            <w:webHidden/>
          </w:rPr>
          <w:fldChar w:fldCharType="begin"/>
        </w:r>
        <w:r w:rsidR="000B078F" w:rsidRPr="00EE0850">
          <w:rPr>
            <w:webHidden/>
          </w:rPr>
          <w:instrText xml:space="preserve"> PAGEREF _Toc256234 \h </w:instrText>
        </w:r>
        <w:r w:rsidRPr="00EE0850">
          <w:rPr>
            <w:webHidden/>
          </w:rPr>
        </w:r>
        <w:r w:rsidRPr="00EE0850">
          <w:rPr>
            <w:webHidden/>
          </w:rPr>
          <w:fldChar w:fldCharType="separate"/>
        </w:r>
        <w:r w:rsidR="008C1F6C">
          <w:rPr>
            <w:webHidden/>
          </w:rPr>
          <w:t>65</w:t>
        </w:r>
        <w:r w:rsidRPr="00EE0850">
          <w:rPr>
            <w:webHidden/>
          </w:rPr>
          <w:fldChar w:fldCharType="end"/>
        </w:r>
      </w:hyperlink>
    </w:p>
    <w:p w:rsidR="000B078F" w:rsidRPr="00EE0850" w:rsidRDefault="00F4408C" w:rsidP="00D006F2">
      <w:pPr>
        <w:pStyle w:val="TDC2"/>
        <w:spacing w:line="240" w:lineRule="auto"/>
        <w:rPr>
          <w:rFonts w:asciiTheme="minorHAnsi" w:eastAsiaTheme="minorEastAsia" w:hAnsiTheme="minorHAnsi" w:cstheme="minorBidi"/>
          <w:lang w:val="en-CA" w:eastAsia="en-CA"/>
        </w:rPr>
      </w:pPr>
      <w:hyperlink w:anchor="_Toc256235" w:history="1">
        <w:r w:rsidR="00DB1970">
          <w:rPr>
            <w:rStyle w:val="Hipervnculo"/>
          </w:rPr>
          <w:t>T</w:t>
        </w:r>
        <w:r w:rsidR="00C5397F" w:rsidRPr="00EE0850">
          <w:rPr>
            <w:rStyle w:val="Hipervnculo"/>
          </w:rPr>
          <w:t>em</w:t>
        </w:r>
        <w:r w:rsidR="00DB1970">
          <w:rPr>
            <w:rStyle w:val="Hipervnculo"/>
          </w:rPr>
          <w:t>a</w:t>
        </w:r>
        <w:r w:rsidR="000B078F" w:rsidRPr="00EE0850">
          <w:rPr>
            <w:rStyle w:val="Hipervnculo"/>
          </w:rPr>
          <w:t xml:space="preserve"> 18.</w:t>
        </w:r>
        <w:r w:rsidR="000B078F" w:rsidRPr="00EE0850">
          <w:rPr>
            <w:rFonts w:asciiTheme="minorHAnsi" w:eastAsiaTheme="minorEastAsia" w:hAnsiTheme="minorHAnsi" w:cstheme="minorBidi"/>
            <w:lang w:val="en-CA" w:eastAsia="en-CA"/>
          </w:rPr>
          <w:tab/>
        </w:r>
        <w:r w:rsidR="00371BBD">
          <w:rPr>
            <w:rStyle w:val="Hipervnculo"/>
            <w:iCs/>
          </w:rPr>
          <w:t>Instrumentos internacionales es</w:t>
        </w:r>
        <w:r w:rsidR="000B078F" w:rsidRPr="00EE0850">
          <w:rPr>
            <w:rStyle w:val="Hipervnculo"/>
            <w:iCs/>
          </w:rPr>
          <w:t>pecializ</w:t>
        </w:r>
        <w:r w:rsidR="00371BBD">
          <w:rPr>
            <w:rStyle w:val="Hipervnculo"/>
            <w:iCs/>
          </w:rPr>
          <w:t xml:space="preserve">ados de </w:t>
        </w:r>
        <w:r w:rsidR="000B078F" w:rsidRPr="00EE0850">
          <w:rPr>
            <w:rStyle w:val="Hipervnculo"/>
            <w:iCs/>
          </w:rPr>
          <w:t>acces</w:t>
        </w:r>
        <w:r w:rsidR="00371BBD">
          <w:rPr>
            <w:rStyle w:val="Hipervnculo"/>
            <w:iCs/>
          </w:rPr>
          <w:t xml:space="preserve">o y participación en los beneficios dentro del </w:t>
        </w:r>
        <w:r w:rsidR="000B078F" w:rsidRPr="00EE0850">
          <w:rPr>
            <w:rStyle w:val="Hipervnculo"/>
            <w:iCs/>
          </w:rPr>
          <w:t>context</w:t>
        </w:r>
        <w:r w:rsidR="00371BBD">
          <w:rPr>
            <w:rStyle w:val="Hipervnculo"/>
            <w:iCs/>
          </w:rPr>
          <w:t>o del a</w:t>
        </w:r>
        <w:r w:rsidR="000B078F" w:rsidRPr="00EE0850">
          <w:rPr>
            <w:rStyle w:val="Hipervnculo"/>
            <w:iCs/>
          </w:rPr>
          <w:t>rt</w:t>
        </w:r>
        <w:r w:rsidR="00371BBD">
          <w:rPr>
            <w:rStyle w:val="Hipervnculo"/>
            <w:iCs/>
          </w:rPr>
          <w:t>í</w:t>
        </w:r>
        <w:r w:rsidR="000B078F" w:rsidRPr="00EE0850">
          <w:rPr>
            <w:rStyle w:val="Hipervnculo"/>
            <w:iCs/>
          </w:rPr>
          <w:t>c</w:t>
        </w:r>
        <w:r w:rsidR="00371BBD">
          <w:rPr>
            <w:rStyle w:val="Hipervnculo"/>
            <w:iCs/>
          </w:rPr>
          <w:t>u</w:t>
        </w:r>
        <w:r w:rsidR="000B078F" w:rsidRPr="00EE0850">
          <w:rPr>
            <w:rStyle w:val="Hipervnculo"/>
            <w:iCs/>
          </w:rPr>
          <w:t>l</w:t>
        </w:r>
        <w:r w:rsidR="00371BBD">
          <w:rPr>
            <w:rStyle w:val="Hipervnculo"/>
            <w:iCs/>
          </w:rPr>
          <w:t>o</w:t>
        </w:r>
        <w:r w:rsidR="000B078F" w:rsidRPr="00EE0850">
          <w:rPr>
            <w:rStyle w:val="Hipervnculo"/>
            <w:iCs/>
          </w:rPr>
          <w:t> 4, p</w:t>
        </w:r>
        <w:r w:rsidR="00371BBD">
          <w:rPr>
            <w:rStyle w:val="Hipervnculo"/>
            <w:iCs/>
          </w:rPr>
          <w:t>á</w:t>
        </w:r>
        <w:r w:rsidR="000B078F" w:rsidRPr="00EE0850">
          <w:rPr>
            <w:rStyle w:val="Hipervnculo"/>
            <w:iCs/>
          </w:rPr>
          <w:t>r</w:t>
        </w:r>
        <w:r w:rsidR="00371BBD">
          <w:rPr>
            <w:rStyle w:val="Hipervnculo"/>
            <w:iCs/>
          </w:rPr>
          <w:t>r</w:t>
        </w:r>
        <w:r w:rsidR="000B078F" w:rsidRPr="00EE0850">
          <w:rPr>
            <w:rStyle w:val="Hipervnculo"/>
            <w:iCs/>
          </w:rPr>
          <w:t>a</w:t>
        </w:r>
        <w:r w:rsidR="00371BBD">
          <w:rPr>
            <w:rStyle w:val="Hipervnculo"/>
            <w:iCs/>
          </w:rPr>
          <w:t>fo 4 del Protocolo de</w:t>
        </w:r>
        <w:r w:rsidR="000B078F" w:rsidRPr="00EE0850">
          <w:rPr>
            <w:rStyle w:val="Hipervnculo"/>
            <w:iCs/>
          </w:rPr>
          <w:t xml:space="preserve"> Nagoya</w:t>
        </w:r>
        <w:r w:rsidR="000B078F" w:rsidRPr="00EE0850">
          <w:rPr>
            <w:webHidden/>
          </w:rPr>
          <w:tab/>
        </w:r>
        <w:r w:rsidRPr="00EE0850">
          <w:rPr>
            <w:webHidden/>
          </w:rPr>
          <w:fldChar w:fldCharType="begin"/>
        </w:r>
        <w:r w:rsidR="000B078F" w:rsidRPr="00EE0850">
          <w:rPr>
            <w:webHidden/>
          </w:rPr>
          <w:instrText xml:space="preserve"> PAGEREF _Toc256235 \h </w:instrText>
        </w:r>
        <w:r w:rsidRPr="00EE0850">
          <w:rPr>
            <w:webHidden/>
          </w:rPr>
        </w:r>
        <w:r w:rsidRPr="00EE0850">
          <w:rPr>
            <w:webHidden/>
          </w:rPr>
          <w:fldChar w:fldCharType="separate"/>
        </w:r>
        <w:r w:rsidR="008C1F6C">
          <w:rPr>
            <w:webHidden/>
          </w:rPr>
          <w:t>66</w:t>
        </w:r>
        <w:r w:rsidRPr="00EE0850">
          <w:rPr>
            <w:webHidden/>
          </w:rPr>
          <w:fldChar w:fldCharType="end"/>
        </w:r>
      </w:hyperlink>
    </w:p>
    <w:p w:rsidR="000B078F" w:rsidRPr="00EE0850" w:rsidRDefault="00F4408C" w:rsidP="00D006F2">
      <w:pPr>
        <w:pStyle w:val="TDC2"/>
        <w:spacing w:line="240" w:lineRule="auto"/>
        <w:rPr>
          <w:rFonts w:asciiTheme="minorHAnsi" w:eastAsiaTheme="minorEastAsia" w:hAnsiTheme="minorHAnsi" w:cstheme="minorBidi"/>
          <w:lang w:val="en-CA" w:eastAsia="en-CA"/>
        </w:rPr>
      </w:pPr>
      <w:hyperlink w:anchor="_Toc256236" w:history="1">
        <w:r w:rsidR="00371BBD">
          <w:rPr>
            <w:rStyle w:val="Hipervnculo"/>
          </w:rPr>
          <w:t>Tema</w:t>
        </w:r>
        <w:r w:rsidR="000B078F" w:rsidRPr="00EE0850">
          <w:rPr>
            <w:rStyle w:val="Hipervnculo"/>
          </w:rPr>
          <w:t xml:space="preserve"> 19.</w:t>
        </w:r>
        <w:r w:rsidR="000B078F" w:rsidRPr="00EE0850">
          <w:rPr>
            <w:rFonts w:asciiTheme="minorHAnsi" w:eastAsiaTheme="minorEastAsia" w:hAnsiTheme="minorHAnsi" w:cstheme="minorBidi"/>
            <w:lang w:val="en-CA" w:eastAsia="en-CA"/>
          </w:rPr>
          <w:tab/>
        </w:r>
        <w:r w:rsidR="00371BBD">
          <w:rPr>
            <w:rStyle w:val="Hipervnculo"/>
          </w:rPr>
          <w:t xml:space="preserve">Mecanismo mundial </w:t>
        </w:r>
        <w:r w:rsidR="000B078F" w:rsidRPr="00EE0850">
          <w:rPr>
            <w:rStyle w:val="Hipervnculo"/>
          </w:rPr>
          <w:t xml:space="preserve">multilateral </w:t>
        </w:r>
        <w:r w:rsidR="00371BBD">
          <w:rPr>
            <w:rStyle w:val="Hipervnculo"/>
          </w:rPr>
          <w:t xml:space="preserve">de participación en los </w:t>
        </w:r>
        <w:r w:rsidR="000B078F" w:rsidRPr="00EE0850">
          <w:rPr>
            <w:rStyle w:val="Hipervnculo"/>
          </w:rPr>
          <w:t>benefi</w:t>
        </w:r>
        <w:r w:rsidR="00371BBD">
          <w:rPr>
            <w:rStyle w:val="Hipervnculo"/>
          </w:rPr>
          <w:t>cios</w:t>
        </w:r>
        <w:r w:rsidR="000B078F" w:rsidRPr="00EE0850">
          <w:rPr>
            <w:rStyle w:val="Hipervnculo"/>
          </w:rPr>
          <w:t xml:space="preserve"> (</w:t>
        </w:r>
        <w:r w:rsidR="00371BBD">
          <w:rPr>
            <w:rStyle w:val="Hipervnculo"/>
          </w:rPr>
          <w:t>a</w:t>
        </w:r>
        <w:r w:rsidR="000B078F" w:rsidRPr="00EE0850">
          <w:rPr>
            <w:rStyle w:val="Hipervnculo"/>
          </w:rPr>
          <w:t>rt</w:t>
        </w:r>
        <w:r w:rsidR="00371BBD">
          <w:rPr>
            <w:rStyle w:val="Hipervnculo"/>
          </w:rPr>
          <w:t>í</w:t>
        </w:r>
        <w:r w:rsidR="000B078F" w:rsidRPr="00EE0850">
          <w:rPr>
            <w:rStyle w:val="Hipervnculo"/>
          </w:rPr>
          <w:t>c</w:t>
        </w:r>
        <w:r w:rsidR="00371BBD">
          <w:rPr>
            <w:rStyle w:val="Hipervnculo"/>
          </w:rPr>
          <w:t>u</w:t>
        </w:r>
        <w:r w:rsidR="000B078F" w:rsidRPr="00EE0850">
          <w:rPr>
            <w:rStyle w:val="Hipervnculo"/>
          </w:rPr>
          <w:t>l</w:t>
        </w:r>
        <w:r w:rsidR="00371BBD">
          <w:rPr>
            <w:rStyle w:val="Hipervnculo"/>
          </w:rPr>
          <w:t>o</w:t>
        </w:r>
        <w:r w:rsidR="000B078F" w:rsidRPr="00EE0850">
          <w:rPr>
            <w:rStyle w:val="Hipervnculo"/>
          </w:rPr>
          <w:t xml:space="preserve"> 10)</w:t>
        </w:r>
        <w:r w:rsidR="000B078F" w:rsidRPr="00EE0850">
          <w:rPr>
            <w:webHidden/>
          </w:rPr>
          <w:tab/>
        </w:r>
        <w:r w:rsidRPr="00EE0850">
          <w:rPr>
            <w:webHidden/>
          </w:rPr>
          <w:fldChar w:fldCharType="begin"/>
        </w:r>
        <w:r w:rsidR="000B078F" w:rsidRPr="00EE0850">
          <w:rPr>
            <w:webHidden/>
          </w:rPr>
          <w:instrText xml:space="preserve"> PAGEREF _Toc256236 \h </w:instrText>
        </w:r>
        <w:r w:rsidRPr="00EE0850">
          <w:rPr>
            <w:webHidden/>
          </w:rPr>
        </w:r>
        <w:r w:rsidRPr="00EE0850">
          <w:rPr>
            <w:webHidden/>
          </w:rPr>
          <w:fldChar w:fldCharType="separate"/>
        </w:r>
        <w:r w:rsidR="00DD1A58">
          <w:rPr>
            <w:webHidden/>
          </w:rPr>
          <w:t>6</w:t>
        </w:r>
        <w:r w:rsidR="008C1F6C">
          <w:rPr>
            <w:webHidden/>
          </w:rPr>
          <w:t>7</w:t>
        </w:r>
        <w:r w:rsidRPr="00EE0850">
          <w:rPr>
            <w:webHidden/>
          </w:rPr>
          <w:fldChar w:fldCharType="end"/>
        </w:r>
      </w:hyperlink>
    </w:p>
    <w:p w:rsidR="000B078F" w:rsidRPr="00EE0850" w:rsidRDefault="00F4408C" w:rsidP="00D006F2">
      <w:pPr>
        <w:pStyle w:val="TDC2"/>
        <w:spacing w:line="240" w:lineRule="auto"/>
        <w:rPr>
          <w:rFonts w:asciiTheme="minorHAnsi" w:eastAsiaTheme="minorEastAsia" w:hAnsiTheme="minorHAnsi" w:cstheme="minorBidi"/>
          <w:lang w:val="en-CA" w:eastAsia="en-CA"/>
        </w:rPr>
      </w:pPr>
      <w:hyperlink w:anchor="_Toc256237" w:history="1">
        <w:r w:rsidR="00371BBD">
          <w:rPr>
            <w:rStyle w:val="Hipervnculo"/>
          </w:rPr>
          <w:t>T</w:t>
        </w:r>
        <w:r w:rsidR="00C5397F" w:rsidRPr="00EE0850">
          <w:rPr>
            <w:rStyle w:val="Hipervnculo"/>
          </w:rPr>
          <w:t>em</w:t>
        </w:r>
        <w:r w:rsidR="00371BBD">
          <w:rPr>
            <w:rStyle w:val="Hipervnculo"/>
          </w:rPr>
          <w:t>a</w:t>
        </w:r>
        <w:r w:rsidR="000B078F" w:rsidRPr="00EE0850">
          <w:rPr>
            <w:rStyle w:val="Hipervnculo"/>
          </w:rPr>
          <w:t xml:space="preserve"> 20.</w:t>
        </w:r>
        <w:r w:rsidR="000B078F" w:rsidRPr="00EE0850">
          <w:rPr>
            <w:rFonts w:asciiTheme="minorHAnsi" w:eastAsiaTheme="minorEastAsia" w:hAnsiTheme="minorHAnsi" w:cstheme="minorBidi"/>
            <w:lang w:val="en-CA" w:eastAsia="en-CA"/>
          </w:rPr>
          <w:tab/>
        </w:r>
        <w:r w:rsidR="000B078F" w:rsidRPr="00EE0850">
          <w:rPr>
            <w:rStyle w:val="Hipervnculo"/>
          </w:rPr>
          <w:t>O</w:t>
        </w:r>
        <w:r w:rsidR="00C5397F" w:rsidRPr="00EE0850">
          <w:rPr>
            <w:rStyle w:val="Hipervnculo"/>
          </w:rPr>
          <w:t>t</w:t>
        </w:r>
        <w:r w:rsidR="00371BBD">
          <w:rPr>
            <w:rStyle w:val="Hipervnculo"/>
          </w:rPr>
          <w:t>ros asuntos</w:t>
        </w:r>
        <w:r w:rsidR="000B078F" w:rsidRPr="00EE0850">
          <w:rPr>
            <w:webHidden/>
          </w:rPr>
          <w:tab/>
        </w:r>
        <w:r w:rsidRPr="00EE0850">
          <w:rPr>
            <w:webHidden/>
          </w:rPr>
          <w:fldChar w:fldCharType="begin"/>
        </w:r>
        <w:r w:rsidR="000B078F" w:rsidRPr="00EE0850">
          <w:rPr>
            <w:webHidden/>
          </w:rPr>
          <w:instrText xml:space="preserve"> PAGEREF _Toc256237 \h </w:instrText>
        </w:r>
        <w:r w:rsidRPr="00EE0850">
          <w:rPr>
            <w:webHidden/>
          </w:rPr>
        </w:r>
        <w:r w:rsidRPr="00EE0850">
          <w:rPr>
            <w:webHidden/>
          </w:rPr>
          <w:fldChar w:fldCharType="separate"/>
        </w:r>
        <w:r w:rsidR="00DD1A58">
          <w:rPr>
            <w:webHidden/>
          </w:rPr>
          <w:t>6</w:t>
        </w:r>
        <w:r w:rsidR="008C1F6C">
          <w:rPr>
            <w:webHidden/>
          </w:rPr>
          <w:t>7</w:t>
        </w:r>
        <w:r w:rsidRPr="00EE0850">
          <w:rPr>
            <w:webHidden/>
          </w:rPr>
          <w:fldChar w:fldCharType="end"/>
        </w:r>
      </w:hyperlink>
    </w:p>
    <w:p w:rsidR="000B078F" w:rsidRPr="00EE0850" w:rsidRDefault="00F4408C" w:rsidP="00D006F2">
      <w:pPr>
        <w:pStyle w:val="TDC2"/>
        <w:spacing w:line="240" w:lineRule="auto"/>
        <w:rPr>
          <w:rFonts w:asciiTheme="minorHAnsi" w:eastAsiaTheme="minorEastAsia" w:hAnsiTheme="minorHAnsi" w:cstheme="minorBidi"/>
          <w:lang w:val="en-CA" w:eastAsia="en-CA"/>
        </w:rPr>
      </w:pPr>
      <w:hyperlink w:anchor="_Toc256238" w:history="1">
        <w:r w:rsidR="00371BBD">
          <w:rPr>
            <w:rStyle w:val="Hipervnculo"/>
          </w:rPr>
          <w:t>T</w:t>
        </w:r>
        <w:r w:rsidR="00C5397F" w:rsidRPr="00EE0850">
          <w:rPr>
            <w:rStyle w:val="Hipervnculo"/>
          </w:rPr>
          <w:t>em</w:t>
        </w:r>
        <w:r w:rsidR="00371BBD">
          <w:rPr>
            <w:rStyle w:val="Hipervnculo"/>
          </w:rPr>
          <w:t>a</w:t>
        </w:r>
        <w:r w:rsidR="000B078F" w:rsidRPr="00EE0850">
          <w:rPr>
            <w:rStyle w:val="Hipervnculo"/>
          </w:rPr>
          <w:t xml:space="preserve"> 21.</w:t>
        </w:r>
        <w:r w:rsidR="000B078F" w:rsidRPr="00EE0850">
          <w:rPr>
            <w:rFonts w:asciiTheme="minorHAnsi" w:eastAsiaTheme="minorEastAsia" w:hAnsiTheme="minorHAnsi" w:cstheme="minorBidi"/>
            <w:lang w:val="en-CA" w:eastAsia="en-CA"/>
          </w:rPr>
          <w:tab/>
        </w:r>
        <w:r w:rsidR="000B078F" w:rsidRPr="00EE0850">
          <w:rPr>
            <w:rStyle w:val="Hipervnculo"/>
          </w:rPr>
          <w:t>A</w:t>
        </w:r>
        <w:r w:rsidR="00C5397F" w:rsidRPr="00EE0850">
          <w:rPr>
            <w:rStyle w:val="Hipervnculo"/>
          </w:rPr>
          <w:t>dop</w:t>
        </w:r>
        <w:r w:rsidR="00371BBD">
          <w:rPr>
            <w:rStyle w:val="Hipervnculo"/>
          </w:rPr>
          <w:t>c</w:t>
        </w:r>
        <w:r w:rsidR="00C5397F" w:rsidRPr="00EE0850">
          <w:rPr>
            <w:rStyle w:val="Hipervnculo"/>
          </w:rPr>
          <w:t>i</w:t>
        </w:r>
        <w:r w:rsidR="00371BBD">
          <w:rPr>
            <w:rStyle w:val="Hipervnculo"/>
          </w:rPr>
          <w:t>ó</w:t>
        </w:r>
        <w:r w:rsidR="00C5397F" w:rsidRPr="00EE0850">
          <w:rPr>
            <w:rStyle w:val="Hipervnculo"/>
          </w:rPr>
          <w:t xml:space="preserve">n </w:t>
        </w:r>
        <w:r w:rsidR="00371BBD">
          <w:rPr>
            <w:rStyle w:val="Hipervnculo"/>
          </w:rPr>
          <w:t>del inf</w:t>
        </w:r>
        <w:r w:rsidR="00C5397F" w:rsidRPr="00EE0850">
          <w:rPr>
            <w:rStyle w:val="Hipervnculo"/>
          </w:rPr>
          <w:t>or</w:t>
        </w:r>
        <w:r w:rsidR="00371BBD">
          <w:rPr>
            <w:rStyle w:val="Hipervnculo"/>
          </w:rPr>
          <w:t>me</w:t>
        </w:r>
        <w:r w:rsidR="000B078F" w:rsidRPr="00EE0850">
          <w:rPr>
            <w:webHidden/>
          </w:rPr>
          <w:tab/>
        </w:r>
        <w:r w:rsidRPr="00EE0850">
          <w:rPr>
            <w:webHidden/>
          </w:rPr>
          <w:fldChar w:fldCharType="begin"/>
        </w:r>
        <w:r w:rsidR="000B078F" w:rsidRPr="00EE0850">
          <w:rPr>
            <w:webHidden/>
          </w:rPr>
          <w:instrText xml:space="preserve"> PAGEREF _Toc256238 \h </w:instrText>
        </w:r>
        <w:r w:rsidRPr="00EE0850">
          <w:rPr>
            <w:webHidden/>
          </w:rPr>
        </w:r>
        <w:r w:rsidRPr="00EE0850">
          <w:rPr>
            <w:webHidden/>
          </w:rPr>
          <w:fldChar w:fldCharType="separate"/>
        </w:r>
        <w:r w:rsidR="00DD1A58">
          <w:rPr>
            <w:webHidden/>
          </w:rPr>
          <w:t>6</w:t>
        </w:r>
        <w:r w:rsidR="008C1F6C">
          <w:rPr>
            <w:webHidden/>
          </w:rPr>
          <w:t>7</w:t>
        </w:r>
        <w:r w:rsidRPr="00EE0850">
          <w:rPr>
            <w:webHidden/>
          </w:rPr>
          <w:fldChar w:fldCharType="end"/>
        </w:r>
      </w:hyperlink>
    </w:p>
    <w:p w:rsidR="000B078F" w:rsidRPr="00EE0850" w:rsidRDefault="00F4408C" w:rsidP="00D006F2">
      <w:pPr>
        <w:pStyle w:val="TDC2"/>
        <w:spacing w:line="240" w:lineRule="auto"/>
        <w:rPr>
          <w:rFonts w:asciiTheme="minorHAnsi" w:eastAsiaTheme="minorEastAsia" w:hAnsiTheme="minorHAnsi" w:cstheme="minorBidi"/>
          <w:lang w:val="en-CA" w:eastAsia="en-CA"/>
        </w:rPr>
      </w:pPr>
      <w:hyperlink w:anchor="_Toc256239" w:history="1">
        <w:r w:rsidR="00371BBD">
          <w:rPr>
            <w:rStyle w:val="Hipervnculo"/>
          </w:rPr>
          <w:t>T</w:t>
        </w:r>
        <w:r w:rsidR="00C5397F" w:rsidRPr="00EE0850">
          <w:rPr>
            <w:rStyle w:val="Hipervnculo"/>
          </w:rPr>
          <w:t>em</w:t>
        </w:r>
        <w:r w:rsidR="00371BBD">
          <w:rPr>
            <w:rStyle w:val="Hipervnculo"/>
          </w:rPr>
          <w:t>a</w:t>
        </w:r>
        <w:r w:rsidR="000B078F" w:rsidRPr="00EE0850">
          <w:rPr>
            <w:rStyle w:val="Hipervnculo"/>
          </w:rPr>
          <w:t xml:space="preserve"> 22.</w:t>
        </w:r>
        <w:r w:rsidR="000B078F" w:rsidRPr="00EE0850">
          <w:rPr>
            <w:rFonts w:asciiTheme="minorHAnsi" w:eastAsiaTheme="minorEastAsia" w:hAnsiTheme="minorHAnsi" w:cstheme="minorBidi"/>
            <w:lang w:val="en-CA" w:eastAsia="en-CA"/>
          </w:rPr>
          <w:tab/>
        </w:r>
        <w:r w:rsidR="000B078F" w:rsidRPr="00EE0850">
          <w:rPr>
            <w:rStyle w:val="Hipervnculo"/>
          </w:rPr>
          <w:t>C</w:t>
        </w:r>
        <w:r w:rsidR="00C5397F" w:rsidRPr="00EE0850">
          <w:rPr>
            <w:rStyle w:val="Hipervnculo"/>
          </w:rPr>
          <w:t>l</w:t>
        </w:r>
        <w:r w:rsidR="00371BBD">
          <w:rPr>
            <w:rStyle w:val="Hipervnculo"/>
          </w:rPr>
          <w:t>au</w:t>
        </w:r>
        <w:r w:rsidR="00C5397F" w:rsidRPr="00EE0850">
          <w:rPr>
            <w:rStyle w:val="Hipervnculo"/>
          </w:rPr>
          <w:t>sur</w:t>
        </w:r>
        <w:r w:rsidR="00371BBD">
          <w:rPr>
            <w:rStyle w:val="Hipervnculo"/>
          </w:rPr>
          <w:t>a</w:t>
        </w:r>
        <w:r w:rsidR="00C5397F" w:rsidRPr="00EE0850">
          <w:rPr>
            <w:rStyle w:val="Hipervnculo"/>
          </w:rPr>
          <w:t xml:space="preserve"> </w:t>
        </w:r>
        <w:r w:rsidR="00371BBD">
          <w:rPr>
            <w:rStyle w:val="Hipervnculo"/>
          </w:rPr>
          <w:t>de la</w:t>
        </w:r>
        <w:r w:rsidR="00C5397F" w:rsidRPr="00EE0850">
          <w:rPr>
            <w:rStyle w:val="Hipervnculo"/>
          </w:rPr>
          <w:t xml:space="preserve"> </w:t>
        </w:r>
        <w:r w:rsidR="00371BBD">
          <w:rPr>
            <w:rStyle w:val="Hipervnculo"/>
          </w:rPr>
          <w:t>r</w:t>
        </w:r>
        <w:r w:rsidR="00C5397F" w:rsidRPr="00EE0850">
          <w:rPr>
            <w:rStyle w:val="Hipervnculo"/>
          </w:rPr>
          <w:t>e</w:t>
        </w:r>
        <w:r w:rsidR="00371BBD">
          <w:rPr>
            <w:rStyle w:val="Hipervnculo"/>
          </w:rPr>
          <w:t>un</w:t>
        </w:r>
        <w:r w:rsidR="00C5397F" w:rsidRPr="00EE0850">
          <w:rPr>
            <w:rStyle w:val="Hipervnculo"/>
          </w:rPr>
          <w:t>i</w:t>
        </w:r>
        <w:r w:rsidR="00371BBD">
          <w:rPr>
            <w:rStyle w:val="Hipervnculo"/>
          </w:rPr>
          <w:t>ó</w:t>
        </w:r>
        <w:r w:rsidR="00C5397F" w:rsidRPr="00EE0850">
          <w:rPr>
            <w:rStyle w:val="Hipervnculo"/>
          </w:rPr>
          <w:t>n</w:t>
        </w:r>
        <w:r w:rsidR="000B078F" w:rsidRPr="00EE0850">
          <w:rPr>
            <w:webHidden/>
          </w:rPr>
          <w:tab/>
        </w:r>
        <w:r w:rsidRPr="00EE0850">
          <w:rPr>
            <w:webHidden/>
          </w:rPr>
          <w:fldChar w:fldCharType="begin"/>
        </w:r>
        <w:r w:rsidR="000B078F" w:rsidRPr="00EE0850">
          <w:rPr>
            <w:webHidden/>
          </w:rPr>
          <w:instrText xml:space="preserve"> PAGEREF _Toc256239 \h </w:instrText>
        </w:r>
        <w:r w:rsidRPr="00EE0850">
          <w:rPr>
            <w:webHidden/>
          </w:rPr>
        </w:r>
        <w:r w:rsidRPr="00EE0850">
          <w:rPr>
            <w:webHidden/>
          </w:rPr>
          <w:fldChar w:fldCharType="separate"/>
        </w:r>
        <w:r w:rsidR="00DD1A58">
          <w:rPr>
            <w:webHidden/>
          </w:rPr>
          <w:t>6</w:t>
        </w:r>
        <w:r w:rsidR="008C1F6C">
          <w:rPr>
            <w:webHidden/>
          </w:rPr>
          <w:t>7</w:t>
        </w:r>
        <w:r w:rsidRPr="00EE0850">
          <w:rPr>
            <w:webHidden/>
          </w:rPr>
          <w:fldChar w:fldCharType="end"/>
        </w:r>
      </w:hyperlink>
    </w:p>
    <w:p w:rsidR="000B078F" w:rsidRPr="00EE0850" w:rsidRDefault="00F4408C" w:rsidP="000C6220">
      <w:pPr>
        <w:spacing w:line="240" w:lineRule="auto"/>
        <w:jc w:val="left"/>
      </w:pPr>
      <w:r w:rsidRPr="00EE0850">
        <w:fldChar w:fldCharType="end"/>
      </w:r>
    </w:p>
    <w:p w:rsidR="000B078F" w:rsidRPr="00EE0850" w:rsidRDefault="000B078F" w:rsidP="000C6220">
      <w:pPr>
        <w:spacing w:line="240" w:lineRule="auto"/>
        <w:jc w:val="left"/>
      </w:pPr>
      <w:r w:rsidRPr="00EE0850">
        <w:br w:type="page"/>
      </w:r>
    </w:p>
    <w:p w:rsidR="00F729B5" w:rsidRPr="00EE0850" w:rsidRDefault="00F729B5" w:rsidP="000C6220">
      <w:pPr>
        <w:pStyle w:val="Heading1report"/>
        <w:tabs>
          <w:tab w:val="left" w:pos="709"/>
        </w:tabs>
        <w:spacing w:before="0" w:after="240" w:line="240" w:lineRule="auto"/>
        <w:ind w:left="1077"/>
        <w:rPr>
          <w:rFonts w:hint="eastAsia"/>
        </w:rPr>
      </w:pPr>
      <w:bookmarkStart w:id="1" w:name="_Toc256200"/>
      <w:r w:rsidRPr="00EE0850">
        <w:lastRenderedPageBreak/>
        <w:t>DECISION</w:t>
      </w:r>
      <w:r w:rsidR="00371BBD">
        <w:t>E</w:t>
      </w:r>
      <w:r w:rsidRPr="00EE0850">
        <w:t>S</w:t>
      </w:r>
      <w:bookmarkEnd w:id="1"/>
    </w:p>
    <w:p w:rsidR="009F5D7B" w:rsidRPr="00CC76E6" w:rsidRDefault="009F5D7B" w:rsidP="000C6220">
      <w:pPr>
        <w:pStyle w:val="recommendationheader"/>
        <w:spacing w:line="240" w:lineRule="auto"/>
        <w:rPr>
          <w:caps/>
          <w:kern w:val="22"/>
          <w:lang w:val="es-ES"/>
        </w:rPr>
      </w:pPr>
      <w:bookmarkStart w:id="2" w:name="_Toc256201"/>
      <w:r w:rsidRPr="00C5131C">
        <w:rPr>
          <w:kern w:val="22"/>
          <w:lang w:val="es-ES"/>
        </w:rPr>
        <w:t>3/1.</w:t>
      </w:r>
      <w:r w:rsidRPr="00C5131C">
        <w:rPr>
          <w:kern w:val="22"/>
          <w:lang w:val="es-ES"/>
        </w:rPr>
        <w:tab/>
      </w:r>
      <w:r w:rsidR="00CC76E6" w:rsidRPr="00CC76E6">
        <w:rPr>
          <w:kern w:val="22"/>
          <w:lang w:val="es-ES"/>
        </w:rPr>
        <w:t xml:space="preserve">Evaluación y revisión de la eficacia del </w:t>
      </w:r>
      <w:r w:rsidRPr="00CC76E6">
        <w:rPr>
          <w:kern w:val="22"/>
          <w:lang w:val="es-ES"/>
        </w:rPr>
        <w:t>Protocol</w:t>
      </w:r>
      <w:r w:rsidR="00CC76E6" w:rsidRPr="00CC76E6">
        <w:rPr>
          <w:kern w:val="22"/>
          <w:lang w:val="es-ES"/>
        </w:rPr>
        <w:t>o</w:t>
      </w:r>
      <w:r w:rsidRPr="00CC76E6">
        <w:rPr>
          <w:kern w:val="22"/>
          <w:lang w:val="es-ES"/>
        </w:rPr>
        <w:t xml:space="preserve"> (</w:t>
      </w:r>
      <w:r w:rsidR="00CC76E6">
        <w:rPr>
          <w:kern w:val="22"/>
          <w:lang w:val="es-ES"/>
        </w:rPr>
        <w:t>a</w:t>
      </w:r>
      <w:r w:rsidRPr="00CC76E6">
        <w:rPr>
          <w:kern w:val="22"/>
          <w:lang w:val="es-ES"/>
        </w:rPr>
        <w:t>rt</w:t>
      </w:r>
      <w:r w:rsidR="00CC76E6">
        <w:rPr>
          <w:kern w:val="22"/>
          <w:lang w:val="es-ES"/>
        </w:rPr>
        <w:t>í</w:t>
      </w:r>
      <w:r w:rsidRPr="00CC76E6">
        <w:rPr>
          <w:kern w:val="22"/>
          <w:lang w:val="es-ES"/>
        </w:rPr>
        <w:t>c</w:t>
      </w:r>
      <w:r w:rsidR="00CC76E6">
        <w:rPr>
          <w:kern w:val="22"/>
          <w:lang w:val="es-ES"/>
        </w:rPr>
        <w:t>u</w:t>
      </w:r>
      <w:r w:rsidRPr="00CC76E6">
        <w:rPr>
          <w:kern w:val="22"/>
          <w:lang w:val="es-ES"/>
        </w:rPr>
        <w:t>l</w:t>
      </w:r>
      <w:r w:rsidR="00CC76E6">
        <w:rPr>
          <w:kern w:val="22"/>
          <w:lang w:val="es-ES"/>
        </w:rPr>
        <w:t>o</w:t>
      </w:r>
      <w:r w:rsidRPr="00CC76E6">
        <w:rPr>
          <w:kern w:val="22"/>
          <w:lang w:val="es-ES"/>
        </w:rPr>
        <w:t xml:space="preserve"> 31)</w:t>
      </w:r>
      <w:bookmarkEnd w:id="2"/>
    </w:p>
    <w:p w:rsidR="009F5D7B" w:rsidRPr="00CC76E6" w:rsidRDefault="00CC76E6" w:rsidP="000C6220">
      <w:pPr>
        <w:pStyle w:val="Prrafodelista"/>
        <w:keepNext/>
        <w:numPr>
          <w:ilvl w:val="0"/>
          <w:numId w:val="55"/>
        </w:numPr>
        <w:spacing w:before="120" w:line="240" w:lineRule="auto"/>
        <w:ind w:left="0" w:hanging="11"/>
        <w:contextualSpacing w:val="0"/>
        <w:jc w:val="center"/>
        <w:rPr>
          <w:b/>
          <w:snapToGrid w:val="0"/>
          <w:kern w:val="22"/>
          <w:szCs w:val="22"/>
          <w:lang w:val="es-ES"/>
        </w:rPr>
      </w:pPr>
      <w:r w:rsidRPr="00CC76E6">
        <w:rPr>
          <w:b/>
          <w:snapToGrid w:val="0"/>
          <w:kern w:val="22"/>
          <w:szCs w:val="22"/>
          <w:lang w:val="es-ES" w:eastAsia="en-CA"/>
        </w:rPr>
        <w:t xml:space="preserve">Primera </w:t>
      </w:r>
      <w:r w:rsidRPr="00AD5153">
        <w:rPr>
          <w:b/>
          <w:snapToGrid w:val="0"/>
          <w:kern w:val="22"/>
          <w:szCs w:val="22"/>
          <w:lang w:val="es-ES" w:eastAsia="en-CA"/>
        </w:rPr>
        <w:t>evaluación y revisi</w:t>
      </w:r>
      <w:r>
        <w:rPr>
          <w:b/>
          <w:snapToGrid w:val="0"/>
          <w:kern w:val="22"/>
          <w:szCs w:val="22"/>
          <w:lang w:val="es-ES" w:eastAsia="en-CA"/>
        </w:rPr>
        <w:t>ó</w:t>
      </w:r>
      <w:r w:rsidRPr="00AD5153">
        <w:rPr>
          <w:b/>
          <w:snapToGrid w:val="0"/>
          <w:kern w:val="22"/>
          <w:szCs w:val="22"/>
          <w:lang w:val="es-ES" w:eastAsia="en-CA"/>
        </w:rPr>
        <w:t>n de la eficacia del Protocolo</w:t>
      </w:r>
      <w:r w:rsidRPr="00CC76E6">
        <w:rPr>
          <w:b/>
          <w:snapToGrid w:val="0"/>
          <w:kern w:val="22"/>
          <w:szCs w:val="22"/>
          <w:lang w:val="es-ES" w:eastAsia="en-CA"/>
        </w:rPr>
        <w:t xml:space="preserve"> </w:t>
      </w:r>
    </w:p>
    <w:p w:rsidR="009F5D7B" w:rsidRPr="00CC76E6" w:rsidDel="005A70F4" w:rsidRDefault="00CC76E6" w:rsidP="000C6220">
      <w:pPr>
        <w:suppressLineNumbers/>
        <w:suppressAutoHyphens/>
        <w:kinsoku w:val="0"/>
        <w:overflowPunct w:val="0"/>
        <w:autoSpaceDE w:val="0"/>
        <w:autoSpaceDN w:val="0"/>
        <w:adjustRightInd w:val="0"/>
        <w:snapToGrid w:val="0"/>
        <w:spacing w:before="120" w:line="240" w:lineRule="auto"/>
        <w:ind w:firstLine="720"/>
        <w:rPr>
          <w:i/>
          <w:kern w:val="22"/>
          <w:szCs w:val="22"/>
          <w:lang w:val="es-ES"/>
        </w:rPr>
      </w:pPr>
      <w:r w:rsidRPr="00E92C1D">
        <w:rPr>
          <w:i/>
          <w:iCs/>
          <w:kern w:val="22"/>
          <w:lang w:val="es-ES"/>
        </w:rPr>
        <w:t>La Conferencia de las Partes que actúa como reunión de las Partes en el Protocolo de</w:t>
      </w:r>
      <w:r w:rsidR="009F5D7B" w:rsidRPr="00CC76E6" w:rsidDel="005A70F4">
        <w:rPr>
          <w:i/>
          <w:kern w:val="22"/>
          <w:szCs w:val="22"/>
          <w:lang w:val="es-ES"/>
        </w:rPr>
        <w:t xml:space="preserve"> Nagoya</w:t>
      </w:r>
    </w:p>
    <w:p w:rsidR="009F5D7B" w:rsidRPr="00CC76E6" w:rsidRDefault="009F5D7B"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CC76E6">
        <w:rPr>
          <w:rFonts w:eastAsia="Calibri"/>
          <w:kern w:val="22"/>
          <w:szCs w:val="22"/>
          <w:lang w:val="es-ES"/>
        </w:rPr>
        <w:t>1.</w:t>
      </w:r>
      <w:r w:rsidRPr="00CC76E6">
        <w:rPr>
          <w:rFonts w:eastAsia="Calibri"/>
          <w:kern w:val="22"/>
          <w:szCs w:val="22"/>
          <w:lang w:val="es-ES"/>
        </w:rPr>
        <w:tab/>
      </w:r>
      <w:r w:rsidR="00CC76E6" w:rsidRPr="00E92C1D">
        <w:rPr>
          <w:i/>
          <w:iCs/>
          <w:kern w:val="22"/>
          <w:lang w:val="es-ES"/>
        </w:rPr>
        <w:t>Toma nota</w:t>
      </w:r>
      <w:r w:rsidR="00CC76E6" w:rsidRPr="00E92C1D">
        <w:rPr>
          <w:kern w:val="22"/>
          <w:lang w:val="es-ES"/>
        </w:rPr>
        <w:t xml:space="preserve"> de las principales conclusiones de la primera evaluación y revisión del Protocolo expuestas en el anexo I, incluidos los aportes del Comité de Cumplimiento</w:t>
      </w:r>
      <w:r w:rsidRPr="00CC76E6">
        <w:rPr>
          <w:rFonts w:eastAsia="Calibri"/>
          <w:kern w:val="22"/>
          <w:szCs w:val="22"/>
          <w:lang w:val="es-ES"/>
        </w:rPr>
        <w:t>;</w:t>
      </w:r>
    </w:p>
    <w:p w:rsidR="009F5D7B" w:rsidRPr="00CC76E6" w:rsidRDefault="009F5D7B"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CC76E6">
        <w:rPr>
          <w:rFonts w:eastAsia="Calibri"/>
          <w:kern w:val="22"/>
          <w:szCs w:val="22"/>
          <w:lang w:val="es-ES"/>
        </w:rPr>
        <w:t>2.</w:t>
      </w:r>
      <w:r w:rsidRPr="00CC76E6">
        <w:rPr>
          <w:rFonts w:eastAsia="Calibri"/>
          <w:kern w:val="22"/>
          <w:szCs w:val="22"/>
          <w:lang w:val="es-ES"/>
        </w:rPr>
        <w:tab/>
      </w:r>
      <w:r w:rsidR="00CC76E6" w:rsidRPr="00E92C1D">
        <w:rPr>
          <w:i/>
          <w:iCs/>
          <w:kern w:val="22"/>
          <w:lang w:val="es-ES"/>
        </w:rPr>
        <w:t xml:space="preserve">Acoge con satisfacción </w:t>
      </w:r>
      <w:r w:rsidR="00CC76E6" w:rsidRPr="00E92C1D">
        <w:rPr>
          <w:kern w:val="22"/>
          <w:lang w:val="es-ES"/>
        </w:rPr>
        <w:t xml:space="preserve">el marco de indicadores que figura en el anexo II y </w:t>
      </w:r>
      <w:r w:rsidR="00CC76E6" w:rsidRPr="00E92C1D">
        <w:rPr>
          <w:i/>
          <w:iCs/>
          <w:kern w:val="22"/>
          <w:lang w:val="es-ES"/>
        </w:rPr>
        <w:t>resuelve</w:t>
      </w:r>
      <w:r w:rsidR="00CC76E6" w:rsidRPr="00E92C1D">
        <w:rPr>
          <w:kern w:val="22"/>
          <w:lang w:val="es-ES"/>
        </w:rPr>
        <w:t xml:space="preserve"> usar los puntos de referencia de dicho marco como base de referencia contra la cual medir los progresos en el futuro</w:t>
      </w:r>
      <w:r w:rsidRPr="00CC76E6">
        <w:rPr>
          <w:rFonts w:eastAsia="Calibri"/>
          <w:kern w:val="22"/>
          <w:szCs w:val="22"/>
          <w:lang w:val="es-ES"/>
        </w:rPr>
        <w:t>;</w:t>
      </w:r>
    </w:p>
    <w:p w:rsidR="009F5D7B" w:rsidRPr="00CC76E6" w:rsidRDefault="009F5D7B"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CC76E6">
        <w:rPr>
          <w:rFonts w:eastAsia="Calibri"/>
          <w:kern w:val="22"/>
          <w:szCs w:val="22"/>
          <w:lang w:val="es-ES"/>
        </w:rPr>
        <w:t>3.</w:t>
      </w:r>
      <w:r w:rsidRPr="00CC76E6">
        <w:rPr>
          <w:rFonts w:eastAsia="Calibri"/>
          <w:kern w:val="22"/>
          <w:szCs w:val="22"/>
          <w:lang w:val="es-ES"/>
        </w:rPr>
        <w:tab/>
      </w:r>
      <w:r w:rsidR="00CC76E6" w:rsidRPr="00E92C1D">
        <w:rPr>
          <w:i/>
          <w:iCs/>
          <w:kern w:val="22"/>
          <w:lang w:val="es-ES"/>
        </w:rPr>
        <w:t>Decide</w:t>
      </w:r>
      <w:r w:rsidR="00CC76E6" w:rsidRPr="00E92C1D">
        <w:rPr>
          <w:kern w:val="22"/>
          <w:lang w:val="es-ES"/>
        </w:rPr>
        <w:t xml:space="preserve"> reconsiderar y adaptar el marco, según se estime oportuno a la luz de los nuevos progresos que se logren con respecto a la aplicación</w:t>
      </w:r>
      <w:r w:rsidRPr="00CC76E6">
        <w:rPr>
          <w:rFonts w:eastAsia="Calibri"/>
          <w:kern w:val="22"/>
          <w:szCs w:val="22"/>
          <w:lang w:val="es-ES"/>
        </w:rPr>
        <w:t>;</w:t>
      </w:r>
    </w:p>
    <w:p w:rsidR="009F5D7B" w:rsidRPr="00CC76E6" w:rsidRDefault="009F5D7B" w:rsidP="000C6220">
      <w:pPr>
        <w:suppressLineNumbers/>
        <w:suppressAutoHyphens/>
        <w:kinsoku w:val="0"/>
        <w:overflowPunct w:val="0"/>
        <w:autoSpaceDE w:val="0"/>
        <w:autoSpaceDN w:val="0"/>
        <w:adjustRightInd w:val="0"/>
        <w:snapToGrid w:val="0"/>
        <w:spacing w:before="120" w:line="240" w:lineRule="auto"/>
        <w:ind w:firstLine="720"/>
        <w:rPr>
          <w:kern w:val="22"/>
          <w:szCs w:val="22"/>
          <w:lang w:val="es-ES"/>
        </w:rPr>
      </w:pPr>
      <w:r w:rsidRPr="00CC76E6">
        <w:rPr>
          <w:rFonts w:eastAsia="Calibri"/>
          <w:kern w:val="22"/>
          <w:szCs w:val="22"/>
          <w:lang w:val="es-ES"/>
        </w:rPr>
        <w:t>4.</w:t>
      </w:r>
      <w:r w:rsidRPr="00CC76E6">
        <w:rPr>
          <w:rFonts w:eastAsia="Calibri"/>
          <w:kern w:val="22"/>
          <w:szCs w:val="22"/>
          <w:lang w:val="es-ES"/>
        </w:rPr>
        <w:tab/>
      </w:r>
      <w:r w:rsidR="00CC76E6" w:rsidRPr="00E92C1D">
        <w:rPr>
          <w:i/>
          <w:iCs/>
          <w:kern w:val="22"/>
          <w:lang w:val="es-ES"/>
        </w:rPr>
        <w:t>Acoge con satisfacción</w:t>
      </w:r>
      <w:r w:rsidR="00CC76E6" w:rsidRPr="00E92C1D">
        <w:rPr>
          <w:kern w:val="22"/>
          <w:lang w:val="es-ES"/>
        </w:rPr>
        <w:t xml:space="preserve"> los progresos realizados por las Partes para poner en práctica el Protocolo</w:t>
      </w:r>
      <w:r w:rsidRPr="00CC76E6">
        <w:rPr>
          <w:rFonts w:eastAsia="Calibri"/>
          <w:kern w:val="22"/>
          <w:szCs w:val="22"/>
          <w:lang w:val="es-ES"/>
        </w:rPr>
        <w:t>;</w:t>
      </w:r>
    </w:p>
    <w:p w:rsidR="009F5D7B" w:rsidRPr="00CC76E6" w:rsidRDefault="009F5D7B"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CC76E6">
        <w:rPr>
          <w:rFonts w:eastAsia="Calibri"/>
          <w:kern w:val="22"/>
          <w:szCs w:val="22"/>
          <w:lang w:val="es-ES"/>
        </w:rPr>
        <w:t>5.</w:t>
      </w:r>
      <w:r w:rsidRPr="00CC76E6">
        <w:rPr>
          <w:rFonts w:eastAsia="Calibri"/>
          <w:kern w:val="22"/>
          <w:szCs w:val="22"/>
          <w:lang w:val="es-ES"/>
        </w:rPr>
        <w:tab/>
      </w:r>
      <w:r w:rsidR="00CC76E6" w:rsidRPr="00E92C1D">
        <w:rPr>
          <w:i/>
          <w:iCs/>
          <w:kern w:val="22"/>
          <w:lang w:val="es-ES"/>
        </w:rPr>
        <w:t>Reconoce</w:t>
      </w:r>
      <w:r w:rsidR="00CC76E6" w:rsidRPr="00E92C1D">
        <w:rPr>
          <w:kern w:val="22"/>
          <w:lang w:val="es-ES"/>
        </w:rPr>
        <w:t xml:space="preserve"> que es necesario seguir trabajando, </w:t>
      </w:r>
      <w:r w:rsidR="00CC76E6">
        <w:rPr>
          <w:kern w:val="22"/>
          <w:lang w:val="es-ES"/>
        </w:rPr>
        <w:t>de</w:t>
      </w:r>
      <w:r w:rsidR="00CC76E6" w:rsidRPr="00E92C1D">
        <w:rPr>
          <w:kern w:val="22"/>
          <w:lang w:val="es-ES"/>
        </w:rPr>
        <w:t xml:space="preserve"> forma prioritaria, para</w:t>
      </w:r>
      <w:r w:rsidRPr="00CC76E6">
        <w:rPr>
          <w:rFonts w:eastAsia="Calibri"/>
          <w:kern w:val="22"/>
          <w:szCs w:val="22"/>
          <w:lang w:val="es-ES"/>
        </w:rPr>
        <w:t>:</w:t>
      </w:r>
    </w:p>
    <w:p w:rsidR="009F5D7B" w:rsidRPr="00CC76E6" w:rsidRDefault="00CC76E6"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C5131C">
        <w:rPr>
          <w:rFonts w:eastAsia="Calibri"/>
          <w:kern w:val="22"/>
          <w:szCs w:val="22"/>
          <w:lang w:val="es-ES"/>
        </w:rPr>
        <w:t xml:space="preserve"> </w:t>
      </w:r>
      <w:r w:rsidR="009F5D7B" w:rsidRPr="00CC76E6">
        <w:rPr>
          <w:rFonts w:eastAsia="Calibri"/>
          <w:kern w:val="22"/>
          <w:szCs w:val="22"/>
          <w:lang w:val="es-ES"/>
        </w:rPr>
        <w:t>a)</w:t>
      </w:r>
      <w:r w:rsidR="009F5D7B" w:rsidRPr="00CC76E6">
        <w:rPr>
          <w:rFonts w:eastAsia="Calibri"/>
          <w:kern w:val="22"/>
          <w:szCs w:val="22"/>
          <w:lang w:val="es-ES"/>
        </w:rPr>
        <w:tab/>
      </w:r>
      <w:r w:rsidRPr="00E92C1D">
        <w:rPr>
          <w:kern w:val="22"/>
          <w:lang w:val="es-ES"/>
        </w:rPr>
        <w:t>Elaborar legislación o requisitos reglamentarios sobre acceso y participación en los beneficios, que brinden seguridad jurídica, claridad y transparencia, tomando en cuenta consideraciones especiales de conformidad con el artículo 8 del Protocolo, y la necesidad de asegurar que el Protocolo de Nagoya y otros instrumentos internacionales pertinentes se apliquen de manera que se apoyen mutuamente</w:t>
      </w:r>
      <w:r w:rsidR="009F5D7B" w:rsidRPr="00CC76E6">
        <w:rPr>
          <w:rFonts w:eastAsia="Calibri"/>
          <w:kern w:val="22"/>
          <w:szCs w:val="22"/>
          <w:lang w:val="es-ES"/>
        </w:rPr>
        <w:t>;</w:t>
      </w:r>
    </w:p>
    <w:p w:rsidR="009F5D7B" w:rsidRPr="00CC76E6" w:rsidRDefault="00CC76E6"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CC76E6">
        <w:rPr>
          <w:rFonts w:eastAsia="Calibri"/>
          <w:kern w:val="22"/>
          <w:szCs w:val="22"/>
          <w:lang w:val="es-ES"/>
        </w:rPr>
        <w:t xml:space="preserve"> </w:t>
      </w:r>
      <w:r w:rsidR="009F5D7B" w:rsidRPr="00CC76E6">
        <w:rPr>
          <w:rFonts w:eastAsia="Calibri"/>
          <w:kern w:val="22"/>
          <w:szCs w:val="22"/>
          <w:lang w:val="es-ES"/>
        </w:rPr>
        <w:t>b)</w:t>
      </w:r>
      <w:r w:rsidR="009F5D7B" w:rsidRPr="00CC76E6">
        <w:rPr>
          <w:rFonts w:eastAsia="Calibri"/>
          <w:kern w:val="22"/>
          <w:szCs w:val="22"/>
          <w:lang w:val="es-ES"/>
        </w:rPr>
        <w:tab/>
      </w:r>
      <w:r w:rsidRPr="00E92C1D">
        <w:rPr>
          <w:kern w:val="22"/>
          <w:lang w:val="es-ES"/>
        </w:rPr>
        <w:t>Promover la aplicación por las Partes de las disposiciones referidas al cumplimiento de la legislación y los requisitos reglamentarios nacionales sobre acceso y participación en los beneficios (artículos 15 y 16) y la vigilancia de la utilización de los recursos genéticos (artículo 17), incluida la designación de puntos de verificación, así como las disposiciones relacionadas con los pueblos indígenas y las comunidades locales (artículos 5, 6, 7 y 12</w:t>
      </w:r>
      <w:r>
        <w:rPr>
          <w:kern w:val="22"/>
          <w:lang w:val="es-ES"/>
        </w:rPr>
        <w:t>)</w:t>
      </w:r>
      <w:r w:rsidR="009F5D7B" w:rsidRPr="00CC76E6">
        <w:rPr>
          <w:rFonts w:eastAsia="Calibri"/>
          <w:kern w:val="22"/>
          <w:szCs w:val="22"/>
          <w:lang w:val="es-ES"/>
        </w:rPr>
        <w:t>;</w:t>
      </w:r>
    </w:p>
    <w:p w:rsidR="009F5D7B" w:rsidRPr="00CC76E6" w:rsidRDefault="00CC76E6"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CC76E6">
        <w:rPr>
          <w:rFonts w:eastAsia="Calibri"/>
          <w:kern w:val="22"/>
          <w:szCs w:val="22"/>
          <w:lang w:val="es-ES"/>
        </w:rPr>
        <w:t xml:space="preserve"> </w:t>
      </w:r>
      <w:r w:rsidR="009F5D7B" w:rsidRPr="00CC76E6">
        <w:rPr>
          <w:rFonts w:eastAsia="Calibri"/>
          <w:kern w:val="22"/>
          <w:szCs w:val="22"/>
          <w:lang w:val="es-ES"/>
        </w:rPr>
        <w:t>c)</w:t>
      </w:r>
      <w:r w:rsidR="009F5D7B" w:rsidRPr="00CC76E6">
        <w:rPr>
          <w:rFonts w:eastAsia="Calibri"/>
          <w:kern w:val="22"/>
          <w:szCs w:val="22"/>
          <w:lang w:val="es-ES"/>
        </w:rPr>
        <w:tab/>
      </w:r>
      <w:r w:rsidRPr="00E92C1D">
        <w:rPr>
          <w:kern w:val="22"/>
          <w:lang w:val="es-ES"/>
        </w:rPr>
        <w:t xml:space="preserve">Apoyar la participación plena y efectiva de los pueblos indígenas y las comunidades locales en la aplicación del Protocolo, entre otras cosas generando conciencia y creando capacidad en materia de acceso y participación en los beneficios, y apoyando a los pueblos indígenas y las comunidades locales en la elaboración de protocolos y procedimientos comunitarios, </w:t>
      </w:r>
      <w:r w:rsidRPr="00E92C1D">
        <w:rPr>
          <w:kern w:val="22"/>
          <w:u w:color="000000"/>
          <w:lang w:val="es-ES"/>
        </w:rPr>
        <w:t>requisitos mínimos para las condiciones mutuamente acordadas y cláusulas contractuales modelo para la participación en los beneficios derivados de la utilización de los conocimientos tradicionales asociados a recursos genéticos</w:t>
      </w:r>
      <w:r w:rsidRPr="00E92C1D">
        <w:rPr>
          <w:kern w:val="22"/>
          <w:lang w:val="es-ES"/>
        </w:rPr>
        <w:t>, teniendo en cuenta sus leyes consuetudinarias</w:t>
      </w:r>
      <w:r w:rsidR="009F5D7B" w:rsidRPr="00CC76E6">
        <w:rPr>
          <w:rFonts w:eastAsia="Calibri"/>
          <w:kern w:val="22"/>
          <w:szCs w:val="22"/>
          <w:lang w:val="es-ES"/>
        </w:rPr>
        <w:t>;</w:t>
      </w:r>
    </w:p>
    <w:p w:rsidR="009F5D7B" w:rsidRPr="00CC76E6" w:rsidRDefault="00CC76E6"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CC76E6">
        <w:rPr>
          <w:rFonts w:eastAsia="Calibri"/>
          <w:kern w:val="22"/>
          <w:szCs w:val="22"/>
          <w:lang w:val="es-ES"/>
        </w:rPr>
        <w:t xml:space="preserve"> </w:t>
      </w:r>
      <w:r w:rsidR="009F5D7B" w:rsidRPr="00CC76E6">
        <w:rPr>
          <w:rFonts w:eastAsia="Calibri"/>
          <w:kern w:val="22"/>
          <w:szCs w:val="22"/>
          <w:lang w:val="es-ES"/>
        </w:rPr>
        <w:t>d)</w:t>
      </w:r>
      <w:r w:rsidR="009F5D7B" w:rsidRPr="00CC76E6">
        <w:rPr>
          <w:rFonts w:eastAsia="Calibri"/>
          <w:kern w:val="22"/>
          <w:szCs w:val="22"/>
          <w:lang w:val="es-ES"/>
        </w:rPr>
        <w:tab/>
      </w:r>
      <w:r w:rsidRPr="00E92C1D">
        <w:rPr>
          <w:kern w:val="22"/>
          <w:lang w:val="es-ES"/>
        </w:rPr>
        <w:t>Generar conciencia entre los interesados directos pertinentes y alentar su participación en la aplicación del Protocolo</w:t>
      </w:r>
      <w:r w:rsidR="009F5D7B" w:rsidRPr="00CC76E6">
        <w:rPr>
          <w:rFonts w:eastAsia="Calibri"/>
          <w:kern w:val="22"/>
          <w:szCs w:val="22"/>
          <w:lang w:val="es-ES"/>
        </w:rPr>
        <w:t>;</w:t>
      </w:r>
    </w:p>
    <w:p w:rsidR="009F5D7B" w:rsidRPr="00CC76E6" w:rsidRDefault="009F5D7B"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CC76E6">
        <w:rPr>
          <w:rFonts w:eastAsia="Calibri"/>
          <w:kern w:val="22"/>
          <w:szCs w:val="22"/>
          <w:lang w:val="es-ES"/>
        </w:rPr>
        <w:t>6.</w:t>
      </w:r>
      <w:r w:rsidRPr="00CC76E6">
        <w:rPr>
          <w:rFonts w:eastAsia="Calibri"/>
          <w:kern w:val="22"/>
          <w:szCs w:val="22"/>
          <w:lang w:val="es-ES"/>
        </w:rPr>
        <w:tab/>
      </w:r>
      <w:r w:rsidR="00CC76E6" w:rsidRPr="00E92C1D">
        <w:rPr>
          <w:i/>
          <w:iCs/>
          <w:kern w:val="22"/>
          <w:lang w:val="es-ES"/>
        </w:rPr>
        <w:t>Insta</w:t>
      </w:r>
      <w:r w:rsidR="00CC76E6" w:rsidRPr="00E92C1D">
        <w:rPr>
          <w:kern w:val="22"/>
          <w:lang w:val="es-ES"/>
        </w:rPr>
        <w:t xml:space="preserve"> a las Partes que aún no lo hayan hecho a</w:t>
      </w:r>
      <w:r w:rsidRPr="00CC76E6">
        <w:rPr>
          <w:rFonts w:eastAsia="Calibri"/>
          <w:kern w:val="22"/>
          <w:szCs w:val="22"/>
          <w:lang w:val="es-ES"/>
        </w:rPr>
        <w:t>:</w:t>
      </w:r>
    </w:p>
    <w:p w:rsidR="009F5D7B" w:rsidRPr="00CC76E6" w:rsidRDefault="00CC76E6"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C5131C">
        <w:rPr>
          <w:rFonts w:eastAsia="Calibri"/>
          <w:kern w:val="22"/>
          <w:szCs w:val="22"/>
          <w:lang w:val="es-ES"/>
        </w:rPr>
        <w:t xml:space="preserve"> </w:t>
      </w:r>
      <w:r w:rsidR="009F5D7B" w:rsidRPr="00CC76E6">
        <w:rPr>
          <w:rFonts w:eastAsia="Calibri"/>
          <w:kern w:val="22"/>
          <w:szCs w:val="22"/>
          <w:lang w:val="es-ES"/>
        </w:rPr>
        <w:t>a)</w:t>
      </w:r>
      <w:r w:rsidR="009F5D7B" w:rsidRPr="00CC76E6">
        <w:rPr>
          <w:rFonts w:eastAsia="Calibri"/>
          <w:kern w:val="22"/>
          <w:szCs w:val="22"/>
          <w:lang w:val="es-ES"/>
        </w:rPr>
        <w:tab/>
      </w:r>
      <w:r w:rsidRPr="00E92C1D">
        <w:rPr>
          <w:kern w:val="22"/>
          <w:lang w:val="es-ES"/>
        </w:rPr>
        <w:t>Establecer estructuras institucionales y medidas legislativas, administrativas o de política sobre acceso y participación en los beneficios, teniendo en cuenta los párrafos 5 a) y b) anteriores</w:t>
      </w:r>
      <w:r w:rsidR="009F5D7B" w:rsidRPr="00CC76E6">
        <w:rPr>
          <w:rFonts w:eastAsia="Calibri"/>
          <w:kern w:val="22"/>
          <w:szCs w:val="22"/>
          <w:lang w:val="es-ES"/>
        </w:rPr>
        <w:t>;</w:t>
      </w:r>
    </w:p>
    <w:p w:rsidR="009F5D7B" w:rsidRPr="00CC76E6" w:rsidRDefault="00CC76E6"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CC76E6">
        <w:rPr>
          <w:rFonts w:eastAsia="Calibri"/>
          <w:kern w:val="22"/>
          <w:szCs w:val="22"/>
          <w:lang w:val="es-ES"/>
        </w:rPr>
        <w:t xml:space="preserve"> </w:t>
      </w:r>
      <w:r>
        <w:rPr>
          <w:rFonts w:eastAsia="Calibri"/>
          <w:kern w:val="22"/>
          <w:szCs w:val="22"/>
          <w:lang w:val="es-ES"/>
        </w:rPr>
        <w:t>b)</w:t>
      </w:r>
      <w:r>
        <w:rPr>
          <w:rFonts w:eastAsia="Calibri"/>
          <w:kern w:val="22"/>
          <w:szCs w:val="22"/>
          <w:lang w:val="es-ES"/>
        </w:rPr>
        <w:tab/>
      </w:r>
      <w:r w:rsidRPr="00E92C1D">
        <w:rPr>
          <w:kern w:val="22"/>
          <w:lang w:val="es-ES"/>
        </w:rPr>
        <w:t>Adoptar medidas para abordar los temas prioritarios indicados en los párrafos 5 c) y d) anteriores</w:t>
      </w:r>
      <w:r w:rsidR="009F5D7B" w:rsidRPr="00CC76E6">
        <w:rPr>
          <w:rFonts w:eastAsia="Calibri"/>
          <w:kern w:val="22"/>
          <w:szCs w:val="22"/>
          <w:lang w:val="es-ES"/>
        </w:rPr>
        <w:t>;</w:t>
      </w:r>
    </w:p>
    <w:p w:rsidR="009F5D7B" w:rsidRPr="00CC76E6" w:rsidRDefault="00CC76E6" w:rsidP="000C6220">
      <w:pPr>
        <w:suppressLineNumbers/>
        <w:suppressAutoHyphens/>
        <w:kinsoku w:val="0"/>
        <w:overflowPunct w:val="0"/>
        <w:autoSpaceDE w:val="0"/>
        <w:autoSpaceDN w:val="0"/>
        <w:adjustRightInd w:val="0"/>
        <w:snapToGrid w:val="0"/>
        <w:spacing w:before="120" w:line="240" w:lineRule="auto"/>
        <w:ind w:firstLine="720"/>
        <w:rPr>
          <w:kern w:val="22"/>
          <w:szCs w:val="22"/>
          <w:u w:val="single" w:color="000000"/>
          <w:lang w:val="es-ES"/>
        </w:rPr>
      </w:pPr>
      <w:r w:rsidRPr="00CC76E6">
        <w:rPr>
          <w:rFonts w:eastAsia="Calibri"/>
          <w:kern w:val="22"/>
          <w:szCs w:val="22"/>
          <w:lang w:val="es-ES"/>
        </w:rPr>
        <w:t xml:space="preserve"> </w:t>
      </w:r>
      <w:r w:rsidR="009F5D7B" w:rsidRPr="00CC76E6">
        <w:rPr>
          <w:rFonts w:eastAsia="Calibri"/>
          <w:kern w:val="22"/>
          <w:szCs w:val="22"/>
          <w:lang w:val="es-ES"/>
        </w:rPr>
        <w:t>c)</w:t>
      </w:r>
      <w:r w:rsidR="009F5D7B" w:rsidRPr="00CC76E6">
        <w:rPr>
          <w:rFonts w:eastAsia="Calibri"/>
          <w:kern w:val="22"/>
          <w:szCs w:val="22"/>
          <w:lang w:val="es-ES"/>
        </w:rPr>
        <w:tab/>
      </w:r>
      <w:r w:rsidRPr="00E92C1D">
        <w:rPr>
          <w:kern w:val="22"/>
          <w:lang w:val="es-ES"/>
        </w:rPr>
        <w:t>Publicar lo antes posible en el Centro de Intercambio de Información sobre Acceso y Participación en los Beneficios toda la información obligatoria que esté disponible a nivel nacional de conformidad con las obligaciones establecidas en el artículo 14, párrafo 2, del Protocolo, incluida información sobre los permisos o equivalentes que pueden constituir certificados de cumplimiento reconocidos internacionalmente, con miras a facilitar la vigilancia de la utilización de recursos genéticos y la cooperación entre las Partes</w:t>
      </w:r>
      <w:r w:rsidR="009F5D7B" w:rsidRPr="00CC76E6">
        <w:rPr>
          <w:rFonts w:eastAsia="Calibri"/>
          <w:kern w:val="22"/>
          <w:szCs w:val="22"/>
          <w:lang w:val="es-ES"/>
        </w:rPr>
        <w:t>;</w:t>
      </w:r>
    </w:p>
    <w:p w:rsidR="009F5D7B" w:rsidRPr="00CC76E6" w:rsidRDefault="009F5D7B"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CC76E6">
        <w:rPr>
          <w:rFonts w:eastAsia="Calibri"/>
          <w:kern w:val="22"/>
          <w:szCs w:val="22"/>
          <w:lang w:val="es-ES"/>
        </w:rPr>
        <w:t>7.</w:t>
      </w:r>
      <w:r w:rsidRPr="00CC76E6">
        <w:rPr>
          <w:rFonts w:eastAsia="Calibri"/>
          <w:kern w:val="22"/>
          <w:szCs w:val="22"/>
          <w:lang w:val="es-ES"/>
        </w:rPr>
        <w:tab/>
      </w:r>
      <w:r w:rsidR="00CC76E6" w:rsidRPr="00E92C1D">
        <w:rPr>
          <w:i/>
          <w:iCs/>
          <w:kern w:val="22"/>
          <w:lang w:val="es-ES"/>
        </w:rPr>
        <w:t>Alienta</w:t>
      </w:r>
      <w:r w:rsidR="00CC76E6" w:rsidRPr="00E92C1D">
        <w:rPr>
          <w:kern w:val="22"/>
          <w:lang w:val="es-ES"/>
        </w:rPr>
        <w:t xml:space="preserve"> a las Partes, Estados que no son Partes y organizaciones pertinentes que estén en condiciones de hacerlo a</w:t>
      </w:r>
      <w:r w:rsidRPr="00CC76E6">
        <w:rPr>
          <w:rFonts w:eastAsia="Calibri"/>
          <w:kern w:val="22"/>
          <w:szCs w:val="22"/>
          <w:lang w:val="es-ES"/>
        </w:rPr>
        <w:t>:</w:t>
      </w:r>
    </w:p>
    <w:p w:rsidR="009F5D7B" w:rsidRPr="00CC76E6" w:rsidRDefault="00CC76E6"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C5131C">
        <w:rPr>
          <w:rFonts w:eastAsia="Calibri"/>
          <w:kern w:val="22"/>
          <w:szCs w:val="22"/>
          <w:lang w:val="es-ES"/>
        </w:rPr>
        <w:t xml:space="preserve"> </w:t>
      </w:r>
      <w:r w:rsidR="009F5D7B" w:rsidRPr="00CC76E6">
        <w:rPr>
          <w:rFonts w:eastAsia="Calibri"/>
          <w:kern w:val="22"/>
          <w:szCs w:val="22"/>
          <w:lang w:val="es-ES"/>
        </w:rPr>
        <w:t>a)</w:t>
      </w:r>
      <w:r w:rsidR="009F5D7B" w:rsidRPr="00CC76E6">
        <w:rPr>
          <w:rFonts w:eastAsia="Calibri"/>
          <w:kern w:val="22"/>
          <w:szCs w:val="22"/>
          <w:lang w:val="es-ES"/>
        </w:rPr>
        <w:tab/>
      </w:r>
      <w:r w:rsidRPr="00E92C1D">
        <w:rPr>
          <w:kern w:val="22"/>
          <w:lang w:val="es-ES"/>
        </w:rPr>
        <w:t xml:space="preserve">Intensificar sus esfuerzos dirigidos a crear capacidad en las Partes que son países en desarrollo, en particular los países menos adelantados y los pequeños Estados insulares en desarrollo entre ellos, y las Partes </w:t>
      </w:r>
      <w:r w:rsidRPr="00E92C1D">
        <w:rPr>
          <w:kern w:val="22"/>
          <w:lang w:val="es-ES"/>
        </w:rPr>
        <w:lastRenderedPageBreak/>
        <w:t>con economías en transición, para la aplicación del Protocolo de Nagoya, teniendo en cuenta la necesidad de fortalecer las capacidades institucionales, los temas prioritarios indicados en el párrafo 5 anterior y las principales conclusiones expuestas en el anexo I, así como las necesidades y prioridades de los pueblos indígenas y las comunidades locales y los interesados directos pertinentes</w:t>
      </w:r>
      <w:r w:rsidR="009F5D7B" w:rsidRPr="00CC76E6">
        <w:rPr>
          <w:rFonts w:eastAsia="Calibri"/>
          <w:kern w:val="22"/>
          <w:szCs w:val="22"/>
          <w:lang w:val="es-ES"/>
        </w:rPr>
        <w:t>;</w:t>
      </w:r>
    </w:p>
    <w:p w:rsidR="009F5D7B" w:rsidRPr="00CC76E6" w:rsidRDefault="00CC76E6"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C5131C">
        <w:rPr>
          <w:rFonts w:eastAsia="Calibri"/>
          <w:kern w:val="22"/>
          <w:szCs w:val="22"/>
          <w:lang w:val="es-ES"/>
        </w:rPr>
        <w:t xml:space="preserve"> </w:t>
      </w:r>
      <w:r w:rsidR="009F5D7B" w:rsidRPr="00CC76E6">
        <w:rPr>
          <w:rFonts w:eastAsia="Calibri"/>
          <w:kern w:val="22"/>
          <w:szCs w:val="22"/>
          <w:lang w:val="es-ES"/>
        </w:rPr>
        <w:t>b)</w:t>
      </w:r>
      <w:r w:rsidR="009F5D7B" w:rsidRPr="00CC76E6">
        <w:rPr>
          <w:rFonts w:eastAsia="Calibri"/>
          <w:kern w:val="22"/>
          <w:szCs w:val="22"/>
          <w:lang w:val="es-ES"/>
        </w:rPr>
        <w:tab/>
      </w:r>
      <w:r w:rsidRPr="00E92C1D">
        <w:rPr>
          <w:kern w:val="22"/>
          <w:lang w:val="es-ES"/>
        </w:rPr>
        <w:t>Apoyar las iniciativas de creación de capacidad para aplicar el Protocolo, como el programa de creación de capacidad que llevan a cabo la Secretaría y la Organización Internacional de Derecho para el Desarrollo dirigido al establecimiento de marcos jurídicos nacionales, mediante, entre otras cosas, la provisión de recursos financieros</w:t>
      </w:r>
      <w:r w:rsidR="009F5D7B" w:rsidRPr="00CC76E6">
        <w:rPr>
          <w:rFonts w:eastAsia="Calibri"/>
          <w:kern w:val="22"/>
          <w:szCs w:val="22"/>
          <w:lang w:val="es-ES"/>
        </w:rPr>
        <w:t>;</w:t>
      </w:r>
    </w:p>
    <w:p w:rsidR="009F5D7B" w:rsidRPr="00CC76E6" w:rsidRDefault="00CC76E6"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CC76E6">
        <w:rPr>
          <w:rFonts w:eastAsia="Calibri"/>
          <w:kern w:val="22"/>
          <w:szCs w:val="22"/>
          <w:lang w:val="es-ES"/>
        </w:rPr>
        <w:t xml:space="preserve"> </w:t>
      </w:r>
      <w:r w:rsidR="009F5D7B" w:rsidRPr="00CC76E6">
        <w:rPr>
          <w:rFonts w:eastAsia="Calibri"/>
          <w:kern w:val="22"/>
          <w:szCs w:val="22"/>
          <w:lang w:val="es-ES"/>
        </w:rPr>
        <w:t>c)</w:t>
      </w:r>
      <w:r w:rsidR="009F5D7B" w:rsidRPr="00CC76E6">
        <w:rPr>
          <w:rFonts w:eastAsia="Calibri"/>
          <w:kern w:val="22"/>
          <w:szCs w:val="22"/>
          <w:lang w:val="es-ES"/>
        </w:rPr>
        <w:tab/>
      </w:r>
      <w:r w:rsidRPr="00E92C1D">
        <w:rPr>
          <w:kern w:val="22"/>
          <w:lang w:val="es-ES"/>
        </w:rPr>
        <w:t>Publicar información sobre iniciativas y recursos de creación de capacidad en el Centro de Intercambio de Información sobre Acceso y Participación en los Beneficios</w:t>
      </w:r>
      <w:r w:rsidR="009F5D7B" w:rsidRPr="00CC76E6">
        <w:rPr>
          <w:rFonts w:eastAsia="Calibri"/>
          <w:kern w:val="22"/>
          <w:szCs w:val="22"/>
          <w:lang w:val="es-ES"/>
        </w:rPr>
        <w:t>;</w:t>
      </w:r>
    </w:p>
    <w:p w:rsidR="009F5D7B" w:rsidRPr="00CC76E6" w:rsidRDefault="00CC76E6"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CC76E6">
        <w:rPr>
          <w:rFonts w:eastAsia="Calibri"/>
          <w:kern w:val="22"/>
          <w:szCs w:val="22"/>
          <w:lang w:val="es-ES"/>
        </w:rPr>
        <w:t xml:space="preserve"> </w:t>
      </w:r>
      <w:r w:rsidR="009F5D7B" w:rsidRPr="00CC76E6">
        <w:rPr>
          <w:rFonts w:eastAsia="Calibri"/>
          <w:kern w:val="22"/>
          <w:szCs w:val="22"/>
          <w:lang w:val="es-ES"/>
        </w:rPr>
        <w:t>d)</w:t>
      </w:r>
      <w:r w:rsidR="009F5D7B" w:rsidRPr="00CC76E6">
        <w:rPr>
          <w:rFonts w:eastAsia="Calibri"/>
          <w:kern w:val="22"/>
          <w:szCs w:val="22"/>
          <w:lang w:val="es-ES"/>
        </w:rPr>
        <w:tab/>
      </w:r>
      <w:r w:rsidRPr="00E92C1D">
        <w:rPr>
          <w:kern w:val="22"/>
          <w:lang w:val="es-ES"/>
        </w:rPr>
        <w:t>Considerar enfoques regionales para apoyar la aplicación armonizada del Protocolo mediante, entre otras cosas, actividades de creación de capacidad entre países que compartan los mismos recursos genéticos o conocimientos tradicionales asociados a recursos genéticos</w:t>
      </w:r>
      <w:r w:rsidR="009F5D7B" w:rsidRPr="00CC76E6">
        <w:rPr>
          <w:rFonts w:eastAsia="Calibri"/>
          <w:kern w:val="22"/>
          <w:szCs w:val="22"/>
          <w:lang w:val="es-ES"/>
        </w:rPr>
        <w:t>;</w:t>
      </w:r>
    </w:p>
    <w:p w:rsidR="009F5D7B" w:rsidRPr="00CC76E6" w:rsidRDefault="00CC76E6"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CC76E6">
        <w:rPr>
          <w:rFonts w:eastAsia="Calibri"/>
          <w:kern w:val="22"/>
          <w:szCs w:val="22"/>
          <w:lang w:val="es-ES"/>
        </w:rPr>
        <w:t xml:space="preserve"> </w:t>
      </w:r>
      <w:r w:rsidR="009F5D7B" w:rsidRPr="00CC76E6">
        <w:rPr>
          <w:rFonts w:eastAsia="Calibri"/>
          <w:kern w:val="22"/>
          <w:szCs w:val="22"/>
          <w:lang w:val="es-ES"/>
        </w:rPr>
        <w:t>e)</w:t>
      </w:r>
      <w:r w:rsidR="009F5D7B" w:rsidRPr="00CC76E6">
        <w:rPr>
          <w:rFonts w:eastAsia="Calibri"/>
          <w:kern w:val="22"/>
          <w:szCs w:val="22"/>
          <w:lang w:val="es-ES"/>
        </w:rPr>
        <w:tab/>
      </w:r>
      <w:r w:rsidRPr="00E92C1D">
        <w:rPr>
          <w:kern w:val="22"/>
          <w:lang w:val="es-ES"/>
        </w:rPr>
        <w:t>Facilitar el intercambio de información y experiencias en relación con la cooperación transfronteriza de conformidad con el artículo 11 del Protocolo</w:t>
      </w:r>
      <w:r w:rsidR="009F5D7B" w:rsidRPr="00CC76E6">
        <w:rPr>
          <w:rFonts w:eastAsia="Calibri"/>
          <w:kern w:val="22"/>
          <w:szCs w:val="22"/>
          <w:lang w:val="es-ES"/>
        </w:rPr>
        <w:t>;</w:t>
      </w:r>
    </w:p>
    <w:p w:rsidR="009F5D7B" w:rsidRPr="00CC76E6" w:rsidRDefault="00CC76E6"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CC76E6">
        <w:rPr>
          <w:rFonts w:eastAsia="Calibri"/>
          <w:kern w:val="22"/>
          <w:szCs w:val="22"/>
          <w:lang w:val="es-ES"/>
        </w:rPr>
        <w:t xml:space="preserve"> </w:t>
      </w:r>
      <w:r w:rsidR="009F5D7B" w:rsidRPr="00CC76E6">
        <w:rPr>
          <w:rFonts w:eastAsia="Calibri"/>
          <w:kern w:val="22"/>
          <w:szCs w:val="22"/>
          <w:lang w:val="es-ES"/>
        </w:rPr>
        <w:t>f)</w:t>
      </w:r>
      <w:r w:rsidR="009F5D7B" w:rsidRPr="00CC76E6">
        <w:rPr>
          <w:rFonts w:eastAsia="Calibri"/>
          <w:kern w:val="22"/>
          <w:szCs w:val="22"/>
          <w:lang w:val="es-ES"/>
        </w:rPr>
        <w:tab/>
      </w:r>
      <w:r w:rsidRPr="00E92C1D">
        <w:rPr>
          <w:kern w:val="22"/>
          <w:lang w:val="es-ES"/>
        </w:rPr>
        <w:t>Apoyar la comunicación estratégica para promover un mayor conocimiento del Protocolo</w:t>
      </w:r>
      <w:r w:rsidR="009F5D7B" w:rsidRPr="00CC76E6">
        <w:rPr>
          <w:rFonts w:eastAsia="Calibri"/>
          <w:kern w:val="22"/>
          <w:szCs w:val="22"/>
          <w:lang w:val="es-ES"/>
        </w:rPr>
        <w:t>;</w:t>
      </w:r>
    </w:p>
    <w:p w:rsidR="009F5D7B" w:rsidRPr="00CC76E6" w:rsidRDefault="00CC76E6"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CC76E6">
        <w:rPr>
          <w:rFonts w:eastAsia="Calibri"/>
          <w:kern w:val="22"/>
          <w:szCs w:val="22"/>
          <w:lang w:val="es-ES"/>
        </w:rPr>
        <w:t xml:space="preserve"> </w:t>
      </w:r>
      <w:r w:rsidR="009F5D7B" w:rsidRPr="00CC76E6">
        <w:rPr>
          <w:rFonts w:eastAsia="Calibri"/>
          <w:kern w:val="22"/>
          <w:szCs w:val="22"/>
          <w:lang w:val="es-ES"/>
        </w:rPr>
        <w:t>g)</w:t>
      </w:r>
      <w:r w:rsidR="009F5D7B" w:rsidRPr="00CC76E6">
        <w:rPr>
          <w:rFonts w:eastAsia="Calibri"/>
          <w:kern w:val="22"/>
          <w:szCs w:val="22"/>
          <w:lang w:val="es-ES"/>
        </w:rPr>
        <w:tab/>
      </w:r>
      <w:r w:rsidRPr="00E92C1D">
        <w:rPr>
          <w:kern w:val="22"/>
          <w:lang w:val="es-ES"/>
        </w:rPr>
        <w:t xml:space="preserve">Crear capacidad en las Partes, los pueblos indígenas y las comunidades locales para negociar </w:t>
      </w:r>
      <w:r w:rsidRPr="00E92C1D">
        <w:rPr>
          <w:kern w:val="22"/>
          <w:u w:color="000000"/>
          <w:lang w:val="es-ES"/>
        </w:rPr>
        <w:t>condiciones mutuamente acordadas y promover alianzas y la transferencia de tecnología entre usuarios y proveedores de recursos genéticos o de conocimientos tradicionales asociados</w:t>
      </w:r>
      <w:r w:rsidR="009F5D7B" w:rsidRPr="00CC76E6">
        <w:rPr>
          <w:rFonts w:eastAsia="Calibri"/>
          <w:kern w:val="22"/>
          <w:szCs w:val="22"/>
          <w:lang w:val="es-ES"/>
        </w:rPr>
        <w:t>;</w:t>
      </w:r>
    </w:p>
    <w:p w:rsidR="009F5D7B" w:rsidRPr="00CC76E6" w:rsidRDefault="009F5D7B"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CC76E6">
        <w:rPr>
          <w:rFonts w:eastAsia="Calibri"/>
          <w:kern w:val="22"/>
          <w:szCs w:val="22"/>
          <w:lang w:val="es-ES"/>
        </w:rPr>
        <w:t>8.</w:t>
      </w:r>
      <w:r w:rsidRPr="00CC76E6">
        <w:rPr>
          <w:rFonts w:eastAsia="Calibri"/>
          <w:kern w:val="22"/>
          <w:szCs w:val="22"/>
          <w:lang w:val="es-ES"/>
        </w:rPr>
        <w:tab/>
      </w:r>
      <w:r w:rsidR="00CC76E6" w:rsidRPr="00E92C1D">
        <w:rPr>
          <w:i/>
          <w:iCs/>
          <w:kern w:val="22"/>
          <w:lang w:val="es-ES"/>
        </w:rPr>
        <w:t>Invita</w:t>
      </w:r>
      <w:r w:rsidR="00CC76E6" w:rsidRPr="00E92C1D">
        <w:rPr>
          <w:kern w:val="22"/>
          <w:lang w:val="es-ES"/>
        </w:rPr>
        <w:t xml:space="preserve"> a las Partes, Estados que no son Partes, organizaciones internacionales, bancos regionales de desarrollo, otras instituciones financieras y el sector privado, según proceda, a intensificar sus esfuerzos dirigidos a proporcionar recursos financieros para apoyar la aplicación del Protocolo</w:t>
      </w:r>
      <w:r w:rsidRPr="00CC76E6">
        <w:rPr>
          <w:rFonts w:eastAsia="Calibri"/>
          <w:kern w:val="22"/>
          <w:szCs w:val="22"/>
          <w:lang w:val="es-ES"/>
        </w:rPr>
        <w:t>;</w:t>
      </w:r>
    </w:p>
    <w:p w:rsidR="009F5D7B" w:rsidRPr="00CC76E6" w:rsidRDefault="009F5D7B"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CC76E6">
        <w:rPr>
          <w:rFonts w:eastAsia="Calibri"/>
          <w:kern w:val="22"/>
          <w:szCs w:val="22"/>
          <w:lang w:val="es-ES"/>
        </w:rPr>
        <w:t>9.</w:t>
      </w:r>
      <w:r w:rsidRPr="00CC76E6">
        <w:rPr>
          <w:rFonts w:eastAsia="Calibri"/>
          <w:kern w:val="22"/>
          <w:szCs w:val="22"/>
          <w:lang w:val="es-ES"/>
        </w:rPr>
        <w:tab/>
      </w:r>
      <w:r w:rsidR="00CC76E6" w:rsidRPr="00E92C1D">
        <w:rPr>
          <w:i/>
          <w:iCs/>
          <w:kern w:val="22"/>
          <w:lang w:val="es-ES"/>
        </w:rPr>
        <w:t>Recomienda</w:t>
      </w:r>
      <w:r w:rsidR="00CC76E6" w:rsidRPr="00E92C1D">
        <w:rPr>
          <w:kern w:val="22"/>
          <w:lang w:val="es-ES"/>
        </w:rPr>
        <w:t xml:space="preserve"> a la Conferencia de las Partes que, al adoptar su orientación para el mecanismo financiero con respecto al apoyo para la aplicación del Protocolo de Nagoya, invite al Fondo para el Medio Ambiente Mundial a seguir prestando asistencia para la aplicación del Protocolo de Nagoya a las Partes que reúnan las condiciones necesarias, incluida asistencia para el establecimiento de medidas legislativas, administrativas y de política sobre acceso y participación en los beneficios y marcos institucionales relacionados, y a facilitar financiación específica a tales efectos</w:t>
      </w:r>
      <w:r w:rsidRPr="00CC76E6">
        <w:rPr>
          <w:rFonts w:eastAsia="Calibri"/>
          <w:kern w:val="22"/>
          <w:szCs w:val="22"/>
          <w:lang w:val="es-ES"/>
        </w:rPr>
        <w:t>;</w:t>
      </w:r>
    </w:p>
    <w:p w:rsidR="009F5D7B" w:rsidRPr="00CC76E6" w:rsidRDefault="009F5D7B"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CC76E6">
        <w:rPr>
          <w:rFonts w:eastAsia="Calibri"/>
          <w:kern w:val="22"/>
          <w:szCs w:val="22"/>
          <w:lang w:val="es-ES"/>
        </w:rPr>
        <w:t>10.</w:t>
      </w:r>
      <w:r w:rsidRPr="00CC76E6">
        <w:rPr>
          <w:rFonts w:eastAsia="Calibri"/>
          <w:kern w:val="22"/>
          <w:szCs w:val="22"/>
          <w:lang w:val="es-ES"/>
        </w:rPr>
        <w:tab/>
      </w:r>
      <w:r w:rsidR="00CC76E6" w:rsidRPr="00E92C1D">
        <w:rPr>
          <w:i/>
          <w:iCs/>
          <w:kern w:val="22"/>
          <w:lang w:val="es-ES"/>
        </w:rPr>
        <w:t>Alienta</w:t>
      </w:r>
      <w:r w:rsidR="00CC76E6" w:rsidRPr="00E92C1D">
        <w:rPr>
          <w:kern w:val="22"/>
          <w:lang w:val="es-ES"/>
        </w:rPr>
        <w:t xml:space="preserve"> a las Partes, Estados que no son Partes, pueblos indígenas y comunidades locales y organizaciones pertinentes a hacer uso del cúmulo de información y experiencias que se brinda en los informes nacionales provisionales y el Centro de Intercambio de Información sobre Acceso y Participación en los Beneficios, así como de las herramientas y recursos existentes (como directrices y material de creación de capacidad) para apoyar la aplicación y promover el intercambio de experiencias</w:t>
      </w:r>
      <w:r w:rsidRPr="00CC76E6">
        <w:rPr>
          <w:rFonts w:eastAsia="Calibri"/>
          <w:kern w:val="22"/>
          <w:szCs w:val="22"/>
          <w:lang w:val="es-ES"/>
        </w:rPr>
        <w:t>;</w:t>
      </w:r>
    </w:p>
    <w:p w:rsidR="009F5D7B" w:rsidRPr="00CC76E6" w:rsidRDefault="009F5D7B"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CC76E6">
        <w:rPr>
          <w:rFonts w:eastAsia="Calibri"/>
          <w:kern w:val="22"/>
          <w:szCs w:val="22"/>
          <w:lang w:val="es-ES"/>
        </w:rPr>
        <w:t>11.</w:t>
      </w:r>
      <w:r w:rsidRPr="00CC76E6">
        <w:rPr>
          <w:rFonts w:eastAsia="Calibri"/>
          <w:kern w:val="22"/>
          <w:szCs w:val="22"/>
          <w:lang w:val="es-ES"/>
        </w:rPr>
        <w:tab/>
      </w:r>
      <w:r w:rsidR="00CC76E6" w:rsidRPr="00E92C1D">
        <w:rPr>
          <w:i/>
          <w:iCs/>
          <w:kern w:val="22"/>
          <w:lang w:val="es-ES"/>
        </w:rPr>
        <w:t>Invita</w:t>
      </w:r>
      <w:r w:rsidR="00CC76E6" w:rsidRPr="00E92C1D">
        <w:rPr>
          <w:kern w:val="22"/>
          <w:lang w:val="es-ES"/>
        </w:rPr>
        <w:t xml:space="preserve"> a las Partes, en vista de la naturaleza intersectorial del Protocolo, a establecer mecanismos adecuados para facilitar lo siguiente</w:t>
      </w:r>
      <w:r w:rsidRPr="00CC76E6">
        <w:rPr>
          <w:rFonts w:eastAsia="Calibri"/>
          <w:kern w:val="22"/>
          <w:szCs w:val="22"/>
          <w:lang w:val="es-ES"/>
        </w:rPr>
        <w:t>:</w:t>
      </w:r>
    </w:p>
    <w:p w:rsidR="009F5D7B" w:rsidRPr="00BD70CB" w:rsidRDefault="00CC76E6"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C5131C">
        <w:rPr>
          <w:rFonts w:eastAsia="Calibri"/>
          <w:kern w:val="22"/>
          <w:szCs w:val="22"/>
          <w:lang w:val="es-ES"/>
        </w:rPr>
        <w:t xml:space="preserve"> </w:t>
      </w:r>
      <w:r w:rsidR="009F5D7B" w:rsidRPr="00BD70CB">
        <w:rPr>
          <w:rFonts w:eastAsia="Calibri"/>
          <w:kern w:val="22"/>
          <w:szCs w:val="22"/>
          <w:lang w:val="es-ES"/>
        </w:rPr>
        <w:t>a)</w:t>
      </w:r>
      <w:r w:rsidR="009F5D7B" w:rsidRPr="00BD70CB">
        <w:rPr>
          <w:rFonts w:eastAsia="Calibri"/>
          <w:kern w:val="22"/>
          <w:szCs w:val="22"/>
          <w:lang w:val="es-ES"/>
        </w:rPr>
        <w:tab/>
      </w:r>
      <w:r w:rsidR="00BD70CB" w:rsidRPr="00E92C1D">
        <w:rPr>
          <w:kern w:val="22"/>
          <w:lang w:val="es-ES"/>
        </w:rPr>
        <w:t>La coordinación nacional entre diferentes instituciones, puntos focales y ministerios que tengan que ver con el acceso y la participación en los beneficios</w:t>
      </w:r>
      <w:r w:rsidR="009F5D7B" w:rsidRPr="00BD70CB">
        <w:rPr>
          <w:rFonts w:eastAsia="Calibri"/>
          <w:kern w:val="22"/>
          <w:szCs w:val="22"/>
          <w:lang w:val="es-ES"/>
        </w:rPr>
        <w:t>;</w:t>
      </w:r>
    </w:p>
    <w:p w:rsidR="009F5D7B" w:rsidRPr="00BD70CB" w:rsidRDefault="00CC76E6"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BD70CB">
        <w:rPr>
          <w:rFonts w:eastAsia="Calibri"/>
          <w:kern w:val="22"/>
          <w:szCs w:val="22"/>
          <w:lang w:val="es-ES"/>
        </w:rPr>
        <w:t xml:space="preserve"> </w:t>
      </w:r>
      <w:r w:rsidR="009F5D7B" w:rsidRPr="00BD70CB">
        <w:rPr>
          <w:rFonts w:eastAsia="Calibri"/>
          <w:kern w:val="22"/>
          <w:szCs w:val="22"/>
          <w:lang w:val="es-ES"/>
        </w:rPr>
        <w:t>b)</w:t>
      </w:r>
      <w:r w:rsidR="009F5D7B" w:rsidRPr="00BD70CB">
        <w:rPr>
          <w:rFonts w:eastAsia="Calibri"/>
          <w:kern w:val="22"/>
          <w:szCs w:val="22"/>
          <w:lang w:val="es-ES"/>
        </w:rPr>
        <w:tab/>
      </w:r>
      <w:r w:rsidR="00BD70CB" w:rsidRPr="00E92C1D">
        <w:rPr>
          <w:kern w:val="22"/>
          <w:lang w:val="es-ES"/>
        </w:rPr>
        <w:t>La participación plena y efectiva de los pueblos indígenas y las comunidades locales en la aplicación de las disposiciones del Protocolo relacionadas con los pueblos indígenas y las comunidades locales a fin de contemplar sus necesidades así como las circunstancias nacionales</w:t>
      </w:r>
      <w:r w:rsidR="009F5D7B" w:rsidRPr="00BD70CB">
        <w:rPr>
          <w:rFonts w:eastAsia="Calibri"/>
          <w:kern w:val="22"/>
          <w:szCs w:val="22"/>
          <w:lang w:val="es-ES"/>
        </w:rPr>
        <w:t>;</w:t>
      </w:r>
    </w:p>
    <w:p w:rsidR="009F5D7B" w:rsidRPr="00BD70CB" w:rsidRDefault="00CC76E6" w:rsidP="000C6220">
      <w:pPr>
        <w:suppressLineNumbers/>
        <w:tabs>
          <w:tab w:val="left" w:pos="1440"/>
        </w:tab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BD70CB">
        <w:rPr>
          <w:rFonts w:eastAsia="Calibri"/>
          <w:kern w:val="22"/>
          <w:szCs w:val="22"/>
          <w:lang w:val="es-ES"/>
        </w:rPr>
        <w:t xml:space="preserve"> </w:t>
      </w:r>
      <w:r w:rsidR="009F5D7B" w:rsidRPr="00BD70CB">
        <w:rPr>
          <w:rFonts w:eastAsia="Calibri"/>
          <w:kern w:val="22"/>
          <w:szCs w:val="22"/>
          <w:lang w:val="es-ES"/>
        </w:rPr>
        <w:t>c)</w:t>
      </w:r>
      <w:r w:rsidR="009F5D7B" w:rsidRPr="00BD70CB">
        <w:rPr>
          <w:rFonts w:eastAsia="Calibri"/>
          <w:kern w:val="22"/>
          <w:szCs w:val="22"/>
          <w:lang w:val="es-ES"/>
        </w:rPr>
        <w:tab/>
      </w:r>
      <w:r w:rsidR="00BD70CB" w:rsidRPr="00E92C1D">
        <w:rPr>
          <w:kern w:val="22"/>
          <w:lang w:val="es-ES"/>
        </w:rPr>
        <w:t>La participación de interesados directos pertinentes de distintos sectores con miras a tener en cuenta sus necesidades al elaborar medidas legislativas, administrativas y de política sobre acceso y participación en los beneficios</w:t>
      </w:r>
      <w:r w:rsidR="009F5D7B" w:rsidRPr="00BD70CB">
        <w:rPr>
          <w:rFonts w:eastAsia="Calibri"/>
          <w:kern w:val="22"/>
          <w:szCs w:val="22"/>
          <w:lang w:val="es-ES"/>
        </w:rPr>
        <w:t>;</w:t>
      </w:r>
    </w:p>
    <w:p w:rsidR="009F5D7B" w:rsidRPr="00BD70CB" w:rsidRDefault="009F5D7B" w:rsidP="000C6220">
      <w:pPr>
        <w:suppressLineNumbers/>
        <w:suppressAutoHyphens/>
        <w:kinsoku w:val="0"/>
        <w:overflowPunct w:val="0"/>
        <w:autoSpaceDE w:val="0"/>
        <w:autoSpaceDN w:val="0"/>
        <w:adjustRightInd w:val="0"/>
        <w:snapToGrid w:val="0"/>
        <w:spacing w:before="120" w:line="240" w:lineRule="auto"/>
        <w:ind w:firstLine="720"/>
        <w:rPr>
          <w:rFonts w:eastAsia="Calibri"/>
          <w:i/>
          <w:kern w:val="22"/>
          <w:szCs w:val="22"/>
          <w:lang w:val="es-ES"/>
        </w:rPr>
      </w:pPr>
      <w:r w:rsidRPr="00BD70CB">
        <w:rPr>
          <w:rFonts w:eastAsia="Calibri"/>
          <w:kern w:val="22"/>
          <w:szCs w:val="22"/>
          <w:lang w:val="es-ES"/>
        </w:rPr>
        <w:t>12.</w:t>
      </w:r>
      <w:r w:rsidRPr="00BD70CB">
        <w:rPr>
          <w:rFonts w:eastAsia="Calibri"/>
          <w:kern w:val="22"/>
          <w:szCs w:val="22"/>
          <w:lang w:val="es-ES"/>
        </w:rPr>
        <w:tab/>
      </w:r>
      <w:r w:rsidR="00BD70CB" w:rsidRPr="00E92C1D">
        <w:rPr>
          <w:i/>
          <w:iCs/>
          <w:kern w:val="22"/>
          <w:lang w:val="es-ES"/>
        </w:rPr>
        <w:t xml:space="preserve">Invita también </w:t>
      </w:r>
      <w:r w:rsidR="00BD70CB" w:rsidRPr="00E92C1D">
        <w:rPr>
          <w:kern w:val="22"/>
          <w:lang w:val="es-ES"/>
        </w:rPr>
        <w:t>a las Partes a</w:t>
      </w:r>
      <w:r w:rsidRPr="00BD70CB">
        <w:rPr>
          <w:rFonts w:eastAsia="Calibri"/>
          <w:kern w:val="22"/>
          <w:szCs w:val="22"/>
          <w:lang w:val="es-ES"/>
        </w:rPr>
        <w:t>:</w:t>
      </w:r>
    </w:p>
    <w:p w:rsidR="009F5D7B" w:rsidRPr="00BD70CB" w:rsidRDefault="00BD70CB"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C5131C">
        <w:rPr>
          <w:rFonts w:eastAsia="Calibri"/>
          <w:kern w:val="22"/>
          <w:szCs w:val="22"/>
          <w:lang w:val="es-ES"/>
        </w:rPr>
        <w:lastRenderedPageBreak/>
        <w:t xml:space="preserve"> </w:t>
      </w:r>
      <w:r w:rsidR="009F5D7B" w:rsidRPr="00BD70CB">
        <w:rPr>
          <w:rFonts w:eastAsia="Calibri"/>
          <w:kern w:val="22"/>
          <w:szCs w:val="22"/>
          <w:lang w:val="es-ES"/>
        </w:rPr>
        <w:t>a)</w:t>
      </w:r>
      <w:r w:rsidR="009F5D7B" w:rsidRPr="00BD70CB">
        <w:rPr>
          <w:rFonts w:eastAsia="Calibri"/>
          <w:kern w:val="22"/>
          <w:szCs w:val="22"/>
          <w:lang w:val="es-ES"/>
        </w:rPr>
        <w:tab/>
      </w:r>
      <w:r w:rsidRPr="00E92C1D">
        <w:rPr>
          <w:kern w:val="22"/>
          <w:lang w:val="es-ES"/>
        </w:rPr>
        <w:t>Considerar la posibilidad de adoptar medidas provisionales para adquirir experiencia que sirva para alimentar la elaboración de medidas legislativas, administrativas o de política sobre acceso y participación en los beneficios</w:t>
      </w:r>
      <w:r w:rsidR="009F5D7B" w:rsidRPr="00BD70CB">
        <w:rPr>
          <w:rFonts w:eastAsia="Calibri"/>
          <w:kern w:val="22"/>
          <w:szCs w:val="22"/>
          <w:lang w:val="es-ES"/>
        </w:rPr>
        <w:t>;</w:t>
      </w:r>
    </w:p>
    <w:p w:rsidR="009F5D7B" w:rsidRPr="00BD70CB" w:rsidRDefault="00BD70CB" w:rsidP="000C6220">
      <w:pPr>
        <w:suppressLineNumbers/>
        <w:suppressAutoHyphens/>
        <w:kinsoku w:val="0"/>
        <w:overflowPunct w:val="0"/>
        <w:autoSpaceDE w:val="0"/>
        <w:autoSpaceDN w:val="0"/>
        <w:adjustRightInd w:val="0"/>
        <w:snapToGrid w:val="0"/>
        <w:spacing w:before="120" w:line="240" w:lineRule="auto"/>
        <w:ind w:firstLine="720"/>
        <w:rPr>
          <w:kern w:val="22"/>
          <w:szCs w:val="22"/>
          <w:lang w:val="es-ES"/>
        </w:rPr>
      </w:pPr>
      <w:r w:rsidRPr="00BD70CB">
        <w:rPr>
          <w:kern w:val="22"/>
          <w:szCs w:val="22"/>
          <w:lang w:val="es-ES"/>
        </w:rPr>
        <w:t xml:space="preserve"> </w:t>
      </w:r>
      <w:r w:rsidR="009F5D7B" w:rsidRPr="00BD70CB">
        <w:rPr>
          <w:kern w:val="22"/>
          <w:szCs w:val="22"/>
          <w:lang w:val="es-ES"/>
        </w:rPr>
        <w:t>b)</w:t>
      </w:r>
      <w:r w:rsidR="009F5D7B" w:rsidRPr="00BD70CB">
        <w:rPr>
          <w:kern w:val="22"/>
          <w:szCs w:val="22"/>
          <w:lang w:val="es-ES"/>
        </w:rPr>
        <w:tab/>
      </w:r>
      <w:r w:rsidRPr="00E92C1D">
        <w:rPr>
          <w:kern w:val="22"/>
          <w:lang w:val="es-ES"/>
        </w:rPr>
        <w:t>Tomar en cuenta, al aplicar el artículo 8 del Protocolo, el trabajo pertinente realizado por la Organización de las Naciones Unidas para la Alimentación y la Agricultura, la Organización Mundial de la Salud y otras organizaciones pertinentes, según proceda y de acuerdo con las circunstancias nacionales</w:t>
      </w:r>
      <w:r w:rsidR="009F5D7B" w:rsidRPr="00BD70CB">
        <w:rPr>
          <w:kern w:val="22"/>
          <w:szCs w:val="22"/>
          <w:lang w:val="es-ES"/>
        </w:rPr>
        <w:t>;</w:t>
      </w:r>
    </w:p>
    <w:p w:rsidR="009F5D7B" w:rsidRPr="00BD70CB" w:rsidRDefault="00BD70CB" w:rsidP="000C6220">
      <w:pPr>
        <w:suppressLineNumbers/>
        <w:suppressAutoHyphens/>
        <w:kinsoku w:val="0"/>
        <w:overflowPunct w:val="0"/>
        <w:autoSpaceDE w:val="0"/>
        <w:autoSpaceDN w:val="0"/>
        <w:adjustRightInd w:val="0"/>
        <w:snapToGrid w:val="0"/>
        <w:spacing w:before="120" w:line="240" w:lineRule="auto"/>
        <w:ind w:firstLine="720"/>
        <w:rPr>
          <w:kern w:val="22"/>
          <w:szCs w:val="22"/>
          <w:lang w:val="es-ES"/>
        </w:rPr>
      </w:pPr>
      <w:r w:rsidRPr="00BD70CB">
        <w:rPr>
          <w:kern w:val="22"/>
          <w:szCs w:val="22"/>
          <w:lang w:val="es-ES"/>
        </w:rPr>
        <w:t xml:space="preserve"> </w:t>
      </w:r>
      <w:r w:rsidR="009F5D7B" w:rsidRPr="00BD70CB">
        <w:rPr>
          <w:kern w:val="22"/>
          <w:szCs w:val="22"/>
          <w:lang w:val="es-ES"/>
        </w:rPr>
        <w:t>c)</w:t>
      </w:r>
      <w:r w:rsidR="009F5D7B" w:rsidRPr="00BD70CB">
        <w:rPr>
          <w:kern w:val="22"/>
          <w:szCs w:val="22"/>
          <w:lang w:val="es-ES"/>
        </w:rPr>
        <w:tab/>
      </w:r>
      <w:r w:rsidRPr="00E92C1D">
        <w:rPr>
          <w:kern w:val="22"/>
          <w:lang w:val="es-ES"/>
        </w:rPr>
        <w:t>Tomar nota, al aplicar el artículo 16 del Protocolo, del trabajo pertinente realizado por la Organización Mundial de la Propiedad Intelectual, según proceda, siempre y cuando ese trabajo apoye y no se oponga a los objetivos del Convenio y del Protocolo</w:t>
      </w:r>
      <w:r w:rsidR="009F5D7B" w:rsidRPr="00BD70CB">
        <w:rPr>
          <w:rFonts w:eastAsia="Calibri"/>
          <w:kern w:val="22"/>
          <w:szCs w:val="22"/>
          <w:lang w:val="es-ES"/>
        </w:rPr>
        <w:t>;</w:t>
      </w:r>
    </w:p>
    <w:p w:rsidR="009F5D7B" w:rsidRPr="00BD70CB" w:rsidRDefault="009F5D7B"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BD70CB">
        <w:rPr>
          <w:rFonts w:eastAsia="Calibri"/>
          <w:kern w:val="22"/>
          <w:szCs w:val="22"/>
          <w:lang w:val="es-ES"/>
        </w:rPr>
        <w:t>13.</w:t>
      </w:r>
      <w:r w:rsidRPr="00BD70CB">
        <w:rPr>
          <w:rFonts w:eastAsia="Calibri"/>
          <w:kern w:val="22"/>
          <w:szCs w:val="22"/>
          <w:lang w:val="es-ES"/>
        </w:rPr>
        <w:tab/>
      </w:r>
      <w:r w:rsidR="00BD70CB" w:rsidRPr="00BD70CB">
        <w:rPr>
          <w:i/>
          <w:iCs/>
          <w:kern w:val="22"/>
          <w:lang w:val="es-ES"/>
        </w:rPr>
        <w:t>Invita</w:t>
      </w:r>
      <w:r w:rsidR="00BD70CB" w:rsidRPr="00BD70CB">
        <w:rPr>
          <w:kern w:val="22"/>
          <w:lang w:val="es-ES"/>
        </w:rPr>
        <w:t xml:space="preserve"> a los pueblos indígenas y las comunidades locales a participar en procesos de acceso y participación en los beneficios de conformidad con sus prácticas consuetudinarias, entre otras cosas desarrollando protocolo</w:t>
      </w:r>
      <w:r w:rsidRPr="00BD70CB">
        <w:rPr>
          <w:rFonts w:eastAsia="Calibri"/>
          <w:kern w:val="22"/>
          <w:szCs w:val="22"/>
          <w:lang w:val="es-ES"/>
        </w:rPr>
        <w:t>s</w:t>
      </w:r>
      <w:r w:rsidRPr="00EE0850">
        <w:rPr>
          <w:rStyle w:val="Refdenotaalpie"/>
          <w:kern w:val="18"/>
          <w:sz w:val="22"/>
          <w:szCs w:val="22"/>
          <w:u w:val="none"/>
          <w:vertAlign w:val="superscript"/>
        </w:rPr>
        <w:footnoteReference w:id="1"/>
      </w:r>
      <w:r w:rsidRPr="00BD70CB">
        <w:rPr>
          <w:rFonts w:eastAsia="Calibri"/>
          <w:kern w:val="22"/>
          <w:szCs w:val="22"/>
          <w:lang w:val="es-ES"/>
        </w:rPr>
        <w:t xml:space="preserve"> </w:t>
      </w:r>
      <w:r w:rsidR="00BD70CB" w:rsidRPr="00E92C1D">
        <w:rPr>
          <w:kern w:val="22"/>
          <w:lang w:val="es-ES"/>
        </w:rPr>
        <w:t>y procedimientos comunitarios, y facilitándolos a través del Centro de Intercambio de Información sobre Acceso y Participación en los Beneficios</w:t>
      </w:r>
      <w:r w:rsidR="00BD70CB" w:rsidRPr="00CD3586">
        <w:rPr>
          <w:rFonts w:eastAsia="Calibri"/>
          <w:kern w:val="22"/>
          <w:szCs w:val="22"/>
          <w:lang w:val="es-ES"/>
        </w:rPr>
        <w:t xml:space="preserve">, </w:t>
      </w:r>
      <w:r w:rsidR="00BD70CB">
        <w:rPr>
          <w:rFonts w:eastAsia="Calibri"/>
          <w:kern w:val="22"/>
          <w:szCs w:val="22"/>
          <w:lang w:val="es-ES"/>
        </w:rPr>
        <w:t>e</w:t>
      </w:r>
      <w:r w:rsidR="00BD70CB" w:rsidRPr="00CD3586">
        <w:rPr>
          <w:rFonts w:eastAsia="Calibri"/>
          <w:kern w:val="22"/>
          <w:szCs w:val="22"/>
          <w:lang w:val="es-ES"/>
        </w:rPr>
        <w:t xml:space="preserve"> </w:t>
      </w:r>
      <w:r w:rsidR="00BD70CB" w:rsidRPr="00CD3586">
        <w:rPr>
          <w:rFonts w:eastAsia="Calibri"/>
          <w:i/>
          <w:kern w:val="22"/>
          <w:szCs w:val="22"/>
          <w:lang w:val="es-ES"/>
        </w:rPr>
        <w:t>invit</w:t>
      </w:r>
      <w:r w:rsidR="00BD70CB">
        <w:rPr>
          <w:rFonts w:eastAsia="Calibri"/>
          <w:i/>
          <w:kern w:val="22"/>
          <w:szCs w:val="22"/>
          <w:lang w:val="es-ES"/>
        </w:rPr>
        <w:t>a</w:t>
      </w:r>
      <w:r w:rsidR="00BD70CB" w:rsidRPr="00CD3586">
        <w:rPr>
          <w:rFonts w:eastAsia="Calibri"/>
          <w:kern w:val="22"/>
          <w:szCs w:val="22"/>
          <w:lang w:val="es-ES"/>
        </w:rPr>
        <w:t xml:space="preserve"> </w:t>
      </w:r>
      <w:r w:rsidR="00BD70CB">
        <w:rPr>
          <w:rFonts w:eastAsia="Calibri"/>
          <w:kern w:val="22"/>
          <w:szCs w:val="22"/>
          <w:lang w:val="es-ES"/>
        </w:rPr>
        <w:t>a las organizaciones pertinentes a proporcionar orientación para apoyar a los pueblos indígenas y las comunidades locales en el desarrollo de dichos protocolos y procedimientos comunitarios</w:t>
      </w:r>
      <w:r w:rsidRPr="00BD70CB">
        <w:rPr>
          <w:rFonts w:eastAsia="Calibri"/>
          <w:kern w:val="22"/>
          <w:szCs w:val="22"/>
          <w:lang w:val="es-ES"/>
        </w:rPr>
        <w:t>;</w:t>
      </w:r>
    </w:p>
    <w:p w:rsidR="009F5D7B" w:rsidRPr="00BD70CB" w:rsidRDefault="009F5D7B"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BD70CB">
        <w:rPr>
          <w:rFonts w:eastAsia="Calibri"/>
          <w:kern w:val="22"/>
          <w:szCs w:val="22"/>
          <w:lang w:val="es-ES"/>
        </w:rPr>
        <w:t>14.</w:t>
      </w:r>
      <w:r w:rsidRPr="00BD70CB">
        <w:rPr>
          <w:rFonts w:eastAsia="Calibri"/>
          <w:kern w:val="22"/>
          <w:szCs w:val="22"/>
          <w:lang w:val="es-ES"/>
        </w:rPr>
        <w:tab/>
      </w:r>
      <w:r w:rsidR="00BD70CB" w:rsidRPr="00E92C1D">
        <w:rPr>
          <w:i/>
          <w:iCs/>
          <w:kern w:val="22"/>
          <w:lang w:val="es-ES"/>
        </w:rPr>
        <w:t>Invita</w:t>
      </w:r>
      <w:r w:rsidR="00BD70CB" w:rsidRPr="00E92C1D">
        <w:rPr>
          <w:kern w:val="22"/>
          <w:lang w:val="es-ES"/>
        </w:rPr>
        <w:t xml:space="preserve"> a </w:t>
      </w:r>
      <w:r w:rsidR="00BD70CB">
        <w:rPr>
          <w:kern w:val="22"/>
          <w:lang w:val="es-ES"/>
        </w:rPr>
        <w:t xml:space="preserve">los </w:t>
      </w:r>
      <w:r w:rsidR="00BD70CB" w:rsidRPr="00E92C1D">
        <w:rPr>
          <w:kern w:val="22"/>
          <w:lang w:val="es-ES"/>
        </w:rPr>
        <w:t>interesados directos pertinentes y organizaciones y redes de usuarios a participar en procesos de acceso y participación en los beneficios, entre otras cosas elaborando herramientas, tales como cláusulas contractuales modelo, códigos de conducta, directrices, prácticas óptimas y estándares, que atiendan las necesidades de sus representados y promuevan el cumplimiento de los requisitos de acceso y participación en los beneficios, y a facilitar esas herramientas a través del Centro de Intercambio de Información sobre Acceso y Participación en los Beneficios</w:t>
      </w:r>
      <w:r w:rsidRPr="00BD70CB">
        <w:rPr>
          <w:rFonts w:eastAsia="Calibri"/>
          <w:kern w:val="22"/>
          <w:szCs w:val="22"/>
          <w:lang w:val="es-ES"/>
        </w:rPr>
        <w:t>;</w:t>
      </w:r>
    </w:p>
    <w:p w:rsidR="009F5D7B" w:rsidRPr="00BD70CB" w:rsidRDefault="009F5D7B"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BD70CB">
        <w:rPr>
          <w:rFonts w:eastAsia="Calibri"/>
          <w:kern w:val="22"/>
          <w:szCs w:val="22"/>
          <w:lang w:val="es-ES"/>
        </w:rPr>
        <w:t>15.</w:t>
      </w:r>
      <w:r w:rsidRPr="00BD70CB">
        <w:rPr>
          <w:rFonts w:eastAsia="Calibri"/>
          <w:kern w:val="22"/>
          <w:szCs w:val="22"/>
          <w:lang w:val="es-ES"/>
        </w:rPr>
        <w:tab/>
      </w:r>
      <w:r w:rsidR="00BD70CB" w:rsidRPr="00E92C1D">
        <w:rPr>
          <w:i/>
          <w:iCs/>
          <w:kern w:val="22"/>
          <w:lang w:val="es-ES"/>
        </w:rPr>
        <w:t>Observa</w:t>
      </w:r>
      <w:r w:rsidR="00BD70CB" w:rsidRPr="00E92C1D">
        <w:rPr>
          <w:kern w:val="22"/>
          <w:lang w:val="es-ES"/>
        </w:rPr>
        <w:t xml:space="preserve"> que aún está en curso el trabajo de elaboración de uno o más instrumentos jurídicos relacionados con la propiedad intelectual con miras a asegurar una protección equilibrada y eficaz de los recursos genéticos, los conocimientos tradicionales y las expresiones culturales tradicionales en el marco de la Organización Mundial de la Propiedad Intelectual y que, por lo tanto, sería prematuro evaluar cómo podrían contribuir a la aplicación del Protocolo los resultados de ese proceso</w:t>
      </w:r>
      <w:r w:rsidRPr="00BD70CB">
        <w:rPr>
          <w:rFonts w:eastAsia="Calibri"/>
          <w:kern w:val="22"/>
          <w:szCs w:val="22"/>
          <w:lang w:val="es-ES"/>
        </w:rPr>
        <w:t>;</w:t>
      </w:r>
    </w:p>
    <w:p w:rsidR="009F5D7B" w:rsidRPr="00BD70CB" w:rsidRDefault="009F5D7B"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BD70CB">
        <w:rPr>
          <w:rFonts w:eastAsia="Calibri"/>
          <w:kern w:val="22"/>
          <w:szCs w:val="22"/>
          <w:lang w:val="es-ES"/>
        </w:rPr>
        <w:t>16.</w:t>
      </w:r>
      <w:r w:rsidRPr="00BD70CB">
        <w:rPr>
          <w:rFonts w:eastAsia="Calibri"/>
          <w:kern w:val="22"/>
          <w:szCs w:val="22"/>
          <w:lang w:val="es-ES"/>
        </w:rPr>
        <w:tab/>
      </w:r>
      <w:r w:rsidR="00BD70CB" w:rsidRPr="00E92C1D">
        <w:rPr>
          <w:i/>
          <w:iCs/>
          <w:kern w:val="22"/>
          <w:lang w:val="es-ES"/>
        </w:rPr>
        <w:t>Observa también</w:t>
      </w:r>
      <w:r w:rsidR="00BD70CB" w:rsidRPr="00E92C1D">
        <w:rPr>
          <w:kern w:val="22"/>
          <w:lang w:val="es-ES"/>
        </w:rPr>
        <w:t xml:space="preserve"> que la información disponible es insuficiente para medir la eficacia del artículo 18 del Protocolo de conformidad con el párrafo 4 de ese artículo</w:t>
      </w:r>
      <w:r w:rsidRPr="00BD70CB">
        <w:rPr>
          <w:rFonts w:eastAsia="Calibri"/>
          <w:kern w:val="22"/>
          <w:szCs w:val="22"/>
          <w:lang w:val="es-ES"/>
        </w:rPr>
        <w:t>;</w:t>
      </w:r>
    </w:p>
    <w:p w:rsidR="009F5D7B" w:rsidRPr="00BD70CB" w:rsidRDefault="009F5D7B"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BD70CB">
        <w:rPr>
          <w:rFonts w:eastAsia="Calibri"/>
          <w:kern w:val="22"/>
          <w:szCs w:val="22"/>
          <w:lang w:val="es-ES"/>
        </w:rPr>
        <w:t>17.</w:t>
      </w:r>
      <w:r w:rsidRPr="00BD70CB">
        <w:rPr>
          <w:rFonts w:eastAsia="Calibri"/>
          <w:kern w:val="22"/>
          <w:szCs w:val="22"/>
          <w:lang w:val="es-ES"/>
        </w:rPr>
        <w:tab/>
      </w:r>
      <w:r w:rsidR="00BD70CB" w:rsidRPr="00E92C1D">
        <w:rPr>
          <w:i/>
          <w:iCs/>
          <w:kern w:val="22"/>
          <w:lang w:val="es-ES"/>
        </w:rPr>
        <w:t>Decide</w:t>
      </w:r>
      <w:r w:rsidR="00BD70CB" w:rsidRPr="00E92C1D">
        <w:rPr>
          <w:kern w:val="22"/>
          <w:lang w:val="es-ES"/>
        </w:rPr>
        <w:t xml:space="preserve"> que en la segunda evaluación y revisión del Protocolo evaluará todos los elementos pertinentes para la aplicación del Protocolo, incluido el elemento señalado en el párrafo 16, así como los progresos en relación con el artículo 10 sobre un mecanismo mundial multilateral de participación en los beneficios y el artículo 23 sobre transferencia de tecnología, colaboración y cooperación</w:t>
      </w:r>
      <w:r w:rsidRPr="00BD70CB">
        <w:rPr>
          <w:rFonts w:eastAsia="Calibri"/>
          <w:kern w:val="22"/>
          <w:szCs w:val="22"/>
          <w:lang w:val="es-ES"/>
        </w:rPr>
        <w:t>;</w:t>
      </w:r>
    </w:p>
    <w:p w:rsidR="009F5D7B" w:rsidRPr="002A1FD4" w:rsidRDefault="009F5D7B"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2A1FD4">
        <w:rPr>
          <w:rFonts w:eastAsia="Calibri"/>
          <w:kern w:val="22"/>
          <w:szCs w:val="22"/>
          <w:lang w:val="es-ES"/>
        </w:rPr>
        <w:t>18.</w:t>
      </w:r>
      <w:r w:rsidRPr="002A1FD4">
        <w:rPr>
          <w:rFonts w:eastAsia="Calibri"/>
          <w:kern w:val="22"/>
          <w:szCs w:val="22"/>
          <w:lang w:val="es-ES"/>
        </w:rPr>
        <w:tab/>
      </w:r>
      <w:r w:rsidR="002A1FD4" w:rsidRPr="00E92C1D">
        <w:rPr>
          <w:i/>
          <w:iCs/>
          <w:color w:val="000000"/>
          <w:kern w:val="22"/>
          <w:lang w:val="es-ES"/>
        </w:rPr>
        <w:t>Pide</w:t>
      </w:r>
      <w:r w:rsidR="002A1FD4" w:rsidRPr="00E92C1D">
        <w:rPr>
          <w:kern w:val="22"/>
          <w:lang w:val="es-ES"/>
        </w:rPr>
        <w:t xml:space="preserve"> a la Secretaria Ejecutiva que</w:t>
      </w:r>
      <w:r w:rsidRPr="002A1FD4">
        <w:rPr>
          <w:rFonts w:eastAsia="Calibri"/>
          <w:kern w:val="22"/>
          <w:szCs w:val="22"/>
          <w:lang w:val="es-ES"/>
        </w:rPr>
        <w:t>:</w:t>
      </w:r>
    </w:p>
    <w:p w:rsidR="009F5D7B" w:rsidRPr="002A1FD4" w:rsidRDefault="002A1FD4"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u w:color="000000"/>
          <w:lang w:val="es-ES"/>
        </w:rPr>
      </w:pPr>
      <w:r w:rsidRPr="00C5131C">
        <w:rPr>
          <w:rFonts w:eastAsia="Calibri"/>
          <w:kern w:val="22"/>
          <w:szCs w:val="22"/>
          <w:u w:color="000000"/>
          <w:lang w:val="es-ES"/>
        </w:rPr>
        <w:t xml:space="preserve"> </w:t>
      </w:r>
      <w:r w:rsidR="009F5D7B" w:rsidRPr="002A1FD4">
        <w:rPr>
          <w:rFonts w:eastAsia="Calibri"/>
          <w:kern w:val="22"/>
          <w:szCs w:val="22"/>
          <w:u w:color="000000"/>
          <w:lang w:val="es-ES"/>
        </w:rPr>
        <w:t>a)</w:t>
      </w:r>
      <w:r w:rsidR="009F5D7B" w:rsidRPr="002A1FD4">
        <w:rPr>
          <w:rFonts w:eastAsia="Calibri"/>
          <w:kern w:val="22"/>
          <w:szCs w:val="22"/>
          <w:u w:color="000000"/>
          <w:lang w:val="es-ES"/>
        </w:rPr>
        <w:tab/>
      </w:r>
      <w:r w:rsidRPr="00E92C1D">
        <w:rPr>
          <w:kern w:val="22"/>
          <w:u w:color="000000"/>
          <w:lang w:val="es-ES"/>
        </w:rPr>
        <w:t>Lleve a cabo una encuesta dirigida a puntos focales nacionales de acceso y participación en los beneficios, autoridades nacionales competentes</w:t>
      </w:r>
      <w:r>
        <w:rPr>
          <w:kern w:val="22"/>
          <w:u w:color="000000"/>
          <w:lang w:val="es-ES"/>
        </w:rPr>
        <w:t>,</w:t>
      </w:r>
      <w:r w:rsidRPr="00E92C1D">
        <w:rPr>
          <w:kern w:val="22"/>
          <w:u w:color="000000"/>
          <w:lang w:val="es-ES"/>
        </w:rPr>
        <w:t xml:space="preserve"> y usuarios y proveedores de recursos genéticos o conocimientos tradicionales asociados sobre dificultades relacionadas con la aplicación del Protocolo a fin de proporcionar una fuente más de información para procesos futuros de </w:t>
      </w:r>
      <w:r w:rsidRPr="00E92C1D">
        <w:rPr>
          <w:kern w:val="22"/>
          <w:lang w:val="es-ES"/>
        </w:rPr>
        <w:t>evaluación y revisión de la eficacia del Protocolo</w:t>
      </w:r>
      <w:r w:rsidR="009F5D7B" w:rsidRPr="002A1FD4">
        <w:rPr>
          <w:rFonts w:eastAsia="Calibri"/>
          <w:kern w:val="22"/>
          <w:szCs w:val="22"/>
          <w:u w:color="000000"/>
          <w:lang w:val="es-ES"/>
        </w:rPr>
        <w:t>;</w:t>
      </w:r>
    </w:p>
    <w:p w:rsidR="009F5D7B" w:rsidRPr="002A1FD4" w:rsidRDefault="002A1FD4"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u w:color="000000"/>
          <w:lang w:val="es-ES"/>
        </w:rPr>
      </w:pPr>
      <w:r w:rsidRPr="002A1FD4">
        <w:rPr>
          <w:rFonts w:eastAsia="Calibri"/>
          <w:kern w:val="22"/>
          <w:szCs w:val="22"/>
          <w:u w:color="000000"/>
          <w:lang w:val="es-ES"/>
        </w:rPr>
        <w:t xml:space="preserve"> </w:t>
      </w:r>
      <w:r w:rsidR="009F5D7B" w:rsidRPr="002A1FD4">
        <w:rPr>
          <w:rFonts w:eastAsia="Calibri"/>
          <w:kern w:val="22"/>
          <w:szCs w:val="22"/>
          <w:u w:color="000000"/>
          <w:lang w:val="es-ES"/>
        </w:rPr>
        <w:t>b)</w:t>
      </w:r>
      <w:r w:rsidR="009F5D7B" w:rsidRPr="002A1FD4">
        <w:rPr>
          <w:rFonts w:eastAsia="Calibri"/>
          <w:kern w:val="22"/>
          <w:szCs w:val="22"/>
          <w:u w:color="000000"/>
          <w:lang w:val="es-ES"/>
        </w:rPr>
        <w:tab/>
      </w:r>
      <w:r w:rsidRPr="00E92C1D">
        <w:rPr>
          <w:kern w:val="22"/>
          <w:u w:color="000000"/>
          <w:lang w:val="es-ES"/>
        </w:rPr>
        <w:t>Tome en cuenta los indicadores que figuran en el anexo II al preparar la propuesta de formato para el próximo informe nacional sobre la aplicación del Protocolo de Nagoya</w:t>
      </w:r>
      <w:r w:rsidR="009F5D7B" w:rsidRPr="002A1FD4">
        <w:rPr>
          <w:rFonts w:eastAsia="Calibri"/>
          <w:kern w:val="22"/>
          <w:szCs w:val="22"/>
          <w:u w:color="000000"/>
          <w:lang w:val="es-ES"/>
        </w:rPr>
        <w:t>;</w:t>
      </w:r>
    </w:p>
    <w:p w:rsidR="009F5D7B" w:rsidRPr="002A1FD4" w:rsidRDefault="009F5D7B"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2A1FD4">
        <w:rPr>
          <w:rFonts w:eastAsia="Calibri"/>
          <w:kern w:val="22"/>
          <w:szCs w:val="22"/>
          <w:lang w:val="es-ES"/>
        </w:rPr>
        <w:t>19.</w:t>
      </w:r>
      <w:r w:rsidRPr="002A1FD4">
        <w:rPr>
          <w:rFonts w:eastAsia="Calibri"/>
          <w:kern w:val="22"/>
          <w:szCs w:val="22"/>
          <w:lang w:val="es-ES"/>
        </w:rPr>
        <w:tab/>
      </w:r>
      <w:r w:rsidR="002A1FD4" w:rsidRPr="00E92C1D">
        <w:rPr>
          <w:i/>
          <w:iCs/>
          <w:kern w:val="22"/>
          <w:lang w:val="es-ES"/>
        </w:rPr>
        <w:t>Acoge con satisfacción</w:t>
      </w:r>
      <w:r w:rsidR="002A1FD4" w:rsidRPr="00E92C1D">
        <w:rPr>
          <w:kern w:val="22"/>
          <w:lang w:val="es-ES"/>
        </w:rPr>
        <w:t xml:space="preserve"> los progresos realizados por la Secretaría en la puesta en marcha y el funcionamiento del Centro de Intercambio de Información sobre Acceso y Participación en los Beneficios, y </w:t>
      </w:r>
      <w:r w:rsidR="002A1FD4" w:rsidRPr="00E92C1D">
        <w:rPr>
          <w:i/>
          <w:iCs/>
          <w:kern w:val="22"/>
          <w:lang w:val="es-ES"/>
        </w:rPr>
        <w:t>pone de relieve</w:t>
      </w:r>
      <w:r w:rsidR="002A1FD4" w:rsidRPr="00E92C1D">
        <w:rPr>
          <w:kern w:val="22"/>
          <w:lang w:val="es-ES"/>
        </w:rPr>
        <w:t xml:space="preserve"> la importancia de brindar información sobre los procedimientos que se deben seguir para acceder a los recursos genéticos y conocimientos tradicionales asociados en cada país</w:t>
      </w:r>
      <w:r w:rsidRPr="002A1FD4">
        <w:rPr>
          <w:rFonts w:eastAsia="Calibri"/>
          <w:kern w:val="22"/>
          <w:szCs w:val="22"/>
          <w:lang w:val="es-ES"/>
        </w:rPr>
        <w:t>;</w:t>
      </w:r>
    </w:p>
    <w:p w:rsidR="009F5D7B" w:rsidRPr="002A1FD4" w:rsidRDefault="009F5D7B"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2A1FD4">
        <w:rPr>
          <w:rFonts w:eastAsia="Calibri"/>
          <w:kern w:val="22"/>
          <w:szCs w:val="22"/>
          <w:lang w:val="es-ES"/>
        </w:rPr>
        <w:t>20.</w:t>
      </w:r>
      <w:r w:rsidRPr="002A1FD4">
        <w:rPr>
          <w:rFonts w:eastAsia="Calibri"/>
          <w:kern w:val="22"/>
          <w:szCs w:val="22"/>
          <w:lang w:val="es-ES"/>
        </w:rPr>
        <w:tab/>
      </w:r>
      <w:r w:rsidR="002A1FD4" w:rsidRPr="00E92C1D">
        <w:rPr>
          <w:i/>
          <w:iCs/>
          <w:color w:val="000000"/>
          <w:kern w:val="22"/>
          <w:lang w:val="es-ES"/>
        </w:rPr>
        <w:t>Pide</w:t>
      </w:r>
      <w:r w:rsidR="002A1FD4" w:rsidRPr="00E92C1D">
        <w:rPr>
          <w:kern w:val="22"/>
          <w:lang w:val="es-ES"/>
        </w:rPr>
        <w:t xml:space="preserve"> a la Secretaria Ejecutiva que</w:t>
      </w:r>
      <w:r w:rsidRPr="002A1FD4">
        <w:rPr>
          <w:rFonts w:eastAsia="Calibri"/>
          <w:kern w:val="22"/>
          <w:szCs w:val="22"/>
          <w:lang w:val="es-ES"/>
        </w:rPr>
        <w:t>:</w:t>
      </w:r>
    </w:p>
    <w:p w:rsidR="009F5D7B" w:rsidRPr="002A1FD4" w:rsidRDefault="002A1FD4"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C5131C">
        <w:rPr>
          <w:rFonts w:eastAsia="Calibri"/>
          <w:kern w:val="22"/>
          <w:szCs w:val="22"/>
          <w:lang w:val="es-ES"/>
        </w:rPr>
        <w:lastRenderedPageBreak/>
        <w:t xml:space="preserve"> </w:t>
      </w:r>
      <w:r w:rsidR="009F5D7B" w:rsidRPr="002A1FD4">
        <w:rPr>
          <w:rFonts w:eastAsia="Calibri"/>
          <w:kern w:val="22"/>
          <w:szCs w:val="22"/>
          <w:lang w:val="es-ES"/>
        </w:rPr>
        <w:t>a)</w:t>
      </w:r>
      <w:r w:rsidR="009F5D7B" w:rsidRPr="002A1FD4">
        <w:rPr>
          <w:rFonts w:eastAsia="Calibri"/>
          <w:kern w:val="22"/>
          <w:szCs w:val="22"/>
          <w:lang w:val="es-ES"/>
        </w:rPr>
        <w:tab/>
      </w:r>
      <w:r w:rsidRPr="00E92C1D">
        <w:rPr>
          <w:kern w:val="22"/>
          <w:lang w:val="es-ES"/>
        </w:rPr>
        <w:t>Priorice la traducción de los contenidos del Centro de Intercambio de Información sobre Acceso y Participación en los Beneficios a los seis idiomas oficiales de las Naciones Unidas</w:t>
      </w:r>
      <w:r w:rsidR="009F5D7B" w:rsidRPr="002A1FD4">
        <w:rPr>
          <w:rFonts w:eastAsia="Calibri"/>
          <w:kern w:val="22"/>
          <w:szCs w:val="22"/>
          <w:lang w:val="es-ES"/>
        </w:rPr>
        <w:t>;</w:t>
      </w:r>
    </w:p>
    <w:p w:rsidR="009F5D7B" w:rsidRPr="002A1FD4" w:rsidRDefault="002A1FD4"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C5131C">
        <w:rPr>
          <w:rFonts w:eastAsia="Calibri"/>
          <w:kern w:val="22"/>
          <w:szCs w:val="22"/>
          <w:lang w:val="es-ES"/>
        </w:rPr>
        <w:t xml:space="preserve"> </w:t>
      </w:r>
      <w:r w:rsidR="009F5D7B" w:rsidRPr="002A1FD4">
        <w:rPr>
          <w:rFonts w:eastAsia="Calibri"/>
          <w:kern w:val="22"/>
          <w:szCs w:val="22"/>
          <w:lang w:val="es-ES"/>
        </w:rPr>
        <w:t>b)</w:t>
      </w:r>
      <w:r w:rsidR="009F5D7B" w:rsidRPr="002A1FD4">
        <w:rPr>
          <w:rFonts w:eastAsia="Calibri"/>
          <w:kern w:val="22"/>
          <w:szCs w:val="22"/>
          <w:lang w:val="es-ES"/>
        </w:rPr>
        <w:tab/>
      </w:r>
      <w:r w:rsidRPr="00E92C1D">
        <w:rPr>
          <w:spacing w:val="-1"/>
          <w:kern w:val="22"/>
          <w:lang w:val="es-ES"/>
        </w:rPr>
        <w:t>Siga mejorando el funcionamiento del Centro de Intercambio de Información sobre Acceso y Participación en los Beneficios</w:t>
      </w:r>
      <w:r w:rsidR="009F5D7B" w:rsidRPr="002A1FD4">
        <w:rPr>
          <w:kern w:val="22"/>
          <w:szCs w:val="22"/>
          <w:lang w:val="es-ES"/>
        </w:rPr>
        <w:t>;</w:t>
      </w:r>
    </w:p>
    <w:p w:rsidR="009F5D7B" w:rsidRPr="002A1FD4" w:rsidRDefault="002A1FD4"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2A1FD4">
        <w:rPr>
          <w:rFonts w:eastAsia="Calibri"/>
          <w:kern w:val="22"/>
          <w:szCs w:val="22"/>
          <w:lang w:val="es-ES"/>
        </w:rPr>
        <w:t xml:space="preserve"> </w:t>
      </w:r>
      <w:r w:rsidR="009F5D7B" w:rsidRPr="002A1FD4">
        <w:rPr>
          <w:rFonts w:eastAsia="Calibri"/>
          <w:kern w:val="22"/>
          <w:szCs w:val="22"/>
          <w:lang w:val="es-ES"/>
        </w:rPr>
        <w:t>c)</w:t>
      </w:r>
      <w:r w:rsidR="009F5D7B" w:rsidRPr="002A1FD4">
        <w:rPr>
          <w:rFonts w:eastAsia="Calibri"/>
          <w:kern w:val="22"/>
          <w:szCs w:val="22"/>
          <w:lang w:val="es-ES"/>
        </w:rPr>
        <w:tab/>
      </w:r>
      <w:r w:rsidRPr="00E92C1D">
        <w:rPr>
          <w:kern w:val="22"/>
          <w:lang w:val="es-ES"/>
        </w:rPr>
        <w:t>Recabe observaciones y comentarios sobre la puesta en marcha y el funcionamiento del Centro de Intercambio de Información sobre Acceso y Participación en los Beneficios de los distintos tipos de usuarios</w:t>
      </w:r>
      <w:r w:rsidR="009F5D7B" w:rsidRPr="002A1FD4">
        <w:rPr>
          <w:rFonts w:eastAsia="Calibri"/>
          <w:kern w:val="22"/>
          <w:szCs w:val="22"/>
          <w:lang w:val="es-ES"/>
        </w:rPr>
        <w:t>;</w:t>
      </w:r>
    </w:p>
    <w:p w:rsidR="009F5D7B" w:rsidRPr="002A1FD4" w:rsidRDefault="009F5D7B"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es-ES"/>
        </w:rPr>
      </w:pPr>
      <w:r w:rsidRPr="002A1FD4">
        <w:rPr>
          <w:rFonts w:eastAsia="Calibri"/>
          <w:kern w:val="22"/>
          <w:szCs w:val="22"/>
          <w:lang w:val="es-ES"/>
        </w:rPr>
        <w:t>21.</w:t>
      </w:r>
      <w:r w:rsidRPr="002A1FD4">
        <w:rPr>
          <w:rFonts w:eastAsia="Calibri"/>
          <w:kern w:val="22"/>
          <w:szCs w:val="22"/>
          <w:lang w:val="es-ES"/>
        </w:rPr>
        <w:tab/>
      </w:r>
      <w:r w:rsidR="002A1FD4" w:rsidRPr="00E92C1D">
        <w:rPr>
          <w:i/>
          <w:iCs/>
          <w:kern w:val="22"/>
          <w:lang w:val="es-ES"/>
        </w:rPr>
        <w:t>Pide también</w:t>
      </w:r>
      <w:r w:rsidR="002A1FD4" w:rsidRPr="00E92C1D">
        <w:rPr>
          <w:kern w:val="22"/>
          <w:lang w:val="es-ES"/>
        </w:rPr>
        <w:t xml:space="preserve"> a la Secretaria Ejecutiva que continúe prestando asistencia técnica para la presentación de información en el Centro de Intercambio de Información sobre Acceso y Participación en los Beneficios, entre otras cosas</w:t>
      </w:r>
      <w:r w:rsidRPr="002A1FD4">
        <w:rPr>
          <w:rFonts w:eastAsia="Calibri"/>
          <w:kern w:val="22"/>
          <w:szCs w:val="22"/>
          <w:lang w:val="es-ES"/>
        </w:rPr>
        <w:t>:</w:t>
      </w:r>
    </w:p>
    <w:p w:rsidR="009F5D7B" w:rsidRPr="002A1FD4" w:rsidRDefault="002A1FD4"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u w:color="000000"/>
          <w:lang w:val="es-ES"/>
        </w:rPr>
      </w:pPr>
      <w:r w:rsidRPr="00C5131C">
        <w:rPr>
          <w:rFonts w:eastAsia="Calibri"/>
          <w:kern w:val="22"/>
          <w:szCs w:val="22"/>
          <w:u w:color="000000"/>
          <w:lang w:val="es-ES"/>
        </w:rPr>
        <w:t xml:space="preserve"> </w:t>
      </w:r>
      <w:r w:rsidR="009F5D7B" w:rsidRPr="002A1FD4">
        <w:rPr>
          <w:rFonts w:eastAsia="Calibri"/>
          <w:kern w:val="22"/>
          <w:szCs w:val="22"/>
          <w:u w:color="000000"/>
          <w:lang w:val="es-ES"/>
        </w:rPr>
        <w:t>a)</w:t>
      </w:r>
      <w:r w:rsidR="009F5D7B" w:rsidRPr="002A1FD4">
        <w:rPr>
          <w:rFonts w:eastAsia="Calibri"/>
          <w:kern w:val="22"/>
          <w:szCs w:val="22"/>
          <w:u w:color="000000"/>
          <w:lang w:val="es-ES"/>
        </w:rPr>
        <w:tab/>
      </w:r>
      <w:r w:rsidRPr="00E92C1D">
        <w:rPr>
          <w:kern w:val="22"/>
          <w:u w:color="000000"/>
          <w:lang w:val="es-ES"/>
        </w:rPr>
        <w:t>Alentando a las Partes, así como a los Estados que no son Partes, a publicar en el Centro de Intercambio de Información sobre Acceso y Participación en los Beneficios toda la información obligatoria y otra información pertinente que esté disponible a nivel nacional, y brindando capacitación en el uso del Centro de Intercambio de Información sobre Acceso y Participación en los Beneficios</w:t>
      </w:r>
      <w:r w:rsidR="009F5D7B" w:rsidRPr="002A1FD4">
        <w:rPr>
          <w:rFonts w:eastAsia="Calibri"/>
          <w:kern w:val="22"/>
          <w:szCs w:val="22"/>
          <w:u w:color="000000"/>
          <w:lang w:val="es-ES"/>
        </w:rPr>
        <w:t>;</w:t>
      </w:r>
    </w:p>
    <w:p w:rsidR="009F5D7B" w:rsidRPr="002A1FD4" w:rsidRDefault="002A1FD4"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u w:color="000000"/>
          <w:lang w:val="es-ES"/>
        </w:rPr>
      </w:pPr>
      <w:r w:rsidRPr="002A1FD4">
        <w:rPr>
          <w:rFonts w:eastAsia="Calibri"/>
          <w:kern w:val="22"/>
          <w:szCs w:val="22"/>
          <w:u w:color="000000"/>
          <w:lang w:val="es-ES"/>
        </w:rPr>
        <w:t xml:space="preserve"> </w:t>
      </w:r>
      <w:r w:rsidR="009F5D7B" w:rsidRPr="002A1FD4">
        <w:rPr>
          <w:rFonts w:eastAsia="Calibri"/>
          <w:kern w:val="22"/>
          <w:szCs w:val="22"/>
          <w:u w:color="000000"/>
          <w:lang w:val="es-ES"/>
        </w:rPr>
        <w:t>b)</w:t>
      </w:r>
      <w:r w:rsidR="009F5D7B" w:rsidRPr="002A1FD4">
        <w:rPr>
          <w:rFonts w:eastAsia="Calibri"/>
          <w:kern w:val="22"/>
          <w:szCs w:val="22"/>
          <w:u w:color="000000"/>
          <w:lang w:val="es-ES"/>
        </w:rPr>
        <w:tab/>
      </w:r>
      <w:r w:rsidRPr="00E92C1D">
        <w:rPr>
          <w:kern w:val="22"/>
          <w:u w:color="000000"/>
          <w:lang w:val="es-ES"/>
        </w:rPr>
        <w:t>Alentando a interesados directos pertinentes, pueblos indígenas y comunidades locales y organizaciones pertinentes, según proceda, a publicar registros de referencia en el Centro de Intercambio de Información sobre Acceso y Participación en los Beneficios</w:t>
      </w:r>
      <w:r w:rsidR="009F5D7B" w:rsidRPr="002A1FD4">
        <w:rPr>
          <w:rFonts w:eastAsia="Calibri"/>
          <w:kern w:val="22"/>
          <w:szCs w:val="22"/>
          <w:u w:color="000000"/>
          <w:lang w:val="es-ES"/>
        </w:rPr>
        <w:t>;</w:t>
      </w:r>
    </w:p>
    <w:p w:rsidR="009F5D7B" w:rsidRPr="002A1FD4" w:rsidRDefault="002A1FD4" w:rsidP="000C6220">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u w:color="000000"/>
          <w:lang w:val="es-ES"/>
        </w:rPr>
      </w:pPr>
      <w:r w:rsidRPr="002A1FD4">
        <w:rPr>
          <w:rFonts w:eastAsia="Calibri"/>
          <w:kern w:val="22"/>
          <w:szCs w:val="22"/>
          <w:u w:color="000000"/>
          <w:lang w:val="es-ES"/>
        </w:rPr>
        <w:t xml:space="preserve"> </w:t>
      </w:r>
      <w:r w:rsidR="009F5D7B" w:rsidRPr="002A1FD4">
        <w:rPr>
          <w:rFonts w:eastAsia="Calibri"/>
          <w:kern w:val="22"/>
          <w:szCs w:val="22"/>
          <w:u w:color="000000"/>
          <w:lang w:val="es-ES"/>
        </w:rPr>
        <w:t>c)</w:t>
      </w:r>
      <w:r w:rsidR="009F5D7B" w:rsidRPr="002A1FD4">
        <w:rPr>
          <w:rFonts w:eastAsia="Calibri"/>
          <w:kern w:val="22"/>
          <w:szCs w:val="22"/>
          <w:u w:color="000000"/>
          <w:lang w:val="es-ES"/>
        </w:rPr>
        <w:tab/>
      </w:r>
      <w:r w:rsidRPr="00E92C1D">
        <w:rPr>
          <w:kern w:val="22"/>
          <w:u w:color="000000"/>
          <w:lang w:val="es-ES"/>
        </w:rPr>
        <w:t>Promoviendo una mayor comprensión del funcionamiento del sistema de vigilancia de la utilización de recursos genéticos a través del Centro de Intercambio de Información sobre Acceso y Participación en los Beneficios</w:t>
      </w:r>
      <w:r w:rsidR="009F5D7B" w:rsidRPr="002A1FD4">
        <w:rPr>
          <w:rFonts w:eastAsia="Calibri"/>
          <w:kern w:val="22"/>
          <w:szCs w:val="22"/>
          <w:u w:color="000000"/>
          <w:lang w:val="es-ES"/>
        </w:rPr>
        <w:t>;</w:t>
      </w:r>
    </w:p>
    <w:p w:rsidR="009F5D7B" w:rsidRPr="002A1FD4" w:rsidRDefault="002A1FD4" w:rsidP="000C6220">
      <w:pPr>
        <w:suppressLineNumbers/>
        <w:suppressAutoHyphens/>
        <w:kinsoku w:val="0"/>
        <w:overflowPunct w:val="0"/>
        <w:autoSpaceDE w:val="0"/>
        <w:autoSpaceDN w:val="0"/>
        <w:adjustRightInd w:val="0"/>
        <w:snapToGrid w:val="0"/>
        <w:spacing w:before="120" w:line="240" w:lineRule="auto"/>
        <w:ind w:firstLine="720"/>
        <w:rPr>
          <w:b/>
          <w:snapToGrid w:val="0"/>
          <w:kern w:val="22"/>
          <w:szCs w:val="22"/>
          <w:lang w:val="es-ES" w:eastAsia="en-CA"/>
        </w:rPr>
      </w:pPr>
      <w:r w:rsidRPr="002A1FD4">
        <w:rPr>
          <w:rFonts w:eastAsia="Calibri"/>
          <w:kern w:val="22"/>
          <w:szCs w:val="22"/>
          <w:u w:color="000000"/>
          <w:lang w:val="es-ES"/>
        </w:rPr>
        <w:t xml:space="preserve"> </w:t>
      </w:r>
      <w:r w:rsidR="009F5D7B" w:rsidRPr="002A1FD4">
        <w:rPr>
          <w:rFonts w:eastAsia="Calibri"/>
          <w:kern w:val="22"/>
          <w:szCs w:val="22"/>
          <w:u w:color="000000"/>
          <w:lang w:val="es-ES"/>
        </w:rPr>
        <w:t>d)</w:t>
      </w:r>
      <w:r w:rsidR="009F5D7B" w:rsidRPr="002A1FD4">
        <w:rPr>
          <w:rFonts w:eastAsia="Calibri"/>
          <w:kern w:val="22"/>
          <w:szCs w:val="22"/>
          <w:u w:color="000000"/>
          <w:lang w:val="es-ES"/>
        </w:rPr>
        <w:tab/>
      </w:r>
      <w:r>
        <w:rPr>
          <w:bCs/>
          <w:snapToGrid w:val="0"/>
          <w:kern w:val="22"/>
          <w:lang w:val="es-ES" w:eastAsia="en-CA"/>
        </w:rPr>
        <w:t xml:space="preserve">Alentando el uso de las funciones de </w:t>
      </w:r>
      <w:r w:rsidRPr="00E92C1D">
        <w:rPr>
          <w:kern w:val="22"/>
          <w:u w:color="000000"/>
          <w:lang w:val="es-ES"/>
        </w:rPr>
        <w:t>interoperabilidad del Centro de Intercambio de Información sobre Acceso y Participación en los Beneficios, tales como la interfaz de programación de aplicaciones</w:t>
      </w:r>
      <w:r w:rsidR="009F5D7B" w:rsidRPr="002A1FD4">
        <w:rPr>
          <w:rFonts w:eastAsia="Calibri"/>
          <w:kern w:val="22"/>
          <w:szCs w:val="22"/>
          <w:u w:color="000000"/>
          <w:lang w:val="es-ES"/>
        </w:rPr>
        <w:t>;</w:t>
      </w:r>
    </w:p>
    <w:p w:rsidR="009F5D7B" w:rsidRPr="002A1FD4" w:rsidRDefault="009F5D7B" w:rsidP="000C6220">
      <w:pPr>
        <w:pStyle w:val="Prrafodelista"/>
        <w:keepNext/>
        <w:numPr>
          <w:ilvl w:val="0"/>
          <w:numId w:val="55"/>
        </w:numPr>
        <w:spacing w:before="120" w:line="240" w:lineRule="auto"/>
        <w:ind w:left="0" w:hanging="11"/>
        <w:contextualSpacing w:val="0"/>
        <w:jc w:val="center"/>
        <w:rPr>
          <w:b/>
          <w:snapToGrid w:val="0"/>
          <w:kern w:val="22"/>
          <w:szCs w:val="22"/>
          <w:lang w:val="es-ES"/>
        </w:rPr>
      </w:pPr>
      <w:r w:rsidRPr="002A1FD4">
        <w:rPr>
          <w:b/>
          <w:snapToGrid w:val="0"/>
          <w:kern w:val="22"/>
          <w:szCs w:val="22"/>
          <w:lang w:val="es-ES" w:eastAsia="en-CA"/>
        </w:rPr>
        <w:t>Se</w:t>
      </w:r>
      <w:r w:rsidR="002A1FD4" w:rsidRPr="002A1FD4">
        <w:rPr>
          <w:b/>
          <w:snapToGrid w:val="0"/>
          <w:kern w:val="22"/>
          <w:szCs w:val="22"/>
          <w:lang w:val="es-ES" w:eastAsia="en-CA"/>
        </w:rPr>
        <w:t xml:space="preserve">gunda </w:t>
      </w:r>
      <w:r w:rsidR="002A1FD4" w:rsidRPr="009F479A">
        <w:rPr>
          <w:b/>
          <w:snapToGrid w:val="0"/>
          <w:kern w:val="22"/>
          <w:szCs w:val="22"/>
          <w:lang w:val="es-ES" w:eastAsia="en-CA"/>
        </w:rPr>
        <w:t xml:space="preserve">evaluación y </w:t>
      </w:r>
      <w:r w:rsidR="002A1FD4" w:rsidRPr="00E92C1D">
        <w:rPr>
          <w:b/>
          <w:bCs/>
          <w:snapToGrid w:val="0"/>
          <w:kern w:val="22"/>
          <w:lang w:val="es-ES" w:eastAsia="en-CA"/>
        </w:rPr>
        <w:t>revisión de la eficacia del Protocolo</w:t>
      </w:r>
      <w:r w:rsidR="002A1FD4" w:rsidRPr="002A1FD4">
        <w:rPr>
          <w:b/>
          <w:snapToGrid w:val="0"/>
          <w:kern w:val="22"/>
          <w:szCs w:val="22"/>
          <w:lang w:val="es-ES" w:eastAsia="en-CA"/>
        </w:rPr>
        <w:t xml:space="preserve"> </w:t>
      </w:r>
    </w:p>
    <w:p w:rsidR="009F5D7B" w:rsidRPr="002A1FD4" w:rsidRDefault="002A1FD4" w:rsidP="000C6220">
      <w:pPr>
        <w:pStyle w:val="Prrafodelista"/>
        <w:suppressLineNumbers/>
        <w:suppressAutoHyphens/>
        <w:kinsoku w:val="0"/>
        <w:overflowPunct w:val="0"/>
        <w:autoSpaceDE w:val="0"/>
        <w:autoSpaceDN w:val="0"/>
        <w:adjustRightInd w:val="0"/>
        <w:snapToGrid w:val="0"/>
        <w:spacing w:before="120" w:line="240" w:lineRule="auto"/>
        <w:ind w:left="0" w:firstLine="720"/>
        <w:contextualSpacing w:val="0"/>
        <w:rPr>
          <w:i/>
          <w:kern w:val="22"/>
          <w:szCs w:val="22"/>
          <w:lang w:val="es-ES"/>
        </w:rPr>
      </w:pPr>
      <w:r w:rsidRPr="00E92C1D">
        <w:rPr>
          <w:i/>
          <w:iCs/>
          <w:kern w:val="22"/>
          <w:lang w:val="es-ES"/>
        </w:rPr>
        <w:t>La Conferencia de las Partes que actúa como reunión de las Partes en el Protocolo de Nagoy</w:t>
      </w:r>
      <w:r w:rsidR="009F5D7B" w:rsidRPr="002A1FD4">
        <w:rPr>
          <w:i/>
          <w:kern w:val="22"/>
          <w:szCs w:val="22"/>
          <w:lang w:val="es-ES"/>
        </w:rPr>
        <w:t>a</w:t>
      </w:r>
    </w:p>
    <w:p w:rsidR="009F5D7B" w:rsidRPr="002A1FD4" w:rsidRDefault="002A1FD4" w:rsidP="000C6220">
      <w:pPr>
        <w:suppressLineNumbers/>
        <w:shd w:val="clear" w:color="auto" w:fill="FFFFFF" w:themeFill="background1"/>
        <w:suppressAutoHyphens/>
        <w:kinsoku w:val="0"/>
        <w:overflowPunct w:val="0"/>
        <w:autoSpaceDE w:val="0"/>
        <w:autoSpaceDN w:val="0"/>
        <w:snapToGrid w:val="0"/>
        <w:spacing w:before="120" w:line="240" w:lineRule="auto"/>
        <w:ind w:firstLine="720"/>
        <w:rPr>
          <w:i/>
          <w:snapToGrid w:val="0"/>
          <w:kern w:val="22"/>
          <w:szCs w:val="22"/>
          <w:lang w:val="es-ES" w:eastAsia="en-CA"/>
        </w:rPr>
      </w:pPr>
      <w:r w:rsidRPr="00E92C1D">
        <w:rPr>
          <w:i/>
          <w:iCs/>
          <w:kern w:val="22"/>
          <w:lang w:val="es-ES"/>
        </w:rPr>
        <w:t xml:space="preserve">Habiendo examinado </w:t>
      </w:r>
      <w:r w:rsidRPr="00E92C1D">
        <w:rPr>
          <w:kern w:val="22"/>
          <w:lang w:val="es-ES"/>
        </w:rPr>
        <w:t xml:space="preserve">la nota de la Secretaria Ejecutiva sobre la evaluación y revisión de la eficacia del Protocolo </w:t>
      </w:r>
      <w:r w:rsidRPr="009F479A">
        <w:rPr>
          <w:kern w:val="22"/>
          <w:szCs w:val="22"/>
          <w:lang w:val="es-ES"/>
        </w:rPr>
        <w:t>(</w:t>
      </w:r>
      <w:r>
        <w:rPr>
          <w:kern w:val="22"/>
          <w:szCs w:val="22"/>
          <w:lang w:val="es-ES"/>
        </w:rPr>
        <w:t>artículo</w:t>
      </w:r>
      <w:r w:rsidRPr="009F479A">
        <w:rPr>
          <w:kern w:val="22"/>
          <w:szCs w:val="22"/>
          <w:lang w:val="es-ES"/>
        </w:rPr>
        <w:t xml:space="preserve"> </w:t>
      </w:r>
      <w:r w:rsidR="009F5D7B" w:rsidRPr="002A1FD4">
        <w:rPr>
          <w:kern w:val="22"/>
          <w:szCs w:val="22"/>
          <w:lang w:val="es-ES"/>
        </w:rPr>
        <w:t>31)</w:t>
      </w:r>
      <w:r w:rsidR="009F5D7B" w:rsidRPr="00EE0850">
        <w:rPr>
          <w:kern w:val="22"/>
          <w:szCs w:val="22"/>
          <w:vertAlign w:val="superscript"/>
        </w:rPr>
        <w:footnoteReference w:id="2"/>
      </w:r>
      <w:r w:rsidRPr="002A1FD4">
        <w:rPr>
          <w:kern w:val="22"/>
          <w:szCs w:val="22"/>
          <w:lang w:val="es-ES"/>
        </w:rPr>
        <w:t>,</w:t>
      </w:r>
    </w:p>
    <w:p w:rsidR="002A1FD4" w:rsidRPr="009F479A" w:rsidRDefault="002A1FD4" w:rsidP="002A1FD4">
      <w:pPr>
        <w:suppressLineNumbers/>
        <w:shd w:val="clear" w:color="auto" w:fill="FFFFFF" w:themeFill="background1"/>
        <w:suppressAutoHyphens/>
        <w:kinsoku w:val="0"/>
        <w:overflowPunct w:val="0"/>
        <w:autoSpaceDE w:val="0"/>
        <w:autoSpaceDN w:val="0"/>
        <w:snapToGrid w:val="0"/>
        <w:spacing w:before="120"/>
        <w:ind w:firstLine="720"/>
        <w:rPr>
          <w:i/>
          <w:snapToGrid w:val="0"/>
          <w:kern w:val="22"/>
          <w:szCs w:val="22"/>
          <w:lang w:val="es-ES" w:eastAsia="en-CA"/>
        </w:rPr>
      </w:pPr>
      <w:r w:rsidRPr="00E92C1D">
        <w:rPr>
          <w:i/>
          <w:iCs/>
          <w:kern w:val="22"/>
          <w:lang w:val="es-ES"/>
        </w:rPr>
        <w:t xml:space="preserve">Consciente </w:t>
      </w:r>
      <w:r w:rsidRPr="00E92C1D">
        <w:rPr>
          <w:kern w:val="22"/>
          <w:lang w:val="es-ES"/>
        </w:rPr>
        <w:t>de los vínculos existentes entre la presentación de los informes nacionales y el proceso de evaluación y revisión</w:t>
      </w:r>
      <w:r w:rsidRPr="009F479A">
        <w:rPr>
          <w:snapToGrid w:val="0"/>
          <w:kern w:val="22"/>
          <w:szCs w:val="22"/>
          <w:lang w:val="es-ES" w:eastAsia="en-CA"/>
        </w:rPr>
        <w:t>,</w:t>
      </w:r>
    </w:p>
    <w:p w:rsidR="002A1FD4" w:rsidRPr="00E92C1D" w:rsidRDefault="002A1FD4" w:rsidP="002A1FD4">
      <w:pPr>
        <w:suppressLineNumbers/>
        <w:shd w:val="clear" w:color="auto" w:fill="FFFFFF"/>
        <w:suppressAutoHyphens/>
        <w:kinsoku w:val="0"/>
        <w:overflowPunct w:val="0"/>
        <w:autoSpaceDE w:val="0"/>
        <w:autoSpaceDN w:val="0"/>
        <w:snapToGrid w:val="0"/>
        <w:spacing w:before="120"/>
        <w:ind w:firstLine="720"/>
        <w:rPr>
          <w:kern w:val="22"/>
          <w:lang w:val="es-ES"/>
        </w:rPr>
      </w:pPr>
      <w:r w:rsidRPr="009F479A">
        <w:rPr>
          <w:snapToGrid w:val="0"/>
          <w:kern w:val="22"/>
          <w:szCs w:val="22"/>
          <w:lang w:val="es-ES" w:eastAsia="en-CA"/>
        </w:rPr>
        <w:t>1.</w:t>
      </w:r>
      <w:r w:rsidRPr="009F479A">
        <w:rPr>
          <w:snapToGrid w:val="0"/>
          <w:kern w:val="22"/>
          <w:szCs w:val="22"/>
          <w:lang w:val="es-ES" w:eastAsia="en-CA"/>
        </w:rPr>
        <w:tab/>
      </w:r>
      <w:r w:rsidRPr="00E92C1D">
        <w:rPr>
          <w:i/>
          <w:iCs/>
          <w:kern w:val="22"/>
          <w:lang w:val="es-ES"/>
        </w:rPr>
        <w:t xml:space="preserve">Decide </w:t>
      </w:r>
      <w:r w:rsidRPr="00E92C1D">
        <w:rPr>
          <w:kern w:val="22"/>
          <w:lang w:val="es-ES"/>
        </w:rPr>
        <w:t>llevar a cabo la segunda evaluación y revisión de la eficacia del Protocolo en la sexta reunión de la Conferencia de las Partes que actúa como reunión de las Partes en el Protocolo, en 2024;</w:t>
      </w:r>
    </w:p>
    <w:p w:rsidR="002A1FD4" w:rsidRPr="009F479A" w:rsidRDefault="002A1FD4" w:rsidP="002A1FD4">
      <w:pPr>
        <w:suppressLineNumbers/>
        <w:shd w:val="clear" w:color="auto" w:fill="FFFFFF" w:themeFill="background1"/>
        <w:suppressAutoHyphens/>
        <w:kinsoku w:val="0"/>
        <w:overflowPunct w:val="0"/>
        <w:autoSpaceDE w:val="0"/>
        <w:autoSpaceDN w:val="0"/>
        <w:snapToGrid w:val="0"/>
        <w:spacing w:before="120"/>
        <w:ind w:firstLine="720"/>
        <w:rPr>
          <w:snapToGrid w:val="0"/>
          <w:kern w:val="22"/>
          <w:szCs w:val="22"/>
          <w:lang w:val="es-ES" w:eastAsia="en-CA"/>
        </w:rPr>
      </w:pPr>
      <w:r w:rsidRPr="00E92C1D">
        <w:rPr>
          <w:kern w:val="22"/>
          <w:lang w:val="es-ES"/>
        </w:rPr>
        <w:t>2.</w:t>
      </w:r>
      <w:r w:rsidRPr="00E92C1D">
        <w:rPr>
          <w:i/>
          <w:iCs/>
          <w:kern w:val="22"/>
          <w:lang w:val="es-ES"/>
        </w:rPr>
        <w:tab/>
        <w:t xml:space="preserve">Pide </w:t>
      </w:r>
      <w:r w:rsidRPr="00E92C1D">
        <w:rPr>
          <w:kern w:val="22"/>
          <w:lang w:val="es-ES"/>
        </w:rPr>
        <w:t>a la Secretaria Ejecutiva que proponga una metodología para llevar a cabo la segunda evaluación y revisión de la eficacia del Protocolo, teniendo en cuenta los resultados y las lecciones aprendidas del primer proceso de evaluación y revisión, las experiencias del proceso de evaluación y revisión en virtud del Protocolo de Cartagena sobre Seguridad de la Biotecnología y el marco mundial para la diversidad biológica posterior a 2020</w:t>
      </w:r>
      <w:r w:rsidRPr="009F479A">
        <w:rPr>
          <w:snapToGrid w:val="0"/>
          <w:kern w:val="22"/>
          <w:szCs w:val="22"/>
          <w:lang w:val="es-ES" w:eastAsia="en-CA"/>
        </w:rPr>
        <w:t>;</w:t>
      </w:r>
    </w:p>
    <w:p w:rsidR="002A1FD4" w:rsidRPr="00450DDA" w:rsidRDefault="002A1FD4" w:rsidP="002A1FD4">
      <w:pPr>
        <w:suppressLineNumbers/>
        <w:shd w:val="clear" w:color="auto" w:fill="FFFFFF" w:themeFill="background1"/>
        <w:suppressAutoHyphens/>
        <w:spacing w:before="120"/>
        <w:ind w:firstLine="720"/>
        <w:rPr>
          <w:snapToGrid w:val="0"/>
          <w:kern w:val="22"/>
          <w:szCs w:val="22"/>
          <w:lang w:val="es-ES" w:eastAsia="en-CA"/>
        </w:rPr>
      </w:pPr>
      <w:r w:rsidRPr="00450DDA">
        <w:rPr>
          <w:snapToGrid w:val="0"/>
          <w:kern w:val="22"/>
          <w:szCs w:val="22"/>
          <w:lang w:val="es-ES" w:eastAsia="en-CA"/>
        </w:rPr>
        <w:t>3.</w:t>
      </w:r>
      <w:r w:rsidRPr="00450DDA">
        <w:rPr>
          <w:i/>
          <w:snapToGrid w:val="0"/>
          <w:kern w:val="22"/>
          <w:szCs w:val="22"/>
          <w:lang w:val="es-ES" w:eastAsia="en-CA"/>
        </w:rPr>
        <w:tab/>
      </w:r>
      <w:r w:rsidRPr="00E92C1D">
        <w:rPr>
          <w:i/>
          <w:iCs/>
          <w:kern w:val="22"/>
          <w:lang w:val="es-ES"/>
        </w:rPr>
        <w:t>Pide</w:t>
      </w:r>
      <w:r w:rsidRPr="00E92C1D">
        <w:rPr>
          <w:kern w:val="22"/>
          <w:lang w:val="es-ES"/>
        </w:rPr>
        <w:t xml:space="preserve"> al Órgano Subsidiario sobre la Aplicación que considere</w:t>
      </w:r>
      <w:r>
        <w:rPr>
          <w:kern w:val="22"/>
          <w:lang w:val="es-ES"/>
        </w:rPr>
        <w:t>, en su cuarta reunión,</w:t>
      </w:r>
      <w:r w:rsidRPr="00E92C1D">
        <w:rPr>
          <w:kern w:val="22"/>
          <w:lang w:val="es-ES"/>
        </w:rPr>
        <w:t xml:space="preserve"> la metodología propuesta que se menciona en el párrafo 2 </w:t>
      </w:r>
      <w:r w:rsidRPr="00E92C1D">
        <w:rPr>
          <w:i/>
          <w:iCs/>
          <w:kern w:val="22"/>
          <w:lang w:val="es-ES"/>
        </w:rPr>
        <w:t>supra</w:t>
      </w:r>
      <w:r w:rsidRPr="00E92C1D">
        <w:rPr>
          <w:kern w:val="22"/>
          <w:lang w:val="es-ES"/>
        </w:rPr>
        <w:t xml:space="preserve"> y realice recomendaciones para que sean consideradas por la Conferencia de las Partes que actúa como reunión de las Partes en el Protocolo</w:t>
      </w:r>
      <w:r>
        <w:rPr>
          <w:kern w:val="22"/>
          <w:lang w:val="es-ES"/>
        </w:rPr>
        <w:t xml:space="preserve"> en su quinta reunión</w:t>
      </w:r>
      <w:r w:rsidRPr="00450DDA">
        <w:rPr>
          <w:snapToGrid w:val="0"/>
          <w:kern w:val="22"/>
          <w:szCs w:val="22"/>
          <w:lang w:val="es-ES" w:eastAsia="en-CA"/>
        </w:rPr>
        <w:t>;</w:t>
      </w:r>
    </w:p>
    <w:p w:rsidR="009F5D7B" w:rsidRPr="002A1FD4" w:rsidRDefault="002A1FD4" w:rsidP="002A1FD4">
      <w:pPr>
        <w:suppressLineNumbers/>
        <w:shd w:val="clear" w:color="auto" w:fill="FFFFFF" w:themeFill="background1"/>
        <w:suppressAutoHyphens/>
        <w:kinsoku w:val="0"/>
        <w:overflowPunct w:val="0"/>
        <w:autoSpaceDE w:val="0"/>
        <w:autoSpaceDN w:val="0"/>
        <w:snapToGrid w:val="0"/>
        <w:spacing w:before="120" w:line="240" w:lineRule="auto"/>
        <w:ind w:firstLine="720"/>
        <w:rPr>
          <w:snapToGrid w:val="0"/>
          <w:kern w:val="22"/>
          <w:szCs w:val="22"/>
          <w:lang w:val="es-ES" w:eastAsia="en-CA"/>
        </w:rPr>
      </w:pPr>
      <w:r w:rsidRPr="00450DDA">
        <w:rPr>
          <w:snapToGrid w:val="0"/>
          <w:kern w:val="22"/>
          <w:szCs w:val="22"/>
          <w:lang w:val="es-ES" w:eastAsia="en-CA"/>
        </w:rPr>
        <w:t>4.</w:t>
      </w:r>
      <w:r w:rsidRPr="00450DDA">
        <w:rPr>
          <w:snapToGrid w:val="0"/>
          <w:kern w:val="22"/>
          <w:szCs w:val="22"/>
          <w:lang w:val="es-ES" w:eastAsia="en-CA"/>
        </w:rPr>
        <w:tab/>
      </w:r>
      <w:r w:rsidRPr="00E92C1D">
        <w:rPr>
          <w:i/>
          <w:iCs/>
          <w:kern w:val="22"/>
          <w:lang w:val="es-ES"/>
        </w:rPr>
        <w:t xml:space="preserve">Decide </w:t>
      </w:r>
      <w:r w:rsidRPr="00E92C1D">
        <w:rPr>
          <w:kern w:val="22"/>
          <w:lang w:val="es-ES"/>
        </w:rPr>
        <w:t>volver a abordar el tema de los intervalos para la ulterior evaluación y revisión de la eficacia del Protocolo en una reunión posterior de la Conferencia de las Partes que actúa como reunión de las Partes en el Protocolo</w:t>
      </w:r>
      <w:r w:rsidR="009F5D7B" w:rsidRPr="002A1FD4">
        <w:rPr>
          <w:snapToGrid w:val="0"/>
          <w:kern w:val="22"/>
          <w:szCs w:val="22"/>
          <w:lang w:val="es-ES" w:eastAsia="en-CA"/>
        </w:rPr>
        <w:t>.</w:t>
      </w:r>
    </w:p>
    <w:p w:rsidR="009F5D7B" w:rsidRPr="00C5131C" w:rsidRDefault="009F5D7B" w:rsidP="000C6220">
      <w:pPr>
        <w:suppressLineNumbers/>
        <w:shd w:val="clear" w:color="auto" w:fill="FFFFFF" w:themeFill="background1"/>
        <w:suppressAutoHyphens/>
        <w:kinsoku w:val="0"/>
        <w:overflowPunct w:val="0"/>
        <w:autoSpaceDE w:val="0"/>
        <w:autoSpaceDN w:val="0"/>
        <w:adjustRightInd w:val="0"/>
        <w:snapToGrid w:val="0"/>
        <w:spacing w:after="0" w:line="240" w:lineRule="auto"/>
        <w:rPr>
          <w:rFonts w:eastAsia="Calibri"/>
          <w:kern w:val="22"/>
          <w:szCs w:val="22"/>
          <w:u w:color="000000"/>
          <w:lang w:val="es-ES"/>
        </w:rPr>
      </w:pPr>
    </w:p>
    <w:p w:rsidR="009F5D7B" w:rsidRPr="00C5131C" w:rsidRDefault="009F5D7B" w:rsidP="000C6220">
      <w:pPr>
        <w:keepNext/>
        <w:suppressLineNumbers/>
        <w:suppressAutoHyphens/>
        <w:kinsoku w:val="0"/>
        <w:overflowPunct w:val="0"/>
        <w:autoSpaceDE w:val="0"/>
        <w:autoSpaceDN w:val="0"/>
        <w:adjustRightInd w:val="0"/>
        <w:snapToGrid w:val="0"/>
        <w:spacing w:line="240" w:lineRule="auto"/>
        <w:jc w:val="center"/>
        <w:outlineLvl w:val="2"/>
        <w:rPr>
          <w:i/>
          <w:kern w:val="22"/>
          <w:szCs w:val="22"/>
          <w:lang w:val="es-ES"/>
        </w:rPr>
      </w:pPr>
      <w:r w:rsidRPr="00C5131C">
        <w:rPr>
          <w:i/>
          <w:kern w:val="22"/>
          <w:szCs w:val="22"/>
          <w:lang w:val="es-ES"/>
        </w:rPr>
        <w:t>Anex</w:t>
      </w:r>
      <w:r w:rsidR="002A1FD4" w:rsidRPr="00C5131C">
        <w:rPr>
          <w:i/>
          <w:kern w:val="22"/>
          <w:szCs w:val="22"/>
          <w:lang w:val="es-ES"/>
        </w:rPr>
        <w:t>o</w:t>
      </w:r>
      <w:r w:rsidRPr="00C5131C">
        <w:rPr>
          <w:i/>
          <w:kern w:val="22"/>
          <w:szCs w:val="22"/>
          <w:lang w:val="es-ES"/>
        </w:rPr>
        <w:t xml:space="preserve"> I</w:t>
      </w:r>
    </w:p>
    <w:p w:rsidR="009F5D7B" w:rsidRPr="00C5131C" w:rsidRDefault="00627661" w:rsidP="000C6220">
      <w:pPr>
        <w:keepNext/>
        <w:suppressLineNumbers/>
        <w:suppressAutoHyphens/>
        <w:kinsoku w:val="0"/>
        <w:overflowPunct w:val="0"/>
        <w:autoSpaceDE w:val="0"/>
        <w:autoSpaceDN w:val="0"/>
        <w:adjustRightInd w:val="0"/>
        <w:snapToGrid w:val="0"/>
        <w:spacing w:before="120" w:line="240" w:lineRule="auto"/>
        <w:jc w:val="center"/>
        <w:rPr>
          <w:b/>
          <w:kern w:val="22"/>
          <w:szCs w:val="22"/>
          <w:lang w:val="es-ES"/>
        </w:rPr>
      </w:pPr>
      <w:r w:rsidRPr="00C5131C">
        <w:rPr>
          <w:b/>
          <w:kern w:val="22"/>
          <w:szCs w:val="22"/>
          <w:lang w:val="es-ES"/>
        </w:rPr>
        <w:t>PRINCIPALES CONCLUSIONES</w:t>
      </w:r>
    </w:p>
    <w:p w:rsidR="009F5D7B" w:rsidRPr="00627661" w:rsidRDefault="009F5D7B" w:rsidP="000C6220">
      <w:pPr>
        <w:keepNext/>
        <w:suppressLineNumbers/>
        <w:suppressAutoHyphens/>
        <w:kinsoku w:val="0"/>
        <w:overflowPunct w:val="0"/>
        <w:autoSpaceDE w:val="0"/>
        <w:autoSpaceDN w:val="0"/>
        <w:adjustRightInd w:val="0"/>
        <w:snapToGrid w:val="0"/>
        <w:spacing w:line="240" w:lineRule="auto"/>
        <w:ind w:left="1267" w:hanging="1267"/>
        <w:rPr>
          <w:rFonts w:ascii="Times New Roman Bold" w:eastAsia="Calibri" w:hAnsi="Times New Roman Bold"/>
          <w:b/>
          <w:color w:val="000000"/>
          <w:spacing w:val="-1"/>
          <w:kern w:val="22"/>
          <w:szCs w:val="22"/>
          <w:u w:color="000000"/>
          <w:lang w:val="es-ES"/>
        </w:rPr>
      </w:pPr>
      <w:r w:rsidRPr="00627661">
        <w:rPr>
          <w:rFonts w:ascii="Times New Roman Bold" w:eastAsia="Calibri" w:hAnsi="Times New Roman Bold"/>
          <w:b/>
          <w:color w:val="000000"/>
          <w:spacing w:val="-1"/>
          <w:kern w:val="22"/>
          <w:szCs w:val="22"/>
          <w:u w:color="000000"/>
          <w:lang w:val="es-ES"/>
        </w:rPr>
        <w:t>Element</w:t>
      </w:r>
      <w:r w:rsidR="00627661" w:rsidRPr="00627661">
        <w:rPr>
          <w:rFonts w:ascii="Times New Roman Bold" w:eastAsia="Calibri" w:hAnsi="Times New Roman Bold"/>
          <w:b/>
          <w:color w:val="000000"/>
          <w:spacing w:val="-1"/>
          <w:kern w:val="22"/>
          <w:szCs w:val="22"/>
          <w:u w:color="000000"/>
          <w:lang w:val="es-ES"/>
        </w:rPr>
        <w:t>o</w:t>
      </w:r>
      <w:r w:rsidRPr="00627661">
        <w:rPr>
          <w:rFonts w:ascii="Times New Roman Bold" w:eastAsia="Calibri" w:hAnsi="Times New Roman Bold"/>
          <w:b/>
          <w:color w:val="000000"/>
          <w:spacing w:val="-1"/>
          <w:kern w:val="22"/>
          <w:szCs w:val="22"/>
          <w:u w:color="000000"/>
          <w:lang w:val="es-ES"/>
        </w:rPr>
        <w:t xml:space="preserve"> a):</w:t>
      </w:r>
      <w:r w:rsidRPr="00627661">
        <w:rPr>
          <w:rFonts w:ascii="Times New Roman Bold" w:eastAsia="Calibri" w:hAnsi="Times New Roman Bold"/>
          <w:b/>
          <w:color w:val="000000"/>
          <w:spacing w:val="-1"/>
          <w:kern w:val="22"/>
          <w:szCs w:val="22"/>
          <w:u w:color="000000"/>
          <w:lang w:val="es-ES"/>
        </w:rPr>
        <w:tab/>
      </w:r>
      <w:r w:rsidR="00627661" w:rsidRPr="00627661">
        <w:rPr>
          <w:rFonts w:ascii="Times New Roman Bold" w:eastAsia="Calibri" w:hAnsi="Times New Roman Bold"/>
          <w:b/>
          <w:color w:val="000000"/>
          <w:spacing w:val="-1"/>
          <w:kern w:val="22"/>
          <w:szCs w:val="22"/>
          <w:u w:color="000000"/>
          <w:lang w:val="es-ES"/>
        </w:rPr>
        <w:t>Grado de aplicación de las disposiciones del Protocolo de Nagoya y obligaciones conexas de las Partes, incluida una evaluación de los progresos logrados por las Partes en el establecimiento de estructuras institucionales y la adopción de medidas de acceso y participación en los beneficios para aplicar el Protocol</w:t>
      </w:r>
      <w:r w:rsidR="00627661">
        <w:rPr>
          <w:rFonts w:ascii="Times New Roman Bold" w:eastAsia="Calibri" w:hAnsi="Times New Roman Bold"/>
          <w:b/>
          <w:color w:val="000000"/>
          <w:spacing w:val="-1"/>
          <w:kern w:val="22"/>
          <w:szCs w:val="22"/>
          <w:u w:color="000000"/>
          <w:lang w:val="es-ES"/>
        </w:rPr>
        <w:t>o</w:t>
      </w:r>
    </w:p>
    <w:p w:rsidR="009F5D7B" w:rsidRPr="00627661"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627661">
        <w:rPr>
          <w:kern w:val="22"/>
          <w:szCs w:val="22"/>
          <w:lang w:val="es-ES"/>
        </w:rPr>
        <w:t>1.</w:t>
      </w:r>
      <w:r w:rsidRPr="00627661">
        <w:rPr>
          <w:kern w:val="22"/>
          <w:szCs w:val="22"/>
          <w:lang w:val="es-ES"/>
        </w:rPr>
        <w:tab/>
      </w:r>
      <w:r w:rsidR="00627661" w:rsidRPr="00E92C1D">
        <w:rPr>
          <w:kern w:val="22"/>
          <w:lang w:val="es-ES"/>
        </w:rPr>
        <w:t xml:space="preserve">A fin de poner en práctica el Protocolo de Nagoya las Partes deben adoptar medidas legislativas, administrativas y de política sobre acceso y participación en los beneficios </w:t>
      </w:r>
      <w:r w:rsidR="00627661">
        <w:rPr>
          <w:kern w:val="22"/>
          <w:lang w:val="es-ES"/>
        </w:rPr>
        <w:t xml:space="preserve">(APB) </w:t>
      </w:r>
      <w:r w:rsidR="00627661" w:rsidRPr="00E92C1D">
        <w:rPr>
          <w:kern w:val="22"/>
          <w:lang w:val="es-ES"/>
        </w:rPr>
        <w:t xml:space="preserve">y establecer arreglos institucionales y muchas de las Partes aún no han terminado de instrumentar tales medidas e instituciones. </w:t>
      </w:r>
      <w:r w:rsidR="00627661" w:rsidRPr="00572103">
        <w:rPr>
          <w:kern w:val="22"/>
          <w:lang w:val="es-ES"/>
        </w:rPr>
        <w:t>Para muchas de ellas, es un proceso complicado que insume mucho tiempo</w:t>
      </w:r>
      <w:r w:rsidRPr="00627661">
        <w:rPr>
          <w:kern w:val="22"/>
          <w:szCs w:val="22"/>
          <w:lang w:val="es-ES"/>
        </w:rPr>
        <w:t>.</w:t>
      </w:r>
    </w:p>
    <w:p w:rsidR="009F5D7B" w:rsidRPr="00627661"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627661">
        <w:rPr>
          <w:kern w:val="22"/>
          <w:szCs w:val="22"/>
          <w:lang w:val="es-ES"/>
        </w:rPr>
        <w:t>2.</w:t>
      </w:r>
      <w:r w:rsidRPr="00627661">
        <w:rPr>
          <w:kern w:val="22"/>
          <w:szCs w:val="22"/>
          <w:lang w:val="es-ES"/>
        </w:rPr>
        <w:tab/>
      </w:r>
      <w:r w:rsidR="00627661" w:rsidRPr="00E92C1D">
        <w:rPr>
          <w:kern w:val="22"/>
          <w:lang w:val="es-ES"/>
        </w:rPr>
        <w:t>Los progresos en el establecimiento de arreglos institucionales, tales como autoridades nacionales competentes y puntos de verificación, están estrechamente vinculados a los progresos en la adopción de medidas de acceso y participación en los beneficios (APB). La designación de autoridades nacionales competentes fue una de las medidas que se adoptaron con anterioridad al Protocolo de Nagoya. La designación de puntos de verificación, en cambio, es un requisito nuevo creado por el Protocolo y que muchas de las Partes todavía no han resuelto</w:t>
      </w:r>
      <w:r w:rsidRPr="00627661">
        <w:rPr>
          <w:kern w:val="22"/>
          <w:szCs w:val="22"/>
          <w:lang w:val="es-ES"/>
        </w:rPr>
        <w:t>.</w:t>
      </w:r>
    </w:p>
    <w:p w:rsidR="009F5D7B" w:rsidRPr="00627661"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627661">
        <w:rPr>
          <w:kern w:val="22"/>
          <w:szCs w:val="22"/>
          <w:lang w:val="es-ES"/>
        </w:rPr>
        <w:t>3.</w:t>
      </w:r>
      <w:r w:rsidRPr="00627661">
        <w:rPr>
          <w:kern w:val="22"/>
          <w:szCs w:val="22"/>
          <w:lang w:val="es-ES"/>
        </w:rPr>
        <w:tab/>
      </w:r>
      <w:r w:rsidR="00627661" w:rsidRPr="00E92C1D">
        <w:rPr>
          <w:kern w:val="22"/>
          <w:lang w:val="es-ES"/>
        </w:rPr>
        <w:t>Aunque la publicación de información obligatoria en el Centro de Intercambio de Información sobre APB es fundamental para la aplicación del Protocolo, son varias las Partes que aún no han publicado en el Centro toda la información nacional disponible, conforme a lo dispuesto en el artículo 14 del Protocolo de Nagoya</w:t>
      </w:r>
      <w:r w:rsidRPr="00627661">
        <w:rPr>
          <w:kern w:val="22"/>
          <w:szCs w:val="22"/>
          <w:lang w:val="es-ES"/>
        </w:rPr>
        <w:t>.</w:t>
      </w:r>
    </w:p>
    <w:p w:rsidR="009F5D7B" w:rsidRPr="00627661"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627661">
        <w:rPr>
          <w:kern w:val="22"/>
          <w:szCs w:val="22"/>
          <w:lang w:val="es-ES"/>
        </w:rPr>
        <w:t>4.</w:t>
      </w:r>
      <w:r w:rsidRPr="00627661">
        <w:rPr>
          <w:kern w:val="22"/>
          <w:szCs w:val="22"/>
          <w:lang w:val="es-ES"/>
        </w:rPr>
        <w:tab/>
      </w:r>
      <w:r w:rsidR="00627661" w:rsidRPr="00E92C1D">
        <w:rPr>
          <w:spacing w:val="-1"/>
          <w:kern w:val="22"/>
          <w:lang w:val="es-ES"/>
        </w:rPr>
        <w:t>Teniendo en cuenta su naturaleza intersectorial, la aplicación del Protocolo requiere la participación de los pueblos indígenas y las comunidades locales y los interesados directos pertinentes (p. ej., diferentes sectores empresariales y la comunidad científica), así como la coordinación entre distintas instituciones y ministerios (p. ej., ciencia y educación, agricultura, comercio, propiedad intelectual). Para ayudar a abordar este problema, podrían establecerse mecanismos adecuados para facilitar la coordinación y participación y también es posible que se requiera concienciación y creación de capacidad</w:t>
      </w:r>
      <w:r w:rsidRPr="00627661">
        <w:rPr>
          <w:kern w:val="22"/>
          <w:szCs w:val="22"/>
          <w:lang w:val="es-ES"/>
        </w:rPr>
        <w:t>.</w:t>
      </w:r>
    </w:p>
    <w:p w:rsidR="009F5D7B" w:rsidRPr="00627661"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627661">
        <w:rPr>
          <w:kern w:val="22"/>
          <w:szCs w:val="22"/>
          <w:lang w:val="es-ES"/>
        </w:rPr>
        <w:t>5.</w:t>
      </w:r>
      <w:r w:rsidRPr="00627661">
        <w:rPr>
          <w:kern w:val="22"/>
          <w:szCs w:val="22"/>
          <w:lang w:val="es-ES"/>
        </w:rPr>
        <w:tab/>
      </w:r>
      <w:r w:rsidR="00627661" w:rsidRPr="00E92C1D">
        <w:rPr>
          <w:kern w:val="22"/>
          <w:lang w:val="es-ES"/>
        </w:rPr>
        <w:t>Otro de los grandes desafíos es la adopción de medidas de APB que apoyen la participación en los beneficios y al mismo tiempo brinden seguridad jurídica y eviten complicaciones y demoras innecesarias y mayores cargas y costos para los usuarios y los limitados recursos humanos dedicados a cuestiones de APB y el Protocolo de Nagoya en muchas Partes</w:t>
      </w:r>
      <w:r w:rsidRPr="00627661">
        <w:rPr>
          <w:kern w:val="22"/>
          <w:szCs w:val="22"/>
          <w:lang w:val="es-ES"/>
        </w:rPr>
        <w:t>.</w:t>
      </w:r>
    </w:p>
    <w:p w:rsidR="009F5D7B" w:rsidRPr="00627661"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627661">
        <w:rPr>
          <w:kern w:val="22"/>
          <w:szCs w:val="22"/>
          <w:lang w:val="es-ES"/>
        </w:rPr>
        <w:t>6.</w:t>
      </w:r>
      <w:r w:rsidRPr="00627661">
        <w:rPr>
          <w:kern w:val="22"/>
          <w:szCs w:val="22"/>
          <w:lang w:val="es-ES"/>
        </w:rPr>
        <w:tab/>
      </w:r>
      <w:r w:rsidR="00627661" w:rsidRPr="00E92C1D">
        <w:rPr>
          <w:kern w:val="22"/>
          <w:lang w:val="es-ES"/>
        </w:rPr>
        <w:t>En vista de estas dificultades, podría considerarse como un primer paso la adopción de medidas provisionales. En la elaboración de medidas de APB deberían tomarse también en cuenta las necesidades de los usuarios de recursos genéticos y conocimientos tradicionales asociados, incluidos los interesados directos pertinentes de distintos sectores. También podría ser útil adoptar enfoques regionales para apoyar la aplicación armonizada del Protocol</w:t>
      </w:r>
      <w:r w:rsidR="00627661">
        <w:rPr>
          <w:kern w:val="22"/>
          <w:lang w:val="es-ES"/>
        </w:rPr>
        <w:t>o</w:t>
      </w:r>
      <w:r w:rsidRPr="00EE0850">
        <w:rPr>
          <w:rFonts w:eastAsia="Calibri"/>
          <w:kern w:val="22"/>
          <w:szCs w:val="22"/>
          <w:vertAlign w:val="superscript"/>
        </w:rPr>
        <w:footnoteReference w:id="3"/>
      </w:r>
      <w:r w:rsidR="00627661" w:rsidRPr="00627661">
        <w:rPr>
          <w:kern w:val="22"/>
          <w:szCs w:val="22"/>
          <w:lang w:val="es-ES"/>
        </w:rPr>
        <w:t>.</w:t>
      </w:r>
    </w:p>
    <w:p w:rsidR="009F5D7B" w:rsidRPr="00627661"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627661">
        <w:rPr>
          <w:kern w:val="22"/>
          <w:szCs w:val="22"/>
          <w:lang w:val="es-ES"/>
        </w:rPr>
        <w:t>7.</w:t>
      </w:r>
      <w:r w:rsidRPr="00627661">
        <w:rPr>
          <w:kern w:val="22"/>
          <w:szCs w:val="22"/>
          <w:lang w:val="es-ES"/>
        </w:rPr>
        <w:tab/>
      </w:r>
      <w:r w:rsidR="00627661" w:rsidRPr="00E92C1D">
        <w:rPr>
          <w:kern w:val="22"/>
          <w:lang w:val="es-ES"/>
        </w:rPr>
        <w:t>La aplicación de algunos de los nuevos elementos del Protocolo, a saber, las disposiciones sobre cumplimiento, vigilancia de la utilización de los recursos genéticos, incluida la designación de puntos de verificación, y las obligaciones relacionadas con los pueblos indígenas y las comunidades locales, representan un desafío particular</w:t>
      </w:r>
      <w:r w:rsidRPr="00627661">
        <w:rPr>
          <w:kern w:val="22"/>
          <w:szCs w:val="22"/>
          <w:lang w:val="es-ES"/>
        </w:rPr>
        <w:t>.</w:t>
      </w:r>
    </w:p>
    <w:p w:rsidR="009F5D7B" w:rsidRPr="00627661"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627661">
        <w:rPr>
          <w:kern w:val="22"/>
          <w:szCs w:val="22"/>
          <w:lang w:val="es-ES"/>
        </w:rPr>
        <w:t>8.</w:t>
      </w:r>
      <w:r w:rsidRPr="00627661">
        <w:rPr>
          <w:kern w:val="22"/>
          <w:szCs w:val="22"/>
          <w:lang w:val="es-ES"/>
        </w:rPr>
        <w:tab/>
      </w:r>
      <w:r w:rsidR="00627661" w:rsidRPr="00E92C1D">
        <w:rPr>
          <w:kern w:val="22"/>
          <w:lang w:val="es-ES"/>
        </w:rPr>
        <w:t>El Protocolo de Nagoya no distingue entre países que son usuarios y países que son proveedores de recursos genéticos y las obligaciones del Protocolo se aplican a todas las Partes, incluidas las disposiciones relativas al cumplimiento de la legislación o requisitos reglamentarios nacionales de conformidad con los artículos 15 y 16</w:t>
      </w:r>
      <w:r w:rsidRPr="00627661">
        <w:rPr>
          <w:kern w:val="22"/>
          <w:szCs w:val="22"/>
          <w:lang w:val="es-ES"/>
        </w:rPr>
        <w:t>.</w:t>
      </w:r>
    </w:p>
    <w:p w:rsidR="009F5D7B" w:rsidRPr="00627661"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627661">
        <w:rPr>
          <w:kern w:val="22"/>
          <w:szCs w:val="22"/>
          <w:lang w:val="es-ES"/>
        </w:rPr>
        <w:lastRenderedPageBreak/>
        <w:t>9.</w:t>
      </w:r>
      <w:r w:rsidRPr="00627661">
        <w:rPr>
          <w:kern w:val="22"/>
          <w:szCs w:val="22"/>
          <w:lang w:val="es-ES"/>
        </w:rPr>
        <w:tab/>
      </w:r>
      <w:r w:rsidR="00627661" w:rsidRPr="00E92C1D">
        <w:rPr>
          <w:kern w:val="22"/>
          <w:lang w:val="es-ES"/>
        </w:rPr>
        <w:t>Con respecto a los puntos de verificación, las Partes necesitan entender mejor las funciones que cumplen los puntos y las opciones de designación a la luz de sus contextos nacionales. También es necesario crear capacidad en los puntos de verificación para que puedan desempeñar sus funciones</w:t>
      </w:r>
      <w:r w:rsidRPr="00627661">
        <w:rPr>
          <w:kern w:val="22"/>
          <w:szCs w:val="22"/>
          <w:lang w:val="es-ES"/>
        </w:rPr>
        <w:t>.</w:t>
      </w:r>
    </w:p>
    <w:p w:rsidR="009F5D7B" w:rsidRPr="00C5131C"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627661">
        <w:rPr>
          <w:kern w:val="22"/>
          <w:szCs w:val="22"/>
          <w:lang w:val="es-ES"/>
        </w:rPr>
        <w:t>10.</w:t>
      </w:r>
      <w:r w:rsidRPr="00627661">
        <w:rPr>
          <w:kern w:val="22"/>
          <w:szCs w:val="22"/>
          <w:lang w:val="es-ES"/>
        </w:rPr>
        <w:tab/>
      </w:r>
      <w:r w:rsidR="00627661" w:rsidRPr="00E92C1D">
        <w:rPr>
          <w:kern w:val="22"/>
          <w:lang w:val="es-ES"/>
        </w:rPr>
        <w:t xml:space="preserve">Algunos de los desafíos que se plantean con respecto a los pueblos indígenas y las comunidades locales son: determinar cómo se aplica el concepto de “pueblos indígenas y comunidades locales” a nivel nacional; aclarar los derechos de los pueblos indígenas y las comunidades locales sobre los recursos genéticos y los conocimientos tradicionales asociados a los recursos genéticos; determinar los diferentes grupos de pueblos indígenas y comunidades locales; entender cómo se organizan; y vincular los conocimientos tradicionales con los titulares de dichos conocimientos. </w:t>
      </w:r>
      <w:r w:rsidR="00627661" w:rsidRPr="00C5131C">
        <w:rPr>
          <w:kern w:val="22"/>
          <w:lang w:val="es-ES"/>
        </w:rPr>
        <w:t>Estas dificultades podrían abordarse mediante lo siguiente</w:t>
      </w:r>
      <w:r w:rsidRPr="00C5131C">
        <w:rPr>
          <w:kern w:val="22"/>
          <w:szCs w:val="22"/>
          <w:lang w:val="es-ES"/>
        </w:rPr>
        <w:t>:</w:t>
      </w:r>
    </w:p>
    <w:p w:rsidR="009F5D7B" w:rsidRPr="00627661" w:rsidRDefault="00627661" w:rsidP="000C6220">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uto"/>
        <w:ind w:firstLine="709"/>
        <w:rPr>
          <w:rFonts w:eastAsia="Calibri"/>
          <w:kern w:val="22"/>
          <w:szCs w:val="22"/>
          <w:u w:color="000000"/>
          <w:lang w:val="es-ES"/>
        </w:rPr>
      </w:pPr>
      <w:r w:rsidRPr="00C5131C">
        <w:rPr>
          <w:rFonts w:eastAsia="Calibri"/>
          <w:kern w:val="22"/>
          <w:szCs w:val="22"/>
          <w:u w:color="000000"/>
          <w:lang w:val="es-ES"/>
        </w:rPr>
        <w:t xml:space="preserve"> </w:t>
      </w:r>
      <w:r w:rsidR="009F5D7B" w:rsidRPr="00627661">
        <w:rPr>
          <w:rFonts w:eastAsia="Calibri"/>
          <w:kern w:val="22"/>
          <w:szCs w:val="22"/>
          <w:u w:color="000000"/>
          <w:lang w:val="es-ES"/>
        </w:rPr>
        <w:t>a)</w:t>
      </w:r>
      <w:r w:rsidR="009F5D7B" w:rsidRPr="00627661">
        <w:rPr>
          <w:rFonts w:eastAsia="Calibri"/>
          <w:kern w:val="22"/>
          <w:szCs w:val="22"/>
          <w:u w:color="000000"/>
          <w:lang w:val="es-ES"/>
        </w:rPr>
        <w:tab/>
      </w:r>
      <w:r w:rsidRPr="00E92C1D">
        <w:rPr>
          <w:kern w:val="22"/>
          <w:u w:color="000000"/>
          <w:lang w:val="es-ES"/>
        </w:rPr>
        <w:t>Creación de capacidad en las Partes para apoyar la aplicación de las disposiciones del Protocolo relacionadas con los pueblos indígenas y las comunidades locales, así como creación de capacidad en los pueblos indígenas y las comunidades locales con respecto a cuestiones de APB</w:t>
      </w:r>
      <w:r w:rsidR="009F5D7B" w:rsidRPr="00627661">
        <w:rPr>
          <w:rFonts w:eastAsia="Calibri"/>
          <w:kern w:val="22"/>
          <w:szCs w:val="22"/>
          <w:u w:color="000000"/>
          <w:lang w:val="es-ES"/>
        </w:rPr>
        <w:t>;</w:t>
      </w:r>
    </w:p>
    <w:p w:rsidR="009F5D7B" w:rsidRPr="00627661" w:rsidRDefault="00627661" w:rsidP="000C6220">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uto"/>
        <w:ind w:firstLine="709"/>
        <w:rPr>
          <w:rFonts w:eastAsia="Calibri"/>
          <w:kern w:val="22"/>
          <w:szCs w:val="22"/>
          <w:u w:color="000000"/>
          <w:lang w:val="es-ES"/>
        </w:rPr>
      </w:pPr>
      <w:r w:rsidRPr="00627661">
        <w:rPr>
          <w:rFonts w:eastAsia="Calibri"/>
          <w:kern w:val="22"/>
          <w:szCs w:val="22"/>
          <w:u w:color="000000"/>
          <w:lang w:val="es-ES"/>
        </w:rPr>
        <w:t xml:space="preserve"> </w:t>
      </w:r>
      <w:r w:rsidR="009F5D7B" w:rsidRPr="00627661">
        <w:rPr>
          <w:rFonts w:eastAsia="Calibri"/>
          <w:kern w:val="22"/>
          <w:szCs w:val="22"/>
          <w:u w:color="000000"/>
          <w:lang w:val="es-ES"/>
        </w:rPr>
        <w:t>b)</w:t>
      </w:r>
      <w:r w:rsidR="009F5D7B" w:rsidRPr="00627661">
        <w:rPr>
          <w:rFonts w:eastAsia="Calibri"/>
          <w:kern w:val="22"/>
          <w:szCs w:val="22"/>
          <w:u w:color="000000"/>
          <w:lang w:val="es-ES"/>
        </w:rPr>
        <w:tab/>
      </w:r>
      <w:r w:rsidRPr="00E92C1D">
        <w:rPr>
          <w:kern w:val="22"/>
          <w:u w:color="000000"/>
          <w:lang w:val="es-ES"/>
        </w:rPr>
        <w:t>Trabajo pertinente del Grupo de Trabajo Especial de Composición Abierta sobre el Artículo 8 j) y Disposiciones Conexas sobre el concepto de pueblos indígenas y comunidades locales</w:t>
      </w:r>
      <w:r w:rsidR="009F5D7B" w:rsidRPr="00EE0850">
        <w:rPr>
          <w:rFonts w:eastAsia="Calibri"/>
          <w:kern w:val="22"/>
          <w:szCs w:val="22"/>
          <w:vertAlign w:val="superscript"/>
        </w:rPr>
        <w:footnoteReference w:id="4"/>
      </w:r>
      <w:r w:rsidRPr="00627661">
        <w:rPr>
          <w:rFonts w:eastAsia="Calibri"/>
          <w:kern w:val="22"/>
          <w:szCs w:val="22"/>
          <w:u w:color="000000"/>
          <w:lang w:val="es-ES"/>
        </w:rPr>
        <w:t>;</w:t>
      </w:r>
    </w:p>
    <w:p w:rsidR="009F5D7B" w:rsidRPr="00627661" w:rsidRDefault="00627661" w:rsidP="000C6220">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uto"/>
        <w:ind w:firstLine="709"/>
        <w:rPr>
          <w:rFonts w:eastAsia="Calibri"/>
          <w:kern w:val="22"/>
          <w:szCs w:val="22"/>
          <w:u w:color="000000"/>
          <w:lang w:val="es-ES"/>
        </w:rPr>
      </w:pPr>
      <w:r w:rsidRPr="00627661">
        <w:rPr>
          <w:rFonts w:eastAsia="Calibri"/>
          <w:kern w:val="22"/>
          <w:szCs w:val="22"/>
          <w:u w:color="000000"/>
          <w:lang w:val="es-ES"/>
        </w:rPr>
        <w:t xml:space="preserve"> </w:t>
      </w:r>
      <w:r w:rsidR="009F5D7B" w:rsidRPr="00627661">
        <w:rPr>
          <w:rFonts w:eastAsia="Calibri"/>
          <w:kern w:val="22"/>
          <w:szCs w:val="22"/>
          <w:u w:color="000000"/>
          <w:lang w:val="es-ES"/>
        </w:rPr>
        <w:t>c)</w:t>
      </w:r>
      <w:r w:rsidR="009F5D7B" w:rsidRPr="00627661">
        <w:rPr>
          <w:rFonts w:eastAsia="Calibri"/>
          <w:kern w:val="22"/>
          <w:szCs w:val="22"/>
          <w:u w:color="000000"/>
          <w:lang w:val="es-ES"/>
        </w:rPr>
        <w:tab/>
      </w:r>
      <w:r w:rsidRPr="00E92C1D">
        <w:rPr>
          <w:kern w:val="22"/>
          <w:u w:color="000000"/>
          <w:lang w:val="es-ES"/>
        </w:rPr>
        <w:t>Mecanismos nacionales para la participación de los pueblos indígenas y las comunidades locales en la aplicación de las disposiciones del Protocolo relacionadas con los pueblos indígenas y las comunidades locales, tomando en cuenta las circunstancias nacionales</w:t>
      </w:r>
      <w:r w:rsidR="009F5D7B" w:rsidRPr="00627661">
        <w:rPr>
          <w:rFonts w:eastAsia="Calibri"/>
          <w:kern w:val="22"/>
          <w:szCs w:val="22"/>
          <w:u w:color="000000"/>
          <w:lang w:val="es-ES"/>
        </w:rPr>
        <w:t>;</w:t>
      </w:r>
    </w:p>
    <w:p w:rsidR="009F5D7B" w:rsidRPr="00627661" w:rsidRDefault="00627661" w:rsidP="000C6220">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uto"/>
        <w:ind w:firstLine="709"/>
        <w:rPr>
          <w:rFonts w:eastAsia="Calibri"/>
          <w:kern w:val="22"/>
          <w:szCs w:val="22"/>
          <w:u w:color="000000"/>
          <w:lang w:val="es-ES"/>
        </w:rPr>
      </w:pPr>
      <w:r w:rsidRPr="00627661">
        <w:rPr>
          <w:rFonts w:eastAsia="Calibri"/>
          <w:kern w:val="22"/>
          <w:szCs w:val="22"/>
          <w:u w:color="000000"/>
          <w:lang w:val="es-ES"/>
        </w:rPr>
        <w:t xml:space="preserve"> </w:t>
      </w:r>
      <w:r w:rsidR="009F5D7B" w:rsidRPr="00627661">
        <w:rPr>
          <w:rFonts w:eastAsia="Calibri"/>
          <w:kern w:val="22"/>
          <w:szCs w:val="22"/>
          <w:u w:color="000000"/>
          <w:lang w:val="es-ES"/>
        </w:rPr>
        <w:t>d)</w:t>
      </w:r>
      <w:r w:rsidR="009F5D7B" w:rsidRPr="00627661">
        <w:rPr>
          <w:rFonts w:eastAsia="Calibri"/>
          <w:kern w:val="22"/>
          <w:szCs w:val="22"/>
          <w:u w:color="000000"/>
          <w:lang w:val="es-ES"/>
        </w:rPr>
        <w:tab/>
      </w:r>
      <w:r w:rsidRPr="00E92C1D">
        <w:rPr>
          <w:kern w:val="22"/>
          <w:u w:color="000000"/>
          <w:lang w:val="es-ES"/>
        </w:rPr>
        <w:t>Apoyo para la coordinación y el desarrollo institucional dentro de los pueblos indígenas y las comunidades locales y entre ellos para abordar cuestiones de APB, incluido a través del desarrollo de protocolos comunitarios</w:t>
      </w:r>
      <w:r w:rsidR="009F5D7B" w:rsidRPr="00627661">
        <w:rPr>
          <w:rFonts w:eastAsia="Calibri"/>
          <w:kern w:val="22"/>
          <w:szCs w:val="22"/>
          <w:u w:color="000000"/>
          <w:lang w:val="es-ES"/>
        </w:rPr>
        <w:t>;</w:t>
      </w:r>
    </w:p>
    <w:p w:rsidR="009F5D7B" w:rsidRPr="00627661" w:rsidRDefault="00627661" w:rsidP="000C6220">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uto"/>
        <w:ind w:firstLine="709"/>
        <w:rPr>
          <w:rFonts w:eastAsia="Calibri"/>
          <w:kern w:val="22"/>
          <w:szCs w:val="22"/>
          <w:u w:color="000000"/>
          <w:lang w:val="es-ES"/>
        </w:rPr>
      </w:pPr>
      <w:r w:rsidRPr="00627661">
        <w:rPr>
          <w:rFonts w:eastAsia="Calibri"/>
          <w:kern w:val="22"/>
          <w:szCs w:val="22"/>
          <w:u w:color="000000"/>
          <w:lang w:val="es-ES"/>
        </w:rPr>
        <w:t xml:space="preserve"> </w:t>
      </w:r>
      <w:r w:rsidR="009F5D7B" w:rsidRPr="00627661">
        <w:rPr>
          <w:rFonts w:eastAsia="Calibri"/>
          <w:kern w:val="22"/>
          <w:szCs w:val="22"/>
          <w:u w:color="000000"/>
          <w:lang w:val="es-ES"/>
        </w:rPr>
        <w:t>e)</w:t>
      </w:r>
      <w:r w:rsidR="009F5D7B" w:rsidRPr="00627661">
        <w:rPr>
          <w:rFonts w:eastAsia="Calibri"/>
          <w:kern w:val="22"/>
          <w:szCs w:val="22"/>
          <w:u w:color="000000"/>
          <w:lang w:val="es-ES"/>
        </w:rPr>
        <w:tab/>
      </w:r>
      <w:r w:rsidRPr="00E92C1D">
        <w:rPr>
          <w:kern w:val="22"/>
          <w:u w:color="000000"/>
          <w:lang w:val="es-ES"/>
        </w:rPr>
        <w:t>Creación de capacidad para apoyar a los pueblos indígenas y las comunidades locales en el establecimiento de requisitos mínimos para las condiciones mutuamente acordadas y cláusulas contractuales modelo para la participación en los beneficios derivados de la utilización de los conocimientos tradicionales asociados a recursos genéticos</w:t>
      </w:r>
      <w:r w:rsidR="009F5D7B" w:rsidRPr="00627661">
        <w:rPr>
          <w:rFonts w:eastAsia="Calibri"/>
          <w:kern w:val="22"/>
          <w:szCs w:val="22"/>
          <w:u w:color="000000"/>
          <w:lang w:val="es-ES"/>
        </w:rPr>
        <w:t>.</w:t>
      </w:r>
    </w:p>
    <w:p w:rsidR="009F5D7B" w:rsidRPr="00627661"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627661">
        <w:rPr>
          <w:kern w:val="22"/>
          <w:szCs w:val="22"/>
          <w:lang w:val="es-ES"/>
        </w:rPr>
        <w:t>11.</w:t>
      </w:r>
      <w:r w:rsidRPr="00627661">
        <w:rPr>
          <w:kern w:val="22"/>
          <w:szCs w:val="22"/>
          <w:lang w:val="es-ES"/>
        </w:rPr>
        <w:tab/>
      </w:r>
      <w:r w:rsidR="00627661" w:rsidRPr="00E92C1D">
        <w:rPr>
          <w:kern w:val="22"/>
          <w:lang w:val="es-ES"/>
        </w:rPr>
        <w:t>Los enfoques para el consentimiento fundamentado previo, las condiciones mutuamente acordadas y la emisión de permisos varían de una Parte a otra. Es importante que las Partes suministren al Centro de Intercambio de Información sobre APB información clara sobre los procedimientos que hay que seguir para acceder a los recursos genéticos y los conocimientos tradicionales asociados</w:t>
      </w:r>
      <w:r w:rsidRPr="00627661">
        <w:rPr>
          <w:kern w:val="22"/>
          <w:szCs w:val="22"/>
          <w:lang w:val="es-ES"/>
        </w:rPr>
        <w:t>.</w:t>
      </w:r>
    </w:p>
    <w:p w:rsidR="009F5D7B" w:rsidRPr="00627661"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627661">
        <w:rPr>
          <w:kern w:val="22"/>
          <w:szCs w:val="22"/>
          <w:lang w:val="es-ES"/>
        </w:rPr>
        <w:t>12.</w:t>
      </w:r>
      <w:r w:rsidRPr="00627661">
        <w:rPr>
          <w:kern w:val="22"/>
          <w:szCs w:val="22"/>
          <w:lang w:val="es-ES"/>
        </w:rPr>
        <w:tab/>
      </w:r>
      <w:r w:rsidR="00627661" w:rsidRPr="00E92C1D">
        <w:rPr>
          <w:spacing w:val="-2"/>
          <w:kern w:val="22"/>
          <w:lang w:val="es-ES"/>
        </w:rPr>
        <w:t>Asimismo, es importante que al elaborar y adoptar su legislación o requisitos reglamentarios sobre APB las Partes tengan en cuenta consideraciones especiales de conformidad con el artículo 8 del Protocolo. En este sentido puede resultar útil el trabajo pertinente realizado por la Organización de las Naciones Unidas para la Alimentación y la Agricultura</w:t>
      </w:r>
      <w:r w:rsidRPr="00EE0850">
        <w:rPr>
          <w:rFonts w:eastAsia="Calibri"/>
          <w:kern w:val="22"/>
          <w:szCs w:val="22"/>
          <w:vertAlign w:val="superscript"/>
        </w:rPr>
        <w:footnoteReference w:id="5"/>
      </w:r>
      <w:r w:rsidR="00627661" w:rsidRPr="00627661">
        <w:rPr>
          <w:kern w:val="22"/>
          <w:szCs w:val="22"/>
          <w:lang w:val="es-ES"/>
        </w:rPr>
        <w:t>,</w:t>
      </w:r>
      <w:r w:rsidRPr="00627661">
        <w:rPr>
          <w:kern w:val="22"/>
          <w:szCs w:val="22"/>
          <w:lang w:val="es-ES"/>
        </w:rPr>
        <w:t xml:space="preserve"> </w:t>
      </w:r>
      <w:r w:rsidR="00627661">
        <w:rPr>
          <w:kern w:val="22"/>
          <w:szCs w:val="22"/>
          <w:lang w:val="es-ES"/>
        </w:rPr>
        <w:t xml:space="preserve">la </w:t>
      </w:r>
      <w:r w:rsidR="00627661" w:rsidRPr="00E92C1D">
        <w:rPr>
          <w:spacing w:val="-2"/>
          <w:kern w:val="22"/>
          <w:lang w:val="es-ES"/>
        </w:rPr>
        <w:t>Organización Mundial de la Salud y otras organizaciones</w:t>
      </w:r>
      <w:r w:rsidRPr="00627661">
        <w:rPr>
          <w:kern w:val="22"/>
          <w:szCs w:val="22"/>
          <w:lang w:val="es-ES"/>
        </w:rPr>
        <w:t>.</w:t>
      </w:r>
    </w:p>
    <w:p w:rsidR="009F5D7B" w:rsidRPr="00627661"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627661">
        <w:rPr>
          <w:kern w:val="22"/>
          <w:szCs w:val="22"/>
          <w:lang w:val="es-ES"/>
        </w:rPr>
        <w:t>13.</w:t>
      </w:r>
      <w:r w:rsidRPr="00627661">
        <w:rPr>
          <w:kern w:val="22"/>
          <w:szCs w:val="22"/>
          <w:lang w:val="es-ES"/>
        </w:rPr>
        <w:tab/>
      </w:r>
      <w:r w:rsidR="00627661" w:rsidRPr="00E92C1D">
        <w:rPr>
          <w:kern w:val="22"/>
          <w:lang w:val="es-ES"/>
        </w:rPr>
        <w:t>Se destacó la importancia de intercambiar información y experiencias en relación con la cooperación transfronteriza (artículo 11). En particular, las experiencias adquiridas en proyectos subregionales y bilaterales podrían resultar pertinentes para ayudar en la aplicación de este artículo. Algunas Partes encontraron que esta cuestión puede abordarse con estructuras o proyectos regionales, a la vez que observaron que para que estas estructuras puedan cumplir esa función sería necesario reforzar sus capacidades</w:t>
      </w:r>
      <w:r w:rsidRPr="00627661">
        <w:rPr>
          <w:kern w:val="22"/>
          <w:szCs w:val="22"/>
          <w:lang w:val="es-ES"/>
        </w:rPr>
        <w:t>.</w:t>
      </w:r>
    </w:p>
    <w:p w:rsidR="009F5D7B" w:rsidRPr="00627661"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627661">
        <w:rPr>
          <w:kern w:val="22"/>
          <w:szCs w:val="22"/>
          <w:lang w:val="es-ES"/>
        </w:rPr>
        <w:t>14.</w:t>
      </w:r>
      <w:r w:rsidRPr="00627661">
        <w:rPr>
          <w:kern w:val="22"/>
          <w:szCs w:val="22"/>
          <w:lang w:val="es-ES"/>
        </w:rPr>
        <w:tab/>
      </w:r>
      <w:r w:rsidR="00627661" w:rsidRPr="00E92C1D">
        <w:rPr>
          <w:kern w:val="22"/>
          <w:lang w:val="es-ES"/>
        </w:rPr>
        <w:t>La creación de capacidad también podría apoyar la aplicación armonizada del Protocolo entre países que comparten los mismos recursos genéticos o conocimientos tradicionales asociados a recursos genéticos</w:t>
      </w:r>
      <w:r w:rsidRPr="00627661">
        <w:rPr>
          <w:kern w:val="22"/>
          <w:szCs w:val="22"/>
          <w:lang w:val="es-ES"/>
        </w:rPr>
        <w:t>.</w:t>
      </w:r>
    </w:p>
    <w:p w:rsidR="009F5D7B" w:rsidRPr="00627661" w:rsidRDefault="009F5D7B" w:rsidP="000C6220">
      <w:pPr>
        <w:keepNext/>
        <w:suppressLineNumbers/>
        <w:suppressAutoHyphens/>
        <w:kinsoku w:val="0"/>
        <w:overflowPunct w:val="0"/>
        <w:autoSpaceDE w:val="0"/>
        <w:autoSpaceDN w:val="0"/>
        <w:adjustRightInd w:val="0"/>
        <w:snapToGrid w:val="0"/>
        <w:spacing w:line="240" w:lineRule="auto"/>
        <w:jc w:val="left"/>
        <w:rPr>
          <w:b/>
          <w:kern w:val="22"/>
          <w:szCs w:val="22"/>
          <w:lang w:val="es-ES"/>
        </w:rPr>
      </w:pPr>
      <w:r w:rsidRPr="00627661">
        <w:rPr>
          <w:b/>
          <w:kern w:val="22"/>
          <w:szCs w:val="22"/>
          <w:lang w:val="es-ES"/>
        </w:rPr>
        <w:t>Element</w:t>
      </w:r>
      <w:r w:rsidR="00627661" w:rsidRPr="00627661">
        <w:rPr>
          <w:b/>
          <w:kern w:val="22"/>
          <w:szCs w:val="22"/>
          <w:lang w:val="es-ES"/>
        </w:rPr>
        <w:t>o</w:t>
      </w:r>
      <w:r w:rsidRPr="00627661">
        <w:rPr>
          <w:b/>
          <w:kern w:val="22"/>
          <w:szCs w:val="22"/>
          <w:lang w:val="es-ES"/>
        </w:rPr>
        <w:t xml:space="preserve"> b) Establ</w:t>
      </w:r>
      <w:r w:rsidR="00627661" w:rsidRPr="00627661">
        <w:rPr>
          <w:b/>
          <w:kern w:val="22"/>
          <w:szCs w:val="22"/>
          <w:lang w:val="es-ES"/>
        </w:rPr>
        <w:t xml:space="preserve">ecimiento </w:t>
      </w:r>
      <w:r w:rsidR="00627661">
        <w:rPr>
          <w:b/>
          <w:kern w:val="22"/>
          <w:szCs w:val="22"/>
          <w:lang w:val="es-ES"/>
        </w:rPr>
        <w:t xml:space="preserve">de un punto de </w:t>
      </w:r>
      <w:r w:rsidRPr="00627661">
        <w:rPr>
          <w:b/>
          <w:kern w:val="22"/>
          <w:szCs w:val="22"/>
          <w:lang w:val="es-ES"/>
        </w:rPr>
        <w:t>referenc</w:t>
      </w:r>
      <w:r w:rsidR="00627661">
        <w:rPr>
          <w:b/>
          <w:kern w:val="22"/>
          <w:szCs w:val="22"/>
          <w:lang w:val="es-ES"/>
        </w:rPr>
        <w:t>ia para medir la</w:t>
      </w:r>
      <w:r w:rsidRPr="00627661">
        <w:rPr>
          <w:b/>
          <w:kern w:val="22"/>
          <w:szCs w:val="22"/>
          <w:lang w:val="es-ES"/>
        </w:rPr>
        <w:t xml:space="preserve"> ef</w:t>
      </w:r>
      <w:r w:rsidR="00627661">
        <w:rPr>
          <w:b/>
          <w:kern w:val="22"/>
          <w:szCs w:val="22"/>
          <w:lang w:val="es-ES"/>
        </w:rPr>
        <w:t>icacia</w:t>
      </w:r>
    </w:p>
    <w:p w:rsidR="009F5D7B" w:rsidRPr="00627661"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627661">
        <w:rPr>
          <w:kern w:val="22"/>
          <w:szCs w:val="22"/>
          <w:lang w:val="es-ES"/>
        </w:rPr>
        <w:t>15.</w:t>
      </w:r>
      <w:r w:rsidRPr="00627661">
        <w:rPr>
          <w:kern w:val="22"/>
          <w:szCs w:val="22"/>
          <w:lang w:val="es-ES"/>
        </w:rPr>
        <w:tab/>
      </w:r>
      <w:r w:rsidR="00627661" w:rsidRPr="00E92C1D">
        <w:rPr>
          <w:kern w:val="22"/>
          <w:lang w:val="es-ES"/>
        </w:rPr>
        <w:t>Algunas Partes informaron que habían obtenido beneficios por concepto de utilización de recursos genéticos y conocimientos tradicionales asociados</w:t>
      </w:r>
      <w:r w:rsidRPr="00627661">
        <w:rPr>
          <w:kern w:val="22"/>
          <w:szCs w:val="22"/>
          <w:lang w:val="es-ES"/>
        </w:rPr>
        <w:t>.</w:t>
      </w:r>
    </w:p>
    <w:p w:rsidR="009F5D7B" w:rsidRPr="00627661"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627661">
        <w:rPr>
          <w:kern w:val="22"/>
          <w:szCs w:val="22"/>
          <w:lang w:val="es-ES"/>
        </w:rPr>
        <w:lastRenderedPageBreak/>
        <w:t>16.</w:t>
      </w:r>
      <w:r w:rsidRPr="00627661">
        <w:rPr>
          <w:kern w:val="22"/>
          <w:szCs w:val="22"/>
          <w:lang w:val="es-ES"/>
        </w:rPr>
        <w:tab/>
      </w:r>
      <w:r w:rsidR="00627661" w:rsidRPr="00E92C1D">
        <w:rPr>
          <w:kern w:val="22"/>
          <w:lang w:val="es-ES"/>
        </w:rPr>
        <w:t>Con respecto a cómo contribuyó la aplicación del Protocolo de Nagoya a la conservación y la utilización sostenible de la diversidad biológica en sus países, muchas Partes consideraron que sería prematuro responder, ya que la aplicación del Protocolo de Nagoya se encuentra en una etapa inicial</w:t>
      </w:r>
      <w:r w:rsidRPr="00627661">
        <w:rPr>
          <w:kern w:val="22"/>
          <w:szCs w:val="22"/>
          <w:lang w:val="es-ES"/>
        </w:rPr>
        <w:t>.</w:t>
      </w:r>
    </w:p>
    <w:p w:rsidR="009F5D7B" w:rsidRPr="00C5131C"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9A6383">
        <w:rPr>
          <w:kern w:val="22"/>
          <w:szCs w:val="22"/>
          <w:lang w:val="es-ES"/>
        </w:rPr>
        <w:t>17.</w:t>
      </w:r>
      <w:r w:rsidRPr="009A6383">
        <w:rPr>
          <w:kern w:val="22"/>
          <w:szCs w:val="22"/>
          <w:lang w:val="es-ES"/>
        </w:rPr>
        <w:tab/>
      </w:r>
      <w:r w:rsidR="009A6383" w:rsidRPr="00E92C1D">
        <w:rPr>
          <w:kern w:val="22"/>
          <w:lang w:val="es-ES"/>
        </w:rPr>
        <w:t xml:space="preserve">La contribución que más se menciona es una mayor conciencia del valor de la conservación y la utilización sostenible de la diversidad biológica y los servicios de los ecosistemas. </w:t>
      </w:r>
      <w:r w:rsidR="009A6383" w:rsidRPr="00C5131C">
        <w:rPr>
          <w:kern w:val="22"/>
          <w:lang w:val="es-ES"/>
        </w:rPr>
        <w:t>Los países también destacan, entre otras, las siguientes contribuciones</w:t>
      </w:r>
      <w:r w:rsidRPr="00C5131C">
        <w:rPr>
          <w:kern w:val="22"/>
          <w:szCs w:val="22"/>
          <w:lang w:val="es-ES"/>
        </w:rPr>
        <w:t>:</w:t>
      </w:r>
    </w:p>
    <w:p w:rsidR="009F5D7B" w:rsidRPr="009A6383" w:rsidRDefault="009A6383" w:rsidP="000C6220">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uto"/>
        <w:ind w:firstLine="720"/>
        <w:rPr>
          <w:rFonts w:eastAsia="Calibri"/>
          <w:kern w:val="22"/>
          <w:szCs w:val="22"/>
          <w:u w:color="000000"/>
          <w:lang w:val="es-ES"/>
        </w:rPr>
      </w:pPr>
      <w:r w:rsidRPr="00C5131C">
        <w:rPr>
          <w:rFonts w:eastAsia="Calibri"/>
          <w:kern w:val="22"/>
          <w:szCs w:val="22"/>
          <w:u w:color="000000"/>
          <w:lang w:val="es-ES"/>
        </w:rPr>
        <w:t xml:space="preserve"> </w:t>
      </w:r>
      <w:r w:rsidR="009F5D7B" w:rsidRPr="009A6383">
        <w:rPr>
          <w:rFonts w:eastAsia="Calibri"/>
          <w:kern w:val="22"/>
          <w:szCs w:val="22"/>
          <w:u w:color="000000"/>
          <w:lang w:val="es-ES"/>
        </w:rPr>
        <w:t>a)</w:t>
      </w:r>
      <w:r w:rsidR="009F5D7B" w:rsidRPr="009A6383">
        <w:rPr>
          <w:rFonts w:eastAsia="Calibri"/>
          <w:kern w:val="22"/>
          <w:szCs w:val="22"/>
          <w:u w:color="000000"/>
          <w:lang w:val="es-ES"/>
        </w:rPr>
        <w:tab/>
      </w:r>
      <w:r w:rsidRPr="00E92C1D">
        <w:rPr>
          <w:kern w:val="22"/>
          <w:lang w:val="es-ES"/>
        </w:rPr>
        <w:t>Los</w:t>
      </w:r>
      <w:r w:rsidRPr="00E92C1D">
        <w:rPr>
          <w:kern w:val="22"/>
          <w:u w:color="000000"/>
          <w:lang w:val="es-ES"/>
        </w:rPr>
        <w:t xml:space="preserve"> encargados de la gestión de los recursos naturales o las autoridades son más conscientes de las ventajas potenciales del Protocolo de Nagoya y están adoptando prácticas de conservación</w:t>
      </w:r>
      <w:r w:rsidR="009F5D7B" w:rsidRPr="009A6383">
        <w:rPr>
          <w:rFonts w:eastAsia="Calibri"/>
          <w:kern w:val="22"/>
          <w:szCs w:val="22"/>
          <w:u w:color="000000"/>
          <w:lang w:val="es-ES"/>
        </w:rPr>
        <w:t>;</w:t>
      </w:r>
    </w:p>
    <w:p w:rsidR="009F5D7B" w:rsidRPr="009A6383" w:rsidRDefault="009A6383" w:rsidP="000C6220">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uto"/>
        <w:ind w:firstLine="720"/>
        <w:rPr>
          <w:rFonts w:eastAsia="Calibri"/>
          <w:kern w:val="22"/>
          <w:szCs w:val="22"/>
          <w:u w:color="000000"/>
          <w:lang w:val="es-ES"/>
        </w:rPr>
      </w:pPr>
      <w:r w:rsidRPr="009A6383">
        <w:rPr>
          <w:rFonts w:eastAsia="Calibri"/>
          <w:kern w:val="22"/>
          <w:szCs w:val="22"/>
          <w:u w:color="000000"/>
          <w:lang w:val="es-ES"/>
        </w:rPr>
        <w:t xml:space="preserve"> </w:t>
      </w:r>
      <w:r w:rsidR="009F5D7B" w:rsidRPr="009A6383">
        <w:rPr>
          <w:rFonts w:eastAsia="Calibri"/>
          <w:kern w:val="22"/>
          <w:szCs w:val="22"/>
          <w:u w:color="000000"/>
          <w:lang w:val="es-ES"/>
        </w:rPr>
        <w:t>b)</w:t>
      </w:r>
      <w:r w:rsidR="009F5D7B" w:rsidRPr="009A6383">
        <w:rPr>
          <w:rFonts w:eastAsia="Calibri"/>
          <w:kern w:val="22"/>
          <w:szCs w:val="22"/>
          <w:u w:color="000000"/>
          <w:lang w:val="es-ES"/>
        </w:rPr>
        <w:tab/>
      </w:r>
      <w:r w:rsidRPr="00E92C1D">
        <w:rPr>
          <w:kern w:val="22"/>
          <w:u w:color="000000"/>
          <w:lang w:val="es-ES"/>
        </w:rPr>
        <w:t>La aplicación del Protocolo de Nagoya ha contribuido a mejorar el conocimiento sobre las especies, incluido a través de la creación de bases de datos o inventarios y sus poblaciones, y promueve la valorización de los recursos genéticos y enfoques de conservación especiales</w:t>
      </w:r>
      <w:r w:rsidR="009F5D7B" w:rsidRPr="009A6383">
        <w:rPr>
          <w:rFonts w:eastAsia="Calibri"/>
          <w:kern w:val="22"/>
          <w:szCs w:val="22"/>
          <w:u w:color="000000"/>
          <w:lang w:val="es-ES"/>
        </w:rPr>
        <w:t>;</w:t>
      </w:r>
    </w:p>
    <w:p w:rsidR="009F5D7B" w:rsidRPr="009A6383" w:rsidRDefault="009A6383" w:rsidP="000C6220">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uto"/>
        <w:ind w:firstLine="720"/>
        <w:rPr>
          <w:rFonts w:eastAsia="Calibri"/>
          <w:kern w:val="22"/>
          <w:szCs w:val="22"/>
          <w:u w:color="000000"/>
          <w:lang w:val="es-ES"/>
        </w:rPr>
      </w:pPr>
      <w:r w:rsidRPr="009A6383">
        <w:rPr>
          <w:rFonts w:eastAsia="Calibri"/>
          <w:kern w:val="22"/>
          <w:szCs w:val="22"/>
          <w:u w:color="000000"/>
          <w:lang w:val="es-ES"/>
        </w:rPr>
        <w:t xml:space="preserve"> </w:t>
      </w:r>
      <w:r w:rsidR="009F5D7B" w:rsidRPr="009A6383">
        <w:rPr>
          <w:rFonts w:eastAsia="Calibri"/>
          <w:kern w:val="22"/>
          <w:szCs w:val="22"/>
          <w:u w:color="000000"/>
          <w:lang w:val="es-ES"/>
        </w:rPr>
        <w:t>c)</w:t>
      </w:r>
      <w:r w:rsidR="009F5D7B" w:rsidRPr="009A6383">
        <w:rPr>
          <w:rFonts w:eastAsia="Calibri"/>
          <w:kern w:val="22"/>
          <w:szCs w:val="22"/>
          <w:u w:color="000000"/>
          <w:lang w:val="es-ES"/>
        </w:rPr>
        <w:tab/>
      </w:r>
      <w:r w:rsidRPr="00E92C1D">
        <w:rPr>
          <w:kern w:val="22"/>
          <w:u w:color="000000"/>
          <w:lang w:val="es-ES"/>
        </w:rPr>
        <w:t>Una mayor participación de las comunidades en la conservación y la utilización sostenible</w:t>
      </w:r>
      <w:r w:rsidR="009F5D7B" w:rsidRPr="009A6383">
        <w:rPr>
          <w:rFonts w:eastAsia="Calibri"/>
          <w:kern w:val="22"/>
          <w:szCs w:val="22"/>
          <w:u w:color="000000"/>
          <w:lang w:val="es-ES"/>
        </w:rPr>
        <w:t>;</w:t>
      </w:r>
    </w:p>
    <w:p w:rsidR="009F5D7B" w:rsidRPr="009A6383" w:rsidRDefault="009A6383" w:rsidP="000C6220">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uto"/>
        <w:ind w:firstLine="720"/>
        <w:rPr>
          <w:rFonts w:eastAsia="Calibri"/>
          <w:kern w:val="22"/>
          <w:szCs w:val="22"/>
          <w:u w:color="000000"/>
          <w:lang w:val="es-ES"/>
        </w:rPr>
      </w:pPr>
      <w:r w:rsidRPr="009A6383">
        <w:rPr>
          <w:rFonts w:eastAsia="Calibri"/>
          <w:kern w:val="22"/>
          <w:szCs w:val="22"/>
          <w:u w:color="000000"/>
          <w:lang w:val="es-ES"/>
        </w:rPr>
        <w:t xml:space="preserve"> </w:t>
      </w:r>
      <w:r w:rsidR="009F5D7B" w:rsidRPr="009A6383">
        <w:rPr>
          <w:rFonts w:eastAsia="Calibri"/>
          <w:kern w:val="22"/>
          <w:szCs w:val="22"/>
          <w:u w:color="000000"/>
          <w:lang w:val="es-ES"/>
        </w:rPr>
        <w:t>d)</w:t>
      </w:r>
      <w:r w:rsidR="009F5D7B" w:rsidRPr="009A6383">
        <w:rPr>
          <w:rFonts w:eastAsia="Calibri"/>
          <w:kern w:val="22"/>
          <w:szCs w:val="22"/>
          <w:u w:color="000000"/>
          <w:lang w:val="es-ES"/>
        </w:rPr>
        <w:tab/>
      </w:r>
      <w:r w:rsidRPr="00E92C1D">
        <w:rPr>
          <w:kern w:val="22"/>
          <w:u w:color="000000"/>
          <w:lang w:val="es-ES"/>
        </w:rPr>
        <w:t>Un mayor cumplimiento por los usuarios de recursos genéticos</w:t>
      </w:r>
      <w:r w:rsidR="009F5D7B" w:rsidRPr="009A6383">
        <w:rPr>
          <w:rFonts w:eastAsia="Calibri"/>
          <w:kern w:val="22"/>
          <w:szCs w:val="22"/>
          <w:u w:color="000000"/>
          <w:lang w:val="es-ES"/>
        </w:rPr>
        <w:t>;</w:t>
      </w:r>
    </w:p>
    <w:p w:rsidR="009F5D7B" w:rsidRPr="009A6383" w:rsidRDefault="009A6383" w:rsidP="000C6220">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uto"/>
        <w:ind w:firstLine="720"/>
        <w:rPr>
          <w:rFonts w:eastAsia="Calibri"/>
          <w:kern w:val="22"/>
          <w:szCs w:val="22"/>
          <w:u w:color="000000"/>
          <w:lang w:val="es-ES"/>
        </w:rPr>
      </w:pPr>
      <w:r w:rsidRPr="009A6383">
        <w:rPr>
          <w:rFonts w:eastAsia="Calibri"/>
          <w:kern w:val="22"/>
          <w:szCs w:val="22"/>
          <w:u w:color="000000"/>
          <w:lang w:val="es-ES"/>
        </w:rPr>
        <w:t xml:space="preserve"> </w:t>
      </w:r>
      <w:r w:rsidR="009F5D7B" w:rsidRPr="009A6383">
        <w:rPr>
          <w:rFonts w:eastAsia="Calibri"/>
          <w:kern w:val="22"/>
          <w:szCs w:val="22"/>
          <w:u w:color="000000"/>
          <w:lang w:val="es-ES"/>
        </w:rPr>
        <w:t>e)</w:t>
      </w:r>
      <w:r w:rsidR="009F5D7B" w:rsidRPr="009A6383">
        <w:rPr>
          <w:rFonts w:eastAsia="Calibri"/>
          <w:kern w:val="22"/>
          <w:szCs w:val="22"/>
          <w:u w:color="000000"/>
          <w:lang w:val="es-ES"/>
        </w:rPr>
        <w:tab/>
      </w:r>
      <w:r w:rsidRPr="00E92C1D">
        <w:rPr>
          <w:kern w:val="22"/>
          <w:u w:color="000000"/>
          <w:lang w:val="es-ES"/>
        </w:rPr>
        <w:t>El reconocimiento de la investigación y el desarrollo como factores clave para la valorización de los recursos genéticos del país</w:t>
      </w:r>
      <w:r w:rsidR="009F5D7B" w:rsidRPr="009A6383">
        <w:rPr>
          <w:rFonts w:eastAsia="Calibri"/>
          <w:kern w:val="22"/>
          <w:szCs w:val="22"/>
          <w:u w:color="000000"/>
          <w:lang w:val="es-ES"/>
        </w:rPr>
        <w:t>;</w:t>
      </w:r>
    </w:p>
    <w:p w:rsidR="009F5D7B" w:rsidRPr="009A6383" w:rsidRDefault="009A6383" w:rsidP="000C6220">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uto"/>
        <w:ind w:firstLine="720"/>
        <w:rPr>
          <w:rFonts w:eastAsia="Calibri"/>
          <w:kern w:val="22"/>
          <w:szCs w:val="22"/>
          <w:u w:color="000000"/>
          <w:lang w:val="es-ES"/>
        </w:rPr>
      </w:pPr>
      <w:r w:rsidRPr="009A6383">
        <w:rPr>
          <w:rFonts w:eastAsia="Calibri"/>
          <w:kern w:val="22"/>
          <w:szCs w:val="22"/>
          <w:u w:color="000000"/>
          <w:lang w:val="es-ES"/>
        </w:rPr>
        <w:t xml:space="preserve"> </w:t>
      </w:r>
      <w:r w:rsidR="009F5D7B" w:rsidRPr="009A6383">
        <w:rPr>
          <w:rFonts w:eastAsia="Calibri"/>
          <w:kern w:val="22"/>
          <w:szCs w:val="22"/>
          <w:u w:color="000000"/>
          <w:lang w:val="es-ES"/>
        </w:rPr>
        <w:t>f)</w:t>
      </w:r>
      <w:r w:rsidR="009F5D7B" w:rsidRPr="009A6383">
        <w:rPr>
          <w:rFonts w:eastAsia="Calibri"/>
          <w:kern w:val="22"/>
          <w:szCs w:val="22"/>
          <w:u w:color="000000"/>
          <w:lang w:val="es-ES"/>
        </w:rPr>
        <w:tab/>
      </w:r>
      <w:r w:rsidRPr="001C6255">
        <w:rPr>
          <w:kern w:val="22"/>
          <w:u w:color="000000"/>
          <w:lang w:val="es-ES"/>
        </w:rPr>
        <w:t>La aplicación del Protocolo fue un factor decisivo para que se tuvieran en cuenta elementos de conservación y utilización de la diversidad biológica en la agenda gubernamental de desarrollo, incluida la Agenda 2030</w:t>
      </w:r>
      <w:r w:rsidR="009F5D7B" w:rsidRPr="009A6383">
        <w:rPr>
          <w:rFonts w:eastAsia="Calibri"/>
          <w:kern w:val="22"/>
          <w:szCs w:val="22"/>
          <w:u w:color="000000"/>
          <w:lang w:val="es-ES"/>
        </w:rPr>
        <w:t>.</w:t>
      </w:r>
    </w:p>
    <w:p w:rsidR="009F5D7B" w:rsidRPr="009A6383" w:rsidRDefault="009F5D7B" w:rsidP="000C6220">
      <w:pPr>
        <w:keepNext/>
        <w:suppressLineNumbers/>
        <w:suppressAutoHyphens/>
        <w:kinsoku w:val="0"/>
        <w:overflowPunct w:val="0"/>
        <w:autoSpaceDE w:val="0"/>
        <w:autoSpaceDN w:val="0"/>
        <w:adjustRightInd w:val="0"/>
        <w:snapToGrid w:val="0"/>
        <w:spacing w:line="240" w:lineRule="auto"/>
        <w:jc w:val="left"/>
        <w:rPr>
          <w:rFonts w:eastAsia="Calibri"/>
          <w:b/>
          <w:color w:val="000000"/>
          <w:kern w:val="22"/>
          <w:szCs w:val="22"/>
          <w:u w:color="000000"/>
          <w:lang w:val="es-ES"/>
        </w:rPr>
      </w:pPr>
      <w:r w:rsidRPr="009A6383">
        <w:rPr>
          <w:rFonts w:eastAsia="Calibri"/>
          <w:b/>
          <w:color w:val="000000"/>
          <w:kern w:val="22"/>
          <w:szCs w:val="22"/>
          <w:u w:color="000000"/>
          <w:lang w:val="es-ES"/>
        </w:rPr>
        <w:t>Element</w:t>
      </w:r>
      <w:r w:rsidR="009A6383" w:rsidRPr="009A6383">
        <w:rPr>
          <w:rFonts w:eastAsia="Calibri"/>
          <w:b/>
          <w:color w:val="000000"/>
          <w:kern w:val="22"/>
          <w:szCs w:val="22"/>
          <w:u w:color="000000"/>
          <w:lang w:val="es-ES"/>
        </w:rPr>
        <w:t>o</w:t>
      </w:r>
      <w:r w:rsidRPr="009A6383">
        <w:rPr>
          <w:rFonts w:eastAsia="Calibri"/>
          <w:b/>
          <w:color w:val="000000"/>
          <w:kern w:val="22"/>
          <w:szCs w:val="22"/>
          <w:u w:color="000000"/>
          <w:lang w:val="es-ES"/>
        </w:rPr>
        <w:t xml:space="preserve"> c): Establ</w:t>
      </w:r>
      <w:r w:rsidR="009A6383" w:rsidRPr="009A6383">
        <w:rPr>
          <w:rFonts w:eastAsia="Calibri"/>
          <w:b/>
          <w:color w:val="000000"/>
          <w:kern w:val="22"/>
          <w:szCs w:val="22"/>
          <w:u w:color="000000"/>
          <w:lang w:val="es-ES"/>
        </w:rPr>
        <w:t xml:space="preserve">ecimiento de un punto de referencia </w:t>
      </w:r>
      <w:r w:rsidR="009A6383">
        <w:rPr>
          <w:rFonts w:eastAsia="Calibri"/>
          <w:b/>
          <w:color w:val="000000"/>
          <w:kern w:val="22"/>
          <w:szCs w:val="22"/>
          <w:u w:color="000000"/>
          <w:lang w:val="es-ES"/>
        </w:rPr>
        <w:t>sobre apoyo disponible para la aplicación</w:t>
      </w:r>
    </w:p>
    <w:p w:rsidR="009F5D7B" w:rsidRPr="009A6383"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9A6383">
        <w:rPr>
          <w:kern w:val="22"/>
          <w:szCs w:val="22"/>
          <w:lang w:val="es-ES"/>
        </w:rPr>
        <w:t>18.</w:t>
      </w:r>
      <w:r w:rsidRPr="009A6383">
        <w:rPr>
          <w:kern w:val="22"/>
          <w:szCs w:val="22"/>
          <w:lang w:val="es-ES"/>
        </w:rPr>
        <w:tab/>
      </w:r>
      <w:r w:rsidR="009A6383" w:rsidRPr="00E92C1D">
        <w:rPr>
          <w:kern w:val="22"/>
          <w:lang w:val="es-ES"/>
        </w:rPr>
        <w:t>Si bien actualmente hay varias iniciativas de desarrollo y creación de capacidad que apoyan la ratificación y aplicación del Protocolo de Nagoya, muchas Partes carecen aún de la capacidad y los recursos financieros necesarios para poner en práctica el Protocolo. Por lo tanto, el apoyo al desarrollo y la creación de capacidad siguen siendo fundamentales para avanzar en la aplicación del Protocolo, en particular para las Partes que son países en desarrollo y las Partes con economías en transición</w:t>
      </w:r>
      <w:r w:rsidRPr="009A6383">
        <w:rPr>
          <w:kern w:val="22"/>
          <w:szCs w:val="22"/>
          <w:lang w:val="es-ES"/>
        </w:rPr>
        <w:t>.</w:t>
      </w:r>
    </w:p>
    <w:p w:rsidR="009F5D7B" w:rsidRPr="009A6383"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9A6383">
        <w:rPr>
          <w:kern w:val="22"/>
          <w:szCs w:val="22"/>
          <w:lang w:val="es-ES"/>
        </w:rPr>
        <w:t>19.</w:t>
      </w:r>
      <w:r w:rsidRPr="009A6383">
        <w:rPr>
          <w:kern w:val="22"/>
          <w:szCs w:val="22"/>
          <w:lang w:val="es-ES"/>
        </w:rPr>
        <w:tab/>
      </w:r>
      <w:r w:rsidR="009A6383" w:rsidRPr="00E92C1D">
        <w:rPr>
          <w:kern w:val="22"/>
          <w:lang w:val="es-ES"/>
        </w:rPr>
        <w:t>Tanto el cúmulo de información y experiencias disponible en los informes nacionales y en el Centro de Intercambio de Información sobre APB como el intercambio de experiencias pueden servirles a las Partes para el establecimiento de estructuras institucionales y la elaboración de medidas de APB. Esta información también podría tenerse en cuenta en proyectos de creación de capacidad. Asimismo, podría alentarse el uso de herramientas y recursos existentes (p. ej., directrices, material de creación de capacidad) para apoyar la aplicación</w:t>
      </w:r>
      <w:r w:rsidRPr="009A6383">
        <w:rPr>
          <w:kern w:val="22"/>
          <w:szCs w:val="22"/>
          <w:lang w:val="es-ES"/>
        </w:rPr>
        <w:t>.</w:t>
      </w:r>
    </w:p>
    <w:p w:rsidR="009F5D7B" w:rsidRPr="009A6383" w:rsidRDefault="009F5D7B" w:rsidP="000C6220">
      <w:pPr>
        <w:keepNext/>
        <w:suppressLineNumbers/>
        <w:suppressAutoHyphens/>
        <w:kinsoku w:val="0"/>
        <w:overflowPunct w:val="0"/>
        <w:autoSpaceDE w:val="0"/>
        <w:autoSpaceDN w:val="0"/>
        <w:adjustRightInd w:val="0"/>
        <w:snapToGrid w:val="0"/>
        <w:spacing w:line="240" w:lineRule="auto"/>
        <w:jc w:val="left"/>
        <w:rPr>
          <w:rFonts w:eastAsia="Calibri"/>
          <w:b/>
          <w:color w:val="000000"/>
          <w:kern w:val="22"/>
          <w:szCs w:val="22"/>
          <w:u w:color="000000"/>
          <w:lang w:val="es-ES"/>
        </w:rPr>
      </w:pPr>
      <w:r w:rsidRPr="009A6383">
        <w:rPr>
          <w:rFonts w:eastAsia="Calibri"/>
          <w:b/>
          <w:color w:val="000000"/>
          <w:kern w:val="22"/>
          <w:szCs w:val="22"/>
          <w:u w:color="000000"/>
          <w:lang w:val="es-ES"/>
        </w:rPr>
        <w:t>Element</w:t>
      </w:r>
      <w:r w:rsidR="009A6383" w:rsidRPr="009A6383">
        <w:rPr>
          <w:rFonts w:eastAsia="Calibri"/>
          <w:b/>
          <w:color w:val="000000"/>
          <w:kern w:val="22"/>
          <w:szCs w:val="22"/>
          <w:u w:color="000000"/>
          <w:lang w:val="es-ES"/>
        </w:rPr>
        <w:t>o</w:t>
      </w:r>
      <w:r w:rsidRPr="009A6383">
        <w:rPr>
          <w:rFonts w:eastAsia="Calibri"/>
          <w:b/>
          <w:color w:val="000000"/>
          <w:kern w:val="22"/>
          <w:szCs w:val="22"/>
          <w:u w:color="000000"/>
          <w:lang w:val="es-ES"/>
        </w:rPr>
        <w:t xml:space="preserve"> </w:t>
      </w:r>
      <w:r w:rsidR="009A6383" w:rsidRPr="009A6383">
        <w:rPr>
          <w:rFonts w:eastAsia="Calibri"/>
          <w:b/>
          <w:color w:val="000000"/>
          <w:kern w:val="22"/>
          <w:szCs w:val="22"/>
          <w:u w:color="000000"/>
          <w:lang w:val="es-ES"/>
        </w:rPr>
        <w:t>d): Evaluación de la eficacia del artículo</w:t>
      </w:r>
      <w:r w:rsidRPr="009A6383">
        <w:rPr>
          <w:rFonts w:eastAsia="Calibri"/>
          <w:b/>
          <w:color w:val="000000"/>
          <w:kern w:val="22"/>
          <w:szCs w:val="22"/>
          <w:u w:color="000000"/>
          <w:lang w:val="es-ES"/>
        </w:rPr>
        <w:t xml:space="preserve"> 18 (</w:t>
      </w:r>
      <w:r w:rsidR="009A6383">
        <w:rPr>
          <w:rFonts w:eastAsia="Calibri"/>
          <w:b/>
          <w:color w:val="000000"/>
          <w:kern w:val="22"/>
          <w:szCs w:val="22"/>
          <w:u w:color="000000"/>
          <w:lang w:val="es-ES"/>
        </w:rPr>
        <w:t>grado de aplicación</w:t>
      </w:r>
      <w:r w:rsidRPr="009A6383">
        <w:rPr>
          <w:rFonts w:eastAsia="Calibri"/>
          <w:b/>
          <w:color w:val="000000"/>
          <w:kern w:val="22"/>
          <w:szCs w:val="22"/>
          <w:u w:color="000000"/>
          <w:lang w:val="es-ES"/>
        </w:rPr>
        <w:t>)</w:t>
      </w:r>
    </w:p>
    <w:p w:rsidR="009F5D7B" w:rsidRPr="009A6383"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9A6383">
        <w:rPr>
          <w:kern w:val="22"/>
          <w:szCs w:val="22"/>
          <w:lang w:val="es-ES"/>
        </w:rPr>
        <w:t>20.</w:t>
      </w:r>
      <w:r w:rsidRPr="009A6383">
        <w:rPr>
          <w:kern w:val="22"/>
          <w:szCs w:val="22"/>
          <w:lang w:val="es-ES"/>
        </w:rPr>
        <w:tab/>
      </w:r>
      <w:r w:rsidR="009A6383" w:rsidRPr="00E92C1D">
        <w:rPr>
          <w:kern w:val="22"/>
          <w:lang w:val="es-ES"/>
        </w:rPr>
        <w:t>Las disposiciones del artículo 18 sobre cumplimiento de las condiciones mutuamente acordadas se suelen aplicar a nivel nacional a través de legislación ya existente (p. ej., derecho contractual, derecho internacional privado, medidas nacionales sobre acceso a la justicia) y no mediante medidas específicas de APB</w:t>
      </w:r>
      <w:r w:rsidRPr="009A6383">
        <w:rPr>
          <w:kern w:val="22"/>
          <w:szCs w:val="22"/>
          <w:lang w:val="es-ES"/>
        </w:rPr>
        <w:t>.</w:t>
      </w:r>
    </w:p>
    <w:p w:rsidR="009F5D7B" w:rsidRPr="009A6383"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9A6383">
        <w:rPr>
          <w:kern w:val="22"/>
          <w:szCs w:val="22"/>
          <w:lang w:val="es-ES"/>
        </w:rPr>
        <w:t>21.</w:t>
      </w:r>
      <w:r w:rsidRPr="009A6383">
        <w:rPr>
          <w:kern w:val="22"/>
          <w:szCs w:val="22"/>
          <w:lang w:val="es-ES"/>
        </w:rPr>
        <w:tab/>
      </w:r>
      <w:r w:rsidR="009A6383" w:rsidRPr="00E92C1D">
        <w:rPr>
          <w:kern w:val="22"/>
          <w:lang w:val="es-ES"/>
        </w:rPr>
        <w:t xml:space="preserve">Cuando una de las partes de un contrato reside en otro país, la relación contractual se rige por el derecho internacional privado. En el derecho internacional privado se determina, en primer lugar, qué jurisdicción se aplica en una controversia; en segundo lugar, qué derecho se aplica a la controversia; y, en tercer lugar, si los fallos o </w:t>
      </w:r>
      <w:r w:rsidR="009A6383">
        <w:rPr>
          <w:kern w:val="22"/>
          <w:lang w:val="es-ES"/>
        </w:rPr>
        <w:t xml:space="preserve">las </w:t>
      </w:r>
      <w:r w:rsidR="009A6383" w:rsidRPr="00E92C1D">
        <w:rPr>
          <w:kern w:val="22"/>
          <w:lang w:val="es-ES"/>
        </w:rPr>
        <w:t>sentencias que se dictan en la controversia se reconocen y pueden imponerse en otras jurisdicciones. Cada Estado tiene sus propias normas nacionales para estas cuestiones, pero algunas de ellas pueden haberse armonizado a través de leyes modelo, directrices y acuerdos internacionales</w:t>
      </w:r>
      <w:r w:rsidRPr="009A6383">
        <w:rPr>
          <w:kern w:val="22"/>
          <w:szCs w:val="22"/>
          <w:lang w:val="es-ES"/>
        </w:rPr>
        <w:t>.</w:t>
      </w:r>
    </w:p>
    <w:p w:rsidR="009F5D7B" w:rsidRPr="009A6383"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9A6383">
        <w:rPr>
          <w:kern w:val="22"/>
          <w:szCs w:val="22"/>
          <w:lang w:val="es-ES"/>
        </w:rPr>
        <w:t>22.</w:t>
      </w:r>
      <w:r w:rsidRPr="009A6383">
        <w:rPr>
          <w:kern w:val="22"/>
          <w:szCs w:val="22"/>
          <w:lang w:val="es-ES"/>
        </w:rPr>
        <w:tab/>
      </w:r>
      <w:r w:rsidR="009A6383" w:rsidRPr="00E92C1D">
        <w:rPr>
          <w:kern w:val="22"/>
          <w:lang w:val="es-ES"/>
        </w:rPr>
        <w:t>Los países que estén elaborando medidas de APB o aplicando el Protocolo pueden no estar al tanto de toda la legislación vigente en materia de derecho contractual, derecho internacional privado y medidas nacionales relacionadas con el acceso a la justicia. Un mecanismo que apoye la coordinación nacional podría ayudar a aprovechar el conocimiento y la experiencia de otras instituciones que se ocupan de estas cuestiones</w:t>
      </w:r>
      <w:r w:rsidRPr="009A6383">
        <w:rPr>
          <w:kern w:val="22"/>
          <w:szCs w:val="22"/>
          <w:lang w:val="es-ES"/>
        </w:rPr>
        <w:t>.</w:t>
      </w:r>
    </w:p>
    <w:p w:rsidR="009F5D7B" w:rsidRPr="009A6383"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9A6383">
        <w:rPr>
          <w:kern w:val="22"/>
          <w:szCs w:val="22"/>
          <w:lang w:val="es-ES"/>
        </w:rPr>
        <w:t>23.</w:t>
      </w:r>
      <w:r w:rsidRPr="009A6383">
        <w:rPr>
          <w:kern w:val="22"/>
          <w:szCs w:val="22"/>
          <w:lang w:val="es-ES"/>
        </w:rPr>
        <w:tab/>
      </w:r>
      <w:r w:rsidR="009A6383" w:rsidRPr="00E92C1D">
        <w:rPr>
          <w:kern w:val="22"/>
          <w:lang w:val="es-ES"/>
        </w:rPr>
        <w:t>La información brindada en el informe nacional provisional y el intercambio de experiencias podrían servirles a las Partes para entender cómo se puede apoyar la aplicación del artículo 18</w:t>
      </w:r>
      <w:r w:rsidRPr="009A6383">
        <w:rPr>
          <w:kern w:val="22"/>
          <w:szCs w:val="22"/>
          <w:lang w:val="es-ES"/>
        </w:rPr>
        <w:t>.</w:t>
      </w:r>
    </w:p>
    <w:p w:rsidR="009F5D7B" w:rsidRPr="009A6383" w:rsidRDefault="009F5D7B" w:rsidP="000C6220">
      <w:pPr>
        <w:keepNext/>
        <w:suppressLineNumbers/>
        <w:suppressAutoHyphens/>
        <w:kinsoku w:val="0"/>
        <w:overflowPunct w:val="0"/>
        <w:autoSpaceDE w:val="0"/>
        <w:autoSpaceDN w:val="0"/>
        <w:adjustRightInd w:val="0"/>
        <w:snapToGrid w:val="0"/>
        <w:spacing w:line="240" w:lineRule="auto"/>
        <w:ind w:left="1267" w:hanging="1267"/>
        <w:rPr>
          <w:rFonts w:eastAsia="Calibri"/>
          <w:b/>
          <w:color w:val="000000"/>
          <w:kern w:val="22"/>
          <w:szCs w:val="22"/>
          <w:u w:color="000000"/>
          <w:lang w:val="es-ES"/>
        </w:rPr>
      </w:pPr>
      <w:r w:rsidRPr="009A6383">
        <w:rPr>
          <w:rFonts w:eastAsia="Calibri"/>
          <w:b/>
          <w:color w:val="000000"/>
          <w:kern w:val="22"/>
          <w:szCs w:val="22"/>
          <w:u w:color="000000"/>
          <w:lang w:val="es-ES"/>
        </w:rPr>
        <w:lastRenderedPageBreak/>
        <w:t>Element</w:t>
      </w:r>
      <w:r w:rsidR="009A6383" w:rsidRPr="009A6383">
        <w:rPr>
          <w:rFonts w:eastAsia="Calibri"/>
          <w:b/>
          <w:color w:val="000000"/>
          <w:kern w:val="22"/>
          <w:szCs w:val="22"/>
          <w:u w:color="000000"/>
          <w:lang w:val="es-ES"/>
        </w:rPr>
        <w:t>o</w:t>
      </w:r>
      <w:r w:rsidRPr="009A6383">
        <w:rPr>
          <w:rFonts w:eastAsia="Calibri"/>
          <w:b/>
          <w:color w:val="000000"/>
          <w:kern w:val="22"/>
          <w:szCs w:val="22"/>
          <w:u w:color="000000"/>
          <w:lang w:val="es-ES"/>
        </w:rPr>
        <w:t xml:space="preserve"> e):</w:t>
      </w:r>
      <w:r w:rsidRPr="009A6383">
        <w:rPr>
          <w:rFonts w:eastAsia="Calibri"/>
          <w:b/>
          <w:color w:val="000000"/>
          <w:kern w:val="22"/>
          <w:szCs w:val="22"/>
          <w:u w:color="000000"/>
          <w:lang w:val="es-ES"/>
        </w:rPr>
        <w:tab/>
      </w:r>
      <w:r w:rsidR="009A6383" w:rsidRPr="009A6383">
        <w:rPr>
          <w:rFonts w:eastAsia="Calibri"/>
          <w:b/>
          <w:kern w:val="22"/>
          <w:szCs w:val="22"/>
          <w:lang w:val="es-ES"/>
        </w:rPr>
        <w:t xml:space="preserve">Evaluación </w:t>
      </w:r>
      <w:r w:rsidR="009A6383" w:rsidRPr="00E92C1D">
        <w:rPr>
          <w:b/>
          <w:bCs/>
          <w:kern w:val="22"/>
          <w:lang w:val="es-ES"/>
        </w:rPr>
        <w:t>de la aplicación del artículo 16 a la luz de los avances en otras organizaciones internacionales pertinentes, incluida la Organización Mundial de la Propiedad Intelectual (OMPI</w:t>
      </w:r>
      <w:r w:rsidR="009A6383">
        <w:rPr>
          <w:b/>
          <w:bCs/>
          <w:kern w:val="22"/>
          <w:lang w:val="es-ES"/>
        </w:rPr>
        <w:t>)</w:t>
      </w:r>
    </w:p>
    <w:p w:rsidR="009F5D7B" w:rsidRPr="00AA3C1C"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AA3C1C">
        <w:rPr>
          <w:kern w:val="22"/>
          <w:szCs w:val="22"/>
          <w:lang w:val="es-ES"/>
        </w:rPr>
        <w:t>24.</w:t>
      </w:r>
      <w:r w:rsidRPr="00AA3C1C">
        <w:rPr>
          <w:kern w:val="22"/>
          <w:szCs w:val="22"/>
          <w:lang w:val="es-ES"/>
        </w:rPr>
        <w:tab/>
      </w:r>
      <w:r w:rsidR="00AA3C1C" w:rsidRPr="00E92C1D">
        <w:rPr>
          <w:spacing w:val="-1"/>
          <w:kern w:val="22"/>
          <w:lang w:val="es-ES"/>
        </w:rPr>
        <w:t>Muchas Partes aún están en la etapa de adopción de medidas de APB y arreglos institucionales para aplicar el Protocolo. La aplicación de las disposiciones sobre cumplimiento y las obligaciones relacionadas con los pueblos indígenas y las comunidades locales plantea un desafío particular para las Partes</w:t>
      </w:r>
      <w:r w:rsidRPr="00AA3C1C">
        <w:rPr>
          <w:kern w:val="22"/>
          <w:szCs w:val="22"/>
          <w:lang w:val="es-ES"/>
        </w:rPr>
        <w:t>.</w:t>
      </w:r>
    </w:p>
    <w:p w:rsidR="009F5D7B" w:rsidRPr="00AA3C1C" w:rsidRDefault="009F5D7B" w:rsidP="000C6220">
      <w:pPr>
        <w:suppressLineNumbers/>
        <w:suppressAutoHyphens/>
        <w:kinsoku w:val="0"/>
        <w:overflowPunct w:val="0"/>
        <w:autoSpaceDE w:val="0"/>
        <w:autoSpaceDN w:val="0"/>
        <w:adjustRightInd w:val="0"/>
        <w:snapToGrid w:val="0"/>
        <w:spacing w:line="240" w:lineRule="auto"/>
        <w:rPr>
          <w:kern w:val="22"/>
          <w:szCs w:val="22"/>
          <w:lang w:val="es-ES"/>
        </w:rPr>
      </w:pPr>
      <w:r w:rsidRPr="00AA3C1C">
        <w:rPr>
          <w:kern w:val="22"/>
          <w:szCs w:val="22"/>
          <w:lang w:val="es-ES"/>
        </w:rPr>
        <w:t>25.</w:t>
      </w:r>
      <w:r w:rsidRPr="00AA3C1C">
        <w:rPr>
          <w:kern w:val="22"/>
          <w:szCs w:val="22"/>
          <w:lang w:val="es-ES"/>
        </w:rPr>
        <w:tab/>
      </w:r>
      <w:r w:rsidR="00AA3C1C" w:rsidRPr="00E92C1D">
        <w:rPr>
          <w:kern w:val="22"/>
          <w:lang w:val="es-ES"/>
        </w:rPr>
        <w:t xml:space="preserve">Como todavía se está trabajando en la elaboración de uno o más instrumentos jurídicos relacionados con la propiedad intelectual con miras a asegurar una protección equilibrada y eficaz de los recursos genéticos, los conocimientos tradicionales y las expresiones culturales tradicionales en el marco de la </w:t>
      </w:r>
      <w:r w:rsidR="00AA3C1C">
        <w:rPr>
          <w:kern w:val="22"/>
          <w:lang w:val="es-ES"/>
        </w:rPr>
        <w:t>Organización Mundial de la Propiedad Intelectual (</w:t>
      </w:r>
      <w:r w:rsidR="00AA3C1C" w:rsidRPr="00E92C1D">
        <w:rPr>
          <w:kern w:val="22"/>
          <w:lang w:val="es-ES"/>
        </w:rPr>
        <w:t>OMPI</w:t>
      </w:r>
      <w:r w:rsidR="00AA3C1C">
        <w:rPr>
          <w:kern w:val="22"/>
          <w:lang w:val="es-ES"/>
        </w:rPr>
        <w:t>)</w:t>
      </w:r>
      <w:r w:rsidR="00AA3C1C" w:rsidRPr="00E92C1D">
        <w:rPr>
          <w:kern w:val="22"/>
          <w:lang w:val="es-ES"/>
        </w:rPr>
        <w:t>, sería prematuro evaluar cómo podrían contribuir a la aplicación del Protocolo los resultados de ese proceso</w:t>
      </w:r>
      <w:r w:rsidRPr="00AA3C1C">
        <w:rPr>
          <w:kern w:val="22"/>
          <w:szCs w:val="22"/>
          <w:lang w:val="es-ES"/>
        </w:rPr>
        <w:t>.</w:t>
      </w:r>
    </w:p>
    <w:p w:rsidR="009F5D7B" w:rsidRPr="00AA3C1C"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AA3C1C">
        <w:rPr>
          <w:kern w:val="22"/>
          <w:szCs w:val="22"/>
          <w:lang w:val="es-ES"/>
        </w:rPr>
        <w:t>26.</w:t>
      </w:r>
      <w:r w:rsidRPr="00AA3C1C">
        <w:rPr>
          <w:kern w:val="22"/>
          <w:szCs w:val="22"/>
          <w:lang w:val="es-ES"/>
        </w:rPr>
        <w:tab/>
      </w:r>
      <w:r w:rsidR="00AA3C1C" w:rsidRPr="00E92C1D">
        <w:rPr>
          <w:kern w:val="22"/>
          <w:lang w:val="es-ES"/>
        </w:rPr>
        <w:t xml:space="preserve">No obstante, existe una serie de herramientas y recursos que las Partes podrían utilizar para avanzar en la aplicación del artículo 16 del Protocolo de Nagoya, incluidos los elaborados por la OMPI y las </w:t>
      </w:r>
      <w:r w:rsidR="00AA3C1C">
        <w:rPr>
          <w:kern w:val="22"/>
          <w:lang w:val="es-ES"/>
        </w:rPr>
        <w:t>Directrices V</w:t>
      </w:r>
      <w:r w:rsidR="00AA3C1C" w:rsidRPr="00E92C1D">
        <w:rPr>
          <w:kern w:val="22"/>
          <w:lang w:val="es-ES"/>
        </w:rPr>
        <w:t>oluntarias Mo’otz Kuxtal del CDB</w:t>
      </w:r>
      <w:r w:rsidRPr="00EE0850">
        <w:rPr>
          <w:kern w:val="22"/>
          <w:szCs w:val="22"/>
          <w:vertAlign w:val="superscript"/>
        </w:rPr>
        <w:footnoteReference w:id="6"/>
      </w:r>
      <w:r w:rsidR="00AA3C1C" w:rsidRPr="00AA3C1C">
        <w:rPr>
          <w:kern w:val="22"/>
          <w:szCs w:val="22"/>
          <w:lang w:val="es-ES"/>
        </w:rPr>
        <w:t>.</w:t>
      </w:r>
    </w:p>
    <w:p w:rsidR="009F5D7B" w:rsidRPr="00E124F3" w:rsidRDefault="009F5D7B" w:rsidP="000C6220">
      <w:pPr>
        <w:keepNext/>
        <w:suppressLineNumbers/>
        <w:suppressAutoHyphens/>
        <w:kinsoku w:val="0"/>
        <w:overflowPunct w:val="0"/>
        <w:autoSpaceDE w:val="0"/>
        <w:autoSpaceDN w:val="0"/>
        <w:adjustRightInd w:val="0"/>
        <w:snapToGrid w:val="0"/>
        <w:spacing w:line="240" w:lineRule="auto"/>
        <w:ind w:left="1267" w:hanging="1267"/>
        <w:rPr>
          <w:rFonts w:eastAsia="Calibri"/>
          <w:b/>
          <w:color w:val="000000"/>
          <w:kern w:val="22"/>
          <w:szCs w:val="22"/>
          <w:u w:color="000000"/>
          <w:lang w:val="es-ES"/>
        </w:rPr>
      </w:pPr>
      <w:r w:rsidRPr="00E124F3">
        <w:rPr>
          <w:rFonts w:eastAsia="Calibri"/>
          <w:b/>
          <w:color w:val="000000"/>
          <w:kern w:val="22"/>
          <w:szCs w:val="22"/>
          <w:u w:color="000000"/>
          <w:lang w:val="es-ES"/>
        </w:rPr>
        <w:t>Element</w:t>
      </w:r>
      <w:r w:rsidR="00AA3C1C" w:rsidRPr="00E124F3">
        <w:rPr>
          <w:rFonts w:eastAsia="Calibri"/>
          <w:b/>
          <w:color w:val="000000"/>
          <w:kern w:val="22"/>
          <w:szCs w:val="22"/>
          <w:u w:color="000000"/>
          <w:lang w:val="es-ES"/>
        </w:rPr>
        <w:t>o</w:t>
      </w:r>
      <w:r w:rsidRPr="00E124F3">
        <w:rPr>
          <w:rFonts w:eastAsia="Calibri"/>
          <w:b/>
          <w:color w:val="000000"/>
          <w:kern w:val="22"/>
          <w:szCs w:val="22"/>
          <w:u w:color="000000"/>
          <w:lang w:val="es-ES"/>
        </w:rPr>
        <w:t xml:space="preserve"> f):</w:t>
      </w:r>
      <w:r w:rsidRPr="00E124F3">
        <w:rPr>
          <w:rFonts w:eastAsia="Calibri"/>
          <w:b/>
          <w:color w:val="000000"/>
          <w:kern w:val="22"/>
          <w:szCs w:val="22"/>
          <w:u w:color="000000"/>
          <w:lang w:val="es-ES"/>
        </w:rPr>
        <w:tab/>
      </w:r>
      <w:r w:rsidR="00E124F3" w:rsidRPr="00E124F3">
        <w:rPr>
          <w:rFonts w:eastAsia="Calibri"/>
          <w:b/>
          <w:color w:val="000000"/>
          <w:kern w:val="22"/>
          <w:szCs w:val="22"/>
          <w:u w:color="000000"/>
          <w:lang w:val="es-ES"/>
        </w:rPr>
        <w:t xml:space="preserve">Inventario </w:t>
      </w:r>
      <w:r w:rsidR="00E124F3" w:rsidRPr="00E92C1D">
        <w:rPr>
          <w:rFonts w:ascii="Times New Roman Bold" w:hAnsi="Times New Roman Bold" w:cs="Times New Roman Bold"/>
          <w:b/>
          <w:bCs/>
          <w:color w:val="000000"/>
          <w:spacing w:val="-2"/>
          <w:kern w:val="22"/>
          <w:u w:color="000000"/>
          <w:lang w:val="es-ES"/>
        </w:rPr>
        <w:t>de la utilización de cláusulas contractuales modelo, códigos de conducta, directrices, prácticas óptimas y estándares, así como leyes consuetudinarias y protocolos y procedimientos comunitarios de pueblos indígenas y comunidades locales</w:t>
      </w:r>
    </w:p>
    <w:p w:rsidR="009F5D7B" w:rsidRPr="003F5DE3"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3F5DE3">
        <w:rPr>
          <w:kern w:val="22"/>
          <w:szCs w:val="22"/>
          <w:lang w:val="es-ES"/>
        </w:rPr>
        <w:t>27.</w:t>
      </w:r>
      <w:r w:rsidRPr="003F5DE3">
        <w:rPr>
          <w:kern w:val="22"/>
          <w:szCs w:val="22"/>
          <w:lang w:val="es-ES"/>
        </w:rPr>
        <w:tab/>
      </w:r>
      <w:r w:rsidR="003F5DE3" w:rsidRPr="00E92C1D">
        <w:rPr>
          <w:kern w:val="22"/>
          <w:lang w:val="es-ES"/>
        </w:rPr>
        <w:t>Hay una amplia gama de cláusulas contractuales modelo, directrices, prácticas óptimas y estándares elaborados tanto por Gobiernos como por organizaciones. Sin embargo, es poca la información que hay sobre cómo se están utilizando estas herramientas. No está claro cómo podría medirse el uso de las herramientas</w:t>
      </w:r>
      <w:r w:rsidRPr="003F5DE3">
        <w:rPr>
          <w:kern w:val="22"/>
          <w:szCs w:val="22"/>
          <w:lang w:val="es-ES"/>
        </w:rPr>
        <w:t>.</w:t>
      </w:r>
    </w:p>
    <w:p w:rsidR="009F5D7B" w:rsidRPr="003F5DE3"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3F5DE3">
        <w:rPr>
          <w:kern w:val="22"/>
          <w:szCs w:val="22"/>
          <w:lang w:val="es-ES"/>
        </w:rPr>
        <w:t>28.</w:t>
      </w:r>
      <w:r w:rsidRPr="003F5DE3">
        <w:rPr>
          <w:kern w:val="22"/>
          <w:szCs w:val="22"/>
          <w:lang w:val="es-ES"/>
        </w:rPr>
        <w:tab/>
      </w:r>
      <w:r w:rsidR="003F5DE3" w:rsidRPr="00E92C1D">
        <w:rPr>
          <w:kern w:val="22"/>
          <w:lang w:val="es-ES"/>
        </w:rPr>
        <w:t xml:space="preserve">Las redes y organizaciones de usuarios desempeñan una función importante de atención de las necesidades de sus miembros al desarrollar herramientas que pueden aportar claridad sobre cómo incorporar el acceso y la participación en los beneficios en sus prácticas y al ayudar a las organizaciones que las integran </w:t>
      </w:r>
      <w:r w:rsidR="003F5DE3">
        <w:rPr>
          <w:kern w:val="22"/>
          <w:lang w:val="es-ES"/>
        </w:rPr>
        <w:t>en el cumplimiento de</w:t>
      </w:r>
      <w:r w:rsidR="003F5DE3" w:rsidRPr="00E92C1D">
        <w:rPr>
          <w:kern w:val="22"/>
          <w:lang w:val="es-ES"/>
        </w:rPr>
        <w:t xml:space="preserve"> los requisitos de acceso y participación en los beneficios</w:t>
      </w:r>
      <w:r w:rsidRPr="003F5DE3">
        <w:rPr>
          <w:kern w:val="22"/>
          <w:szCs w:val="22"/>
          <w:lang w:val="es-ES"/>
        </w:rPr>
        <w:t>.</w:t>
      </w:r>
    </w:p>
    <w:p w:rsidR="009F5D7B" w:rsidRPr="003F5DE3"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3F5DE3">
        <w:rPr>
          <w:kern w:val="22"/>
          <w:szCs w:val="22"/>
          <w:lang w:val="es-ES"/>
        </w:rPr>
        <w:t>29.</w:t>
      </w:r>
      <w:r w:rsidRPr="003F5DE3">
        <w:rPr>
          <w:kern w:val="22"/>
          <w:szCs w:val="22"/>
          <w:lang w:val="es-ES"/>
        </w:rPr>
        <w:tab/>
      </w:r>
      <w:r w:rsidR="003F5DE3" w:rsidRPr="00E92C1D">
        <w:rPr>
          <w:kern w:val="22"/>
          <w:lang w:val="es-ES"/>
        </w:rPr>
        <w:t>La aplicación de las disposiciones relacionadas con los pueblos indígenas y las comunidades locales constituye uno de los principales desafíos señalados por las Partes. Los protocolos comunitarios sobre acceso y participación en los beneficios pueden contribuir a resolver algunas de las dificultades indicadas en el párrafo 10 anterior. Pueden ayudar a los pueblos indígenas y las comunidades locales que los desarrollan a expresar claramente sus valores, prácticas y aspiraciones. También pueden asistir a los Gobiernos en la aplicación de las disposiciones del Protocolo relacionadas con los pueblos indígenas y las comunidades locales y proporcionan claridad y certeza a los usuarios sobre cómo acceder a los recursos genéticos de dichos pueblos y comunidades o a los conocimientos tradicionales asociados</w:t>
      </w:r>
      <w:r w:rsidRPr="003F5DE3">
        <w:rPr>
          <w:kern w:val="22"/>
          <w:szCs w:val="22"/>
          <w:lang w:val="es-ES"/>
        </w:rPr>
        <w:t>.</w:t>
      </w:r>
    </w:p>
    <w:p w:rsidR="009F5D7B" w:rsidRPr="006718B5"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6718B5">
        <w:rPr>
          <w:kern w:val="22"/>
          <w:szCs w:val="22"/>
          <w:lang w:val="es-ES"/>
        </w:rPr>
        <w:t>30.</w:t>
      </w:r>
      <w:r w:rsidRPr="006718B5">
        <w:rPr>
          <w:kern w:val="22"/>
          <w:szCs w:val="22"/>
          <w:lang w:val="es-ES"/>
        </w:rPr>
        <w:tab/>
      </w:r>
      <w:r w:rsidR="006718B5" w:rsidRPr="00E92C1D">
        <w:rPr>
          <w:kern w:val="22"/>
          <w:lang w:val="es-ES"/>
        </w:rPr>
        <w:t>Se están elaborando y utilizando protocolos comunitarios en diversos contextos, incluido, pero no solo, en el contexto de acceso y participación en los beneficios. Algunos se refieren a cuestiones relativas a la tierra o el biocomercio e incluyen algunos elementos de APB como parte de un contexto más amplio. La incorporación de elementos de APB en protocolos comunitarios existentes que se refieren a la gestión de los recursos o la tierra o al biocomercio podría facilitar el proceso. Es fundamental apoyar a los pueblos indígenas y las comunidades locales en la elaboración de protocolos comunitarios y hacerlo de manera tal que los resultados reflejen prácticas, aspiraciones y valores comunitarios</w:t>
      </w:r>
      <w:r w:rsidRPr="006718B5">
        <w:rPr>
          <w:kern w:val="22"/>
          <w:szCs w:val="22"/>
          <w:lang w:val="es-ES"/>
        </w:rPr>
        <w:t>.</w:t>
      </w:r>
    </w:p>
    <w:p w:rsidR="009F5D7B" w:rsidRPr="006718B5" w:rsidRDefault="009F5D7B" w:rsidP="000C6220">
      <w:pPr>
        <w:keepNext/>
        <w:keepLines/>
        <w:suppressLineNumbers/>
        <w:suppressAutoHyphens/>
        <w:kinsoku w:val="0"/>
        <w:overflowPunct w:val="0"/>
        <w:autoSpaceDE w:val="0"/>
        <w:autoSpaceDN w:val="0"/>
        <w:adjustRightInd w:val="0"/>
        <w:snapToGrid w:val="0"/>
        <w:spacing w:line="240" w:lineRule="auto"/>
        <w:ind w:left="1264" w:hanging="1264"/>
        <w:rPr>
          <w:rFonts w:eastAsia="Calibri"/>
          <w:b/>
          <w:color w:val="000000"/>
          <w:kern w:val="22"/>
          <w:szCs w:val="22"/>
          <w:u w:color="000000"/>
          <w:lang w:val="es-ES"/>
        </w:rPr>
      </w:pPr>
      <w:r w:rsidRPr="006718B5">
        <w:rPr>
          <w:rFonts w:eastAsia="Calibri"/>
          <w:b/>
          <w:color w:val="000000"/>
          <w:kern w:val="22"/>
          <w:szCs w:val="22"/>
          <w:u w:color="000000"/>
          <w:lang w:val="es-ES"/>
        </w:rPr>
        <w:lastRenderedPageBreak/>
        <w:t>Element</w:t>
      </w:r>
      <w:r w:rsidR="006718B5" w:rsidRPr="006718B5">
        <w:rPr>
          <w:rFonts w:eastAsia="Calibri"/>
          <w:b/>
          <w:color w:val="000000"/>
          <w:kern w:val="22"/>
          <w:szCs w:val="22"/>
          <w:u w:color="000000"/>
          <w:lang w:val="es-ES"/>
        </w:rPr>
        <w:t>o</w:t>
      </w:r>
      <w:r w:rsidRPr="006718B5">
        <w:rPr>
          <w:rFonts w:eastAsia="Calibri"/>
          <w:b/>
          <w:color w:val="000000"/>
          <w:kern w:val="22"/>
          <w:szCs w:val="22"/>
          <w:u w:color="000000"/>
          <w:lang w:val="es-ES"/>
        </w:rPr>
        <w:t xml:space="preserve"> g):</w:t>
      </w:r>
      <w:r w:rsidRPr="006718B5">
        <w:rPr>
          <w:rFonts w:eastAsia="Calibri"/>
          <w:b/>
          <w:color w:val="000000"/>
          <w:kern w:val="22"/>
          <w:szCs w:val="22"/>
          <w:u w:color="000000"/>
          <w:lang w:val="es-ES"/>
        </w:rPr>
        <w:tab/>
        <w:t>Revi</w:t>
      </w:r>
      <w:r w:rsidR="006718B5" w:rsidRPr="006718B5">
        <w:rPr>
          <w:rFonts w:eastAsia="Calibri"/>
          <w:b/>
          <w:color w:val="000000"/>
          <w:kern w:val="22"/>
          <w:szCs w:val="22"/>
          <w:u w:color="000000"/>
          <w:lang w:val="es-ES"/>
        </w:rPr>
        <w:t xml:space="preserve">sión </w:t>
      </w:r>
      <w:r w:rsidR="006718B5" w:rsidRPr="00E92C1D">
        <w:rPr>
          <w:b/>
          <w:bCs/>
          <w:kern w:val="22"/>
          <w:u w:color="000000"/>
          <w:lang w:val="es-ES"/>
        </w:rPr>
        <w:t>de la puesta en marcha y el funcionamiento del Centro de Intercambio de Información sobre Acceso y Participación en los Beneficios, incluido el número de medidas de acceso y participación en los beneficios disponibles; el número de países que han publicado información sobre sus autoridades nacionales competentes; el número de certificados de cumplimiento reconocidos internacionalmente ingresados; y el número de comunicados de puntos de verificación publicados</w:t>
      </w:r>
    </w:p>
    <w:p w:rsidR="009F5D7B" w:rsidRPr="006718B5"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6718B5">
        <w:rPr>
          <w:kern w:val="22"/>
          <w:szCs w:val="22"/>
          <w:lang w:val="es-ES"/>
        </w:rPr>
        <w:t>31.</w:t>
      </w:r>
      <w:r w:rsidRPr="006718B5">
        <w:rPr>
          <w:kern w:val="22"/>
          <w:szCs w:val="22"/>
          <w:lang w:val="es-ES"/>
        </w:rPr>
        <w:tab/>
      </w:r>
      <w:r w:rsidR="006718B5" w:rsidRPr="00E92C1D">
        <w:rPr>
          <w:kern w:val="22"/>
          <w:lang w:val="es-ES"/>
        </w:rPr>
        <w:t>Aproximadamente la mitad de los usuarios del Centro de Intercambio de Información sobre APB son usuarios de recursos genéticos o conocimientos tradicionales asociados y la información que buscan en el Centro de Intercambio de Información sobre APB es información nacional. Los comentarios recibidos destacan la importante necesidad de proporcionar información mejorada y clara sobre los requisitos y procedimientos nacionales de APB. Dicha información debería proporcionar a los usuarios orientaciones sencillas y fáciles de entender sobre los pasos necesarios para solicitar acceso a recursos genéticos y conocimientos tradicionales asociados</w:t>
      </w:r>
      <w:r w:rsidRPr="006718B5">
        <w:rPr>
          <w:kern w:val="22"/>
          <w:szCs w:val="22"/>
          <w:lang w:val="es-ES"/>
        </w:rPr>
        <w:t>.</w:t>
      </w:r>
    </w:p>
    <w:p w:rsidR="009F5D7B" w:rsidRPr="006718B5"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6718B5">
        <w:rPr>
          <w:kern w:val="22"/>
          <w:szCs w:val="22"/>
          <w:lang w:val="es-ES"/>
        </w:rPr>
        <w:t>32.</w:t>
      </w:r>
      <w:r w:rsidRPr="006718B5">
        <w:rPr>
          <w:kern w:val="22"/>
          <w:szCs w:val="22"/>
          <w:lang w:val="es-ES"/>
        </w:rPr>
        <w:tab/>
      </w:r>
      <w:r w:rsidR="006718B5" w:rsidRPr="00E92C1D">
        <w:rPr>
          <w:kern w:val="22"/>
          <w:lang w:val="es-ES"/>
        </w:rPr>
        <w:t>Los interesados directos pertinentes, en particular el sector empresarial y la comunidad científica, podrían beneficiarse de más actividades de extensión y concienciación, tanto como usuarios de recursos genéticos como posibles contribuyentes de información pertinente (p. ej., cláusulas modelo, códigos de conducta, material de concienciación). También podría contribuirse a la puesta en marcha del Centro de Intercambio de Información sobre APB si se entendiera mejor qué necesitan estos sectores en términos de funcionalidad y diseño del Centro de Intercambio de Información sobre APB</w:t>
      </w:r>
      <w:r w:rsidRPr="006718B5">
        <w:rPr>
          <w:kern w:val="22"/>
          <w:szCs w:val="22"/>
          <w:lang w:val="es-ES"/>
        </w:rPr>
        <w:t>.</w:t>
      </w:r>
    </w:p>
    <w:p w:rsidR="009F5D7B" w:rsidRPr="006718B5"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6718B5">
        <w:rPr>
          <w:kern w:val="22"/>
          <w:szCs w:val="22"/>
          <w:lang w:val="es-ES"/>
        </w:rPr>
        <w:t>33.</w:t>
      </w:r>
      <w:r w:rsidRPr="006718B5">
        <w:rPr>
          <w:kern w:val="22"/>
          <w:szCs w:val="22"/>
          <w:lang w:val="es-ES"/>
        </w:rPr>
        <w:tab/>
      </w:r>
      <w:r w:rsidR="006718B5" w:rsidRPr="00E92C1D">
        <w:rPr>
          <w:kern w:val="22"/>
          <w:lang w:val="es-ES"/>
        </w:rPr>
        <w:t>Sigue siendo necesario contar con asistencia técnica para el uso del Centro de Intercambio de Información sobre APB. El chat en vivo es una función muy valorada por los usuarios del Centro. La creación de capacidad en el uso del Centro de Intercambio de Información sobre APB y la aplicación del Protocolo están estrechamente relacionadas. Muchas de las preguntas recibidas a través del chat en vivo y durante las actividades de creación de capacidad para el Centro de Intercambio de Información sobre APB se refieren a la aplicación del Protocolo más que a apoyo técnico para utilizar el Centro de Intercambio de Información</w:t>
      </w:r>
      <w:r w:rsidRPr="006718B5">
        <w:rPr>
          <w:kern w:val="22"/>
          <w:szCs w:val="22"/>
          <w:lang w:val="es-ES"/>
        </w:rPr>
        <w:t>.</w:t>
      </w:r>
    </w:p>
    <w:p w:rsidR="009F5D7B" w:rsidRPr="006718B5" w:rsidRDefault="009F5D7B" w:rsidP="000C6220">
      <w:pPr>
        <w:suppressLineNumbers/>
        <w:suppressAutoHyphens/>
        <w:kinsoku w:val="0"/>
        <w:overflowPunct w:val="0"/>
        <w:autoSpaceDE w:val="0"/>
        <w:autoSpaceDN w:val="0"/>
        <w:adjustRightInd w:val="0"/>
        <w:snapToGrid w:val="0"/>
        <w:spacing w:after="0" w:line="240" w:lineRule="auto"/>
        <w:rPr>
          <w:kern w:val="22"/>
          <w:szCs w:val="22"/>
          <w:lang w:val="es-ES"/>
        </w:rPr>
      </w:pPr>
    </w:p>
    <w:p w:rsidR="009F5D7B" w:rsidRPr="006718B5" w:rsidRDefault="009F5D7B" w:rsidP="000C6220">
      <w:pPr>
        <w:suppressLineNumbers/>
        <w:suppressAutoHyphens/>
        <w:kinsoku w:val="0"/>
        <w:overflowPunct w:val="0"/>
        <w:autoSpaceDE w:val="0"/>
        <w:autoSpaceDN w:val="0"/>
        <w:adjustRightInd w:val="0"/>
        <w:snapToGrid w:val="0"/>
        <w:spacing w:line="240" w:lineRule="auto"/>
        <w:jc w:val="center"/>
        <w:outlineLvl w:val="2"/>
        <w:rPr>
          <w:i/>
          <w:kern w:val="22"/>
          <w:szCs w:val="22"/>
          <w:lang w:val="es-ES"/>
        </w:rPr>
      </w:pPr>
      <w:r w:rsidRPr="006718B5">
        <w:rPr>
          <w:i/>
          <w:kern w:val="22"/>
          <w:szCs w:val="22"/>
          <w:lang w:val="es-ES"/>
        </w:rPr>
        <w:t>Anex</w:t>
      </w:r>
      <w:r w:rsidR="006718B5" w:rsidRPr="006718B5">
        <w:rPr>
          <w:i/>
          <w:kern w:val="22"/>
          <w:szCs w:val="22"/>
          <w:lang w:val="es-ES"/>
        </w:rPr>
        <w:t>o</w:t>
      </w:r>
      <w:r w:rsidRPr="006718B5">
        <w:rPr>
          <w:i/>
          <w:kern w:val="22"/>
          <w:szCs w:val="22"/>
          <w:lang w:val="es-ES"/>
        </w:rPr>
        <w:t xml:space="preserve"> II</w:t>
      </w:r>
    </w:p>
    <w:p w:rsidR="009F5D7B" w:rsidRPr="00C5131C" w:rsidRDefault="006718B5" w:rsidP="000C6220">
      <w:pPr>
        <w:keepNext/>
        <w:suppressLineNumbers/>
        <w:suppressAutoHyphens/>
        <w:kinsoku w:val="0"/>
        <w:overflowPunct w:val="0"/>
        <w:autoSpaceDE w:val="0"/>
        <w:autoSpaceDN w:val="0"/>
        <w:adjustRightInd w:val="0"/>
        <w:snapToGrid w:val="0"/>
        <w:spacing w:before="120" w:line="240" w:lineRule="auto"/>
        <w:jc w:val="center"/>
        <w:rPr>
          <w:b/>
          <w:kern w:val="22"/>
          <w:szCs w:val="22"/>
          <w:lang w:val="es-ES"/>
        </w:rPr>
      </w:pPr>
      <w:r w:rsidRPr="00E92C1D">
        <w:rPr>
          <w:b/>
          <w:bCs/>
          <w:spacing w:val="-4"/>
          <w:kern w:val="22"/>
          <w:lang w:val="es-ES"/>
        </w:rPr>
        <w:t>PROYECTO DE MARCO DE INDICADORES Y PUNTOS DE REFERENCIA PARA MEDIR LOS PROGRESOS</w:t>
      </w:r>
    </w:p>
    <w:p w:rsidR="009F5D7B" w:rsidRPr="006718B5" w:rsidRDefault="009F5D7B" w:rsidP="000C6220">
      <w:pPr>
        <w:suppressLineNumbers/>
        <w:suppressAutoHyphens/>
        <w:kinsoku w:val="0"/>
        <w:overflowPunct w:val="0"/>
        <w:autoSpaceDE w:val="0"/>
        <w:autoSpaceDN w:val="0"/>
        <w:adjustRightInd w:val="0"/>
        <w:snapToGrid w:val="0"/>
        <w:spacing w:before="120" w:line="240" w:lineRule="auto"/>
        <w:rPr>
          <w:spacing w:val="-2"/>
          <w:kern w:val="22"/>
          <w:szCs w:val="22"/>
          <w:lang w:val="es-ES"/>
        </w:rPr>
      </w:pPr>
      <w:r w:rsidRPr="006718B5">
        <w:rPr>
          <w:spacing w:val="-2"/>
          <w:kern w:val="22"/>
          <w:szCs w:val="22"/>
          <w:lang w:val="es-ES"/>
        </w:rPr>
        <w:t>1.</w:t>
      </w:r>
      <w:r w:rsidRPr="006718B5">
        <w:rPr>
          <w:spacing w:val="-2"/>
          <w:kern w:val="22"/>
          <w:szCs w:val="22"/>
          <w:lang w:val="es-ES"/>
        </w:rPr>
        <w:tab/>
      </w:r>
      <w:r w:rsidR="006718B5" w:rsidRPr="00E92C1D">
        <w:rPr>
          <w:kern w:val="22"/>
          <w:lang w:val="es-ES"/>
        </w:rPr>
        <w:t>En el siguiente cuadro se proponen indicadores para cada uno de los elementos considerados en la primera evaluación y revisión. Se incluyen puntos de referencia para la mayoría de los indicadores propuestos. Estos puntos de referencia establecen una base de referencia con respecto a la cual se podrán medir los progresos de cada indicador en el futuro. Los indicadores propuestos se basan mayoritariamente en preguntas que están en el informe nacional provisional. No obstante, hay casos en los que no se pudo extraer información concluyente de las respuestas al informe nacional provisional y, por lo tanto, para esos indicadores se sugiere un texto nuevo. En el cuadro se señala cuáles son indicadores nuevos y cuáles son revisados</w:t>
      </w:r>
      <w:r w:rsidRPr="006718B5">
        <w:rPr>
          <w:spacing w:val="-2"/>
          <w:kern w:val="22"/>
          <w:szCs w:val="22"/>
          <w:lang w:val="es-ES"/>
        </w:rPr>
        <w:t>.</w:t>
      </w:r>
    </w:p>
    <w:p w:rsidR="009F5D7B" w:rsidRPr="006718B5" w:rsidRDefault="009F5D7B"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sidRPr="006718B5">
        <w:rPr>
          <w:kern w:val="22"/>
          <w:szCs w:val="22"/>
          <w:lang w:val="es-ES"/>
        </w:rPr>
        <w:t>2.</w:t>
      </w:r>
      <w:r w:rsidRPr="006718B5">
        <w:rPr>
          <w:kern w:val="22"/>
          <w:szCs w:val="22"/>
          <w:lang w:val="es-ES"/>
        </w:rPr>
        <w:tab/>
      </w:r>
      <w:r w:rsidR="006718B5" w:rsidRPr="00E92C1D">
        <w:rPr>
          <w:kern w:val="22"/>
          <w:lang w:val="es-ES"/>
        </w:rPr>
        <w:t>También se incluye la fuente de información utilizada para establecer el punto de referencia. A fin de facilitar las consultas, el cuadro sigue la estructura y el orden del formato del informe nacional provisional e incluye referencias al elemento o los elementos donde se considera el indicador</w:t>
      </w:r>
      <w:r w:rsidRPr="006718B5">
        <w:rPr>
          <w:kern w:val="22"/>
          <w:szCs w:val="22"/>
          <w:lang w:val="es-ES"/>
        </w:rPr>
        <w:t>.</w:t>
      </w:r>
    </w:p>
    <w:p w:rsidR="009F5D7B" w:rsidRPr="006718B5" w:rsidRDefault="006718B5" w:rsidP="000C6220">
      <w:pPr>
        <w:suppressLineNumbers/>
        <w:suppressAutoHyphens/>
        <w:kinsoku w:val="0"/>
        <w:overflowPunct w:val="0"/>
        <w:autoSpaceDE w:val="0"/>
        <w:autoSpaceDN w:val="0"/>
        <w:adjustRightInd w:val="0"/>
        <w:snapToGrid w:val="0"/>
        <w:spacing w:before="120" w:line="240" w:lineRule="auto"/>
        <w:rPr>
          <w:kern w:val="22"/>
          <w:szCs w:val="22"/>
          <w:lang w:val="es-ES"/>
        </w:rPr>
      </w:pPr>
      <w:r>
        <w:rPr>
          <w:kern w:val="22"/>
          <w:szCs w:val="22"/>
          <w:lang w:val="es-ES"/>
        </w:rPr>
        <w:t>3.</w:t>
      </w:r>
      <w:r>
        <w:rPr>
          <w:kern w:val="22"/>
          <w:szCs w:val="22"/>
          <w:lang w:val="es-ES"/>
        </w:rPr>
        <w:tab/>
      </w:r>
      <w:r w:rsidRPr="00E92C1D">
        <w:rPr>
          <w:kern w:val="22"/>
          <w:lang w:val="es-ES"/>
        </w:rPr>
        <w:t>El marco es una herramienta flexible que puede adaptarse a medida que se logren mayores progresos en la aplicación</w:t>
      </w:r>
      <w:r w:rsidR="009F5D7B" w:rsidRPr="006718B5">
        <w:rPr>
          <w:kern w:val="22"/>
          <w:szCs w:val="22"/>
          <w:lang w:val="es-ES"/>
        </w:rPr>
        <w:t>.</w:t>
      </w:r>
    </w:p>
    <w:p w:rsidR="009F5D7B" w:rsidRPr="006718B5" w:rsidRDefault="009F5D7B">
      <w:pPr>
        <w:suppressLineNumbers/>
        <w:suppressAutoHyphens/>
        <w:kinsoku w:val="0"/>
        <w:overflowPunct w:val="0"/>
        <w:autoSpaceDE w:val="0"/>
        <w:autoSpaceDN w:val="0"/>
        <w:adjustRightInd w:val="0"/>
        <w:snapToGrid w:val="0"/>
        <w:rPr>
          <w:kern w:val="22"/>
          <w:szCs w:val="22"/>
          <w:lang w:val="es-E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2"/>
        <w:gridCol w:w="1104"/>
        <w:gridCol w:w="1506"/>
        <w:gridCol w:w="1614"/>
      </w:tblGrid>
      <w:tr w:rsidR="009F5D7B" w:rsidRPr="00EE0850" w:rsidTr="005111BD">
        <w:trPr>
          <w:cantSplit/>
          <w:tblHeader/>
          <w:jc w:val="center"/>
        </w:trPr>
        <w:tc>
          <w:tcPr>
            <w:tcW w:w="5552" w:type="dxa"/>
            <w:shd w:val="pct5" w:color="auto" w:fill="auto"/>
            <w:tcMar>
              <w:top w:w="29" w:type="dxa"/>
              <w:left w:w="115" w:type="dxa"/>
              <w:bottom w:w="29" w:type="dxa"/>
              <w:right w:w="115" w:type="dxa"/>
            </w:tcMar>
            <w:vAlign w:val="center"/>
          </w:tcPr>
          <w:p w:rsidR="009F5D7B" w:rsidRPr="006718B5" w:rsidRDefault="006718B5" w:rsidP="000C6220">
            <w:pPr>
              <w:suppressLineNumbers/>
              <w:suppressAutoHyphens/>
              <w:kinsoku w:val="0"/>
              <w:overflowPunct w:val="0"/>
              <w:autoSpaceDE w:val="0"/>
              <w:autoSpaceDN w:val="0"/>
              <w:adjustRightInd w:val="0"/>
              <w:snapToGrid w:val="0"/>
              <w:spacing w:after="0" w:line="240" w:lineRule="auto"/>
              <w:jc w:val="center"/>
              <w:rPr>
                <w:b/>
                <w:kern w:val="22"/>
                <w:szCs w:val="22"/>
                <w:lang w:val="es-ES"/>
              </w:rPr>
            </w:pPr>
            <w:r w:rsidRPr="00E92C1D">
              <w:rPr>
                <w:b/>
                <w:bCs/>
                <w:kern w:val="22"/>
                <w:lang w:val="es-ES"/>
              </w:rPr>
              <w:t>Proyecto de marco de indicadores</w:t>
            </w:r>
          </w:p>
        </w:tc>
        <w:tc>
          <w:tcPr>
            <w:tcW w:w="1104" w:type="dxa"/>
            <w:shd w:val="pct5"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b/>
                <w:kern w:val="22"/>
                <w:szCs w:val="22"/>
              </w:rPr>
            </w:pPr>
            <w:r w:rsidRPr="00EE0850">
              <w:rPr>
                <w:b/>
                <w:kern w:val="22"/>
                <w:szCs w:val="22"/>
              </w:rPr>
              <w:t>Element</w:t>
            </w:r>
            <w:r w:rsidR="006718B5">
              <w:rPr>
                <w:b/>
                <w:kern w:val="22"/>
                <w:szCs w:val="22"/>
              </w:rPr>
              <w:t>o</w:t>
            </w:r>
          </w:p>
        </w:tc>
        <w:tc>
          <w:tcPr>
            <w:tcW w:w="1506" w:type="dxa"/>
            <w:shd w:val="pct5" w:color="auto" w:fill="auto"/>
            <w:tcMar>
              <w:top w:w="29" w:type="dxa"/>
              <w:left w:w="115" w:type="dxa"/>
              <w:bottom w:w="29" w:type="dxa"/>
              <w:right w:w="115" w:type="dxa"/>
            </w:tcMar>
            <w:vAlign w:val="center"/>
          </w:tcPr>
          <w:p w:rsidR="009F5D7B" w:rsidRPr="006718B5" w:rsidRDefault="006718B5" w:rsidP="006718B5">
            <w:pPr>
              <w:suppressLineNumbers/>
              <w:suppressAutoHyphens/>
              <w:kinsoku w:val="0"/>
              <w:overflowPunct w:val="0"/>
              <w:autoSpaceDE w:val="0"/>
              <w:autoSpaceDN w:val="0"/>
              <w:adjustRightInd w:val="0"/>
              <w:snapToGrid w:val="0"/>
              <w:spacing w:after="0" w:line="240" w:lineRule="auto"/>
              <w:jc w:val="center"/>
              <w:rPr>
                <w:b/>
                <w:kern w:val="22"/>
                <w:szCs w:val="22"/>
                <w:lang w:val="es-ES"/>
              </w:rPr>
            </w:pPr>
            <w:r w:rsidRPr="006718B5">
              <w:rPr>
                <w:b/>
                <w:kern w:val="22"/>
                <w:szCs w:val="22"/>
                <w:lang w:val="es-ES"/>
              </w:rPr>
              <w:t>Punto de referencia</w:t>
            </w:r>
            <w:r w:rsidR="009F5D7B" w:rsidRPr="006718B5">
              <w:rPr>
                <w:rFonts w:hint="eastAsia"/>
                <w:b/>
                <w:kern w:val="22"/>
                <w:szCs w:val="22"/>
                <w:lang w:val="es-ES"/>
              </w:rPr>
              <w:t xml:space="preserve"> (a</w:t>
            </w:r>
            <w:r w:rsidRPr="006718B5">
              <w:rPr>
                <w:b/>
                <w:kern w:val="22"/>
                <w:szCs w:val="22"/>
                <w:lang w:val="es-ES"/>
              </w:rPr>
              <w:t>l</w:t>
            </w:r>
            <w:r w:rsidR="009F5D7B" w:rsidRPr="006718B5">
              <w:rPr>
                <w:rFonts w:hint="eastAsia"/>
                <w:b/>
                <w:kern w:val="22"/>
                <w:szCs w:val="22"/>
                <w:lang w:val="es-ES"/>
              </w:rPr>
              <w:t xml:space="preserve"> 22 </w:t>
            </w:r>
            <w:r w:rsidRPr="006718B5">
              <w:rPr>
                <w:b/>
                <w:kern w:val="22"/>
                <w:szCs w:val="22"/>
                <w:lang w:val="es-ES"/>
              </w:rPr>
              <w:t>de feb rero de 2</w:t>
            </w:r>
            <w:r w:rsidR="009F5D7B" w:rsidRPr="006718B5">
              <w:rPr>
                <w:rFonts w:hint="eastAsia"/>
                <w:b/>
                <w:kern w:val="22"/>
                <w:szCs w:val="22"/>
                <w:lang w:val="es-ES"/>
              </w:rPr>
              <w:t>018)</w:t>
            </w:r>
          </w:p>
        </w:tc>
        <w:tc>
          <w:tcPr>
            <w:tcW w:w="1614" w:type="dxa"/>
            <w:shd w:val="pct5" w:color="auto" w:fill="auto"/>
            <w:tcMar>
              <w:top w:w="29" w:type="dxa"/>
              <w:left w:w="115" w:type="dxa"/>
              <w:bottom w:w="29" w:type="dxa"/>
              <w:right w:w="115" w:type="dxa"/>
            </w:tcMar>
            <w:vAlign w:val="center"/>
          </w:tcPr>
          <w:p w:rsidR="009F5D7B" w:rsidRPr="00EE0850" w:rsidRDefault="006718B5" w:rsidP="006718B5">
            <w:pPr>
              <w:suppressLineNumbers/>
              <w:suppressAutoHyphens/>
              <w:kinsoku w:val="0"/>
              <w:overflowPunct w:val="0"/>
              <w:autoSpaceDE w:val="0"/>
              <w:autoSpaceDN w:val="0"/>
              <w:adjustRightInd w:val="0"/>
              <w:snapToGrid w:val="0"/>
              <w:spacing w:after="0" w:line="240" w:lineRule="auto"/>
              <w:jc w:val="left"/>
              <w:rPr>
                <w:b/>
                <w:kern w:val="22"/>
                <w:szCs w:val="22"/>
              </w:rPr>
            </w:pPr>
            <w:r>
              <w:rPr>
                <w:b/>
                <w:kern w:val="22"/>
                <w:szCs w:val="22"/>
                <w:lang w:val="es-ES"/>
              </w:rPr>
              <w:t>Fuente</w:t>
            </w:r>
          </w:p>
        </w:tc>
      </w:tr>
      <w:tr w:rsidR="009F5D7B" w:rsidRPr="00EE0850" w:rsidTr="005111BD">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F5D7B" w:rsidRPr="006718B5" w:rsidRDefault="009F5D7B" w:rsidP="000C6220">
            <w:pPr>
              <w:suppressLineNumbers/>
              <w:suppressAutoHyphens/>
              <w:kinsoku w:val="0"/>
              <w:overflowPunct w:val="0"/>
              <w:autoSpaceDE w:val="0"/>
              <w:autoSpaceDN w:val="0"/>
              <w:adjustRightInd w:val="0"/>
              <w:snapToGrid w:val="0"/>
              <w:spacing w:after="0" w:line="240" w:lineRule="auto"/>
              <w:ind w:left="314" w:hanging="360"/>
              <w:rPr>
                <w:kern w:val="22"/>
                <w:szCs w:val="22"/>
                <w:lang w:val="es-ES"/>
              </w:rPr>
            </w:pPr>
            <w:r w:rsidRPr="006718B5">
              <w:rPr>
                <w:kern w:val="22"/>
                <w:szCs w:val="22"/>
                <w:lang w:val="es-ES"/>
              </w:rPr>
              <w:lastRenderedPageBreak/>
              <w:t>1.</w:t>
            </w:r>
            <w:r w:rsidRPr="006718B5">
              <w:rPr>
                <w:kern w:val="22"/>
                <w:szCs w:val="22"/>
                <w:lang w:val="es-ES"/>
              </w:rPr>
              <w:tab/>
            </w:r>
            <w:r w:rsidR="006718B5" w:rsidRPr="00E92C1D">
              <w:rPr>
                <w:kern w:val="22"/>
                <w:lang w:val="es-ES"/>
              </w:rPr>
              <w:t>Número de Partes en el CDB que han ratificado el Protocolo de Nagoya</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F5D7B" w:rsidRPr="006718B5" w:rsidRDefault="009F5D7B"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lang w:val="es-ES"/>
              </w:rPr>
            </w:pPr>
          </w:p>
        </w:tc>
        <w:tc>
          <w:tcPr>
            <w:tcW w:w="1506"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EE0850">
              <w:rPr>
                <w:rFonts w:eastAsia="Calibri"/>
                <w:kern w:val="22"/>
                <w:szCs w:val="22"/>
              </w:rPr>
              <w:t>105 (54%)</w:t>
            </w:r>
          </w:p>
        </w:tc>
        <w:tc>
          <w:tcPr>
            <w:tcW w:w="1614"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6718B5" w:rsidP="000C6220">
            <w:pPr>
              <w:suppressLineNumbers/>
              <w:suppressAutoHyphens/>
              <w:kinsoku w:val="0"/>
              <w:overflowPunct w:val="0"/>
              <w:autoSpaceDE w:val="0"/>
              <w:autoSpaceDN w:val="0"/>
              <w:adjustRightInd w:val="0"/>
              <w:snapToGrid w:val="0"/>
              <w:spacing w:after="0" w:line="240" w:lineRule="auto"/>
              <w:jc w:val="left"/>
              <w:rPr>
                <w:kern w:val="22"/>
                <w:szCs w:val="22"/>
              </w:rPr>
            </w:pPr>
            <w:r w:rsidRPr="00E92C1D">
              <w:rPr>
                <w:kern w:val="22"/>
                <w:lang w:val="es-ES"/>
              </w:rPr>
              <w:t>Naciones Unidas,</w:t>
            </w:r>
            <w:r w:rsidRPr="00E92C1D">
              <w:rPr>
                <w:i/>
                <w:iCs/>
                <w:kern w:val="22"/>
                <w:lang w:val="es-ES"/>
              </w:rPr>
              <w:t xml:space="preserve"> Treaty Collection</w:t>
            </w:r>
          </w:p>
        </w:tc>
      </w:tr>
      <w:tr w:rsidR="009F5D7B" w:rsidRPr="00024C71" w:rsidTr="005111BD">
        <w:trPr>
          <w:cantSplit/>
          <w:jc w:val="center"/>
        </w:trPr>
        <w:tc>
          <w:tcPr>
            <w:tcW w:w="9776" w:type="dxa"/>
            <w:gridSpan w:val="4"/>
            <w:shd w:val="pct5" w:color="auto" w:fill="auto"/>
            <w:tcMar>
              <w:top w:w="29" w:type="dxa"/>
              <w:left w:w="115" w:type="dxa"/>
              <w:bottom w:w="29" w:type="dxa"/>
              <w:right w:w="115" w:type="dxa"/>
            </w:tcMar>
            <w:vAlign w:val="center"/>
          </w:tcPr>
          <w:p w:rsidR="009F5D7B" w:rsidRPr="006718B5" w:rsidRDefault="006718B5" w:rsidP="000C6220">
            <w:pPr>
              <w:keepNext/>
              <w:suppressLineNumbers/>
              <w:suppressAutoHyphens/>
              <w:kinsoku w:val="0"/>
              <w:overflowPunct w:val="0"/>
              <w:autoSpaceDE w:val="0"/>
              <w:autoSpaceDN w:val="0"/>
              <w:adjustRightInd w:val="0"/>
              <w:snapToGrid w:val="0"/>
              <w:spacing w:after="0" w:line="240" w:lineRule="auto"/>
              <w:ind w:left="317"/>
              <w:jc w:val="left"/>
              <w:rPr>
                <w:b/>
                <w:kern w:val="22"/>
                <w:szCs w:val="22"/>
                <w:lang w:val="es-ES"/>
              </w:rPr>
            </w:pPr>
            <w:r w:rsidRPr="00E92C1D">
              <w:rPr>
                <w:b/>
                <w:bCs/>
                <w:kern w:val="22"/>
                <w:lang w:val="es-ES"/>
              </w:rPr>
              <w:t>Estructuras institucionales para la aplicación del Protocolo</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6718B5" w:rsidRDefault="009F5D7B" w:rsidP="000C6220">
            <w:pPr>
              <w:suppressLineNumbers/>
              <w:suppressAutoHyphens/>
              <w:kinsoku w:val="0"/>
              <w:overflowPunct w:val="0"/>
              <w:autoSpaceDE w:val="0"/>
              <w:autoSpaceDN w:val="0"/>
              <w:adjustRightInd w:val="0"/>
              <w:snapToGrid w:val="0"/>
              <w:spacing w:after="0" w:line="240" w:lineRule="auto"/>
              <w:ind w:left="314" w:hanging="360"/>
              <w:rPr>
                <w:kern w:val="22"/>
                <w:szCs w:val="22"/>
                <w:lang w:val="es-ES"/>
              </w:rPr>
            </w:pPr>
            <w:r w:rsidRPr="006718B5">
              <w:rPr>
                <w:kern w:val="22"/>
                <w:szCs w:val="22"/>
                <w:lang w:val="es-ES"/>
              </w:rPr>
              <w:t>2.</w:t>
            </w:r>
            <w:r w:rsidRPr="006718B5">
              <w:rPr>
                <w:kern w:val="22"/>
                <w:szCs w:val="22"/>
                <w:lang w:val="es-ES"/>
              </w:rPr>
              <w:tab/>
            </w:r>
            <w:r w:rsidR="006718B5" w:rsidRPr="00E92C1D">
              <w:rPr>
                <w:kern w:val="22"/>
                <w:lang w:val="es-ES"/>
              </w:rPr>
              <w:t>Número y porcentaje de Partes con medidas legislativas, administrativas y de política sobre APB</w:t>
            </w:r>
          </w:p>
        </w:tc>
        <w:tc>
          <w:tcPr>
            <w:tcW w:w="1104" w:type="dxa"/>
            <w:shd w:val="clear" w:color="auto" w:fill="auto"/>
            <w:tcMar>
              <w:top w:w="29" w:type="dxa"/>
              <w:left w:w="115" w:type="dxa"/>
              <w:bottom w:w="29" w:type="dxa"/>
              <w:right w:w="115" w:type="dxa"/>
            </w:tcMar>
            <w:vAlign w:val="center"/>
          </w:tcPr>
          <w:p w:rsidR="009F5D7B" w:rsidRPr="00EE0850" w:rsidRDefault="00A80381"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kern w:val="22"/>
                <w:szCs w:val="22"/>
                <w:lang w:val="es-ES"/>
              </w:rPr>
              <w:t xml:space="preserve"> </w:t>
            </w:r>
            <w:r w:rsidR="009F5D7B" w:rsidRPr="00EE0850">
              <w:rPr>
                <w:kern w:val="22"/>
                <w:szCs w:val="22"/>
              </w:rPr>
              <w:t>a)</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EE0850">
              <w:rPr>
                <w:rFonts w:eastAsia="Calibri"/>
                <w:kern w:val="22"/>
                <w:szCs w:val="22"/>
              </w:rPr>
              <w:t>75 (71%)</w:t>
            </w:r>
          </w:p>
        </w:tc>
        <w:tc>
          <w:tcPr>
            <w:tcW w:w="1614" w:type="dxa"/>
            <w:shd w:val="clear" w:color="auto" w:fill="auto"/>
            <w:tcMar>
              <w:top w:w="29" w:type="dxa"/>
              <w:left w:w="115" w:type="dxa"/>
              <w:bottom w:w="29" w:type="dxa"/>
              <w:right w:w="115" w:type="dxa"/>
            </w:tcMar>
            <w:vAlign w:val="center"/>
          </w:tcPr>
          <w:p w:rsidR="00A80381" w:rsidRPr="00E92C1D" w:rsidRDefault="00A80381" w:rsidP="00A80381">
            <w:pPr>
              <w:suppressLineNumbers/>
              <w:suppressAutoHyphens/>
              <w:kinsoku w:val="0"/>
              <w:overflowPunct w:val="0"/>
              <w:autoSpaceDE w:val="0"/>
              <w:autoSpaceDN w:val="0"/>
              <w:adjustRightInd w:val="0"/>
              <w:snapToGrid w:val="0"/>
              <w:jc w:val="left"/>
              <w:rPr>
                <w:kern w:val="22"/>
                <w:lang w:val="es-ES"/>
              </w:rPr>
            </w:pPr>
            <w:r w:rsidRPr="00E92C1D">
              <w:rPr>
                <w:kern w:val="22"/>
                <w:lang w:val="es-ES"/>
              </w:rPr>
              <w:t>Pregunta 4 Informe del CDB sobre el CII-APB</w:t>
            </w:r>
          </w:p>
          <w:p w:rsidR="009F5D7B" w:rsidRPr="00EE0850" w:rsidRDefault="00A80381" w:rsidP="00A80381">
            <w:pPr>
              <w:suppressLineNumbers/>
              <w:suppressAutoHyphens/>
              <w:kinsoku w:val="0"/>
              <w:overflowPunct w:val="0"/>
              <w:autoSpaceDE w:val="0"/>
              <w:autoSpaceDN w:val="0"/>
              <w:adjustRightInd w:val="0"/>
              <w:snapToGrid w:val="0"/>
              <w:spacing w:after="0" w:line="240" w:lineRule="auto"/>
              <w:jc w:val="left"/>
              <w:rPr>
                <w:kern w:val="22"/>
                <w:szCs w:val="22"/>
              </w:rPr>
            </w:pPr>
            <w:r w:rsidRPr="00E92C1D">
              <w:rPr>
                <w:kern w:val="22"/>
                <w:lang w:val="es-ES"/>
              </w:rPr>
              <w:t>EPANB</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A80381" w:rsidRDefault="009F5D7B" w:rsidP="000C6220">
            <w:pPr>
              <w:suppressLineNumbers/>
              <w:suppressAutoHyphens/>
              <w:kinsoku w:val="0"/>
              <w:overflowPunct w:val="0"/>
              <w:autoSpaceDE w:val="0"/>
              <w:autoSpaceDN w:val="0"/>
              <w:adjustRightInd w:val="0"/>
              <w:snapToGrid w:val="0"/>
              <w:spacing w:after="0" w:line="240" w:lineRule="auto"/>
              <w:ind w:left="314" w:hanging="360"/>
              <w:rPr>
                <w:kern w:val="22"/>
                <w:szCs w:val="22"/>
                <w:lang w:val="es-ES"/>
              </w:rPr>
            </w:pPr>
            <w:r w:rsidRPr="00A80381">
              <w:rPr>
                <w:kern w:val="22"/>
                <w:szCs w:val="22"/>
                <w:lang w:val="es-ES"/>
              </w:rPr>
              <w:t>3.</w:t>
            </w:r>
            <w:r w:rsidRPr="00A80381">
              <w:rPr>
                <w:kern w:val="22"/>
                <w:szCs w:val="22"/>
                <w:lang w:val="es-ES"/>
              </w:rPr>
              <w:tab/>
            </w:r>
            <w:r w:rsidR="00A80381" w:rsidRPr="00E92C1D">
              <w:rPr>
                <w:kern w:val="22"/>
                <w:lang w:val="es-ES"/>
              </w:rPr>
              <w:t>Número de Partes que han publicado información sobre medidas legislativas, administrativas o de política sobre APB en el Centro de Intercambio de Información sobre APB</w:t>
            </w:r>
          </w:p>
        </w:tc>
        <w:tc>
          <w:tcPr>
            <w:tcW w:w="1104" w:type="dxa"/>
            <w:shd w:val="clear" w:color="auto" w:fill="auto"/>
            <w:tcMar>
              <w:top w:w="29" w:type="dxa"/>
              <w:left w:w="115" w:type="dxa"/>
              <w:bottom w:w="29" w:type="dxa"/>
              <w:right w:w="115" w:type="dxa"/>
            </w:tcMar>
            <w:vAlign w:val="center"/>
          </w:tcPr>
          <w:p w:rsidR="009F5D7B" w:rsidRPr="00EE0850" w:rsidRDefault="00A80381" w:rsidP="000C6220">
            <w:pPr>
              <w:suppressLineNumbers/>
              <w:suppressAutoHyphens/>
              <w:kinsoku w:val="0"/>
              <w:overflowPunct w:val="0"/>
              <w:autoSpaceDE w:val="0"/>
              <w:autoSpaceDN w:val="0"/>
              <w:adjustRightInd w:val="0"/>
              <w:snapToGrid w:val="0"/>
              <w:spacing w:after="0" w:line="240" w:lineRule="auto"/>
              <w:jc w:val="center"/>
              <w:rPr>
                <w:kern w:val="22"/>
                <w:szCs w:val="22"/>
              </w:rPr>
            </w:pPr>
            <w:r w:rsidRPr="00A80381">
              <w:rPr>
                <w:kern w:val="22"/>
                <w:szCs w:val="22"/>
                <w:lang w:val="es-ES"/>
              </w:rPr>
              <w:t xml:space="preserve"> </w:t>
            </w:r>
            <w:r w:rsidR="009F5D7B" w:rsidRPr="00EE0850">
              <w:rPr>
                <w:kern w:val="22"/>
                <w:szCs w:val="22"/>
              </w:rPr>
              <w:t>g)</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EE0850">
              <w:rPr>
                <w:rFonts w:eastAsia="Calibri"/>
                <w:kern w:val="22"/>
                <w:szCs w:val="22"/>
              </w:rPr>
              <w:t>45 (43%);</w:t>
            </w:r>
          </w:p>
        </w:tc>
        <w:tc>
          <w:tcPr>
            <w:tcW w:w="1614" w:type="dxa"/>
            <w:shd w:val="clear" w:color="auto" w:fill="auto"/>
            <w:tcMar>
              <w:top w:w="29" w:type="dxa"/>
              <w:left w:w="115" w:type="dxa"/>
              <w:bottom w:w="29" w:type="dxa"/>
              <w:right w:w="115" w:type="dxa"/>
            </w:tcMar>
            <w:vAlign w:val="center"/>
          </w:tcPr>
          <w:p w:rsidR="009F5D7B" w:rsidRPr="00EE0850" w:rsidRDefault="00A80381" w:rsidP="000C6220">
            <w:pPr>
              <w:suppressLineNumbers/>
              <w:suppressAutoHyphens/>
              <w:kinsoku w:val="0"/>
              <w:overflowPunct w:val="0"/>
              <w:autoSpaceDE w:val="0"/>
              <w:autoSpaceDN w:val="0"/>
              <w:adjustRightInd w:val="0"/>
              <w:snapToGrid w:val="0"/>
              <w:spacing w:after="0" w:line="240" w:lineRule="auto"/>
              <w:jc w:val="left"/>
              <w:rPr>
                <w:kern w:val="22"/>
                <w:szCs w:val="22"/>
              </w:rPr>
            </w:pPr>
            <w:r w:rsidRPr="00E92C1D">
              <w:rPr>
                <w:kern w:val="22"/>
                <w:lang w:val="es-ES"/>
              </w:rPr>
              <w:t>CII-APB</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A80381" w:rsidRDefault="009F5D7B" w:rsidP="000C6220">
            <w:pPr>
              <w:suppressLineNumbers/>
              <w:suppressAutoHyphens/>
              <w:kinsoku w:val="0"/>
              <w:overflowPunct w:val="0"/>
              <w:autoSpaceDE w:val="0"/>
              <w:autoSpaceDN w:val="0"/>
              <w:adjustRightInd w:val="0"/>
              <w:snapToGrid w:val="0"/>
              <w:spacing w:after="0" w:line="240" w:lineRule="auto"/>
              <w:ind w:left="314" w:hanging="360"/>
              <w:rPr>
                <w:kern w:val="22"/>
                <w:szCs w:val="22"/>
                <w:lang w:val="es-ES"/>
              </w:rPr>
            </w:pPr>
            <w:r w:rsidRPr="00A80381">
              <w:rPr>
                <w:kern w:val="22"/>
                <w:szCs w:val="22"/>
                <w:lang w:val="es-ES"/>
              </w:rPr>
              <w:t>4.</w:t>
            </w:r>
            <w:r w:rsidRPr="00A80381">
              <w:rPr>
                <w:kern w:val="22"/>
                <w:szCs w:val="22"/>
                <w:lang w:val="es-ES"/>
              </w:rPr>
              <w:tab/>
            </w:r>
            <w:r w:rsidR="00A80381" w:rsidRPr="00E92C1D">
              <w:rPr>
                <w:kern w:val="22"/>
                <w:lang w:val="es-ES"/>
              </w:rPr>
              <w:t>Número y porcentaje de Partes con puntos focales nacionales de APB</w:t>
            </w:r>
          </w:p>
        </w:tc>
        <w:tc>
          <w:tcPr>
            <w:tcW w:w="1104" w:type="dxa"/>
            <w:shd w:val="clear" w:color="auto" w:fill="auto"/>
            <w:tcMar>
              <w:top w:w="29" w:type="dxa"/>
              <w:left w:w="115" w:type="dxa"/>
              <w:bottom w:w="29" w:type="dxa"/>
              <w:right w:w="115" w:type="dxa"/>
            </w:tcMar>
            <w:vAlign w:val="center"/>
          </w:tcPr>
          <w:p w:rsidR="009F5D7B" w:rsidRPr="00EE0850" w:rsidRDefault="00A80381"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A80381">
              <w:rPr>
                <w:kern w:val="22"/>
                <w:szCs w:val="22"/>
                <w:lang w:val="es-ES"/>
              </w:rPr>
              <w:t xml:space="preserve"> </w:t>
            </w:r>
            <w:r w:rsidR="009F5D7B" w:rsidRPr="00EE0850">
              <w:rPr>
                <w:kern w:val="22"/>
                <w:szCs w:val="22"/>
              </w:rPr>
              <w:t>a)</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EE0850">
              <w:rPr>
                <w:rFonts w:eastAsia="Calibri"/>
                <w:kern w:val="22"/>
                <w:szCs w:val="22"/>
              </w:rPr>
              <w:t>103 (98%)</w:t>
            </w:r>
          </w:p>
        </w:tc>
        <w:tc>
          <w:tcPr>
            <w:tcW w:w="1614" w:type="dxa"/>
            <w:shd w:val="clear" w:color="auto" w:fill="auto"/>
            <w:tcMar>
              <w:top w:w="29" w:type="dxa"/>
              <w:left w:w="115" w:type="dxa"/>
              <w:bottom w:w="29" w:type="dxa"/>
              <w:right w:w="115" w:type="dxa"/>
            </w:tcMar>
            <w:vAlign w:val="center"/>
          </w:tcPr>
          <w:p w:rsidR="009F5D7B" w:rsidRPr="00EE0850" w:rsidRDefault="00A80381" w:rsidP="000C6220">
            <w:pPr>
              <w:suppressLineNumbers/>
              <w:suppressAutoHyphens/>
              <w:kinsoku w:val="0"/>
              <w:overflowPunct w:val="0"/>
              <w:autoSpaceDE w:val="0"/>
              <w:autoSpaceDN w:val="0"/>
              <w:adjustRightInd w:val="0"/>
              <w:snapToGrid w:val="0"/>
              <w:spacing w:after="0" w:line="240" w:lineRule="auto"/>
              <w:jc w:val="left"/>
              <w:rPr>
                <w:kern w:val="22"/>
                <w:szCs w:val="22"/>
              </w:rPr>
            </w:pPr>
            <w:r w:rsidRPr="00E92C1D">
              <w:rPr>
                <w:kern w:val="22"/>
                <w:lang w:val="es-ES"/>
              </w:rPr>
              <w:t>Pregunta 5 CII-APB</w:t>
            </w:r>
          </w:p>
        </w:tc>
      </w:tr>
      <w:tr w:rsidR="009F5D7B" w:rsidRPr="00024C71" w:rsidTr="005111BD">
        <w:trPr>
          <w:cantSplit/>
          <w:jc w:val="center"/>
        </w:trPr>
        <w:tc>
          <w:tcPr>
            <w:tcW w:w="5552" w:type="dxa"/>
            <w:shd w:val="clear" w:color="auto" w:fill="auto"/>
            <w:tcMar>
              <w:top w:w="29" w:type="dxa"/>
              <w:left w:w="115" w:type="dxa"/>
              <w:bottom w:w="29" w:type="dxa"/>
              <w:right w:w="115" w:type="dxa"/>
            </w:tcMar>
          </w:tcPr>
          <w:p w:rsidR="009F5D7B" w:rsidRPr="00A80381" w:rsidRDefault="009F5D7B" w:rsidP="000C6220">
            <w:pPr>
              <w:suppressLineNumbers/>
              <w:suppressAutoHyphens/>
              <w:kinsoku w:val="0"/>
              <w:overflowPunct w:val="0"/>
              <w:autoSpaceDE w:val="0"/>
              <w:autoSpaceDN w:val="0"/>
              <w:adjustRightInd w:val="0"/>
              <w:snapToGrid w:val="0"/>
              <w:spacing w:after="0" w:line="240" w:lineRule="auto"/>
              <w:ind w:left="314" w:hanging="360"/>
              <w:rPr>
                <w:kern w:val="22"/>
                <w:szCs w:val="22"/>
                <w:lang w:val="es-ES"/>
              </w:rPr>
            </w:pPr>
            <w:r w:rsidRPr="00A80381">
              <w:rPr>
                <w:kern w:val="22"/>
                <w:szCs w:val="22"/>
                <w:lang w:val="es-ES"/>
              </w:rPr>
              <w:t>5.</w:t>
            </w:r>
            <w:r w:rsidRPr="00A80381">
              <w:rPr>
                <w:kern w:val="22"/>
                <w:szCs w:val="22"/>
                <w:lang w:val="es-ES"/>
              </w:rPr>
              <w:tab/>
            </w:r>
            <w:r w:rsidR="00A80381" w:rsidRPr="00E92C1D">
              <w:rPr>
                <w:kern w:val="22"/>
                <w:lang w:val="es-ES"/>
              </w:rPr>
              <w:t>Número y porcentaje de Partes con una o más autoridades nacionales competentes</w:t>
            </w:r>
          </w:p>
        </w:tc>
        <w:tc>
          <w:tcPr>
            <w:tcW w:w="1104" w:type="dxa"/>
            <w:shd w:val="clear" w:color="auto" w:fill="auto"/>
            <w:tcMar>
              <w:top w:w="29" w:type="dxa"/>
              <w:left w:w="115" w:type="dxa"/>
              <w:bottom w:w="29" w:type="dxa"/>
              <w:right w:w="115" w:type="dxa"/>
            </w:tcMar>
            <w:vAlign w:val="center"/>
          </w:tcPr>
          <w:p w:rsidR="009F5D7B" w:rsidRPr="00EE0850" w:rsidRDefault="00A80381"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kern w:val="22"/>
                <w:szCs w:val="22"/>
                <w:lang w:val="es-ES"/>
              </w:rPr>
              <w:t xml:space="preserve"> </w:t>
            </w:r>
            <w:r w:rsidR="009F5D7B" w:rsidRPr="00EE0850">
              <w:rPr>
                <w:kern w:val="22"/>
                <w:szCs w:val="22"/>
              </w:rPr>
              <w:t>a)</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EE0850">
              <w:rPr>
                <w:rFonts w:eastAsia="Calibri"/>
                <w:kern w:val="22"/>
                <w:szCs w:val="22"/>
              </w:rPr>
              <w:t>57 (54%)</w:t>
            </w:r>
          </w:p>
        </w:tc>
        <w:tc>
          <w:tcPr>
            <w:tcW w:w="1614" w:type="dxa"/>
            <w:shd w:val="clear" w:color="auto" w:fill="auto"/>
            <w:tcMar>
              <w:top w:w="29" w:type="dxa"/>
              <w:left w:w="115" w:type="dxa"/>
              <w:bottom w:w="29" w:type="dxa"/>
              <w:right w:w="115" w:type="dxa"/>
            </w:tcMar>
            <w:vAlign w:val="center"/>
          </w:tcPr>
          <w:p w:rsidR="009F5D7B" w:rsidRPr="00A80381" w:rsidRDefault="00A80381" w:rsidP="00A80381">
            <w:pPr>
              <w:suppressLineNumbers/>
              <w:suppressAutoHyphens/>
              <w:kinsoku w:val="0"/>
              <w:overflowPunct w:val="0"/>
              <w:autoSpaceDE w:val="0"/>
              <w:autoSpaceDN w:val="0"/>
              <w:adjustRightInd w:val="0"/>
              <w:snapToGrid w:val="0"/>
              <w:jc w:val="left"/>
              <w:rPr>
                <w:kern w:val="22"/>
                <w:szCs w:val="22"/>
                <w:lang w:val="es-ES"/>
              </w:rPr>
            </w:pPr>
            <w:r w:rsidRPr="00E92C1D">
              <w:rPr>
                <w:kern w:val="22"/>
                <w:lang w:val="es-ES"/>
              </w:rPr>
              <w:t>Pregunta 6 Informe del CDB sobre el CII-APB</w:t>
            </w:r>
            <w:r>
              <w:rPr>
                <w:kern w:val="22"/>
                <w:lang w:val="es-ES"/>
              </w:rPr>
              <w:t xml:space="preserve"> </w:t>
            </w:r>
            <w:r w:rsidRPr="00E92C1D">
              <w:rPr>
                <w:kern w:val="22"/>
                <w:lang w:val="es-ES"/>
              </w:rPr>
              <w:t>EPANB</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A80381" w:rsidRDefault="009F5D7B" w:rsidP="000C6220">
            <w:pPr>
              <w:suppressLineNumbers/>
              <w:suppressAutoHyphens/>
              <w:kinsoku w:val="0"/>
              <w:overflowPunct w:val="0"/>
              <w:autoSpaceDE w:val="0"/>
              <w:autoSpaceDN w:val="0"/>
              <w:adjustRightInd w:val="0"/>
              <w:snapToGrid w:val="0"/>
              <w:spacing w:after="0" w:line="240" w:lineRule="auto"/>
              <w:ind w:left="314" w:hanging="360"/>
              <w:rPr>
                <w:kern w:val="22"/>
                <w:szCs w:val="22"/>
                <w:lang w:val="es-ES"/>
              </w:rPr>
            </w:pPr>
            <w:r w:rsidRPr="00A80381">
              <w:rPr>
                <w:kern w:val="22"/>
                <w:szCs w:val="22"/>
                <w:lang w:val="es-ES"/>
              </w:rPr>
              <w:t>6.</w:t>
            </w:r>
            <w:r w:rsidRPr="00A80381">
              <w:rPr>
                <w:kern w:val="22"/>
                <w:szCs w:val="22"/>
                <w:lang w:val="es-ES"/>
              </w:rPr>
              <w:tab/>
            </w:r>
            <w:r w:rsidR="00A80381" w:rsidRPr="00E92C1D">
              <w:rPr>
                <w:kern w:val="22"/>
                <w:lang w:val="es-ES"/>
              </w:rPr>
              <w:t>Número y porcentaje de Partes que han publicado información sobre autoridades nacionales competentes (ANC) en el Centro de Intercambio de Información sobre APB</w:t>
            </w:r>
          </w:p>
        </w:tc>
        <w:tc>
          <w:tcPr>
            <w:tcW w:w="1104" w:type="dxa"/>
            <w:shd w:val="clear" w:color="auto" w:fill="auto"/>
            <w:tcMar>
              <w:top w:w="29" w:type="dxa"/>
              <w:left w:w="115" w:type="dxa"/>
              <w:bottom w:w="29" w:type="dxa"/>
              <w:right w:w="115" w:type="dxa"/>
            </w:tcMar>
            <w:vAlign w:val="center"/>
          </w:tcPr>
          <w:p w:rsidR="009F5D7B" w:rsidRPr="00EE0850" w:rsidRDefault="00A80381" w:rsidP="000C6220">
            <w:pPr>
              <w:suppressLineNumbers/>
              <w:suppressAutoHyphens/>
              <w:kinsoku w:val="0"/>
              <w:overflowPunct w:val="0"/>
              <w:autoSpaceDE w:val="0"/>
              <w:autoSpaceDN w:val="0"/>
              <w:adjustRightInd w:val="0"/>
              <w:snapToGrid w:val="0"/>
              <w:spacing w:after="0" w:line="240" w:lineRule="auto"/>
              <w:jc w:val="center"/>
              <w:rPr>
                <w:kern w:val="22"/>
                <w:szCs w:val="22"/>
              </w:rPr>
            </w:pPr>
            <w:r w:rsidRPr="00A80381">
              <w:rPr>
                <w:kern w:val="22"/>
                <w:szCs w:val="22"/>
                <w:lang w:val="es-ES"/>
              </w:rPr>
              <w:t xml:space="preserve"> </w:t>
            </w:r>
            <w:r w:rsidR="009F5D7B" w:rsidRPr="00EE0850">
              <w:rPr>
                <w:kern w:val="22"/>
                <w:szCs w:val="22"/>
              </w:rPr>
              <w:t>g)</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EE0850">
              <w:rPr>
                <w:rFonts w:eastAsia="Calibri"/>
                <w:kern w:val="22"/>
                <w:szCs w:val="22"/>
              </w:rPr>
              <w:t>45 (43%)</w:t>
            </w:r>
          </w:p>
        </w:tc>
        <w:tc>
          <w:tcPr>
            <w:tcW w:w="1614" w:type="dxa"/>
            <w:shd w:val="clear" w:color="auto" w:fill="auto"/>
            <w:tcMar>
              <w:top w:w="29" w:type="dxa"/>
              <w:left w:w="115" w:type="dxa"/>
              <w:bottom w:w="29" w:type="dxa"/>
              <w:right w:w="115" w:type="dxa"/>
            </w:tcMar>
            <w:vAlign w:val="center"/>
          </w:tcPr>
          <w:p w:rsidR="009F5D7B" w:rsidRPr="00EE0850" w:rsidRDefault="00A80381" w:rsidP="000C6220">
            <w:pPr>
              <w:suppressLineNumbers/>
              <w:suppressAutoHyphens/>
              <w:kinsoku w:val="0"/>
              <w:overflowPunct w:val="0"/>
              <w:autoSpaceDE w:val="0"/>
              <w:autoSpaceDN w:val="0"/>
              <w:adjustRightInd w:val="0"/>
              <w:snapToGrid w:val="0"/>
              <w:spacing w:after="0" w:line="240" w:lineRule="auto"/>
              <w:jc w:val="left"/>
              <w:rPr>
                <w:kern w:val="22"/>
                <w:szCs w:val="22"/>
              </w:rPr>
            </w:pPr>
            <w:r w:rsidRPr="00E92C1D">
              <w:rPr>
                <w:kern w:val="22"/>
                <w:lang w:val="es-ES"/>
              </w:rPr>
              <w:t>CII-APB</w:t>
            </w:r>
          </w:p>
        </w:tc>
      </w:tr>
      <w:tr w:rsidR="009F5D7B" w:rsidRPr="00024C71" w:rsidTr="005111BD">
        <w:trPr>
          <w:cantSplit/>
          <w:jc w:val="center"/>
        </w:trPr>
        <w:tc>
          <w:tcPr>
            <w:tcW w:w="5552" w:type="dxa"/>
            <w:shd w:val="clear" w:color="auto" w:fill="auto"/>
            <w:tcMar>
              <w:top w:w="29" w:type="dxa"/>
              <w:left w:w="115" w:type="dxa"/>
              <w:bottom w:w="29" w:type="dxa"/>
              <w:right w:w="115" w:type="dxa"/>
            </w:tcMar>
          </w:tcPr>
          <w:p w:rsidR="009F5D7B" w:rsidRPr="00A80381"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Calibri"/>
                <w:color w:val="000000"/>
                <w:kern w:val="22"/>
                <w:szCs w:val="22"/>
                <w:u w:color="000000"/>
                <w:lang w:val="es-ES"/>
              </w:rPr>
            </w:pPr>
            <w:r w:rsidRPr="00A80381">
              <w:rPr>
                <w:rFonts w:eastAsia="Calibri"/>
                <w:color w:val="000000"/>
                <w:kern w:val="22"/>
                <w:szCs w:val="22"/>
                <w:u w:color="000000"/>
                <w:lang w:val="es-ES"/>
              </w:rPr>
              <w:t>7.</w:t>
            </w:r>
            <w:r w:rsidRPr="00A80381">
              <w:rPr>
                <w:rFonts w:eastAsia="Calibri"/>
                <w:color w:val="000000"/>
                <w:kern w:val="22"/>
                <w:szCs w:val="22"/>
                <w:u w:color="000000"/>
                <w:lang w:val="es-ES"/>
              </w:rPr>
              <w:tab/>
            </w:r>
            <w:r w:rsidR="00A80381" w:rsidRPr="00E92C1D">
              <w:rPr>
                <w:i/>
                <w:iCs/>
                <w:color w:val="000000"/>
                <w:kern w:val="22"/>
                <w:u w:color="000000"/>
                <w:lang w:val="es-ES"/>
              </w:rPr>
              <w:t>Nuevo:</w:t>
            </w:r>
            <w:r w:rsidR="00A80381" w:rsidRPr="00E92C1D">
              <w:rPr>
                <w:color w:val="000000"/>
                <w:kern w:val="22"/>
                <w:u w:color="000000"/>
                <w:lang w:val="es-ES"/>
              </w:rPr>
              <w:t xml:space="preserve"> Número y porcentaje de Partes que han emitido </w:t>
            </w:r>
            <w:r w:rsidR="00A80381" w:rsidRPr="00E92C1D">
              <w:rPr>
                <w:kern w:val="22"/>
                <w:lang w:val="es-ES"/>
              </w:rPr>
              <w:t>permisos o sus equivalentes</w:t>
            </w:r>
          </w:p>
        </w:tc>
        <w:tc>
          <w:tcPr>
            <w:tcW w:w="1104" w:type="dxa"/>
            <w:shd w:val="clear" w:color="auto" w:fill="auto"/>
            <w:tcMar>
              <w:top w:w="29" w:type="dxa"/>
              <w:left w:w="115" w:type="dxa"/>
              <w:bottom w:w="29" w:type="dxa"/>
              <w:right w:w="115" w:type="dxa"/>
            </w:tcMar>
            <w:vAlign w:val="center"/>
          </w:tcPr>
          <w:p w:rsidR="009F5D7B" w:rsidRPr="00EE0850" w:rsidRDefault="00A80381"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kern w:val="22"/>
                <w:szCs w:val="22"/>
                <w:lang w:val="es-ES"/>
              </w:rPr>
              <w:t xml:space="preserve"> </w:t>
            </w:r>
            <w:r w:rsidR="009F5D7B" w:rsidRPr="00EE0850">
              <w:rPr>
                <w:kern w:val="22"/>
                <w:szCs w:val="22"/>
              </w:rPr>
              <w:t>a)</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EE0850">
              <w:rPr>
                <w:rFonts w:eastAsia="Calibri"/>
                <w:kern w:val="22"/>
                <w:szCs w:val="22"/>
              </w:rPr>
              <w:t>19 (18%)</w:t>
            </w:r>
          </w:p>
        </w:tc>
        <w:tc>
          <w:tcPr>
            <w:tcW w:w="1614" w:type="dxa"/>
            <w:shd w:val="clear" w:color="auto" w:fill="auto"/>
            <w:tcMar>
              <w:top w:w="29" w:type="dxa"/>
              <w:left w:w="115" w:type="dxa"/>
              <w:bottom w:w="29" w:type="dxa"/>
              <w:right w:w="115" w:type="dxa"/>
            </w:tcMar>
            <w:vAlign w:val="center"/>
          </w:tcPr>
          <w:p w:rsidR="009F5D7B" w:rsidRPr="00A80381" w:rsidRDefault="00A80381" w:rsidP="000C6220">
            <w:pPr>
              <w:suppressLineNumbers/>
              <w:suppressAutoHyphens/>
              <w:kinsoku w:val="0"/>
              <w:overflowPunct w:val="0"/>
              <w:autoSpaceDE w:val="0"/>
              <w:autoSpaceDN w:val="0"/>
              <w:adjustRightInd w:val="0"/>
              <w:snapToGrid w:val="0"/>
              <w:spacing w:after="0" w:line="240" w:lineRule="auto"/>
              <w:jc w:val="left"/>
              <w:rPr>
                <w:rFonts w:eastAsia="Calibri"/>
                <w:color w:val="000000"/>
                <w:kern w:val="22"/>
                <w:szCs w:val="22"/>
                <w:u w:color="000000"/>
                <w:lang w:val="es-ES"/>
              </w:rPr>
            </w:pPr>
            <w:r w:rsidRPr="00E92C1D">
              <w:rPr>
                <w:color w:val="000000"/>
                <w:kern w:val="22"/>
                <w:u w:color="000000"/>
                <w:lang w:val="es-ES"/>
              </w:rPr>
              <w:t>El formato de informe nacional requiere revisión</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A80381"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Calibri"/>
                <w:color w:val="000000"/>
                <w:kern w:val="22"/>
                <w:szCs w:val="22"/>
                <w:u w:color="000000"/>
                <w:lang w:val="es-ES"/>
              </w:rPr>
            </w:pPr>
            <w:r w:rsidRPr="00A80381">
              <w:rPr>
                <w:rFonts w:eastAsia="Calibri"/>
                <w:color w:val="000000"/>
                <w:kern w:val="22"/>
                <w:szCs w:val="22"/>
                <w:u w:color="000000"/>
                <w:lang w:val="es-ES"/>
              </w:rPr>
              <w:t>8.</w:t>
            </w:r>
            <w:r w:rsidRPr="00A80381">
              <w:rPr>
                <w:rFonts w:eastAsia="Calibri"/>
                <w:color w:val="000000"/>
                <w:kern w:val="22"/>
                <w:szCs w:val="22"/>
                <w:u w:color="000000"/>
                <w:lang w:val="es-ES"/>
              </w:rPr>
              <w:tab/>
            </w:r>
            <w:r w:rsidR="00A80381" w:rsidRPr="00E92C1D">
              <w:rPr>
                <w:color w:val="000000"/>
                <w:kern w:val="22"/>
                <w:u w:color="000000"/>
                <w:lang w:val="es-ES"/>
              </w:rPr>
              <w:t>Número y porcentaje de partes que han publicado certificados de cumplimiento reconocidos internacionalmente (CCRI) en el Centro de Intercambio de Información sobre APB</w:t>
            </w:r>
          </w:p>
        </w:tc>
        <w:tc>
          <w:tcPr>
            <w:tcW w:w="1104" w:type="dxa"/>
            <w:shd w:val="clear" w:color="auto" w:fill="auto"/>
            <w:tcMar>
              <w:top w:w="29" w:type="dxa"/>
              <w:left w:w="115" w:type="dxa"/>
              <w:bottom w:w="29" w:type="dxa"/>
              <w:right w:w="115" w:type="dxa"/>
            </w:tcMar>
            <w:vAlign w:val="center"/>
          </w:tcPr>
          <w:p w:rsidR="009F5D7B" w:rsidRPr="00EE0850" w:rsidRDefault="00A80381"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kern w:val="22"/>
                <w:szCs w:val="22"/>
                <w:lang w:val="es-ES"/>
              </w:rPr>
              <w:t xml:space="preserve"> </w:t>
            </w:r>
            <w:r>
              <w:rPr>
                <w:kern w:val="22"/>
                <w:szCs w:val="22"/>
              </w:rPr>
              <w:t xml:space="preserve">b)  </w:t>
            </w:r>
            <w:r w:rsidR="009F5D7B" w:rsidRPr="00EE0850">
              <w:rPr>
                <w:kern w:val="22"/>
                <w:szCs w:val="22"/>
              </w:rPr>
              <w:t>g)</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EE0850">
              <w:rPr>
                <w:rFonts w:eastAsia="Calibri"/>
                <w:kern w:val="22"/>
                <w:szCs w:val="22"/>
              </w:rPr>
              <w:t>12 (11%)</w:t>
            </w:r>
          </w:p>
        </w:tc>
        <w:tc>
          <w:tcPr>
            <w:tcW w:w="1614" w:type="dxa"/>
            <w:shd w:val="clear" w:color="auto" w:fill="auto"/>
            <w:tcMar>
              <w:top w:w="29" w:type="dxa"/>
              <w:left w:w="115" w:type="dxa"/>
              <w:bottom w:w="29" w:type="dxa"/>
              <w:right w:w="115" w:type="dxa"/>
            </w:tcMar>
            <w:vAlign w:val="center"/>
          </w:tcPr>
          <w:p w:rsidR="009F5D7B" w:rsidRPr="00A80381" w:rsidRDefault="00A80381" w:rsidP="00A80381">
            <w:pPr>
              <w:suppressLineNumbers/>
              <w:suppressAutoHyphens/>
              <w:kinsoku w:val="0"/>
              <w:overflowPunct w:val="0"/>
              <w:autoSpaceDE w:val="0"/>
              <w:autoSpaceDN w:val="0"/>
              <w:adjustRightInd w:val="0"/>
              <w:snapToGrid w:val="0"/>
              <w:jc w:val="left"/>
              <w:rPr>
                <w:color w:val="000000"/>
                <w:kern w:val="22"/>
                <w:u w:color="000000"/>
                <w:lang w:val="es-ES"/>
              </w:rPr>
            </w:pPr>
            <w:r w:rsidRPr="00E92C1D">
              <w:rPr>
                <w:color w:val="000000"/>
                <w:kern w:val="22"/>
                <w:u w:color="000000"/>
                <w:lang w:val="es-ES"/>
              </w:rPr>
              <w:t>Preguntas 7, 8, 16</w:t>
            </w:r>
            <w:r>
              <w:rPr>
                <w:color w:val="000000"/>
                <w:kern w:val="22"/>
                <w:u w:color="000000"/>
                <w:lang w:val="es-ES"/>
              </w:rPr>
              <w:t xml:space="preserve">               </w:t>
            </w:r>
            <w:r w:rsidRPr="00E92C1D">
              <w:rPr>
                <w:color w:val="000000"/>
                <w:kern w:val="22"/>
                <w:u w:color="000000"/>
                <w:lang w:val="es-ES"/>
              </w:rPr>
              <w:t>CII-APB</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A80381"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A80381">
              <w:rPr>
                <w:rFonts w:eastAsia="SimSun"/>
                <w:kern w:val="22"/>
                <w:szCs w:val="22"/>
                <w:lang w:val="es-ES"/>
              </w:rPr>
              <w:t>9.</w:t>
            </w:r>
            <w:r w:rsidRPr="00A80381">
              <w:rPr>
                <w:rFonts w:eastAsia="SimSun"/>
                <w:kern w:val="22"/>
                <w:szCs w:val="22"/>
                <w:lang w:val="es-ES"/>
              </w:rPr>
              <w:tab/>
            </w:r>
            <w:r w:rsidR="00A80381" w:rsidRPr="00E92C1D">
              <w:rPr>
                <w:kern w:val="22"/>
                <w:lang w:val="es-ES"/>
              </w:rPr>
              <w:t>Número de CCRI disponibles en el Centro de Intercambio de Información sobre APB</w:t>
            </w:r>
          </w:p>
        </w:tc>
        <w:tc>
          <w:tcPr>
            <w:tcW w:w="1104" w:type="dxa"/>
            <w:shd w:val="clear" w:color="auto" w:fill="auto"/>
            <w:tcMar>
              <w:top w:w="29" w:type="dxa"/>
              <w:left w:w="115" w:type="dxa"/>
              <w:bottom w:w="29" w:type="dxa"/>
              <w:right w:w="115" w:type="dxa"/>
            </w:tcMar>
            <w:vAlign w:val="center"/>
          </w:tcPr>
          <w:p w:rsidR="009F5D7B" w:rsidRPr="00EE0850" w:rsidRDefault="00A80381"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kern w:val="22"/>
                <w:szCs w:val="22"/>
                <w:lang w:val="es-ES"/>
              </w:rPr>
              <w:t xml:space="preserve"> </w:t>
            </w:r>
            <w:r w:rsidR="009F5D7B" w:rsidRPr="00EE0850">
              <w:rPr>
                <w:kern w:val="22"/>
                <w:szCs w:val="22"/>
              </w:rPr>
              <w:t>g)</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EE0850">
              <w:rPr>
                <w:rFonts w:eastAsia="Calibri"/>
                <w:kern w:val="22"/>
                <w:szCs w:val="22"/>
              </w:rPr>
              <w:t>146</w:t>
            </w:r>
          </w:p>
        </w:tc>
        <w:tc>
          <w:tcPr>
            <w:tcW w:w="1614" w:type="dxa"/>
            <w:shd w:val="clear" w:color="auto" w:fill="auto"/>
            <w:tcMar>
              <w:top w:w="29" w:type="dxa"/>
              <w:left w:w="115" w:type="dxa"/>
              <w:bottom w:w="29" w:type="dxa"/>
              <w:right w:w="115" w:type="dxa"/>
            </w:tcMar>
            <w:vAlign w:val="center"/>
          </w:tcPr>
          <w:p w:rsidR="009F5D7B" w:rsidRPr="00EE0850" w:rsidRDefault="00A80381" w:rsidP="000C6220">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sidRPr="00E92C1D">
              <w:rPr>
                <w:kern w:val="22"/>
                <w:lang w:val="es-ES"/>
              </w:rPr>
              <w:t>CII-APB</w:t>
            </w:r>
          </w:p>
        </w:tc>
      </w:tr>
      <w:tr w:rsidR="009F5D7B" w:rsidRPr="00024C71" w:rsidTr="005111BD">
        <w:trPr>
          <w:cantSplit/>
          <w:jc w:val="center"/>
        </w:trPr>
        <w:tc>
          <w:tcPr>
            <w:tcW w:w="5552" w:type="dxa"/>
            <w:shd w:val="clear" w:color="auto" w:fill="auto"/>
            <w:tcMar>
              <w:top w:w="29" w:type="dxa"/>
              <w:left w:w="115" w:type="dxa"/>
              <w:bottom w:w="29" w:type="dxa"/>
              <w:right w:w="115" w:type="dxa"/>
            </w:tcMar>
          </w:tcPr>
          <w:p w:rsidR="009F5D7B" w:rsidRPr="00A80381" w:rsidRDefault="009F5D7B" w:rsidP="000C6220">
            <w:pPr>
              <w:suppressLineNumbers/>
              <w:suppressAutoHyphens/>
              <w:kinsoku w:val="0"/>
              <w:overflowPunct w:val="0"/>
              <w:autoSpaceDE w:val="0"/>
              <w:autoSpaceDN w:val="0"/>
              <w:adjustRightInd w:val="0"/>
              <w:snapToGrid w:val="0"/>
              <w:spacing w:after="0" w:line="240" w:lineRule="auto"/>
              <w:ind w:left="314" w:hanging="360"/>
              <w:rPr>
                <w:kern w:val="22"/>
                <w:szCs w:val="22"/>
                <w:lang w:val="es-ES"/>
              </w:rPr>
            </w:pPr>
            <w:r w:rsidRPr="00A80381">
              <w:rPr>
                <w:kern w:val="22"/>
                <w:szCs w:val="22"/>
                <w:lang w:val="es-ES"/>
              </w:rPr>
              <w:t>10.</w:t>
            </w:r>
            <w:r w:rsidRPr="00A80381">
              <w:rPr>
                <w:kern w:val="22"/>
                <w:szCs w:val="22"/>
                <w:lang w:val="es-ES"/>
              </w:rPr>
              <w:tab/>
            </w:r>
            <w:r w:rsidR="00A80381" w:rsidRPr="00E92C1D">
              <w:rPr>
                <w:kern w:val="22"/>
                <w:lang w:val="es-ES"/>
              </w:rPr>
              <w:t>Número y porcentaje de Partes con uno o más puntos de verificación</w:t>
            </w:r>
          </w:p>
        </w:tc>
        <w:tc>
          <w:tcPr>
            <w:tcW w:w="1104" w:type="dxa"/>
            <w:shd w:val="clear" w:color="auto" w:fill="auto"/>
            <w:tcMar>
              <w:top w:w="29" w:type="dxa"/>
              <w:left w:w="115" w:type="dxa"/>
              <w:bottom w:w="29" w:type="dxa"/>
              <w:right w:w="115" w:type="dxa"/>
            </w:tcMar>
            <w:vAlign w:val="center"/>
          </w:tcPr>
          <w:p w:rsidR="009F5D7B" w:rsidRPr="00EE0850" w:rsidRDefault="00A80381"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kern w:val="22"/>
                <w:szCs w:val="22"/>
                <w:lang w:val="es-ES"/>
              </w:rPr>
              <w:t xml:space="preserve"> </w:t>
            </w:r>
            <w:r w:rsidR="009F5D7B" w:rsidRPr="00EE0850">
              <w:rPr>
                <w:kern w:val="22"/>
                <w:szCs w:val="22"/>
              </w:rPr>
              <w:t>a)</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EE0850">
              <w:rPr>
                <w:rFonts w:eastAsia="Calibri"/>
                <w:kern w:val="22"/>
                <w:szCs w:val="22"/>
              </w:rPr>
              <w:t>29 (27%)</w:t>
            </w:r>
          </w:p>
        </w:tc>
        <w:tc>
          <w:tcPr>
            <w:tcW w:w="1614" w:type="dxa"/>
            <w:shd w:val="clear" w:color="auto" w:fill="auto"/>
            <w:tcMar>
              <w:top w:w="29" w:type="dxa"/>
              <w:left w:w="115" w:type="dxa"/>
              <w:bottom w:w="29" w:type="dxa"/>
              <w:right w:w="115" w:type="dxa"/>
            </w:tcMar>
            <w:vAlign w:val="center"/>
          </w:tcPr>
          <w:p w:rsidR="009F5D7B" w:rsidRPr="00A80381" w:rsidRDefault="00A80381" w:rsidP="000C6220">
            <w:pPr>
              <w:suppressLineNumbers/>
              <w:suppressAutoHyphens/>
              <w:kinsoku w:val="0"/>
              <w:overflowPunct w:val="0"/>
              <w:autoSpaceDE w:val="0"/>
              <w:autoSpaceDN w:val="0"/>
              <w:adjustRightInd w:val="0"/>
              <w:snapToGrid w:val="0"/>
              <w:spacing w:after="0" w:line="240" w:lineRule="auto"/>
              <w:jc w:val="left"/>
              <w:rPr>
                <w:kern w:val="22"/>
                <w:szCs w:val="22"/>
                <w:lang w:val="es-ES"/>
              </w:rPr>
            </w:pPr>
            <w:r w:rsidRPr="00E92C1D">
              <w:rPr>
                <w:kern w:val="22"/>
                <w:lang w:val="es-ES"/>
              </w:rPr>
              <w:t>Pregunta 9 Informe del CDB sobre el CII-APB EPANB</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A80381" w:rsidRDefault="009F5D7B" w:rsidP="000C6220">
            <w:pPr>
              <w:suppressLineNumbers/>
              <w:suppressAutoHyphens/>
              <w:kinsoku w:val="0"/>
              <w:overflowPunct w:val="0"/>
              <w:autoSpaceDE w:val="0"/>
              <w:autoSpaceDN w:val="0"/>
              <w:adjustRightInd w:val="0"/>
              <w:snapToGrid w:val="0"/>
              <w:spacing w:after="0" w:line="240" w:lineRule="auto"/>
              <w:ind w:left="314" w:hanging="360"/>
              <w:rPr>
                <w:kern w:val="22"/>
                <w:szCs w:val="22"/>
                <w:lang w:val="es-ES"/>
              </w:rPr>
            </w:pPr>
            <w:r w:rsidRPr="00A80381">
              <w:rPr>
                <w:kern w:val="22"/>
                <w:szCs w:val="22"/>
                <w:lang w:val="es-ES"/>
              </w:rPr>
              <w:t>11.</w:t>
            </w:r>
            <w:r w:rsidRPr="00A80381">
              <w:rPr>
                <w:kern w:val="22"/>
                <w:szCs w:val="22"/>
                <w:lang w:val="es-ES"/>
              </w:rPr>
              <w:tab/>
            </w:r>
            <w:r w:rsidR="00A80381" w:rsidRPr="00E92C1D">
              <w:rPr>
                <w:kern w:val="22"/>
                <w:lang w:val="es-ES"/>
              </w:rPr>
              <w:t>Número y porcentaje de Partes que han publicado información sobre puntos de verificación</w:t>
            </w:r>
          </w:p>
        </w:tc>
        <w:tc>
          <w:tcPr>
            <w:tcW w:w="1104" w:type="dxa"/>
            <w:shd w:val="clear" w:color="auto" w:fill="auto"/>
            <w:tcMar>
              <w:top w:w="29" w:type="dxa"/>
              <w:left w:w="115" w:type="dxa"/>
              <w:bottom w:w="29" w:type="dxa"/>
              <w:right w:w="115" w:type="dxa"/>
            </w:tcMar>
            <w:vAlign w:val="center"/>
          </w:tcPr>
          <w:p w:rsidR="009F5D7B" w:rsidRPr="00EE0850" w:rsidRDefault="00A80381" w:rsidP="000C6220">
            <w:pPr>
              <w:suppressLineNumbers/>
              <w:suppressAutoHyphens/>
              <w:kinsoku w:val="0"/>
              <w:overflowPunct w:val="0"/>
              <w:autoSpaceDE w:val="0"/>
              <w:autoSpaceDN w:val="0"/>
              <w:adjustRightInd w:val="0"/>
              <w:snapToGrid w:val="0"/>
              <w:spacing w:after="0" w:line="240" w:lineRule="auto"/>
              <w:jc w:val="center"/>
              <w:rPr>
                <w:kern w:val="22"/>
                <w:szCs w:val="22"/>
              </w:rPr>
            </w:pPr>
            <w:r w:rsidRPr="00A80381">
              <w:rPr>
                <w:kern w:val="22"/>
                <w:szCs w:val="22"/>
                <w:lang w:val="es-ES"/>
              </w:rPr>
              <w:t xml:space="preserve"> </w:t>
            </w:r>
            <w:r w:rsidR="009F5D7B" w:rsidRPr="00EE0850">
              <w:rPr>
                <w:kern w:val="22"/>
                <w:szCs w:val="22"/>
              </w:rPr>
              <w:t>g)</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EE0850">
              <w:rPr>
                <w:rFonts w:eastAsia="Calibri"/>
                <w:kern w:val="22"/>
                <w:szCs w:val="22"/>
              </w:rPr>
              <w:t>20 (19%)</w:t>
            </w:r>
          </w:p>
        </w:tc>
        <w:tc>
          <w:tcPr>
            <w:tcW w:w="1614" w:type="dxa"/>
            <w:shd w:val="clear" w:color="auto" w:fill="auto"/>
            <w:tcMar>
              <w:top w:w="29" w:type="dxa"/>
              <w:left w:w="115" w:type="dxa"/>
              <w:bottom w:w="29" w:type="dxa"/>
              <w:right w:w="115" w:type="dxa"/>
            </w:tcMar>
            <w:vAlign w:val="center"/>
          </w:tcPr>
          <w:p w:rsidR="009F5D7B" w:rsidRPr="00EE0850" w:rsidRDefault="00A80381" w:rsidP="000C6220">
            <w:pPr>
              <w:suppressLineNumbers/>
              <w:suppressAutoHyphens/>
              <w:kinsoku w:val="0"/>
              <w:overflowPunct w:val="0"/>
              <w:autoSpaceDE w:val="0"/>
              <w:autoSpaceDN w:val="0"/>
              <w:adjustRightInd w:val="0"/>
              <w:snapToGrid w:val="0"/>
              <w:spacing w:after="0" w:line="240" w:lineRule="auto"/>
              <w:jc w:val="left"/>
              <w:rPr>
                <w:kern w:val="22"/>
                <w:szCs w:val="22"/>
              </w:rPr>
            </w:pPr>
            <w:r w:rsidRPr="00E92C1D">
              <w:rPr>
                <w:kern w:val="22"/>
                <w:lang w:val="es-ES"/>
              </w:rPr>
              <w:t>CII-APB</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A80381" w:rsidRDefault="009F5D7B" w:rsidP="000C6220">
            <w:pPr>
              <w:suppressLineNumbers/>
              <w:suppressAutoHyphens/>
              <w:kinsoku w:val="0"/>
              <w:overflowPunct w:val="0"/>
              <w:autoSpaceDE w:val="0"/>
              <w:autoSpaceDN w:val="0"/>
              <w:adjustRightInd w:val="0"/>
              <w:snapToGrid w:val="0"/>
              <w:spacing w:after="0" w:line="240" w:lineRule="auto"/>
              <w:ind w:left="314" w:hanging="360"/>
              <w:rPr>
                <w:kern w:val="22"/>
                <w:szCs w:val="22"/>
                <w:lang w:val="es-ES"/>
              </w:rPr>
            </w:pPr>
            <w:r w:rsidRPr="00A80381">
              <w:rPr>
                <w:kern w:val="22"/>
                <w:szCs w:val="22"/>
                <w:lang w:val="es-ES"/>
              </w:rPr>
              <w:lastRenderedPageBreak/>
              <w:t>12.</w:t>
            </w:r>
            <w:r w:rsidRPr="00A80381">
              <w:rPr>
                <w:kern w:val="22"/>
                <w:szCs w:val="22"/>
                <w:lang w:val="es-ES"/>
              </w:rPr>
              <w:tab/>
            </w:r>
            <w:r w:rsidR="00A80381" w:rsidRPr="00E92C1D">
              <w:rPr>
                <w:kern w:val="22"/>
                <w:lang w:val="es-ES"/>
              </w:rPr>
              <w:t>Número y porcentaje de Partes que han facilitado información a través el Centro de Intercambio de Información sobre APB (ANC, punto de verificación, medidas sobre APB, CCRI)</w:t>
            </w:r>
          </w:p>
        </w:tc>
        <w:tc>
          <w:tcPr>
            <w:tcW w:w="1104" w:type="dxa"/>
            <w:shd w:val="clear" w:color="auto" w:fill="auto"/>
            <w:tcMar>
              <w:top w:w="29" w:type="dxa"/>
              <w:left w:w="115" w:type="dxa"/>
              <w:bottom w:w="29" w:type="dxa"/>
              <w:right w:w="115" w:type="dxa"/>
            </w:tcMar>
            <w:vAlign w:val="center"/>
          </w:tcPr>
          <w:p w:rsidR="009F5D7B" w:rsidRPr="00EE0850" w:rsidRDefault="00A80381" w:rsidP="00A80381">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kern w:val="22"/>
                <w:szCs w:val="22"/>
                <w:lang w:val="es-ES"/>
              </w:rPr>
              <w:t xml:space="preserve"> </w:t>
            </w:r>
            <w:r w:rsidR="009F5D7B" w:rsidRPr="00EE0850">
              <w:rPr>
                <w:kern w:val="22"/>
                <w:szCs w:val="22"/>
              </w:rPr>
              <w:t>a)</w:t>
            </w:r>
            <w:r>
              <w:rPr>
                <w:kern w:val="22"/>
                <w:szCs w:val="22"/>
              </w:rPr>
              <w:t xml:space="preserve"> </w:t>
            </w:r>
            <w:r w:rsidR="009F5D7B" w:rsidRPr="00EE0850">
              <w:rPr>
                <w:kern w:val="22"/>
                <w:szCs w:val="22"/>
              </w:rPr>
              <w:t>g)</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EE0850">
              <w:rPr>
                <w:rFonts w:eastAsia="Calibri"/>
                <w:kern w:val="22"/>
                <w:szCs w:val="22"/>
              </w:rPr>
              <w:t>54 (51%)</w:t>
            </w:r>
          </w:p>
        </w:tc>
        <w:tc>
          <w:tcPr>
            <w:tcW w:w="1614" w:type="dxa"/>
            <w:shd w:val="clear" w:color="auto" w:fill="auto"/>
            <w:tcMar>
              <w:top w:w="29" w:type="dxa"/>
              <w:left w:w="115" w:type="dxa"/>
              <w:bottom w:w="29" w:type="dxa"/>
              <w:right w:w="115" w:type="dxa"/>
            </w:tcMar>
            <w:vAlign w:val="center"/>
          </w:tcPr>
          <w:p w:rsidR="009F5D7B" w:rsidRPr="00EE0850" w:rsidRDefault="00A80381" w:rsidP="000C6220">
            <w:pPr>
              <w:suppressLineNumbers/>
              <w:suppressAutoHyphens/>
              <w:kinsoku w:val="0"/>
              <w:overflowPunct w:val="0"/>
              <w:autoSpaceDE w:val="0"/>
              <w:autoSpaceDN w:val="0"/>
              <w:adjustRightInd w:val="0"/>
              <w:snapToGrid w:val="0"/>
              <w:spacing w:after="0" w:line="240" w:lineRule="auto"/>
              <w:jc w:val="left"/>
              <w:rPr>
                <w:kern w:val="22"/>
                <w:szCs w:val="22"/>
              </w:rPr>
            </w:pPr>
            <w:r w:rsidRPr="00E92C1D">
              <w:rPr>
                <w:kern w:val="22"/>
                <w:lang w:val="es-ES"/>
              </w:rPr>
              <w:t>Pregunta 3 CII-APB</w:t>
            </w:r>
          </w:p>
        </w:tc>
      </w:tr>
      <w:tr w:rsidR="009F5D7B" w:rsidRPr="00024C71" w:rsidTr="005111BD">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F5D7B" w:rsidRPr="00A80381"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A80381">
              <w:rPr>
                <w:rFonts w:eastAsia="SimSun"/>
                <w:kern w:val="22"/>
                <w:szCs w:val="22"/>
                <w:lang w:val="es-ES"/>
              </w:rPr>
              <w:t>13.</w:t>
            </w:r>
            <w:r w:rsidRPr="00A80381">
              <w:rPr>
                <w:rFonts w:eastAsia="SimSun"/>
                <w:kern w:val="22"/>
                <w:szCs w:val="22"/>
                <w:lang w:val="es-ES"/>
              </w:rPr>
              <w:tab/>
            </w:r>
            <w:r w:rsidR="00A80381" w:rsidRPr="00E92C1D">
              <w:rPr>
                <w:kern w:val="22"/>
                <w:lang w:val="es-ES"/>
              </w:rPr>
              <w:t>Número y porcentaje de Partes que tienen información (ANC, punto de verificación, medidas sobre APB, permisos) que todavía no han facilitado a través del Centro de Intercambio de Información sobre APB</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A80381" w:rsidP="00A80381">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kern w:val="22"/>
                <w:szCs w:val="22"/>
                <w:lang w:val="es-ES"/>
              </w:rPr>
              <w:t xml:space="preserve"> </w:t>
            </w:r>
            <w:r w:rsidR="009F5D7B" w:rsidRPr="00EE0850">
              <w:rPr>
                <w:kern w:val="22"/>
                <w:szCs w:val="22"/>
              </w:rPr>
              <w:t>a)</w:t>
            </w:r>
            <w:r>
              <w:rPr>
                <w:kern w:val="22"/>
                <w:szCs w:val="22"/>
              </w:rPr>
              <w:t xml:space="preserve"> </w:t>
            </w:r>
            <w:r w:rsidR="009F5D7B" w:rsidRPr="00EE0850">
              <w:rPr>
                <w:kern w:val="22"/>
                <w:szCs w:val="22"/>
              </w:rPr>
              <w:t>g)</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EE0850">
              <w:rPr>
                <w:rFonts w:eastAsia="Calibri"/>
                <w:kern w:val="22"/>
                <w:szCs w:val="22"/>
              </w:rPr>
              <w:t>46 (44%)</w:t>
            </w:r>
          </w:p>
        </w:tc>
        <w:tc>
          <w:tcPr>
            <w:tcW w:w="1614" w:type="dxa"/>
            <w:tcBorders>
              <w:bottom w:val="single" w:sz="4" w:space="0" w:color="auto"/>
            </w:tcBorders>
            <w:shd w:val="clear" w:color="auto" w:fill="auto"/>
            <w:tcMar>
              <w:top w:w="29" w:type="dxa"/>
              <w:left w:w="115" w:type="dxa"/>
              <w:bottom w:w="29" w:type="dxa"/>
              <w:right w:w="115" w:type="dxa"/>
            </w:tcMar>
            <w:vAlign w:val="center"/>
          </w:tcPr>
          <w:p w:rsidR="009F5D7B" w:rsidRPr="00A80381" w:rsidRDefault="00A80381" w:rsidP="00A80381">
            <w:pPr>
              <w:suppressLineNumbers/>
              <w:suppressAutoHyphens/>
              <w:kinsoku w:val="0"/>
              <w:overflowPunct w:val="0"/>
              <w:autoSpaceDE w:val="0"/>
              <w:autoSpaceDN w:val="0"/>
              <w:adjustRightInd w:val="0"/>
              <w:snapToGrid w:val="0"/>
              <w:jc w:val="left"/>
              <w:rPr>
                <w:kern w:val="22"/>
                <w:szCs w:val="22"/>
                <w:lang w:val="es-ES"/>
              </w:rPr>
            </w:pPr>
            <w:r w:rsidRPr="00E92C1D">
              <w:rPr>
                <w:kern w:val="22"/>
                <w:lang w:val="es-ES"/>
              </w:rPr>
              <w:t>Preguntas 4, 6, 9</w:t>
            </w:r>
            <w:r>
              <w:rPr>
                <w:kern w:val="22"/>
                <w:lang w:val="es-ES"/>
              </w:rPr>
              <w:t xml:space="preserve"> </w:t>
            </w:r>
            <w:r w:rsidRPr="00E92C1D">
              <w:rPr>
                <w:kern w:val="22"/>
                <w:lang w:val="es-ES"/>
              </w:rPr>
              <w:t>Informe del CDB sobre el CII-APB</w:t>
            </w:r>
            <w:r>
              <w:rPr>
                <w:kern w:val="22"/>
                <w:lang w:val="es-ES"/>
              </w:rPr>
              <w:t xml:space="preserve"> </w:t>
            </w:r>
            <w:r w:rsidRPr="00E92C1D">
              <w:rPr>
                <w:kern w:val="22"/>
                <w:lang w:val="es-ES"/>
              </w:rPr>
              <w:t>EPANB</w:t>
            </w:r>
          </w:p>
        </w:tc>
      </w:tr>
      <w:tr w:rsidR="009F5D7B" w:rsidRPr="00024C71" w:rsidTr="005111BD">
        <w:trPr>
          <w:cantSplit/>
          <w:jc w:val="center"/>
        </w:trPr>
        <w:tc>
          <w:tcPr>
            <w:tcW w:w="9776" w:type="dxa"/>
            <w:gridSpan w:val="4"/>
            <w:shd w:val="pct5" w:color="auto" w:fill="auto"/>
            <w:tcMar>
              <w:top w:w="29" w:type="dxa"/>
              <w:left w:w="115" w:type="dxa"/>
              <w:bottom w:w="29" w:type="dxa"/>
              <w:right w:w="115" w:type="dxa"/>
            </w:tcMar>
            <w:vAlign w:val="center"/>
          </w:tcPr>
          <w:p w:rsidR="009F5D7B" w:rsidRPr="00A80381" w:rsidRDefault="00A80381" w:rsidP="000C6220">
            <w:pPr>
              <w:keepNext/>
              <w:suppressLineNumbers/>
              <w:suppressAutoHyphens/>
              <w:kinsoku w:val="0"/>
              <w:overflowPunct w:val="0"/>
              <w:autoSpaceDE w:val="0"/>
              <w:autoSpaceDN w:val="0"/>
              <w:adjustRightInd w:val="0"/>
              <w:snapToGrid w:val="0"/>
              <w:spacing w:after="0" w:line="240" w:lineRule="auto"/>
              <w:ind w:left="317"/>
              <w:jc w:val="left"/>
              <w:rPr>
                <w:rFonts w:eastAsia="SimSun"/>
                <w:b/>
                <w:kern w:val="22"/>
                <w:szCs w:val="22"/>
                <w:lang w:val="es-ES"/>
              </w:rPr>
            </w:pPr>
            <w:r w:rsidRPr="00E92C1D">
              <w:rPr>
                <w:b/>
                <w:bCs/>
                <w:kern w:val="22"/>
                <w:lang w:val="es-ES"/>
              </w:rPr>
              <w:t xml:space="preserve">Medidas legislativas, administrativas o de política sobre APB: acceso a recursos </w:t>
            </w:r>
            <w:r>
              <w:rPr>
                <w:b/>
                <w:bCs/>
                <w:kern w:val="22"/>
                <w:lang w:val="es-ES"/>
              </w:rPr>
              <w:t xml:space="preserve">genéticos (artículo </w:t>
            </w:r>
            <w:r w:rsidR="009F5D7B" w:rsidRPr="00A80381">
              <w:rPr>
                <w:rFonts w:eastAsia="SimSun"/>
                <w:b/>
                <w:kern w:val="22"/>
                <w:szCs w:val="22"/>
                <w:lang w:val="es-ES"/>
              </w:rPr>
              <w:t>6)</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A80381"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A80381">
              <w:rPr>
                <w:rFonts w:eastAsia="SimSun"/>
                <w:kern w:val="22"/>
                <w:szCs w:val="22"/>
                <w:lang w:val="es-ES"/>
              </w:rPr>
              <w:t>14.</w:t>
            </w:r>
            <w:r w:rsidRPr="00A80381">
              <w:rPr>
                <w:rFonts w:eastAsia="SimSun"/>
                <w:kern w:val="22"/>
                <w:szCs w:val="22"/>
                <w:lang w:val="es-ES"/>
              </w:rPr>
              <w:tab/>
            </w:r>
            <w:r w:rsidR="00A80381" w:rsidRPr="00E92C1D">
              <w:rPr>
                <w:kern w:val="22"/>
                <w:lang w:val="es-ES"/>
              </w:rPr>
              <w:t>Número y porcentaje de Partes que requieren consentimiento fundamentado previo para el acceso a recursos genéticos y que brindan información sobre cómo solicitar el consentimiento fundamentado previo, conforme a lo dispuesto en el artículo 6.3 c)</w:t>
            </w:r>
          </w:p>
        </w:tc>
        <w:tc>
          <w:tcPr>
            <w:tcW w:w="1104" w:type="dxa"/>
            <w:shd w:val="clear" w:color="auto" w:fill="auto"/>
            <w:tcMar>
              <w:top w:w="29" w:type="dxa"/>
              <w:left w:w="115" w:type="dxa"/>
              <w:bottom w:w="29" w:type="dxa"/>
              <w:right w:w="115" w:type="dxa"/>
            </w:tcMar>
            <w:vAlign w:val="center"/>
          </w:tcPr>
          <w:p w:rsidR="009F5D7B" w:rsidRPr="00EE0850" w:rsidRDefault="00A80381" w:rsidP="00A80381">
            <w:pPr>
              <w:suppressLineNumbers/>
              <w:suppressAutoHyphens/>
              <w:kinsoku w:val="0"/>
              <w:overflowPunct w:val="0"/>
              <w:autoSpaceDE w:val="0"/>
              <w:autoSpaceDN w:val="0"/>
              <w:adjustRightInd w:val="0"/>
              <w:snapToGrid w:val="0"/>
              <w:spacing w:after="0" w:line="240" w:lineRule="auto"/>
              <w:jc w:val="center"/>
              <w:rPr>
                <w:kern w:val="22"/>
                <w:szCs w:val="22"/>
              </w:rPr>
            </w:pPr>
            <w:r w:rsidRPr="00C5131C">
              <w:rPr>
                <w:kern w:val="22"/>
                <w:szCs w:val="22"/>
                <w:lang w:val="es-ES"/>
              </w:rPr>
              <w:t xml:space="preserve"> </w:t>
            </w:r>
            <w:r w:rsidR="009F5D7B" w:rsidRPr="00EE0850">
              <w:rPr>
                <w:kern w:val="22"/>
                <w:szCs w:val="22"/>
              </w:rPr>
              <w:t xml:space="preserve">a) </w:t>
            </w:r>
            <w:r>
              <w:rPr>
                <w:kern w:val="22"/>
                <w:szCs w:val="22"/>
              </w:rPr>
              <w:t xml:space="preserve"> </w:t>
            </w:r>
            <w:r w:rsidR="009F5D7B" w:rsidRPr="00EE0850">
              <w:rPr>
                <w:kern w:val="22"/>
                <w:szCs w:val="22"/>
              </w:rPr>
              <w:t>b)</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EE0850">
              <w:rPr>
                <w:rFonts w:eastAsia="Calibri"/>
                <w:kern w:val="22"/>
                <w:szCs w:val="22"/>
              </w:rPr>
              <w:t>27 (73%)</w:t>
            </w:r>
          </w:p>
        </w:tc>
        <w:tc>
          <w:tcPr>
            <w:tcW w:w="1614" w:type="dxa"/>
            <w:shd w:val="clear" w:color="auto" w:fill="auto"/>
            <w:tcMar>
              <w:top w:w="29" w:type="dxa"/>
              <w:left w:w="115" w:type="dxa"/>
              <w:bottom w:w="29" w:type="dxa"/>
              <w:right w:w="115" w:type="dxa"/>
            </w:tcMar>
            <w:vAlign w:val="center"/>
          </w:tcPr>
          <w:p w:rsidR="009F5D7B" w:rsidRPr="00EE0850" w:rsidRDefault="00A80381" w:rsidP="00A80381">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Pr>
                <w:rFonts w:eastAsia="SimSun"/>
                <w:kern w:val="22"/>
                <w:szCs w:val="22"/>
              </w:rPr>
              <w:t xml:space="preserve">Pregunta </w:t>
            </w:r>
            <w:r w:rsidR="009F5D7B" w:rsidRPr="00EE0850">
              <w:rPr>
                <w:rFonts w:eastAsia="SimSun"/>
                <w:kern w:val="22"/>
                <w:szCs w:val="22"/>
              </w:rPr>
              <w:t>13</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A80381"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A80381">
              <w:rPr>
                <w:rFonts w:eastAsia="SimSun"/>
                <w:kern w:val="22"/>
                <w:szCs w:val="22"/>
                <w:lang w:val="es-ES"/>
              </w:rPr>
              <w:t>15.</w:t>
            </w:r>
            <w:r w:rsidRPr="00A80381">
              <w:rPr>
                <w:rFonts w:eastAsia="SimSun"/>
                <w:kern w:val="22"/>
                <w:szCs w:val="22"/>
                <w:lang w:val="es-ES"/>
              </w:rPr>
              <w:tab/>
            </w:r>
            <w:r w:rsidR="00A80381" w:rsidRPr="00E92C1D">
              <w:rPr>
                <w:kern w:val="22"/>
                <w:lang w:val="es-ES"/>
              </w:rPr>
              <w:t>Número y porcentaje de Partes que requieren consentimiento fundamentado previo y que prevén la emisión de un permiso o su equivalente al momento del acceso, conforme a lo dispuesto en el artículo 6.3 e)</w:t>
            </w:r>
          </w:p>
        </w:tc>
        <w:tc>
          <w:tcPr>
            <w:tcW w:w="1104" w:type="dxa"/>
            <w:shd w:val="clear" w:color="auto" w:fill="auto"/>
            <w:tcMar>
              <w:top w:w="29" w:type="dxa"/>
              <w:left w:w="115" w:type="dxa"/>
              <w:bottom w:w="29" w:type="dxa"/>
              <w:right w:w="115" w:type="dxa"/>
            </w:tcMar>
            <w:vAlign w:val="center"/>
          </w:tcPr>
          <w:p w:rsidR="009F5D7B" w:rsidRPr="00EE0850" w:rsidRDefault="00A80381" w:rsidP="00A80381">
            <w:pPr>
              <w:suppressLineNumbers/>
              <w:suppressAutoHyphens/>
              <w:kinsoku w:val="0"/>
              <w:overflowPunct w:val="0"/>
              <w:autoSpaceDE w:val="0"/>
              <w:autoSpaceDN w:val="0"/>
              <w:adjustRightInd w:val="0"/>
              <w:snapToGrid w:val="0"/>
              <w:spacing w:after="0" w:line="240" w:lineRule="auto"/>
              <w:jc w:val="center"/>
              <w:rPr>
                <w:kern w:val="22"/>
                <w:szCs w:val="22"/>
              </w:rPr>
            </w:pPr>
            <w:r w:rsidRPr="00C5131C">
              <w:rPr>
                <w:kern w:val="22"/>
                <w:szCs w:val="22"/>
                <w:lang w:val="es-ES"/>
              </w:rPr>
              <w:t xml:space="preserve"> </w:t>
            </w:r>
            <w:r w:rsidR="009F5D7B" w:rsidRPr="00EE0850">
              <w:rPr>
                <w:kern w:val="22"/>
                <w:szCs w:val="22"/>
              </w:rPr>
              <w:t xml:space="preserve">a) </w:t>
            </w:r>
            <w:r>
              <w:rPr>
                <w:kern w:val="22"/>
                <w:szCs w:val="22"/>
              </w:rPr>
              <w:t xml:space="preserve"> </w:t>
            </w:r>
            <w:r w:rsidR="009F5D7B" w:rsidRPr="00EE0850">
              <w:rPr>
                <w:kern w:val="22"/>
                <w:szCs w:val="22"/>
              </w:rPr>
              <w:t>b)</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EE0850">
              <w:rPr>
                <w:rFonts w:eastAsia="Calibri"/>
                <w:kern w:val="22"/>
                <w:szCs w:val="22"/>
              </w:rPr>
              <w:t>32 (86%)</w:t>
            </w:r>
          </w:p>
        </w:tc>
        <w:tc>
          <w:tcPr>
            <w:tcW w:w="1614" w:type="dxa"/>
            <w:shd w:val="clear" w:color="auto" w:fill="auto"/>
            <w:tcMar>
              <w:top w:w="29" w:type="dxa"/>
              <w:left w:w="115" w:type="dxa"/>
              <w:bottom w:w="29" w:type="dxa"/>
              <w:right w:w="115" w:type="dxa"/>
            </w:tcMar>
            <w:vAlign w:val="center"/>
          </w:tcPr>
          <w:p w:rsidR="009F5D7B" w:rsidRPr="00EE0850" w:rsidRDefault="00A80381" w:rsidP="00A80381">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Pr>
                <w:rFonts w:eastAsia="SimSun"/>
                <w:kern w:val="22"/>
                <w:szCs w:val="22"/>
              </w:rPr>
              <w:t xml:space="preserve">Pregunta </w:t>
            </w:r>
            <w:r w:rsidR="009F5D7B" w:rsidRPr="00EE0850">
              <w:rPr>
                <w:rFonts w:eastAsia="SimSun"/>
                <w:kern w:val="22"/>
                <w:szCs w:val="22"/>
              </w:rPr>
              <w:t>15</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A80381"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A80381">
              <w:rPr>
                <w:rFonts w:eastAsia="SimSun"/>
                <w:kern w:val="22"/>
                <w:szCs w:val="22"/>
                <w:lang w:val="es-ES"/>
              </w:rPr>
              <w:t>16.</w:t>
            </w:r>
            <w:r w:rsidRPr="00A80381">
              <w:rPr>
                <w:rFonts w:eastAsia="SimSun"/>
                <w:kern w:val="22"/>
                <w:szCs w:val="22"/>
                <w:lang w:val="es-ES"/>
              </w:rPr>
              <w:tab/>
            </w:r>
            <w:r w:rsidR="00A80381" w:rsidRPr="00E92C1D">
              <w:rPr>
                <w:color w:val="000000"/>
                <w:spacing w:val="-2"/>
                <w:kern w:val="22"/>
                <w:u w:color="000000"/>
                <w:lang w:val="es-ES"/>
              </w:rPr>
              <w:t>Número y porcentaje de Partes que requieren consentimiento fundamentado previo para el acceso a recursos genéticos y que tienen normas y procedimientos para requerir y establecer condiciones mutuamente acordadas, conforme a lo dispuesto en el artículo 6.3 g)</w:t>
            </w:r>
          </w:p>
        </w:tc>
        <w:tc>
          <w:tcPr>
            <w:tcW w:w="1104" w:type="dxa"/>
            <w:shd w:val="clear" w:color="auto" w:fill="auto"/>
            <w:tcMar>
              <w:top w:w="29" w:type="dxa"/>
              <w:left w:w="115" w:type="dxa"/>
              <w:bottom w:w="29" w:type="dxa"/>
              <w:right w:w="115" w:type="dxa"/>
            </w:tcMar>
            <w:vAlign w:val="center"/>
          </w:tcPr>
          <w:p w:rsidR="009F5D7B" w:rsidRPr="00EE0850" w:rsidRDefault="00A80381"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a)</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EE0850">
              <w:rPr>
                <w:rFonts w:eastAsia="Calibri"/>
                <w:kern w:val="22"/>
                <w:szCs w:val="22"/>
              </w:rPr>
              <w:t>28 (76%)</w:t>
            </w:r>
          </w:p>
        </w:tc>
        <w:tc>
          <w:tcPr>
            <w:tcW w:w="1614" w:type="dxa"/>
            <w:shd w:val="clear" w:color="auto" w:fill="auto"/>
            <w:tcMar>
              <w:top w:w="29" w:type="dxa"/>
              <w:left w:w="115" w:type="dxa"/>
              <w:bottom w:w="29" w:type="dxa"/>
              <w:right w:w="115" w:type="dxa"/>
            </w:tcMar>
            <w:vAlign w:val="center"/>
          </w:tcPr>
          <w:p w:rsidR="009F5D7B" w:rsidRPr="00EE0850" w:rsidRDefault="00A80381" w:rsidP="00A80381">
            <w:pPr>
              <w:suppressLineNumbers/>
              <w:suppressAutoHyphens/>
              <w:kinsoku w:val="0"/>
              <w:overflowPunct w:val="0"/>
              <w:autoSpaceDE w:val="0"/>
              <w:autoSpaceDN w:val="0"/>
              <w:adjustRightInd w:val="0"/>
              <w:snapToGrid w:val="0"/>
              <w:spacing w:after="0" w:line="240" w:lineRule="auto"/>
              <w:jc w:val="left"/>
              <w:rPr>
                <w:rFonts w:eastAsia="Calibri"/>
                <w:color w:val="000000"/>
                <w:kern w:val="22"/>
                <w:szCs w:val="22"/>
                <w:u w:color="000000"/>
              </w:rPr>
            </w:pPr>
            <w:r>
              <w:rPr>
                <w:rFonts w:eastAsia="Calibri"/>
                <w:color w:val="000000"/>
                <w:kern w:val="22"/>
                <w:szCs w:val="22"/>
                <w:u w:color="000000"/>
              </w:rPr>
              <w:t xml:space="preserve">Pregunta </w:t>
            </w:r>
            <w:r w:rsidR="009F5D7B" w:rsidRPr="00EE0850">
              <w:rPr>
                <w:rFonts w:eastAsia="Calibri"/>
                <w:color w:val="000000"/>
                <w:kern w:val="22"/>
                <w:szCs w:val="22"/>
                <w:u w:color="000000"/>
              </w:rPr>
              <w:t>17</w:t>
            </w:r>
          </w:p>
        </w:tc>
      </w:tr>
      <w:tr w:rsidR="00A80381" w:rsidRPr="00EE0850" w:rsidTr="005111BD">
        <w:trPr>
          <w:cantSplit/>
          <w:jc w:val="center"/>
        </w:trPr>
        <w:tc>
          <w:tcPr>
            <w:tcW w:w="5552" w:type="dxa"/>
            <w:shd w:val="clear" w:color="auto" w:fill="auto"/>
            <w:tcMar>
              <w:top w:w="29" w:type="dxa"/>
              <w:left w:w="115" w:type="dxa"/>
              <w:bottom w:w="29" w:type="dxa"/>
              <w:right w:w="115" w:type="dxa"/>
            </w:tcMar>
          </w:tcPr>
          <w:p w:rsidR="00A80381" w:rsidRPr="00A80381" w:rsidRDefault="00A80381"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A80381">
              <w:rPr>
                <w:rFonts w:eastAsia="SimSun"/>
                <w:kern w:val="22"/>
                <w:szCs w:val="22"/>
                <w:lang w:val="es-ES"/>
              </w:rPr>
              <w:t>17.</w:t>
            </w:r>
            <w:r w:rsidRPr="00A80381">
              <w:rPr>
                <w:rFonts w:eastAsia="SimSun"/>
                <w:kern w:val="22"/>
                <w:szCs w:val="22"/>
                <w:lang w:val="es-ES"/>
              </w:rPr>
              <w:tab/>
            </w:r>
            <w:r w:rsidRPr="00E92C1D">
              <w:rPr>
                <w:i/>
                <w:iCs/>
                <w:color w:val="000000"/>
                <w:kern w:val="22"/>
                <w:u w:color="000000"/>
                <w:lang w:val="es-ES"/>
              </w:rPr>
              <w:t>Revisado:</w:t>
            </w:r>
            <w:r w:rsidRPr="00E92C1D">
              <w:rPr>
                <w:color w:val="000000"/>
                <w:kern w:val="22"/>
                <w:u w:color="000000"/>
                <w:lang w:val="es-ES"/>
              </w:rPr>
              <w:t xml:space="preserve"> Número y porcentaje de Partes </w:t>
            </w:r>
            <w:r w:rsidRPr="00E92C1D">
              <w:rPr>
                <w:kern w:val="22"/>
                <w:lang w:val="es-ES"/>
              </w:rPr>
              <w:t>que requieren consentimiento fundamentado previo para acceder a recursos genéticos para su utilización y que han recibido beneficios monetarios por otorgar acceso a dichos recursos desde la entrada en vigor del Protocolo</w:t>
            </w:r>
          </w:p>
        </w:tc>
        <w:tc>
          <w:tcPr>
            <w:tcW w:w="1104" w:type="dxa"/>
            <w:shd w:val="clear" w:color="auto" w:fill="auto"/>
            <w:tcMar>
              <w:top w:w="29" w:type="dxa"/>
              <w:left w:w="115" w:type="dxa"/>
              <w:bottom w:w="29" w:type="dxa"/>
              <w:right w:w="115" w:type="dxa"/>
            </w:tcMar>
            <w:vAlign w:val="center"/>
          </w:tcPr>
          <w:p w:rsidR="00A80381" w:rsidRPr="00EE0850" w:rsidRDefault="00A80381"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A80381">
              <w:rPr>
                <w:rFonts w:eastAsia="Calibri"/>
                <w:kern w:val="22"/>
                <w:szCs w:val="22"/>
                <w:lang w:val="es-ES"/>
              </w:rPr>
              <w:t xml:space="preserve"> </w:t>
            </w:r>
            <w:r w:rsidRPr="00EE0850">
              <w:rPr>
                <w:rFonts w:eastAsia="Calibri"/>
                <w:kern w:val="22"/>
                <w:szCs w:val="22"/>
              </w:rPr>
              <w:t>b)</w:t>
            </w:r>
          </w:p>
        </w:tc>
        <w:tc>
          <w:tcPr>
            <w:tcW w:w="1506" w:type="dxa"/>
            <w:shd w:val="clear" w:color="auto" w:fill="auto"/>
            <w:tcMar>
              <w:top w:w="29" w:type="dxa"/>
              <w:left w:w="115" w:type="dxa"/>
              <w:bottom w:w="29" w:type="dxa"/>
              <w:right w:w="115" w:type="dxa"/>
            </w:tcMar>
            <w:vAlign w:val="center"/>
          </w:tcPr>
          <w:p w:rsidR="00A80381" w:rsidRPr="00EE0850" w:rsidRDefault="00A80381" w:rsidP="00A601E5">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Pr>
                <w:rFonts w:eastAsia="SimSun"/>
                <w:kern w:val="22"/>
                <w:szCs w:val="22"/>
              </w:rPr>
              <w:t>Sin información concluyente</w:t>
            </w:r>
          </w:p>
        </w:tc>
        <w:tc>
          <w:tcPr>
            <w:tcW w:w="1614" w:type="dxa"/>
            <w:shd w:val="clear" w:color="auto" w:fill="auto"/>
            <w:tcMar>
              <w:top w:w="29" w:type="dxa"/>
              <w:left w:w="115" w:type="dxa"/>
              <w:bottom w:w="29" w:type="dxa"/>
              <w:right w:w="115" w:type="dxa"/>
            </w:tcMar>
            <w:vAlign w:val="center"/>
          </w:tcPr>
          <w:p w:rsidR="00A80381" w:rsidRPr="00EE0850" w:rsidRDefault="00A80381" w:rsidP="00A601E5">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Pr>
                <w:rFonts w:eastAsia="SimSun"/>
                <w:kern w:val="22"/>
                <w:szCs w:val="22"/>
              </w:rPr>
              <w:t>La pregunta 1</w:t>
            </w:r>
            <w:r w:rsidRPr="00EE0850">
              <w:rPr>
                <w:rFonts w:eastAsia="SimSun"/>
                <w:kern w:val="22"/>
                <w:szCs w:val="22"/>
              </w:rPr>
              <w:t>8 requi</w:t>
            </w:r>
            <w:r>
              <w:rPr>
                <w:rFonts w:eastAsia="SimSun"/>
                <w:kern w:val="22"/>
                <w:szCs w:val="22"/>
              </w:rPr>
              <w:t>ere revisión</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A80381"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A80381">
              <w:rPr>
                <w:rFonts w:eastAsia="SimSun"/>
                <w:kern w:val="22"/>
                <w:szCs w:val="22"/>
                <w:lang w:val="es-ES"/>
              </w:rPr>
              <w:t>18.</w:t>
            </w:r>
            <w:r w:rsidRPr="00A80381">
              <w:rPr>
                <w:rFonts w:eastAsia="SimSun"/>
                <w:kern w:val="22"/>
                <w:szCs w:val="22"/>
                <w:lang w:val="es-ES"/>
              </w:rPr>
              <w:tab/>
            </w:r>
            <w:r w:rsidR="00A80381" w:rsidRPr="00E92C1D">
              <w:rPr>
                <w:i/>
                <w:iCs/>
                <w:color w:val="000000"/>
                <w:kern w:val="22"/>
                <w:u w:color="000000"/>
                <w:lang w:val="es-ES"/>
              </w:rPr>
              <w:t>Nuevo:</w:t>
            </w:r>
            <w:r w:rsidR="00A80381" w:rsidRPr="00E92C1D">
              <w:rPr>
                <w:color w:val="000000"/>
                <w:kern w:val="22"/>
                <w:u w:color="000000"/>
                <w:lang w:val="es-ES"/>
              </w:rPr>
              <w:t xml:space="preserve"> </w:t>
            </w:r>
            <w:r w:rsidR="00A80381" w:rsidRPr="00E92C1D">
              <w:rPr>
                <w:kern w:val="22"/>
                <w:lang w:val="es-ES"/>
              </w:rPr>
              <w:t>Monto de beneficios monetarios (en dólares de los EE.UU.) recibidos por otorgar acceso a recursos genéticos para su utilización desde la entrada en vigor del Protocolo</w:t>
            </w:r>
          </w:p>
        </w:tc>
        <w:tc>
          <w:tcPr>
            <w:tcW w:w="1104" w:type="dxa"/>
            <w:shd w:val="clear" w:color="auto" w:fill="auto"/>
            <w:tcMar>
              <w:top w:w="29" w:type="dxa"/>
              <w:left w:w="115" w:type="dxa"/>
              <w:bottom w:w="29" w:type="dxa"/>
              <w:right w:w="115" w:type="dxa"/>
            </w:tcMar>
            <w:vAlign w:val="center"/>
          </w:tcPr>
          <w:p w:rsidR="009F5D7B" w:rsidRPr="00EE0850" w:rsidRDefault="00A80381"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A80381">
              <w:rPr>
                <w:rFonts w:eastAsia="Calibri"/>
                <w:kern w:val="22"/>
                <w:szCs w:val="22"/>
                <w:lang w:val="es-ES"/>
              </w:rPr>
              <w:t xml:space="preserve"> </w:t>
            </w:r>
            <w:r w:rsidR="009F5D7B" w:rsidRPr="00EE0850">
              <w:rPr>
                <w:rFonts w:eastAsia="Calibri"/>
                <w:kern w:val="22"/>
                <w:szCs w:val="22"/>
              </w:rPr>
              <w:t>b)</w:t>
            </w:r>
          </w:p>
        </w:tc>
        <w:tc>
          <w:tcPr>
            <w:tcW w:w="1506" w:type="dxa"/>
            <w:shd w:val="clear" w:color="auto" w:fill="auto"/>
            <w:tcMar>
              <w:top w:w="29" w:type="dxa"/>
              <w:left w:w="115" w:type="dxa"/>
              <w:bottom w:w="29" w:type="dxa"/>
              <w:right w:w="115" w:type="dxa"/>
            </w:tcMar>
            <w:vAlign w:val="center"/>
          </w:tcPr>
          <w:p w:rsidR="009F5D7B" w:rsidRPr="00EE0850" w:rsidRDefault="00A80381" w:rsidP="00A80381">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Pr>
                <w:rFonts w:eastAsia="SimSun"/>
                <w:kern w:val="22"/>
                <w:szCs w:val="22"/>
              </w:rPr>
              <w:t>Sin información concluyente</w:t>
            </w:r>
          </w:p>
        </w:tc>
        <w:tc>
          <w:tcPr>
            <w:tcW w:w="1614" w:type="dxa"/>
            <w:shd w:val="clear" w:color="auto" w:fill="auto"/>
            <w:tcMar>
              <w:top w:w="29" w:type="dxa"/>
              <w:left w:w="115" w:type="dxa"/>
              <w:bottom w:w="29" w:type="dxa"/>
              <w:right w:w="115" w:type="dxa"/>
            </w:tcMar>
            <w:vAlign w:val="center"/>
          </w:tcPr>
          <w:p w:rsidR="009F5D7B" w:rsidRPr="00EE0850" w:rsidRDefault="00A80381" w:rsidP="00A80381">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Pr>
                <w:rFonts w:eastAsia="SimSun"/>
                <w:kern w:val="22"/>
                <w:szCs w:val="22"/>
              </w:rPr>
              <w:t>La pregunta 1</w:t>
            </w:r>
            <w:r w:rsidR="009F5D7B" w:rsidRPr="00EE0850">
              <w:rPr>
                <w:rFonts w:eastAsia="SimSun"/>
                <w:kern w:val="22"/>
                <w:szCs w:val="22"/>
              </w:rPr>
              <w:t>8 requi</w:t>
            </w:r>
            <w:r>
              <w:rPr>
                <w:rFonts w:eastAsia="SimSun"/>
                <w:kern w:val="22"/>
                <w:szCs w:val="22"/>
              </w:rPr>
              <w:t>ere revisión</w:t>
            </w:r>
          </w:p>
        </w:tc>
      </w:tr>
      <w:tr w:rsidR="00A80381" w:rsidRPr="00EE0850" w:rsidTr="005111BD">
        <w:trPr>
          <w:cantSplit/>
          <w:jc w:val="center"/>
        </w:trPr>
        <w:tc>
          <w:tcPr>
            <w:tcW w:w="5552" w:type="dxa"/>
            <w:shd w:val="clear" w:color="auto" w:fill="auto"/>
            <w:tcMar>
              <w:top w:w="29" w:type="dxa"/>
              <w:left w:w="115" w:type="dxa"/>
              <w:bottom w:w="29" w:type="dxa"/>
              <w:right w:w="115" w:type="dxa"/>
            </w:tcMar>
          </w:tcPr>
          <w:p w:rsidR="00A80381" w:rsidRPr="00A80381" w:rsidRDefault="00A80381"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A80381">
              <w:rPr>
                <w:rFonts w:eastAsia="SimSun"/>
                <w:kern w:val="22"/>
                <w:szCs w:val="22"/>
                <w:lang w:val="es-ES"/>
              </w:rPr>
              <w:t>19.</w:t>
            </w:r>
            <w:r w:rsidRPr="00A80381">
              <w:rPr>
                <w:rFonts w:eastAsia="SimSun"/>
                <w:kern w:val="22"/>
                <w:szCs w:val="22"/>
                <w:lang w:val="es-ES"/>
              </w:rPr>
              <w:tab/>
            </w:r>
            <w:r w:rsidRPr="00E92C1D">
              <w:rPr>
                <w:i/>
                <w:iCs/>
                <w:color w:val="000000"/>
                <w:spacing w:val="-1"/>
                <w:kern w:val="22"/>
                <w:u w:color="000000"/>
                <w:lang w:val="es-ES"/>
              </w:rPr>
              <w:t>Revisado:</w:t>
            </w:r>
            <w:r w:rsidRPr="00E92C1D">
              <w:rPr>
                <w:color w:val="000000"/>
                <w:spacing w:val="-1"/>
                <w:kern w:val="22"/>
                <w:u w:color="000000"/>
                <w:lang w:val="es-ES"/>
              </w:rPr>
              <w:t xml:space="preserve"> Número y porcentaje de Partes </w:t>
            </w:r>
            <w:r w:rsidRPr="00E92C1D">
              <w:rPr>
                <w:spacing w:val="-1"/>
                <w:kern w:val="22"/>
                <w:lang w:val="es-ES"/>
              </w:rPr>
              <w:t>que requieren consentimiento fundamentado previo para el acceso a recursos genéticos y que han recibido beneficios no monetarios por otorgar acceso a dichos recursos desde la entrada en vigor del Protocolo</w:t>
            </w:r>
          </w:p>
        </w:tc>
        <w:tc>
          <w:tcPr>
            <w:tcW w:w="1104" w:type="dxa"/>
            <w:shd w:val="clear" w:color="auto" w:fill="auto"/>
            <w:tcMar>
              <w:top w:w="29" w:type="dxa"/>
              <w:left w:w="115" w:type="dxa"/>
              <w:bottom w:w="29" w:type="dxa"/>
              <w:right w:w="115" w:type="dxa"/>
            </w:tcMar>
            <w:vAlign w:val="center"/>
          </w:tcPr>
          <w:p w:rsidR="00A80381" w:rsidRPr="00EE0850" w:rsidRDefault="00A80381"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A80381">
              <w:rPr>
                <w:rFonts w:eastAsia="Calibri"/>
                <w:kern w:val="22"/>
                <w:szCs w:val="22"/>
                <w:lang w:val="es-ES"/>
              </w:rPr>
              <w:t xml:space="preserve"> </w:t>
            </w:r>
            <w:r w:rsidRPr="00EE0850">
              <w:rPr>
                <w:rFonts w:eastAsia="Calibri"/>
                <w:kern w:val="22"/>
                <w:szCs w:val="22"/>
              </w:rPr>
              <w:t>b)</w:t>
            </w:r>
          </w:p>
        </w:tc>
        <w:tc>
          <w:tcPr>
            <w:tcW w:w="1506" w:type="dxa"/>
            <w:shd w:val="clear" w:color="auto" w:fill="auto"/>
            <w:tcMar>
              <w:top w:w="29" w:type="dxa"/>
              <w:left w:w="115" w:type="dxa"/>
              <w:bottom w:w="29" w:type="dxa"/>
              <w:right w:w="115" w:type="dxa"/>
            </w:tcMar>
            <w:vAlign w:val="center"/>
          </w:tcPr>
          <w:p w:rsidR="00A80381" w:rsidRPr="00EE0850" w:rsidRDefault="00A80381" w:rsidP="00A601E5">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Pr>
                <w:rFonts w:eastAsia="SimSun"/>
                <w:kern w:val="22"/>
                <w:szCs w:val="22"/>
              </w:rPr>
              <w:t>Sin información concluyente</w:t>
            </w:r>
          </w:p>
        </w:tc>
        <w:tc>
          <w:tcPr>
            <w:tcW w:w="1614" w:type="dxa"/>
            <w:shd w:val="clear" w:color="auto" w:fill="auto"/>
            <w:tcMar>
              <w:top w:w="29" w:type="dxa"/>
              <w:left w:w="115" w:type="dxa"/>
              <w:bottom w:w="29" w:type="dxa"/>
              <w:right w:w="115" w:type="dxa"/>
            </w:tcMar>
            <w:vAlign w:val="center"/>
          </w:tcPr>
          <w:p w:rsidR="00A80381" w:rsidRPr="00EE0850" w:rsidRDefault="00A80381" w:rsidP="00A601E5">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Pr>
                <w:rFonts w:eastAsia="SimSun"/>
                <w:kern w:val="22"/>
                <w:szCs w:val="22"/>
              </w:rPr>
              <w:t>La pregunta 1</w:t>
            </w:r>
            <w:r w:rsidRPr="00EE0850">
              <w:rPr>
                <w:rFonts w:eastAsia="SimSun"/>
                <w:kern w:val="22"/>
                <w:szCs w:val="22"/>
              </w:rPr>
              <w:t>8 requi</w:t>
            </w:r>
            <w:r>
              <w:rPr>
                <w:rFonts w:eastAsia="SimSun"/>
                <w:kern w:val="22"/>
                <w:szCs w:val="22"/>
              </w:rPr>
              <w:t>ere revisión</w:t>
            </w:r>
          </w:p>
        </w:tc>
      </w:tr>
      <w:tr w:rsidR="00A80381" w:rsidRPr="00EE0850" w:rsidTr="005111BD">
        <w:trPr>
          <w:cantSplit/>
          <w:jc w:val="center"/>
        </w:trPr>
        <w:tc>
          <w:tcPr>
            <w:tcW w:w="5552" w:type="dxa"/>
            <w:shd w:val="clear" w:color="auto" w:fill="auto"/>
            <w:tcMar>
              <w:top w:w="29" w:type="dxa"/>
              <w:left w:w="115" w:type="dxa"/>
              <w:bottom w:w="29" w:type="dxa"/>
              <w:right w:w="115" w:type="dxa"/>
            </w:tcMar>
          </w:tcPr>
          <w:p w:rsidR="00A80381" w:rsidRPr="00A80381" w:rsidRDefault="00A80381"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A80381">
              <w:rPr>
                <w:rFonts w:eastAsia="SimSun"/>
                <w:kern w:val="22"/>
                <w:szCs w:val="22"/>
                <w:lang w:val="es-ES"/>
              </w:rPr>
              <w:t>20.</w:t>
            </w:r>
            <w:r w:rsidRPr="00A80381">
              <w:rPr>
                <w:rFonts w:eastAsia="SimSun"/>
                <w:kern w:val="22"/>
                <w:szCs w:val="22"/>
                <w:lang w:val="es-ES"/>
              </w:rPr>
              <w:tab/>
            </w:r>
            <w:r w:rsidRPr="00E92C1D">
              <w:rPr>
                <w:i/>
                <w:iCs/>
                <w:color w:val="000000"/>
                <w:kern w:val="22"/>
                <w:u w:color="000000"/>
                <w:lang w:val="es-ES"/>
              </w:rPr>
              <w:t>Revisado:</w:t>
            </w:r>
            <w:r w:rsidRPr="00E92C1D">
              <w:rPr>
                <w:color w:val="000000"/>
                <w:kern w:val="22"/>
                <w:u w:color="000000"/>
                <w:lang w:val="es-ES"/>
              </w:rPr>
              <w:t xml:space="preserve"> Número y porcentaje de Partes </w:t>
            </w:r>
            <w:r w:rsidRPr="00E92C1D">
              <w:rPr>
                <w:kern w:val="22"/>
                <w:lang w:val="es-ES"/>
              </w:rPr>
              <w:t>con pueblos indígenas y comunidades locales en su país que han recibido beneficios monetarios por otorgar acceso a conocimientos tradicionales asociados a recursos genéticos desde la entrada en vigor del Protocolo</w:t>
            </w:r>
          </w:p>
        </w:tc>
        <w:tc>
          <w:tcPr>
            <w:tcW w:w="1104" w:type="dxa"/>
            <w:shd w:val="clear" w:color="auto" w:fill="auto"/>
            <w:tcMar>
              <w:top w:w="29" w:type="dxa"/>
              <w:left w:w="115" w:type="dxa"/>
              <w:bottom w:w="29" w:type="dxa"/>
              <w:right w:w="115" w:type="dxa"/>
            </w:tcMar>
            <w:vAlign w:val="center"/>
          </w:tcPr>
          <w:p w:rsidR="00A80381" w:rsidRPr="00EE0850" w:rsidRDefault="00A80381"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Pr="00EE0850">
              <w:rPr>
                <w:rFonts w:eastAsia="Calibri"/>
                <w:kern w:val="22"/>
                <w:szCs w:val="22"/>
              </w:rPr>
              <w:t>b)</w:t>
            </w:r>
          </w:p>
        </w:tc>
        <w:tc>
          <w:tcPr>
            <w:tcW w:w="1506" w:type="dxa"/>
            <w:shd w:val="clear" w:color="auto" w:fill="auto"/>
            <w:tcMar>
              <w:top w:w="29" w:type="dxa"/>
              <w:left w:w="115" w:type="dxa"/>
              <w:bottom w:w="29" w:type="dxa"/>
              <w:right w:w="115" w:type="dxa"/>
            </w:tcMar>
            <w:vAlign w:val="center"/>
          </w:tcPr>
          <w:p w:rsidR="00A80381" w:rsidRPr="00EE0850" w:rsidRDefault="00A80381" w:rsidP="00A601E5">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Pr>
                <w:rFonts w:eastAsia="SimSun"/>
                <w:kern w:val="22"/>
                <w:szCs w:val="22"/>
              </w:rPr>
              <w:t>Sin información concluyente</w:t>
            </w:r>
          </w:p>
        </w:tc>
        <w:tc>
          <w:tcPr>
            <w:tcW w:w="1614" w:type="dxa"/>
            <w:shd w:val="clear" w:color="auto" w:fill="auto"/>
            <w:tcMar>
              <w:top w:w="29" w:type="dxa"/>
              <w:left w:w="115" w:type="dxa"/>
              <w:bottom w:w="29" w:type="dxa"/>
              <w:right w:w="115" w:type="dxa"/>
            </w:tcMar>
            <w:vAlign w:val="center"/>
          </w:tcPr>
          <w:p w:rsidR="00A80381" w:rsidRPr="00EE0850" w:rsidRDefault="00A80381" w:rsidP="00A601E5">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Pr>
                <w:rFonts w:eastAsia="SimSun"/>
                <w:kern w:val="22"/>
                <w:szCs w:val="22"/>
              </w:rPr>
              <w:t>La pregunta 1</w:t>
            </w:r>
            <w:r w:rsidRPr="00EE0850">
              <w:rPr>
                <w:rFonts w:eastAsia="SimSun"/>
                <w:kern w:val="22"/>
                <w:szCs w:val="22"/>
              </w:rPr>
              <w:t>8 requi</w:t>
            </w:r>
            <w:r>
              <w:rPr>
                <w:rFonts w:eastAsia="SimSun"/>
                <w:kern w:val="22"/>
                <w:szCs w:val="22"/>
              </w:rPr>
              <w:t>ere revisión</w:t>
            </w:r>
          </w:p>
        </w:tc>
      </w:tr>
      <w:tr w:rsidR="00A80381" w:rsidRPr="00EE0850" w:rsidTr="005111BD">
        <w:trPr>
          <w:cantSplit/>
          <w:jc w:val="center"/>
        </w:trPr>
        <w:tc>
          <w:tcPr>
            <w:tcW w:w="5552" w:type="dxa"/>
            <w:shd w:val="clear" w:color="auto" w:fill="auto"/>
            <w:tcMar>
              <w:top w:w="29" w:type="dxa"/>
              <w:left w:w="115" w:type="dxa"/>
              <w:bottom w:w="29" w:type="dxa"/>
              <w:right w:w="115" w:type="dxa"/>
            </w:tcMar>
          </w:tcPr>
          <w:p w:rsidR="00A80381" w:rsidRPr="00A80381" w:rsidRDefault="00A80381"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A80381">
              <w:rPr>
                <w:rFonts w:eastAsia="SimSun"/>
                <w:kern w:val="22"/>
                <w:szCs w:val="22"/>
                <w:lang w:val="es-ES"/>
              </w:rPr>
              <w:lastRenderedPageBreak/>
              <w:t>21.</w:t>
            </w:r>
            <w:r w:rsidRPr="00A80381">
              <w:rPr>
                <w:rFonts w:eastAsia="SimSun"/>
                <w:kern w:val="22"/>
                <w:szCs w:val="22"/>
                <w:lang w:val="es-ES"/>
              </w:rPr>
              <w:tab/>
            </w:r>
            <w:r w:rsidRPr="00E92C1D">
              <w:rPr>
                <w:i/>
                <w:iCs/>
                <w:color w:val="000000"/>
                <w:kern w:val="22"/>
                <w:u w:color="000000"/>
                <w:lang w:val="es-ES"/>
              </w:rPr>
              <w:t>Nuevo:</w:t>
            </w:r>
            <w:r w:rsidRPr="00E92C1D">
              <w:rPr>
                <w:color w:val="000000"/>
                <w:kern w:val="22"/>
                <w:u w:color="000000"/>
                <w:lang w:val="es-ES"/>
              </w:rPr>
              <w:t xml:space="preserve"> </w:t>
            </w:r>
            <w:r w:rsidRPr="00E92C1D">
              <w:rPr>
                <w:kern w:val="22"/>
                <w:lang w:val="es-ES"/>
              </w:rPr>
              <w:t>Monto de beneficios monetarios (en dólares de los EE.UU.) recibidos por otorgar acceso a conocimientos tradicionales asociados a recursos genéticos para su utilización desde la entrada en vigor del Protocolo</w:t>
            </w:r>
          </w:p>
        </w:tc>
        <w:tc>
          <w:tcPr>
            <w:tcW w:w="1104" w:type="dxa"/>
            <w:shd w:val="clear" w:color="auto" w:fill="auto"/>
            <w:tcMar>
              <w:top w:w="29" w:type="dxa"/>
              <w:left w:w="115" w:type="dxa"/>
              <w:bottom w:w="29" w:type="dxa"/>
              <w:right w:w="115" w:type="dxa"/>
            </w:tcMar>
            <w:vAlign w:val="center"/>
          </w:tcPr>
          <w:p w:rsidR="00A80381" w:rsidRPr="00EE0850" w:rsidRDefault="00A80381"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A80381">
              <w:rPr>
                <w:rFonts w:eastAsia="Calibri"/>
                <w:kern w:val="22"/>
                <w:szCs w:val="22"/>
                <w:lang w:val="es-ES"/>
              </w:rPr>
              <w:t xml:space="preserve"> </w:t>
            </w:r>
            <w:r w:rsidRPr="00EE0850">
              <w:rPr>
                <w:rFonts w:eastAsia="Calibri"/>
                <w:kern w:val="22"/>
                <w:szCs w:val="22"/>
              </w:rPr>
              <w:t>b)</w:t>
            </w:r>
          </w:p>
        </w:tc>
        <w:tc>
          <w:tcPr>
            <w:tcW w:w="1506" w:type="dxa"/>
            <w:shd w:val="clear" w:color="auto" w:fill="auto"/>
            <w:tcMar>
              <w:top w:w="29" w:type="dxa"/>
              <w:left w:w="115" w:type="dxa"/>
              <w:bottom w:w="29" w:type="dxa"/>
              <w:right w:w="115" w:type="dxa"/>
            </w:tcMar>
            <w:vAlign w:val="center"/>
          </w:tcPr>
          <w:p w:rsidR="00A80381" w:rsidRPr="00EE0850" w:rsidRDefault="00A80381" w:rsidP="00A601E5">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Pr>
                <w:rFonts w:eastAsia="SimSun"/>
                <w:kern w:val="22"/>
                <w:szCs w:val="22"/>
              </w:rPr>
              <w:t>Sin información concluyente</w:t>
            </w:r>
          </w:p>
        </w:tc>
        <w:tc>
          <w:tcPr>
            <w:tcW w:w="1614" w:type="dxa"/>
            <w:shd w:val="clear" w:color="auto" w:fill="auto"/>
            <w:tcMar>
              <w:top w:w="29" w:type="dxa"/>
              <w:left w:w="115" w:type="dxa"/>
              <w:bottom w:w="29" w:type="dxa"/>
              <w:right w:w="115" w:type="dxa"/>
            </w:tcMar>
            <w:vAlign w:val="center"/>
          </w:tcPr>
          <w:p w:rsidR="00A80381" w:rsidRPr="00EE0850" w:rsidRDefault="00A80381" w:rsidP="00A601E5">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Pr>
                <w:rFonts w:eastAsia="SimSun"/>
                <w:kern w:val="22"/>
                <w:szCs w:val="22"/>
              </w:rPr>
              <w:t>La pregunta 1</w:t>
            </w:r>
            <w:r w:rsidRPr="00EE0850">
              <w:rPr>
                <w:rFonts w:eastAsia="SimSun"/>
                <w:kern w:val="22"/>
                <w:szCs w:val="22"/>
              </w:rPr>
              <w:t>8 requi</w:t>
            </w:r>
            <w:r>
              <w:rPr>
                <w:rFonts w:eastAsia="SimSun"/>
                <w:kern w:val="22"/>
                <w:szCs w:val="22"/>
              </w:rPr>
              <w:t>ere revisión</w:t>
            </w:r>
          </w:p>
        </w:tc>
      </w:tr>
      <w:tr w:rsidR="00A80381" w:rsidRPr="00EE0850" w:rsidTr="005111BD">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A80381" w:rsidRPr="00A80381" w:rsidRDefault="00A80381"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A80381">
              <w:rPr>
                <w:rFonts w:eastAsia="SimSun"/>
                <w:kern w:val="22"/>
                <w:szCs w:val="22"/>
                <w:lang w:val="es-ES"/>
              </w:rPr>
              <w:t>22.</w:t>
            </w:r>
            <w:r w:rsidRPr="00A80381">
              <w:rPr>
                <w:rFonts w:eastAsia="SimSun"/>
                <w:kern w:val="22"/>
                <w:szCs w:val="22"/>
                <w:lang w:val="es-ES"/>
              </w:rPr>
              <w:tab/>
            </w:r>
            <w:r w:rsidRPr="00E92C1D">
              <w:rPr>
                <w:i/>
                <w:iCs/>
                <w:color w:val="000000"/>
                <w:kern w:val="22"/>
                <w:u w:color="000000"/>
                <w:lang w:val="es-ES"/>
              </w:rPr>
              <w:t>Revisado:</w:t>
            </w:r>
            <w:r w:rsidRPr="00E92C1D">
              <w:rPr>
                <w:color w:val="000000"/>
                <w:kern w:val="22"/>
                <w:u w:color="000000"/>
                <w:lang w:val="es-ES"/>
              </w:rPr>
              <w:t xml:space="preserve"> Número y porcentaje de Partes </w:t>
            </w:r>
            <w:r w:rsidRPr="00E92C1D">
              <w:rPr>
                <w:kern w:val="22"/>
                <w:lang w:val="es-ES"/>
              </w:rPr>
              <w:t>con pueblos indígenas y comunidades locales en su país que han recibido beneficios no monetarios por otorgar acceso a conocimientos tradicionales asociados a recursos genéticos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A80381" w:rsidRPr="00EE0850" w:rsidRDefault="00A80381"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A80381">
              <w:rPr>
                <w:rFonts w:eastAsia="Calibri"/>
                <w:kern w:val="22"/>
                <w:szCs w:val="22"/>
                <w:lang w:val="es-ES"/>
              </w:rPr>
              <w:t xml:space="preserve"> </w:t>
            </w:r>
            <w:r w:rsidRPr="00EE0850">
              <w:rPr>
                <w:rFonts w:eastAsia="Calibri"/>
                <w:kern w:val="22"/>
                <w:szCs w:val="22"/>
              </w:rPr>
              <w:t>b)</w:t>
            </w:r>
          </w:p>
        </w:tc>
        <w:tc>
          <w:tcPr>
            <w:tcW w:w="1506" w:type="dxa"/>
            <w:tcBorders>
              <w:bottom w:val="single" w:sz="4" w:space="0" w:color="auto"/>
            </w:tcBorders>
            <w:shd w:val="clear" w:color="auto" w:fill="auto"/>
            <w:tcMar>
              <w:top w:w="29" w:type="dxa"/>
              <w:left w:w="115" w:type="dxa"/>
              <w:bottom w:w="29" w:type="dxa"/>
              <w:right w:w="115" w:type="dxa"/>
            </w:tcMar>
            <w:vAlign w:val="center"/>
          </w:tcPr>
          <w:p w:rsidR="00A80381" w:rsidRPr="00EE0850" w:rsidRDefault="00A80381" w:rsidP="00A601E5">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Pr>
                <w:rFonts w:eastAsia="SimSun"/>
                <w:kern w:val="22"/>
                <w:szCs w:val="22"/>
              </w:rPr>
              <w:t>Sin información concluyente</w:t>
            </w:r>
          </w:p>
        </w:tc>
        <w:tc>
          <w:tcPr>
            <w:tcW w:w="1614" w:type="dxa"/>
            <w:tcBorders>
              <w:bottom w:val="single" w:sz="4" w:space="0" w:color="auto"/>
            </w:tcBorders>
            <w:shd w:val="clear" w:color="auto" w:fill="auto"/>
            <w:tcMar>
              <w:top w:w="29" w:type="dxa"/>
              <w:left w:w="115" w:type="dxa"/>
              <w:bottom w:w="29" w:type="dxa"/>
              <w:right w:w="115" w:type="dxa"/>
            </w:tcMar>
            <w:vAlign w:val="center"/>
          </w:tcPr>
          <w:p w:rsidR="00A80381" w:rsidRPr="00EE0850" w:rsidRDefault="00A80381" w:rsidP="00A601E5">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Pr>
                <w:rFonts w:eastAsia="SimSun"/>
                <w:kern w:val="22"/>
                <w:szCs w:val="22"/>
              </w:rPr>
              <w:t>La pregunta 1</w:t>
            </w:r>
            <w:r w:rsidRPr="00EE0850">
              <w:rPr>
                <w:rFonts w:eastAsia="SimSun"/>
                <w:kern w:val="22"/>
                <w:szCs w:val="22"/>
              </w:rPr>
              <w:t>8 requi</w:t>
            </w:r>
            <w:r>
              <w:rPr>
                <w:rFonts w:eastAsia="SimSun"/>
                <w:kern w:val="22"/>
                <w:szCs w:val="22"/>
              </w:rPr>
              <w:t>ere revisión</w:t>
            </w:r>
          </w:p>
        </w:tc>
      </w:tr>
      <w:tr w:rsidR="009F5D7B" w:rsidRPr="00024C71" w:rsidTr="005111BD">
        <w:trPr>
          <w:cantSplit/>
          <w:jc w:val="center"/>
        </w:trPr>
        <w:tc>
          <w:tcPr>
            <w:tcW w:w="9776" w:type="dxa"/>
            <w:gridSpan w:val="4"/>
            <w:tcBorders>
              <w:bottom w:val="single" w:sz="4" w:space="0" w:color="auto"/>
            </w:tcBorders>
            <w:shd w:val="pct5" w:color="auto" w:fill="auto"/>
            <w:tcMar>
              <w:top w:w="29" w:type="dxa"/>
              <w:left w:w="115" w:type="dxa"/>
              <w:bottom w:w="29" w:type="dxa"/>
              <w:right w:w="115" w:type="dxa"/>
            </w:tcMar>
            <w:vAlign w:val="center"/>
          </w:tcPr>
          <w:p w:rsidR="009F5D7B" w:rsidRPr="00A80381" w:rsidRDefault="00A80381" w:rsidP="000C6220">
            <w:pPr>
              <w:keepNext/>
              <w:suppressLineNumbers/>
              <w:suppressAutoHyphens/>
              <w:kinsoku w:val="0"/>
              <w:overflowPunct w:val="0"/>
              <w:autoSpaceDE w:val="0"/>
              <w:autoSpaceDN w:val="0"/>
              <w:adjustRightInd w:val="0"/>
              <w:snapToGrid w:val="0"/>
              <w:spacing w:after="0" w:line="240" w:lineRule="auto"/>
              <w:ind w:left="317"/>
              <w:jc w:val="left"/>
              <w:rPr>
                <w:rFonts w:eastAsia="SimSun"/>
                <w:b/>
                <w:kern w:val="22"/>
                <w:szCs w:val="22"/>
                <w:lang w:val="es-ES"/>
              </w:rPr>
            </w:pPr>
            <w:r w:rsidRPr="00E92C1D">
              <w:rPr>
                <w:b/>
                <w:bCs/>
                <w:kern w:val="22"/>
                <w:lang w:val="es-ES"/>
              </w:rPr>
              <w:t xml:space="preserve">Medidas legislativas, administrativas o de política sobre APB: participación justa y equitativa (artículo </w:t>
            </w:r>
            <w:r w:rsidR="009F5D7B" w:rsidRPr="00A80381">
              <w:rPr>
                <w:rFonts w:eastAsia="SimSun"/>
                <w:b/>
                <w:kern w:val="22"/>
                <w:szCs w:val="22"/>
                <w:lang w:val="es-ES"/>
              </w:rPr>
              <w:t>5)</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974DFD"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974DFD">
              <w:rPr>
                <w:rFonts w:eastAsia="SimSun"/>
                <w:kern w:val="22"/>
                <w:szCs w:val="22"/>
                <w:lang w:val="es-ES"/>
              </w:rPr>
              <w:t>23.</w:t>
            </w:r>
            <w:r w:rsidRPr="00974DFD">
              <w:rPr>
                <w:rFonts w:eastAsia="SimSun"/>
                <w:kern w:val="22"/>
                <w:szCs w:val="22"/>
                <w:lang w:val="es-ES"/>
              </w:rPr>
              <w:tab/>
            </w:r>
            <w:r w:rsidR="00974DFD" w:rsidRPr="00E92C1D">
              <w:rPr>
                <w:color w:val="000000"/>
                <w:kern w:val="22"/>
                <w:u w:color="000000"/>
                <w:lang w:val="es-ES"/>
              </w:rPr>
              <w:t xml:space="preserve">Número y porcentaje </w:t>
            </w:r>
            <w:r w:rsidR="00974DFD" w:rsidRPr="00E92C1D">
              <w:rPr>
                <w:kern w:val="22"/>
                <w:lang w:val="es-ES"/>
              </w:rPr>
              <w:t>de Partes con medidas legislativas, administrativas y de política sobre APB para aplicar el artículo 5.1 (recursos genéticos)</w:t>
            </w:r>
          </w:p>
        </w:tc>
        <w:tc>
          <w:tcPr>
            <w:tcW w:w="1104" w:type="dxa"/>
            <w:shd w:val="clear" w:color="auto" w:fill="auto"/>
            <w:tcMar>
              <w:top w:w="29" w:type="dxa"/>
              <w:left w:w="115" w:type="dxa"/>
              <w:bottom w:w="29" w:type="dxa"/>
              <w:right w:w="115" w:type="dxa"/>
            </w:tcMar>
            <w:vAlign w:val="center"/>
          </w:tcPr>
          <w:p w:rsidR="009F5D7B" w:rsidRPr="00EE0850" w:rsidRDefault="00974DFD"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kern w:val="22"/>
                <w:szCs w:val="22"/>
                <w:lang w:val="es-ES"/>
              </w:rPr>
              <w:t xml:space="preserve"> </w:t>
            </w:r>
            <w:r w:rsidR="009F5D7B" w:rsidRPr="00EE0850">
              <w:rPr>
                <w:kern w:val="22"/>
                <w:szCs w:val="22"/>
              </w:rPr>
              <w:t>a)</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sidRPr="00EE0850">
              <w:rPr>
                <w:rFonts w:eastAsia="SimSun"/>
                <w:kern w:val="22"/>
                <w:szCs w:val="22"/>
              </w:rPr>
              <w:t>46 (44%)</w:t>
            </w:r>
          </w:p>
        </w:tc>
        <w:tc>
          <w:tcPr>
            <w:tcW w:w="1614" w:type="dxa"/>
            <w:shd w:val="clear" w:color="auto" w:fill="auto"/>
            <w:tcMar>
              <w:top w:w="29" w:type="dxa"/>
              <w:left w:w="115" w:type="dxa"/>
              <w:bottom w:w="29" w:type="dxa"/>
              <w:right w:w="115" w:type="dxa"/>
            </w:tcMar>
            <w:vAlign w:val="center"/>
          </w:tcPr>
          <w:p w:rsidR="009F5D7B" w:rsidRPr="00EE0850" w:rsidRDefault="00974DFD" w:rsidP="00974DFD">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Pr>
                <w:rFonts w:eastAsia="SimSun"/>
                <w:kern w:val="22"/>
                <w:szCs w:val="22"/>
              </w:rPr>
              <w:t xml:space="preserve">Pregunta </w:t>
            </w:r>
            <w:r w:rsidR="009F5D7B" w:rsidRPr="00EE0850">
              <w:rPr>
                <w:rFonts w:eastAsia="SimSun"/>
                <w:kern w:val="22"/>
                <w:szCs w:val="22"/>
              </w:rPr>
              <w:t>20</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974DFD"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974DFD">
              <w:rPr>
                <w:rFonts w:eastAsia="SimSun"/>
                <w:kern w:val="22"/>
                <w:szCs w:val="22"/>
                <w:lang w:val="es-ES"/>
              </w:rPr>
              <w:t>24.</w:t>
            </w:r>
            <w:r w:rsidRPr="00974DFD">
              <w:rPr>
                <w:rFonts w:eastAsia="SimSun"/>
                <w:kern w:val="22"/>
                <w:szCs w:val="22"/>
                <w:lang w:val="es-ES"/>
              </w:rPr>
              <w:tab/>
            </w:r>
            <w:r w:rsidR="00974DFD" w:rsidRPr="00E92C1D">
              <w:rPr>
                <w:color w:val="000000"/>
                <w:kern w:val="22"/>
                <w:u w:color="000000"/>
                <w:lang w:val="es-ES"/>
              </w:rPr>
              <w:t xml:space="preserve">Número y porcentaje </w:t>
            </w:r>
            <w:r w:rsidR="00974DFD" w:rsidRPr="00E92C1D">
              <w:rPr>
                <w:kern w:val="22"/>
                <w:lang w:val="es-ES"/>
              </w:rPr>
              <w:t>de Partes con medidas legislativas, administrativas y de política sobre APB para aplicar el artículo 5.2 (recursos genéticos que están en posesión de pueblos indígenas y comunidades locales)</w:t>
            </w:r>
          </w:p>
        </w:tc>
        <w:tc>
          <w:tcPr>
            <w:tcW w:w="1104" w:type="dxa"/>
            <w:shd w:val="clear" w:color="auto" w:fill="auto"/>
            <w:tcMar>
              <w:top w:w="29" w:type="dxa"/>
              <w:left w:w="115" w:type="dxa"/>
              <w:bottom w:w="29" w:type="dxa"/>
              <w:right w:w="115" w:type="dxa"/>
            </w:tcMar>
            <w:vAlign w:val="center"/>
          </w:tcPr>
          <w:p w:rsidR="009F5D7B" w:rsidRPr="00EE0850" w:rsidRDefault="00974DFD"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kern w:val="22"/>
                <w:szCs w:val="22"/>
                <w:lang w:val="es-ES"/>
              </w:rPr>
              <w:t xml:space="preserve"> </w:t>
            </w:r>
            <w:r w:rsidR="009F5D7B" w:rsidRPr="00EE0850">
              <w:rPr>
                <w:kern w:val="22"/>
                <w:szCs w:val="22"/>
              </w:rPr>
              <w:t>a)</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sidRPr="00EE0850">
              <w:rPr>
                <w:rFonts w:eastAsia="SimSun"/>
                <w:kern w:val="22"/>
                <w:szCs w:val="22"/>
              </w:rPr>
              <w:t>42 (40%)</w:t>
            </w:r>
          </w:p>
        </w:tc>
        <w:tc>
          <w:tcPr>
            <w:tcW w:w="1614" w:type="dxa"/>
            <w:shd w:val="clear" w:color="auto" w:fill="auto"/>
            <w:tcMar>
              <w:top w:w="29" w:type="dxa"/>
              <w:left w:w="115" w:type="dxa"/>
              <w:bottom w:w="29" w:type="dxa"/>
              <w:right w:w="115" w:type="dxa"/>
            </w:tcMar>
            <w:vAlign w:val="center"/>
          </w:tcPr>
          <w:p w:rsidR="009F5D7B" w:rsidRPr="00EE0850" w:rsidRDefault="00974DFD" w:rsidP="00974DFD">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Pr>
                <w:rFonts w:eastAsia="SimSun"/>
                <w:kern w:val="22"/>
                <w:szCs w:val="22"/>
              </w:rPr>
              <w:t xml:space="preserve">Pregunta </w:t>
            </w:r>
            <w:r w:rsidR="009F5D7B" w:rsidRPr="00EE0850">
              <w:rPr>
                <w:rFonts w:eastAsia="SimSun"/>
                <w:kern w:val="22"/>
                <w:szCs w:val="22"/>
              </w:rPr>
              <w:t>21</w:t>
            </w:r>
          </w:p>
        </w:tc>
      </w:tr>
      <w:tr w:rsidR="009F5D7B" w:rsidRPr="00EE0850" w:rsidTr="005111BD">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F5D7B" w:rsidRPr="00974DFD"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974DFD">
              <w:rPr>
                <w:rFonts w:eastAsia="SimSun"/>
                <w:kern w:val="22"/>
                <w:szCs w:val="22"/>
                <w:lang w:val="es-ES"/>
              </w:rPr>
              <w:t>25.</w:t>
            </w:r>
            <w:r w:rsidRPr="00974DFD">
              <w:rPr>
                <w:rFonts w:eastAsia="SimSun"/>
                <w:kern w:val="22"/>
                <w:szCs w:val="22"/>
                <w:lang w:val="es-ES"/>
              </w:rPr>
              <w:tab/>
            </w:r>
            <w:r w:rsidR="00974DFD" w:rsidRPr="00E92C1D">
              <w:rPr>
                <w:color w:val="000000"/>
                <w:spacing w:val="-3"/>
                <w:kern w:val="22"/>
                <w:u w:color="000000"/>
                <w:lang w:val="es-ES"/>
              </w:rPr>
              <w:t xml:space="preserve">Número y porcentaje </w:t>
            </w:r>
            <w:r w:rsidR="00974DFD" w:rsidRPr="00E92C1D">
              <w:rPr>
                <w:spacing w:val="-3"/>
                <w:kern w:val="22"/>
                <w:lang w:val="es-ES"/>
              </w:rPr>
              <w:t>de Partes con medidas legislativas, administrativas y de política sobre APB para aplicar el artículo 5.5 (conocimientos tradicionales asociados a recursos genéticos</w:t>
            </w:r>
            <w:r w:rsidR="00974DFD">
              <w:rPr>
                <w:spacing w:val="-3"/>
                <w:kern w:val="22"/>
                <w:lang w:val="es-ES"/>
              </w:rPr>
              <w:t>)</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974DFD"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kern w:val="22"/>
                <w:szCs w:val="22"/>
                <w:lang w:val="es-ES"/>
              </w:rPr>
              <w:t xml:space="preserve"> </w:t>
            </w:r>
            <w:r w:rsidR="009F5D7B" w:rsidRPr="00EE0850">
              <w:rPr>
                <w:kern w:val="22"/>
                <w:szCs w:val="22"/>
              </w:rPr>
              <w:t>a)</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sidRPr="00EE0850">
              <w:rPr>
                <w:rFonts w:eastAsia="SimSun"/>
                <w:kern w:val="22"/>
                <w:szCs w:val="22"/>
              </w:rPr>
              <w:t>41(39%)</w:t>
            </w:r>
          </w:p>
        </w:tc>
        <w:tc>
          <w:tcPr>
            <w:tcW w:w="1614"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974DFD" w:rsidP="00974DFD">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Pr>
                <w:rFonts w:eastAsia="SimSun"/>
                <w:kern w:val="22"/>
                <w:szCs w:val="22"/>
              </w:rPr>
              <w:t xml:space="preserve">Pregunta </w:t>
            </w:r>
            <w:r w:rsidR="009F5D7B" w:rsidRPr="00EE0850">
              <w:rPr>
                <w:rFonts w:eastAsia="SimSun"/>
                <w:kern w:val="22"/>
                <w:szCs w:val="22"/>
              </w:rPr>
              <w:t>22</w:t>
            </w:r>
          </w:p>
        </w:tc>
      </w:tr>
      <w:tr w:rsidR="009F5D7B" w:rsidRPr="00024C71" w:rsidTr="005111BD">
        <w:trPr>
          <w:cantSplit/>
          <w:jc w:val="center"/>
        </w:trPr>
        <w:tc>
          <w:tcPr>
            <w:tcW w:w="9776" w:type="dxa"/>
            <w:gridSpan w:val="4"/>
            <w:shd w:val="pct5" w:color="auto" w:fill="auto"/>
            <w:tcMar>
              <w:top w:w="29" w:type="dxa"/>
              <w:left w:w="115" w:type="dxa"/>
              <w:bottom w:w="29" w:type="dxa"/>
              <w:right w:w="115" w:type="dxa"/>
            </w:tcMar>
            <w:vAlign w:val="center"/>
          </w:tcPr>
          <w:p w:rsidR="009F5D7B" w:rsidRPr="00974DFD" w:rsidRDefault="00974DFD" w:rsidP="000C6220">
            <w:pPr>
              <w:suppressLineNumbers/>
              <w:suppressAutoHyphens/>
              <w:kinsoku w:val="0"/>
              <w:overflowPunct w:val="0"/>
              <w:autoSpaceDE w:val="0"/>
              <w:autoSpaceDN w:val="0"/>
              <w:adjustRightInd w:val="0"/>
              <w:snapToGrid w:val="0"/>
              <w:spacing w:after="0" w:line="240" w:lineRule="auto"/>
              <w:ind w:left="314"/>
              <w:jc w:val="left"/>
              <w:rPr>
                <w:rFonts w:eastAsia="SimSun"/>
                <w:b/>
                <w:kern w:val="22"/>
                <w:szCs w:val="22"/>
                <w:lang w:val="es-ES"/>
              </w:rPr>
            </w:pPr>
            <w:r w:rsidRPr="00E92C1D">
              <w:rPr>
                <w:b/>
                <w:bCs/>
                <w:kern w:val="22"/>
                <w:lang w:val="es-ES"/>
              </w:rPr>
              <w:t xml:space="preserve">Medidas legislativas, administrativas o de política sobre APB: cumplimiento de la legislación o requisitos reglamentarios nacionales sobre APB (artículo 15 y 16) y vigilancia de la utilización de recursos genéticos (artículo </w:t>
            </w:r>
            <w:r w:rsidR="009F5D7B" w:rsidRPr="00974DFD">
              <w:rPr>
                <w:rFonts w:eastAsia="SimSun"/>
                <w:b/>
                <w:kern w:val="22"/>
                <w:szCs w:val="22"/>
                <w:lang w:val="es-ES"/>
              </w:rPr>
              <w:t>17)</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974DFD" w:rsidRDefault="009F5D7B" w:rsidP="000C6220">
            <w:pPr>
              <w:suppressLineNumbers/>
              <w:suppressAutoHyphens/>
              <w:kinsoku w:val="0"/>
              <w:overflowPunct w:val="0"/>
              <w:autoSpaceDE w:val="0"/>
              <w:autoSpaceDN w:val="0"/>
              <w:adjustRightInd w:val="0"/>
              <w:snapToGrid w:val="0"/>
              <w:spacing w:after="0" w:line="240" w:lineRule="auto"/>
              <w:ind w:left="314" w:hanging="360"/>
              <w:rPr>
                <w:kern w:val="22"/>
                <w:szCs w:val="22"/>
                <w:lang w:val="es-ES"/>
              </w:rPr>
            </w:pPr>
            <w:r w:rsidRPr="00974DFD">
              <w:rPr>
                <w:kern w:val="22"/>
                <w:szCs w:val="22"/>
                <w:lang w:val="es-ES"/>
              </w:rPr>
              <w:t>26.</w:t>
            </w:r>
            <w:r w:rsidRPr="00974DFD">
              <w:rPr>
                <w:kern w:val="22"/>
                <w:szCs w:val="22"/>
                <w:lang w:val="es-ES"/>
              </w:rPr>
              <w:tab/>
            </w:r>
            <w:r w:rsidR="00974DFD" w:rsidRPr="00E92C1D">
              <w:rPr>
                <w:kern w:val="22"/>
                <w:lang w:val="es-ES"/>
              </w:rPr>
              <w:t>Número y porcentaje de Partes que han adoptado medidas legislativas, administrativas o de política sobre APB apropiadas, eficaces y proporcionales para aplicar el artículo 15.1 (recursos genéticos)</w:t>
            </w:r>
          </w:p>
        </w:tc>
        <w:tc>
          <w:tcPr>
            <w:tcW w:w="1104" w:type="dxa"/>
            <w:shd w:val="clear" w:color="auto" w:fill="auto"/>
            <w:tcMar>
              <w:top w:w="29" w:type="dxa"/>
              <w:left w:w="115" w:type="dxa"/>
              <w:bottom w:w="29" w:type="dxa"/>
              <w:right w:w="115" w:type="dxa"/>
            </w:tcMar>
            <w:vAlign w:val="center"/>
          </w:tcPr>
          <w:p w:rsidR="009F5D7B" w:rsidRPr="00EE0850" w:rsidRDefault="00974DFD"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b)</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sidRPr="00EE0850">
              <w:rPr>
                <w:rFonts w:eastAsia="SimSun"/>
                <w:kern w:val="22"/>
                <w:szCs w:val="22"/>
              </w:rPr>
              <w:t>36 (34%)</w:t>
            </w:r>
          </w:p>
        </w:tc>
        <w:tc>
          <w:tcPr>
            <w:tcW w:w="1614" w:type="dxa"/>
            <w:shd w:val="clear" w:color="auto" w:fill="auto"/>
            <w:tcMar>
              <w:top w:w="29" w:type="dxa"/>
              <w:left w:w="115" w:type="dxa"/>
              <w:bottom w:w="29" w:type="dxa"/>
              <w:right w:w="115" w:type="dxa"/>
            </w:tcMar>
            <w:vAlign w:val="center"/>
          </w:tcPr>
          <w:p w:rsidR="009F5D7B" w:rsidRPr="00EE0850" w:rsidRDefault="00974DFD" w:rsidP="00974DFD">
            <w:pPr>
              <w:suppressLineNumbers/>
              <w:suppressAutoHyphens/>
              <w:kinsoku w:val="0"/>
              <w:overflowPunct w:val="0"/>
              <w:autoSpaceDE w:val="0"/>
              <w:autoSpaceDN w:val="0"/>
              <w:adjustRightInd w:val="0"/>
              <w:snapToGrid w:val="0"/>
              <w:spacing w:after="0" w:line="240" w:lineRule="auto"/>
              <w:jc w:val="left"/>
              <w:rPr>
                <w:kern w:val="22"/>
                <w:szCs w:val="22"/>
              </w:rPr>
            </w:pPr>
            <w:r>
              <w:rPr>
                <w:kern w:val="22"/>
                <w:szCs w:val="22"/>
              </w:rPr>
              <w:t xml:space="preserve">Pregunta </w:t>
            </w:r>
            <w:r w:rsidR="009F5D7B" w:rsidRPr="00EE0850">
              <w:rPr>
                <w:kern w:val="22"/>
                <w:szCs w:val="22"/>
              </w:rPr>
              <w:t>24</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974DFD" w:rsidRDefault="009F5D7B" w:rsidP="000C6220">
            <w:pPr>
              <w:suppressLineNumbers/>
              <w:suppressAutoHyphens/>
              <w:kinsoku w:val="0"/>
              <w:overflowPunct w:val="0"/>
              <w:autoSpaceDE w:val="0"/>
              <w:autoSpaceDN w:val="0"/>
              <w:adjustRightInd w:val="0"/>
              <w:snapToGrid w:val="0"/>
              <w:spacing w:after="0" w:line="240" w:lineRule="auto"/>
              <w:ind w:left="314" w:hanging="360"/>
              <w:rPr>
                <w:kern w:val="22"/>
                <w:szCs w:val="22"/>
                <w:lang w:val="es-ES"/>
              </w:rPr>
            </w:pPr>
            <w:r w:rsidRPr="00974DFD">
              <w:rPr>
                <w:kern w:val="22"/>
                <w:szCs w:val="22"/>
                <w:lang w:val="es-ES"/>
              </w:rPr>
              <w:t>27.</w:t>
            </w:r>
            <w:r w:rsidRPr="00974DFD">
              <w:rPr>
                <w:kern w:val="22"/>
                <w:szCs w:val="22"/>
                <w:lang w:val="es-ES"/>
              </w:rPr>
              <w:tab/>
            </w:r>
            <w:r w:rsidR="00974DFD" w:rsidRPr="00E92C1D">
              <w:rPr>
                <w:spacing w:val="-5"/>
                <w:kern w:val="22"/>
                <w:lang w:val="es-ES"/>
              </w:rPr>
              <w:t>Número y porcentaje de Partes que han adoptado medidas legislativas, administrativas o de política sobre APB apropiadas, eficaces y proporcionales para aplicar el artículo 16.1 (conocimientos tradicionales asociados a recursos genéticos)</w:t>
            </w:r>
          </w:p>
        </w:tc>
        <w:tc>
          <w:tcPr>
            <w:tcW w:w="1104" w:type="dxa"/>
            <w:shd w:val="clear" w:color="auto" w:fill="auto"/>
            <w:tcMar>
              <w:top w:w="29" w:type="dxa"/>
              <w:left w:w="115" w:type="dxa"/>
              <w:bottom w:w="29" w:type="dxa"/>
              <w:right w:w="115" w:type="dxa"/>
            </w:tcMar>
            <w:vAlign w:val="center"/>
          </w:tcPr>
          <w:p w:rsidR="009F5D7B" w:rsidRPr="00EE0850" w:rsidRDefault="00974DFD"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e)</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sidRPr="00EE0850">
              <w:rPr>
                <w:rFonts w:eastAsia="SimSun"/>
                <w:kern w:val="22"/>
                <w:szCs w:val="22"/>
              </w:rPr>
              <w:t>33 (31%)</w:t>
            </w:r>
          </w:p>
        </w:tc>
        <w:tc>
          <w:tcPr>
            <w:tcW w:w="1614" w:type="dxa"/>
            <w:shd w:val="clear" w:color="auto" w:fill="auto"/>
            <w:tcMar>
              <w:top w:w="29" w:type="dxa"/>
              <w:left w:w="115" w:type="dxa"/>
              <w:bottom w:w="29" w:type="dxa"/>
              <w:right w:w="115" w:type="dxa"/>
            </w:tcMar>
            <w:vAlign w:val="center"/>
          </w:tcPr>
          <w:p w:rsidR="009F5D7B" w:rsidRPr="00EE0850" w:rsidRDefault="00974DFD" w:rsidP="00974DFD">
            <w:pPr>
              <w:suppressLineNumbers/>
              <w:suppressAutoHyphens/>
              <w:kinsoku w:val="0"/>
              <w:overflowPunct w:val="0"/>
              <w:autoSpaceDE w:val="0"/>
              <w:autoSpaceDN w:val="0"/>
              <w:adjustRightInd w:val="0"/>
              <w:snapToGrid w:val="0"/>
              <w:spacing w:after="0" w:line="240" w:lineRule="auto"/>
              <w:jc w:val="left"/>
              <w:rPr>
                <w:kern w:val="22"/>
                <w:szCs w:val="22"/>
              </w:rPr>
            </w:pPr>
            <w:r>
              <w:rPr>
                <w:kern w:val="22"/>
                <w:szCs w:val="22"/>
              </w:rPr>
              <w:t xml:space="preserve">Pregunta </w:t>
            </w:r>
            <w:r w:rsidR="009F5D7B" w:rsidRPr="00EE0850">
              <w:rPr>
                <w:kern w:val="22"/>
                <w:szCs w:val="22"/>
              </w:rPr>
              <w:t>25</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974DFD" w:rsidRDefault="009F5D7B" w:rsidP="000C6220">
            <w:pPr>
              <w:suppressLineNumbers/>
              <w:suppressAutoHyphens/>
              <w:kinsoku w:val="0"/>
              <w:overflowPunct w:val="0"/>
              <w:autoSpaceDE w:val="0"/>
              <w:autoSpaceDN w:val="0"/>
              <w:adjustRightInd w:val="0"/>
              <w:snapToGrid w:val="0"/>
              <w:spacing w:after="0" w:line="240" w:lineRule="auto"/>
              <w:ind w:left="314" w:hanging="360"/>
              <w:rPr>
                <w:kern w:val="22"/>
                <w:szCs w:val="22"/>
                <w:lang w:val="es-ES"/>
              </w:rPr>
            </w:pPr>
            <w:r w:rsidRPr="00974DFD">
              <w:rPr>
                <w:kern w:val="22"/>
                <w:szCs w:val="22"/>
                <w:lang w:val="es-ES"/>
              </w:rPr>
              <w:t>28.</w:t>
            </w:r>
            <w:r w:rsidRPr="00974DFD">
              <w:rPr>
                <w:kern w:val="22"/>
                <w:szCs w:val="22"/>
                <w:lang w:val="es-ES"/>
              </w:rPr>
              <w:tab/>
            </w:r>
            <w:r w:rsidR="00974DFD" w:rsidRPr="00E92C1D">
              <w:rPr>
                <w:spacing w:val="-6"/>
                <w:kern w:val="22"/>
                <w:lang w:val="es-ES"/>
              </w:rPr>
              <w:t>Número y porcentaje de Partes que requieren que los usuarios de recursos genéticos presenten la información indicada en el artículo 17.1 a) i), según proceda, en un punto de verificación designado</w:t>
            </w:r>
          </w:p>
        </w:tc>
        <w:tc>
          <w:tcPr>
            <w:tcW w:w="1104" w:type="dxa"/>
            <w:shd w:val="clear" w:color="auto" w:fill="auto"/>
            <w:tcMar>
              <w:top w:w="29" w:type="dxa"/>
              <w:left w:w="115" w:type="dxa"/>
              <w:bottom w:w="29" w:type="dxa"/>
              <w:right w:w="115" w:type="dxa"/>
            </w:tcMar>
            <w:vAlign w:val="center"/>
          </w:tcPr>
          <w:p w:rsidR="009F5D7B" w:rsidRPr="00EE0850" w:rsidRDefault="00974DFD"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a)</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sidRPr="00EE0850">
              <w:rPr>
                <w:rFonts w:eastAsia="SimSun"/>
                <w:kern w:val="22"/>
                <w:szCs w:val="22"/>
              </w:rPr>
              <w:t>41 (39%)</w:t>
            </w:r>
          </w:p>
        </w:tc>
        <w:tc>
          <w:tcPr>
            <w:tcW w:w="1614" w:type="dxa"/>
            <w:shd w:val="clear" w:color="auto" w:fill="auto"/>
            <w:tcMar>
              <w:top w:w="29" w:type="dxa"/>
              <w:left w:w="115" w:type="dxa"/>
              <w:bottom w:w="29" w:type="dxa"/>
              <w:right w:w="115" w:type="dxa"/>
            </w:tcMar>
            <w:vAlign w:val="center"/>
          </w:tcPr>
          <w:p w:rsidR="009F5D7B" w:rsidRPr="00EE0850" w:rsidRDefault="00974DFD" w:rsidP="00974DFD">
            <w:pPr>
              <w:suppressLineNumbers/>
              <w:suppressAutoHyphens/>
              <w:kinsoku w:val="0"/>
              <w:overflowPunct w:val="0"/>
              <w:autoSpaceDE w:val="0"/>
              <w:autoSpaceDN w:val="0"/>
              <w:adjustRightInd w:val="0"/>
              <w:snapToGrid w:val="0"/>
              <w:spacing w:after="0" w:line="240" w:lineRule="auto"/>
              <w:jc w:val="left"/>
              <w:rPr>
                <w:kern w:val="22"/>
                <w:szCs w:val="22"/>
              </w:rPr>
            </w:pPr>
            <w:r>
              <w:rPr>
                <w:kern w:val="22"/>
                <w:szCs w:val="22"/>
              </w:rPr>
              <w:t xml:space="preserve">Pregunta </w:t>
            </w:r>
            <w:r w:rsidR="009F5D7B" w:rsidRPr="00EE0850">
              <w:rPr>
                <w:kern w:val="22"/>
                <w:szCs w:val="22"/>
              </w:rPr>
              <w:t>26</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974DFD" w:rsidRDefault="009F5D7B" w:rsidP="000C6220">
            <w:pPr>
              <w:suppressLineNumbers/>
              <w:suppressAutoHyphens/>
              <w:kinsoku w:val="0"/>
              <w:overflowPunct w:val="0"/>
              <w:autoSpaceDE w:val="0"/>
              <w:autoSpaceDN w:val="0"/>
              <w:adjustRightInd w:val="0"/>
              <w:snapToGrid w:val="0"/>
              <w:spacing w:after="0" w:line="240" w:lineRule="auto"/>
              <w:ind w:left="314" w:hanging="360"/>
              <w:rPr>
                <w:kern w:val="22"/>
                <w:szCs w:val="22"/>
                <w:lang w:val="es-ES"/>
              </w:rPr>
            </w:pPr>
            <w:r w:rsidRPr="00974DFD">
              <w:rPr>
                <w:kern w:val="22"/>
                <w:szCs w:val="22"/>
                <w:lang w:val="es-ES"/>
              </w:rPr>
              <w:t>29.</w:t>
            </w:r>
            <w:r w:rsidRPr="00974DFD">
              <w:rPr>
                <w:kern w:val="22"/>
                <w:szCs w:val="22"/>
                <w:lang w:val="es-ES"/>
              </w:rPr>
              <w:tab/>
            </w:r>
            <w:r w:rsidR="00974DFD" w:rsidRPr="00E92C1D">
              <w:rPr>
                <w:kern w:val="22"/>
                <w:lang w:val="es-ES"/>
              </w:rPr>
              <w:t>Número y porcentaje de Partes que proporcionan la información recabada o recibida en un punto de verificación designado a las autoridades nacionales pertinentes, a la Parte que brinda el consentimiento fundamentado previo y al Centro de Intercambio de Información sobre APB</w:t>
            </w:r>
          </w:p>
        </w:tc>
        <w:tc>
          <w:tcPr>
            <w:tcW w:w="1104" w:type="dxa"/>
            <w:shd w:val="clear" w:color="auto" w:fill="auto"/>
            <w:tcMar>
              <w:top w:w="29" w:type="dxa"/>
              <w:left w:w="115" w:type="dxa"/>
              <w:bottom w:w="29" w:type="dxa"/>
              <w:right w:w="115" w:type="dxa"/>
            </w:tcMar>
            <w:vAlign w:val="center"/>
          </w:tcPr>
          <w:p w:rsidR="009F5D7B" w:rsidRPr="00EE0850" w:rsidRDefault="00974DFD"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a)</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sidRPr="00EE0850">
              <w:rPr>
                <w:rFonts w:eastAsia="SimSun"/>
                <w:kern w:val="22"/>
                <w:szCs w:val="22"/>
              </w:rPr>
              <w:t>9 (9%)</w:t>
            </w:r>
          </w:p>
        </w:tc>
        <w:tc>
          <w:tcPr>
            <w:tcW w:w="1614" w:type="dxa"/>
            <w:shd w:val="clear" w:color="auto" w:fill="auto"/>
            <w:tcMar>
              <w:top w:w="29" w:type="dxa"/>
              <w:left w:w="115" w:type="dxa"/>
              <w:bottom w:w="29" w:type="dxa"/>
              <w:right w:w="115" w:type="dxa"/>
            </w:tcMar>
            <w:vAlign w:val="center"/>
          </w:tcPr>
          <w:p w:rsidR="009F5D7B" w:rsidRPr="00EE0850" w:rsidRDefault="00974DFD" w:rsidP="00974DFD">
            <w:pPr>
              <w:suppressLineNumbers/>
              <w:suppressAutoHyphens/>
              <w:kinsoku w:val="0"/>
              <w:overflowPunct w:val="0"/>
              <w:autoSpaceDE w:val="0"/>
              <w:autoSpaceDN w:val="0"/>
              <w:adjustRightInd w:val="0"/>
              <w:snapToGrid w:val="0"/>
              <w:spacing w:after="0" w:line="240" w:lineRule="auto"/>
              <w:jc w:val="left"/>
              <w:rPr>
                <w:kern w:val="22"/>
                <w:szCs w:val="22"/>
              </w:rPr>
            </w:pPr>
            <w:r>
              <w:rPr>
                <w:kern w:val="22"/>
                <w:szCs w:val="22"/>
              </w:rPr>
              <w:t xml:space="preserve">Pregunta </w:t>
            </w:r>
            <w:r w:rsidR="009F5D7B" w:rsidRPr="00EE0850">
              <w:rPr>
                <w:kern w:val="22"/>
                <w:szCs w:val="22"/>
              </w:rPr>
              <w:t>27</w:t>
            </w:r>
          </w:p>
        </w:tc>
      </w:tr>
      <w:tr w:rsidR="009F5D7B" w:rsidRPr="00EE0850" w:rsidTr="005111BD">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F5D7B" w:rsidRPr="00974DFD" w:rsidRDefault="009F5D7B" w:rsidP="000C6220">
            <w:pPr>
              <w:suppressLineNumbers/>
              <w:suppressAutoHyphens/>
              <w:kinsoku w:val="0"/>
              <w:overflowPunct w:val="0"/>
              <w:autoSpaceDE w:val="0"/>
              <w:autoSpaceDN w:val="0"/>
              <w:adjustRightInd w:val="0"/>
              <w:snapToGrid w:val="0"/>
              <w:spacing w:after="0" w:line="240" w:lineRule="auto"/>
              <w:ind w:left="314" w:hanging="360"/>
              <w:rPr>
                <w:kern w:val="22"/>
                <w:szCs w:val="22"/>
                <w:lang w:val="es-ES"/>
              </w:rPr>
            </w:pPr>
            <w:r w:rsidRPr="00974DFD">
              <w:rPr>
                <w:kern w:val="22"/>
                <w:szCs w:val="22"/>
                <w:lang w:val="es-ES"/>
              </w:rPr>
              <w:lastRenderedPageBreak/>
              <w:t>30.</w:t>
            </w:r>
            <w:r w:rsidRPr="00974DFD">
              <w:rPr>
                <w:kern w:val="22"/>
                <w:szCs w:val="22"/>
                <w:lang w:val="es-ES"/>
              </w:rPr>
              <w:tab/>
            </w:r>
            <w:r w:rsidR="00974DFD" w:rsidRPr="00E92C1D">
              <w:rPr>
                <w:kern w:val="22"/>
                <w:lang w:val="es-ES"/>
              </w:rPr>
              <w:t>Número de comunicados de puntos de verificación publicados en el Centro de Intercambio de Información sobre APB</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974DFD"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g)</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sidRPr="00EE0850">
              <w:rPr>
                <w:rFonts w:eastAsia="SimSun"/>
                <w:kern w:val="22"/>
                <w:szCs w:val="22"/>
              </w:rPr>
              <w:t>0</w:t>
            </w:r>
          </w:p>
        </w:tc>
        <w:tc>
          <w:tcPr>
            <w:tcW w:w="1614"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974DFD" w:rsidP="000C6220">
            <w:pPr>
              <w:suppressLineNumbers/>
              <w:suppressAutoHyphens/>
              <w:kinsoku w:val="0"/>
              <w:overflowPunct w:val="0"/>
              <w:autoSpaceDE w:val="0"/>
              <w:autoSpaceDN w:val="0"/>
              <w:adjustRightInd w:val="0"/>
              <w:snapToGrid w:val="0"/>
              <w:spacing w:after="0" w:line="240" w:lineRule="auto"/>
              <w:jc w:val="left"/>
              <w:rPr>
                <w:kern w:val="22"/>
                <w:szCs w:val="22"/>
              </w:rPr>
            </w:pPr>
            <w:r w:rsidRPr="00E92C1D">
              <w:rPr>
                <w:kern w:val="22"/>
                <w:lang w:val="es-ES"/>
              </w:rPr>
              <w:t>CII-APB</w:t>
            </w:r>
          </w:p>
        </w:tc>
      </w:tr>
      <w:tr w:rsidR="009F5D7B" w:rsidRPr="00024C71" w:rsidTr="005111BD">
        <w:trPr>
          <w:cantSplit/>
          <w:jc w:val="center"/>
        </w:trPr>
        <w:tc>
          <w:tcPr>
            <w:tcW w:w="9776" w:type="dxa"/>
            <w:gridSpan w:val="4"/>
            <w:shd w:val="pct5" w:color="auto" w:fill="auto"/>
            <w:tcMar>
              <w:top w:w="29" w:type="dxa"/>
              <w:left w:w="115" w:type="dxa"/>
              <w:bottom w:w="29" w:type="dxa"/>
              <w:right w:w="115" w:type="dxa"/>
            </w:tcMar>
            <w:vAlign w:val="center"/>
          </w:tcPr>
          <w:p w:rsidR="009F5D7B" w:rsidRPr="00974DFD" w:rsidRDefault="00974DFD" w:rsidP="000C6220">
            <w:pPr>
              <w:keepNext/>
              <w:suppressLineNumbers/>
              <w:suppressAutoHyphens/>
              <w:kinsoku w:val="0"/>
              <w:overflowPunct w:val="0"/>
              <w:autoSpaceDE w:val="0"/>
              <w:autoSpaceDN w:val="0"/>
              <w:adjustRightInd w:val="0"/>
              <w:snapToGrid w:val="0"/>
              <w:spacing w:after="0" w:line="240" w:lineRule="auto"/>
              <w:ind w:left="317"/>
              <w:jc w:val="left"/>
              <w:rPr>
                <w:b/>
                <w:kern w:val="22"/>
                <w:szCs w:val="22"/>
                <w:lang w:val="es-ES"/>
              </w:rPr>
            </w:pPr>
            <w:r w:rsidRPr="00E92C1D">
              <w:rPr>
                <w:b/>
                <w:bCs/>
                <w:kern w:val="22"/>
                <w:lang w:val="es-ES"/>
              </w:rPr>
              <w:t xml:space="preserve">Medidas legislativas, administrativas o de política sobre APB: cumplimiento de las condiciones mutuamente acordadas (artículo </w:t>
            </w:r>
            <w:r w:rsidR="009F5D7B" w:rsidRPr="00974DFD">
              <w:rPr>
                <w:b/>
                <w:kern w:val="22"/>
                <w:szCs w:val="22"/>
                <w:lang w:val="es-ES"/>
              </w:rPr>
              <w:t>18)</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974DFD"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974DFD">
              <w:rPr>
                <w:rFonts w:eastAsia="SimSun"/>
                <w:kern w:val="22"/>
                <w:szCs w:val="22"/>
                <w:lang w:val="es-ES"/>
              </w:rPr>
              <w:t>31.</w:t>
            </w:r>
            <w:r w:rsidRPr="00974DFD">
              <w:rPr>
                <w:rFonts w:eastAsia="SimSun"/>
                <w:kern w:val="22"/>
                <w:szCs w:val="22"/>
                <w:lang w:val="es-ES"/>
              </w:rPr>
              <w:tab/>
            </w:r>
            <w:r w:rsidR="00974DFD" w:rsidRPr="00E92C1D">
              <w:rPr>
                <w:kern w:val="22"/>
                <w:lang w:val="es-ES"/>
              </w:rPr>
              <w:t>Número y porcentaje de Partes que alientan la inclusión de disposiciones sobre resolución de controversias en las condiciones mutuamente acordadas, conforme a lo dispuesto en el artículo 18.1</w:t>
            </w:r>
          </w:p>
        </w:tc>
        <w:tc>
          <w:tcPr>
            <w:tcW w:w="1104" w:type="dxa"/>
            <w:shd w:val="clear" w:color="auto" w:fill="auto"/>
            <w:tcMar>
              <w:top w:w="29" w:type="dxa"/>
              <w:left w:w="115" w:type="dxa"/>
              <w:bottom w:w="29" w:type="dxa"/>
              <w:right w:w="115" w:type="dxa"/>
            </w:tcMar>
            <w:vAlign w:val="center"/>
          </w:tcPr>
          <w:p w:rsidR="009F5D7B" w:rsidRPr="00EE0850" w:rsidRDefault="00974DFD"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d)</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EE0850">
              <w:rPr>
                <w:rFonts w:eastAsia="Calibri"/>
                <w:kern w:val="22"/>
                <w:szCs w:val="22"/>
              </w:rPr>
              <w:t>36 (34%)</w:t>
            </w:r>
          </w:p>
        </w:tc>
        <w:tc>
          <w:tcPr>
            <w:tcW w:w="1614" w:type="dxa"/>
            <w:shd w:val="clear" w:color="auto" w:fill="auto"/>
            <w:tcMar>
              <w:top w:w="29" w:type="dxa"/>
              <w:left w:w="115" w:type="dxa"/>
              <w:bottom w:w="29" w:type="dxa"/>
              <w:right w:w="115" w:type="dxa"/>
            </w:tcMar>
            <w:vAlign w:val="center"/>
          </w:tcPr>
          <w:p w:rsidR="009F5D7B" w:rsidRPr="00EE0850" w:rsidRDefault="00974DFD" w:rsidP="00974DFD">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Pr>
                <w:rFonts w:eastAsia="SimSun"/>
                <w:kern w:val="22"/>
                <w:szCs w:val="22"/>
              </w:rPr>
              <w:t xml:space="preserve">Pregunta </w:t>
            </w:r>
            <w:r w:rsidR="009F5D7B" w:rsidRPr="00EE0850">
              <w:rPr>
                <w:rFonts w:eastAsia="SimSun"/>
                <w:kern w:val="22"/>
                <w:szCs w:val="22"/>
              </w:rPr>
              <w:t>31</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974DFD"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974DFD">
              <w:rPr>
                <w:rFonts w:eastAsia="SimSun"/>
                <w:kern w:val="22"/>
                <w:szCs w:val="22"/>
                <w:lang w:val="es-ES"/>
              </w:rPr>
              <w:t>32.</w:t>
            </w:r>
            <w:r w:rsidRPr="00974DFD">
              <w:rPr>
                <w:rFonts w:eastAsia="SimSun"/>
                <w:kern w:val="22"/>
                <w:szCs w:val="22"/>
                <w:lang w:val="es-ES"/>
              </w:rPr>
              <w:tab/>
            </w:r>
            <w:r w:rsidR="00974DFD" w:rsidRPr="00E92C1D">
              <w:rPr>
                <w:spacing w:val="-4"/>
                <w:kern w:val="22"/>
                <w:lang w:val="es-ES"/>
              </w:rPr>
              <w:t>Número y porcentaje de Partes cuyos sistemas jurídicos ofrecen la posibilidad de presentar recursos en caso de controversias dimanantes de las condiciones mutuamente acordadas, conforme a lo dispuesto en el artículo 18.2</w:t>
            </w:r>
          </w:p>
        </w:tc>
        <w:tc>
          <w:tcPr>
            <w:tcW w:w="1104" w:type="dxa"/>
            <w:shd w:val="clear" w:color="auto" w:fill="auto"/>
            <w:tcMar>
              <w:top w:w="29" w:type="dxa"/>
              <w:left w:w="115" w:type="dxa"/>
              <w:bottom w:w="29" w:type="dxa"/>
              <w:right w:w="115" w:type="dxa"/>
            </w:tcMar>
            <w:vAlign w:val="center"/>
          </w:tcPr>
          <w:p w:rsidR="009F5D7B" w:rsidRPr="00EE0850" w:rsidRDefault="00974DFD"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d)</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EE0850">
              <w:rPr>
                <w:rFonts w:eastAsia="Calibri"/>
                <w:kern w:val="22"/>
                <w:szCs w:val="22"/>
              </w:rPr>
              <w:t>51 (49%)</w:t>
            </w:r>
          </w:p>
        </w:tc>
        <w:tc>
          <w:tcPr>
            <w:tcW w:w="1614" w:type="dxa"/>
            <w:shd w:val="clear" w:color="auto" w:fill="auto"/>
            <w:tcMar>
              <w:top w:w="29" w:type="dxa"/>
              <w:left w:w="115" w:type="dxa"/>
              <w:bottom w:w="29" w:type="dxa"/>
              <w:right w:w="115" w:type="dxa"/>
            </w:tcMar>
            <w:vAlign w:val="center"/>
          </w:tcPr>
          <w:p w:rsidR="009F5D7B" w:rsidRPr="00EE0850" w:rsidRDefault="00974DFD" w:rsidP="00974DFD">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Pr>
                <w:rFonts w:eastAsia="SimSun"/>
                <w:kern w:val="22"/>
                <w:szCs w:val="22"/>
              </w:rPr>
              <w:t xml:space="preserve">Pregunta </w:t>
            </w:r>
            <w:r w:rsidR="009F5D7B" w:rsidRPr="00EE0850">
              <w:rPr>
                <w:rFonts w:eastAsia="SimSun"/>
                <w:kern w:val="22"/>
                <w:szCs w:val="22"/>
              </w:rPr>
              <w:t>32</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974DFD"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974DFD">
              <w:rPr>
                <w:rFonts w:eastAsia="SimSun"/>
                <w:kern w:val="22"/>
                <w:szCs w:val="22"/>
                <w:lang w:val="es-ES"/>
              </w:rPr>
              <w:t>33.</w:t>
            </w:r>
            <w:r w:rsidRPr="00974DFD">
              <w:rPr>
                <w:rFonts w:eastAsia="SimSun"/>
                <w:kern w:val="22"/>
                <w:szCs w:val="22"/>
                <w:lang w:val="es-ES"/>
              </w:rPr>
              <w:tab/>
            </w:r>
            <w:r w:rsidR="00974DFD" w:rsidRPr="00E92C1D">
              <w:rPr>
                <w:kern w:val="22"/>
                <w:lang w:val="es-ES"/>
              </w:rPr>
              <w:t>Número y porcentaje de Partes con medidas sobre acceso a la justicia</w:t>
            </w:r>
          </w:p>
        </w:tc>
        <w:tc>
          <w:tcPr>
            <w:tcW w:w="1104" w:type="dxa"/>
            <w:shd w:val="clear" w:color="auto" w:fill="auto"/>
            <w:tcMar>
              <w:top w:w="29" w:type="dxa"/>
              <w:left w:w="115" w:type="dxa"/>
              <w:bottom w:w="29" w:type="dxa"/>
              <w:right w:w="115" w:type="dxa"/>
            </w:tcMar>
            <w:vAlign w:val="center"/>
          </w:tcPr>
          <w:p w:rsidR="009F5D7B" w:rsidRPr="00EE0850" w:rsidRDefault="00974DFD"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d)</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EE0850">
              <w:rPr>
                <w:rFonts w:eastAsia="Calibri"/>
                <w:kern w:val="22"/>
                <w:szCs w:val="22"/>
              </w:rPr>
              <w:t>47 (45%)</w:t>
            </w:r>
          </w:p>
        </w:tc>
        <w:tc>
          <w:tcPr>
            <w:tcW w:w="1614" w:type="dxa"/>
            <w:shd w:val="clear" w:color="auto" w:fill="auto"/>
            <w:tcMar>
              <w:top w:w="29" w:type="dxa"/>
              <w:left w:w="115" w:type="dxa"/>
              <w:bottom w:w="29" w:type="dxa"/>
              <w:right w:w="115" w:type="dxa"/>
            </w:tcMar>
            <w:vAlign w:val="center"/>
          </w:tcPr>
          <w:p w:rsidR="009F5D7B" w:rsidRPr="00EE0850" w:rsidRDefault="00974DFD" w:rsidP="00974DFD">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Pr>
                <w:rFonts w:eastAsia="SimSun"/>
                <w:kern w:val="22"/>
                <w:szCs w:val="22"/>
              </w:rPr>
              <w:t xml:space="preserve">Pregunta </w:t>
            </w:r>
            <w:r w:rsidR="009F5D7B" w:rsidRPr="00EE0850">
              <w:rPr>
                <w:rFonts w:eastAsia="SimSun"/>
                <w:kern w:val="22"/>
                <w:szCs w:val="22"/>
              </w:rPr>
              <w:t>33</w:t>
            </w:r>
          </w:p>
        </w:tc>
      </w:tr>
      <w:tr w:rsidR="009F5D7B" w:rsidRPr="00EE0850" w:rsidTr="005111BD">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F5D7B" w:rsidRPr="00974DFD"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974DFD">
              <w:rPr>
                <w:rFonts w:eastAsia="SimSun"/>
                <w:kern w:val="22"/>
                <w:szCs w:val="22"/>
                <w:lang w:val="es-ES"/>
              </w:rPr>
              <w:t>34.</w:t>
            </w:r>
            <w:r w:rsidRPr="00974DFD">
              <w:rPr>
                <w:rFonts w:eastAsia="SimSun"/>
                <w:kern w:val="22"/>
                <w:szCs w:val="22"/>
                <w:lang w:val="es-ES"/>
              </w:rPr>
              <w:tab/>
            </w:r>
            <w:r w:rsidR="00974DFD" w:rsidRPr="00E92C1D">
              <w:rPr>
                <w:kern w:val="22"/>
                <w:lang w:val="es-ES"/>
              </w:rPr>
              <w:t>Número y porcentaje de Partes con medidas sobre la utilización de mecanismos sobre reconocimiento mutuo y aplicación de sentencias extranjeras y laudos arbitrales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974DFD"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d)</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EE0850">
              <w:rPr>
                <w:rFonts w:eastAsia="Calibri"/>
                <w:kern w:val="22"/>
                <w:szCs w:val="22"/>
              </w:rPr>
              <w:t>38 (36%)</w:t>
            </w:r>
          </w:p>
        </w:tc>
        <w:tc>
          <w:tcPr>
            <w:tcW w:w="1614"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974DFD" w:rsidP="00974DFD">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Pr>
                <w:rFonts w:eastAsia="SimSun"/>
                <w:kern w:val="22"/>
                <w:szCs w:val="22"/>
              </w:rPr>
              <w:t xml:space="preserve">Pregunta </w:t>
            </w:r>
            <w:r w:rsidR="009F5D7B" w:rsidRPr="00EE0850">
              <w:rPr>
                <w:rFonts w:eastAsia="SimSun"/>
                <w:kern w:val="22"/>
                <w:szCs w:val="22"/>
              </w:rPr>
              <w:t>33</w:t>
            </w:r>
          </w:p>
        </w:tc>
      </w:tr>
      <w:tr w:rsidR="009F5D7B" w:rsidRPr="00EE0850" w:rsidTr="005111BD">
        <w:trPr>
          <w:cantSplit/>
          <w:jc w:val="center"/>
        </w:trPr>
        <w:tc>
          <w:tcPr>
            <w:tcW w:w="9776" w:type="dxa"/>
            <w:gridSpan w:val="4"/>
            <w:shd w:val="pct5" w:color="auto" w:fill="auto"/>
            <w:tcMar>
              <w:top w:w="29" w:type="dxa"/>
              <w:left w:w="115" w:type="dxa"/>
              <w:bottom w:w="29" w:type="dxa"/>
              <w:right w:w="115" w:type="dxa"/>
            </w:tcMar>
            <w:vAlign w:val="center"/>
          </w:tcPr>
          <w:p w:rsidR="009F5D7B" w:rsidRPr="00EE0850" w:rsidRDefault="00974DFD" w:rsidP="000C6220">
            <w:pPr>
              <w:keepNext/>
              <w:suppressLineNumbers/>
              <w:suppressAutoHyphens/>
              <w:kinsoku w:val="0"/>
              <w:overflowPunct w:val="0"/>
              <w:autoSpaceDE w:val="0"/>
              <w:autoSpaceDN w:val="0"/>
              <w:adjustRightInd w:val="0"/>
              <w:snapToGrid w:val="0"/>
              <w:spacing w:after="0" w:line="240" w:lineRule="auto"/>
              <w:ind w:left="317"/>
              <w:jc w:val="left"/>
              <w:rPr>
                <w:rFonts w:eastAsia="SimSun"/>
                <w:b/>
                <w:kern w:val="22"/>
                <w:szCs w:val="22"/>
              </w:rPr>
            </w:pPr>
            <w:r w:rsidRPr="00E92C1D">
              <w:rPr>
                <w:b/>
                <w:bCs/>
                <w:kern w:val="22"/>
                <w:lang w:val="es-ES"/>
              </w:rPr>
              <w:t xml:space="preserve">Consideraciones especiales (artículo </w:t>
            </w:r>
            <w:r w:rsidR="009F5D7B" w:rsidRPr="00EE0850">
              <w:rPr>
                <w:rFonts w:eastAsia="SimSun"/>
                <w:b/>
                <w:kern w:val="22"/>
                <w:szCs w:val="22"/>
              </w:rPr>
              <w:t>8)</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974DFD"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974DFD">
              <w:rPr>
                <w:rFonts w:eastAsia="SimSun"/>
                <w:kern w:val="22"/>
                <w:szCs w:val="22"/>
                <w:lang w:val="es-ES"/>
              </w:rPr>
              <w:t>35.</w:t>
            </w:r>
            <w:r w:rsidRPr="00974DFD">
              <w:rPr>
                <w:rFonts w:eastAsia="SimSun"/>
                <w:kern w:val="22"/>
                <w:szCs w:val="22"/>
                <w:lang w:val="es-ES"/>
              </w:rPr>
              <w:tab/>
            </w:r>
            <w:r w:rsidR="00974DFD" w:rsidRPr="00E92C1D">
              <w:rPr>
                <w:spacing w:val="-4"/>
                <w:kern w:val="22"/>
                <w:lang w:val="es-ES"/>
              </w:rPr>
              <w:t>Número y porcentaje de Partes que crearon condiciones para promover y alentar investigaciones que contribuyan a la conservación y utilización sostenible de la diversidad biológica, conforme a lo dispuesto en el artículo 8 a)</w:t>
            </w:r>
          </w:p>
        </w:tc>
        <w:tc>
          <w:tcPr>
            <w:tcW w:w="1104" w:type="dxa"/>
            <w:shd w:val="clear" w:color="auto" w:fill="auto"/>
            <w:tcMar>
              <w:top w:w="29" w:type="dxa"/>
              <w:left w:w="115" w:type="dxa"/>
              <w:bottom w:w="29" w:type="dxa"/>
              <w:right w:w="115" w:type="dxa"/>
            </w:tcMar>
            <w:vAlign w:val="center"/>
          </w:tcPr>
          <w:p w:rsidR="009F5D7B" w:rsidRPr="00EE0850" w:rsidRDefault="00974DFD"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b)</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EE0850">
              <w:rPr>
                <w:rFonts w:eastAsia="Calibri"/>
                <w:kern w:val="22"/>
                <w:szCs w:val="22"/>
              </w:rPr>
              <w:t>48 (46%)</w:t>
            </w:r>
          </w:p>
        </w:tc>
        <w:tc>
          <w:tcPr>
            <w:tcW w:w="1614" w:type="dxa"/>
            <w:shd w:val="clear" w:color="auto" w:fill="auto"/>
            <w:tcMar>
              <w:top w:w="29" w:type="dxa"/>
              <w:left w:w="115" w:type="dxa"/>
              <w:bottom w:w="29" w:type="dxa"/>
              <w:right w:w="115" w:type="dxa"/>
            </w:tcMar>
            <w:vAlign w:val="center"/>
          </w:tcPr>
          <w:p w:rsidR="009F5D7B" w:rsidRPr="00EE0850" w:rsidRDefault="00974DFD" w:rsidP="00974DFD">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Pr>
                <w:rFonts w:eastAsia="SimSun"/>
                <w:kern w:val="22"/>
                <w:szCs w:val="22"/>
              </w:rPr>
              <w:t xml:space="preserve">Pregunta </w:t>
            </w:r>
            <w:r w:rsidR="009F5D7B" w:rsidRPr="00EE0850">
              <w:rPr>
                <w:rFonts w:eastAsia="SimSun"/>
                <w:kern w:val="22"/>
                <w:szCs w:val="22"/>
              </w:rPr>
              <w:t>35</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974DFD" w:rsidRDefault="009F5D7B" w:rsidP="000C6220">
            <w:pPr>
              <w:suppressLineNumbers/>
              <w:suppressAutoHyphens/>
              <w:kinsoku w:val="0"/>
              <w:overflowPunct w:val="0"/>
              <w:autoSpaceDE w:val="0"/>
              <w:autoSpaceDN w:val="0"/>
              <w:adjustRightInd w:val="0"/>
              <w:snapToGrid w:val="0"/>
              <w:spacing w:after="0" w:line="240" w:lineRule="auto"/>
              <w:ind w:left="314" w:hanging="360"/>
              <w:rPr>
                <w:kern w:val="22"/>
                <w:szCs w:val="22"/>
                <w:lang w:val="es-ES"/>
              </w:rPr>
            </w:pPr>
            <w:r w:rsidRPr="00974DFD">
              <w:rPr>
                <w:kern w:val="22"/>
                <w:szCs w:val="22"/>
                <w:lang w:val="es-ES"/>
              </w:rPr>
              <w:t>36.</w:t>
            </w:r>
            <w:r w:rsidRPr="00974DFD">
              <w:rPr>
                <w:kern w:val="22"/>
                <w:szCs w:val="22"/>
                <w:lang w:val="es-ES"/>
              </w:rPr>
              <w:tab/>
            </w:r>
            <w:r w:rsidR="00974DFD" w:rsidRPr="00E92C1D">
              <w:rPr>
                <w:kern w:val="22"/>
                <w:lang w:val="es-ES"/>
              </w:rPr>
              <w:t>Número y porcentaje de Partes que han prestado la debida atención a los casos de emergencias presentes o inminentes que creen amenazas o daños para la salud humana, animal o vegetal, conforme a lo dispuesto en el artículo 8 b)</w:t>
            </w:r>
          </w:p>
        </w:tc>
        <w:tc>
          <w:tcPr>
            <w:tcW w:w="1104" w:type="dxa"/>
            <w:shd w:val="clear" w:color="auto" w:fill="auto"/>
            <w:tcMar>
              <w:top w:w="29" w:type="dxa"/>
              <w:left w:w="115" w:type="dxa"/>
              <w:bottom w:w="29" w:type="dxa"/>
              <w:right w:w="115" w:type="dxa"/>
            </w:tcMar>
            <w:vAlign w:val="center"/>
          </w:tcPr>
          <w:p w:rsidR="009F5D7B" w:rsidRPr="00EE0850" w:rsidRDefault="00974DFD"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b)</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sidRPr="00EE0850">
              <w:rPr>
                <w:rFonts w:eastAsia="SimSun"/>
                <w:kern w:val="22"/>
                <w:szCs w:val="22"/>
              </w:rPr>
              <w:t>39 (37%)</w:t>
            </w:r>
          </w:p>
        </w:tc>
        <w:tc>
          <w:tcPr>
            <w:tcW w:w="1614" w:type="dxa"/>
            <w:shd w:val="clear" w:color="auto" w:fill="auto"/>
            <w:tcMar>
              <w:top w:w="29" w:type="dxa"/>
              <w:left w:w="115" w:type="dxa"/>
              <w:bottom w:w="29" w:type="dxa"/>
              <w:right w:w="115" w:type="dxa"/>
            </w:tcMar>
            <w:vAlign w:val="center"/>
          </w:tcPr>
          <w:p w:rsidR="009F5D7B" w:rsidRPr="00EE0850" w:rsidRDefault="00974DFD" w:rsidP="00974DFD">
            <w:pPr>
              <w:suppressLineNumbers/>
              <w:suppressAutoHyphens/>
              <w:kinsoku w:val="0"/>
              <w:overflowPunct w:val="0"/>
              <w:autoSpaceDE w:val="0"/>
              <w:autoSpaceDN w:val="0"/>
              <w:adjustRightInd w:val="0"/>
              <w:snapToGrid w:val="0"/>
              <w:spacing w:after="0" w:line="240" w:lineRule="auto"/>
              <w:jc w:val="left"/>
              <w:rPr>
                <w:kern w:val="22"/>
                <w:szCs w:val="22"/>
              </w:rPr>
            </w:pPr>
            <w:r>
              <w:rPr>
                <w:rFonts w:eastAsia="SimSun"/>
                <w:kern w:val="22"/>
                <w:szCs w:val="22"/>
              </w:rPr>
              <w:t xml:space="preserve">Pregunta </w:t>
            </w:r>
            <w:r w:rsidR="009F5D7B" w:rsidRPr="00EE0850">
              <w:rPr>
                <w:rFonts w:eastAsia="SimSun"/>
                <w:kern w:val="22"/>
                <w:szCs w:val="22"/>
              </w:rPr>
              <w:t>35</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974DFD" w:rsidRDefault="009F5D7B" w:rsidP="000C6220">
            <w:pPr>
              <w:suppressLineNumbers/>
              <w:suppressAutoHyphens/>
              <w:kinsoku w:val="0"/>
              <w:overflowPunct w:val="0"/>
              <w:autoSpaceDE w:val="0"/>
              <w:autoSpaceDN w:val="0"/>
              <w:adjustRightInd w:val="0"/>
              <w:snapToGrid w:val="0"/>
              <w:spacing w:after="0" w:line="240" w:lineRule="auto"/>
              <w:ind w:left="314" w:hanging="360"/>
              <w:rPr>
                <w:kern w:val="22"/>
                <w:szCs w:val="22"/>
                <w:lang w:val="es-ES"/>
              </w:rPr>
            </w:pPr>
            <w:r w:rsidRPr="00974DFD">
              <w:rPr>
                <w:kern w:val="22"/>
                <w:szCs w:val="22"/>
                <w:lang w:val="es-ES"/>
              </w:rPr>
              <w:t>37.</w:t>
            </w:r>
            <w:r w:rsidRPr="00974DFD">
              <w:rPr>
                <w:kern w:val="22"/>
                <w:szCs w:val="22"/>
                <w:lang w:val="es-ES"/>
              </w:rPr>
              <w:tab/>
            </w:r>
            <w:r w:rsidR="00974DFD" w:rsidRPr="00E92C1D">
              <w:rPr>
                <w:kern w:val="22"/>
                <w:lang w:val="es-ES"/>
              </w:rPr>
              <w:t>Número y porcentaje de Partes que han tenido en cuenta la necesidad de acceso expeditivo a los recursos genéticos y de una participación justa y equitativa y expeditiva en los beneficios que se deriven del uso de dichos recursos genéticos, conforme a lo dispuesto en el artículo 8 b)</w:t>
            </w:r>
          </w:p>
        </w:tc>
        <w:tc>
          <w:tcPr>
            <w:tcW w:w="1104" w:type="dxa"/>
            <w:shd w:val="clear" w:color="auto" w:fill="auto"/>
            <w:tcMar>
              <w:top w:w="29" w:type="dxa"/>
              <w:left w:w="115" w:type="dxa"/>
              <w:bottom w:w="29" w:type="dxa"/>
              <w:right w:w="115" w:type="dxa"/>
            </w:tcMar>
            <w:vAlign w:val="center"/>
          </w:tcPr>
          <w:p w:rsidR="009F5D7B" w:rsidRPr="00EE0850" w:rsidRDefault="00974DFD"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b)</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sidRPr="00EE0850">
              <w:rPr>
                <w:rFonts w:eastAsia="SimSun"/>
                <w:kern w:val="22"/>
                <w:szCs w:val="22"/>
              </w:rPr>
              <w:t>26 (25%)</w:t>
            </w:r>
          </w:p>
        </w:tc>
        <w:tc>
          <w:tcPr>
            <w:tcW w:w="1614" w:type="dxa"/>
            <w:shd w:val="clear" w:color="auto" w:fill="auto"/>
            <w:tcMar>
              <w:top w:w="29" w:type="dxa"/>
              <w:left w:w="115" w:type="dxa"/>
              <w:bottom w:w="29" w:type="dxa"/>
              <w:right w:w="115" w:type="dxa"/>
            </w:tcMar>
            <w:vAlign w:val="center"/>
          </w:tcPr>
          <w:p w:rsidR="009F5D7B" w:rsidRPr="00EE0850" w:rsidRDefault="00974DFD" w:rsidP="00974DFD">
            <w:pPr>
              <w:suppressLineNumbers/>
              <w:suppressAutoHyphens/>
              <w:kinsoku w:val="0"/>
              <w:overflowPunct w:val="0"/>
              <w:autoSpaceDE w:val="0"/>
              <w:autoSpaceDN w:val="0"/>
              <w:adjustRightInd w:val="0"/>
              <w:snapToGrid w:val="0"/>
              <w:spacing w:after="0" w:line="240" w:lineRule="auto"/>
              <w:jc w:val="left"/>
              <w:rPr>
                <w:kern w:val="22"/>
                <w:szCs w:val="22"/>
              </w:rPr>
            </w:pPr>
            <w:r>
              <w:rPr>
                <w:rFonts w:eastAsia="SimSun"/>
                <w:kern w:val="22"/>
                <w:szCs w:val="22"/>
              </w:rPr>
              <w:t xml:space="preserve">Pregunta </w:t>
            </w:r>
            <w:r w:rsidR="009F5D7B" w:rsidRPr="00EE0850">
              <w:rPr>
                <w:rFonts w:eastAsia="SimSun"/>
                <w:kern w:val="22"/>
                <w:szCs w:val="22"/>
              </w:rPr>
              <w:t>35</w:t>
            </w:r>
          </w:p>
        </w:tc>
      </w:tr>
      <w:tr w:rsidR="009F5D7B" w:rsidRPr="00EE0850" w:rsidTr="005111BD">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F5D7B" w:rsidRPr="00974DFD"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974DFD">
              <w:rPr>
                <w:rFonts w:eastAsia="SimSun"/>
                <w:kern w:val="22"/>
                <w:szCs w:val="22"/>
                <w:lang w:val="es-ES"/>
              </w:rPr>
              <w:t>38.</w:t>
            </w:r>
            <w:r w:rsidRPr="00974DFD">
              <w:rPr>
                <w:rFonts w:eastAsia="SimSun"/>
                <w:kern w:val="22"/>
                <w:szCs w:val="22"/>
                <w:lang w:val="es-ES"/>
              </w:rPr>
              <w:tab/>
            </w:r>
            <w:r w:rsidR="00974DFD" w:rsidRPr="00E92C1D">
              <w:rPr>
                <w:kern w:val="22"/>
                <w:lang w:val="es-ES"/>
              </w:rPr>
              <w:t>Número y porcentaje de Partes que han considerado la importancia de los recursos genéticos para la alimentación y la agricultura y el rol especial que cumplen para la seguridad alimentaria, conforme a lo dispuesto en el artículo 8 c)</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974DFD"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b)</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sidRPr="00EE0850">
              <w:rPr>
                <w:rFonts w:eastAsia="SimSun"/>
                <w:kern w:val="22"/>
                <w:szCs w:val="22"/>
              </w:rPr>
              <w:t>48 (46%)</w:t>
            </w:r>
          </w:p>
        </w:tc>
        <w:tc>
          <w:tcPr>
            <w:tcW w:w="1614"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974DFD" w:rsidP="00974DFD">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Pr>
                <w:rFonts w:eastAsia="SimSun"/>
                <w:kern w:val="22"/>
                <w:szCs w:val="22"/>
              </w:rPr>
              <w:t xml:space="preserve">Pregunta </w:t>
            </w:r>
            <w:r w:rsidR="009F5D7B" w:rsidRPr="00EE0850">
              <w:rPr>
                <w:rFonts w:eastAsia="SimSun"/>
                <w:kern w:val="22"/>
                <w:szCs w:val="22"/>
              </w:rPr>
              <w:t>35</w:t>
            </w:r>
          </w:p>
        </w:tc>
      </w:tr>
      <w:tr w:rsidR="009F5D7B" w:rsidRPr="00024C71" w:rsidTr="005111BD">
        <w:trPr>
          <w:cantSplit/>
          <w:jc w:val="center"/>
        </w:trPr>
        <w:tc>
          <w:tcPr>
            <w:tcW w:w="9776" w:type="dxa"/>
            <w:gridSpan w:val="4"/>
            <w:shd w:val="pct5" w:color="auto" w:fill="auto"/>
            <w:tcMar>
              <w:top w:w="29" w:type="dxa"/>
              <w:left w:w="115" w:type="dxa"/>
              <w:bottom w:w="29" w:type="dxa"/>
              <w:right w:w="115" w:type="dxa"/>
            </w:tcMar>
            <w:vAlign w:val="center"/>
          </w:tcPr>
          <w:p w:rsidR="009F5D7B" w:rsidRPr="00974DFD" w:rsidRDefault="00974DFD" w:rsidP="000C6220">
            <w:pPr>
              <w:keepNext/>
              <w:suppressLineNumbers/>
              <w:suppressAutoHyphens/>
              <w:kinsoku w:val="0"/>
              <w:overflowPunct w:val="0"/>
              <w:autoSpaceDE w:val="0"/>
              <w:autoSpaceDN w:val="0"/>
              <w:adjustRightInd w:val="0"/>
              <w:snapToGrid w:val="0"/>
              <w:spacing w:after="0" w:line="240" w:lineRule="auto"/>
              <w:ind w:left="317"/>
              <w:jc w:val="left"/>
              <w:rPr>
                <w:rFonts w:eastAsia="SimSun"/>
                <w:b/>
                <w:kern w:val="22"/>
                <w:szCs w:val="22"/>
                <w:lang w:val="es-ES"/>
              </w:rPr>
            </w:pPr>
            <w:r w:rsidRPr="00E92C1D">
              <w:rPr>
                <w:b/>
                <w:bCs/>
                <w:spacing w:val="-3"/>
                <w:kern w:val="22"/>
                <w:lang w:val="es-ES"/>
              </w:rPr>
              <w:lastRenderedPageBreak/>
              <w:t>Disposiciones relacionadas con los pueblos indígenas y las comunidades locales (artículos 6, 7 y 12</w:t>
            </w:r>
            <w:r w:rsidR="009F5D7B" w:rsidRPr="00974DFD">
              <w:rPr>
                <w:rFonts w:eastAsia="SimSun"/>
                <w:b/>
                <w:kern w:val="22"/>
                <w:szCs w:val="22"/>
                <w:lang w:val="es-ES"/>
              </w:rPr>
              <w:t>)</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974DFD"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974DFD">
              <w:rPr>
                <w:rFonts w:eastAsia="SimSun"/>
                <w:kern w:val="22"/>
                <w:szCs w:val="22"/>
                <w:lang w:val="es-ES"/>
              </w:rPr>
              <w:t>39.</w:t>
            </w:r>
            <w:r w:rsidRPr="00974DFD">
              <w:rPr>
                <w:rFonts w:eastAsia="SimSun"/>
                <w:kern w:val="22"/>
                <w:szCs w:val="22"/>
                <w:lang w:val="es-ES"/>
              </w:rPr>
              <w:tab/>
            </w:r>
            <w:r w:rsidR="00974DFD" w:rsidRPr="00E92C1D">
              <w:rPr>
                <w:spacing w:val="-1"/>
                <w:kern w:val="22"/>
                <w:lang w:val="es-ES"/>
              </w:rPr>
              <w:t>Número y porcentaje de Partes en las que los pueblos indígenas y las comunidades locales tienen el derecho establecido a otorgar acceso a los recursos genéticos y que cuentan con medidas dirigidas a asegurar que se obtenga el consentimiento fundamentado previo o la aprobación y participación de los pueblos indígenas y las comunidades locales,</w:t>
            </w:r>
            <w:r w:rsidR="00974DFD" w:rsidRPr="00E92C1D">
              <w:rPr>
                <w:b/>
                <w:bCs/>
                <w:spacing w:val="-1"/>
                <w:kern w:val="22"/>
                <w:lang w:val="es-ES"/>
              </w:rPr>
              <w:t xml:space="preserve"> </w:t>
            </w:r>
            <w:r w:rsidR="00974DFD" w:rsidRPr="00E92C1D">
              <w:rPr>
                <w:spacing w:val="-1"/>
                <w:kern w:val="22"/>
                <w:lang w:val="es-ES"/>
              </w:rPr>
              <w:t>conforme a lo dispuesto en el artículo 6.2</w:t>
            </w:r>
          </w:p>
        </w:tc>
        <w:tc>
          <w:tcPr>
            <w:tcW w:w="1104" w:type="dxa"/>
            <w:shd w:val="clear" w:color="auto" w:fill="auto"/>
            <w:tcMar>
              <w:top w:w="29" w:type="dxa"/>
              <w:left w:w="115" w:type="dxa"/>
              <w:bottom w:w="29" w:type="dxa"/>
              <w:right w:w="115" w:type="dxa"/>
            </w:tcMar>
            <w:vAlign w:val="center"/>
          </w:tcPr>
          <w:p w:rsidR="009F5D7B" w:rsidRPr="00EE0850" w:rsidRDefault="00974DFD"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a)</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sidRPr="00EE0850">
              <w:rPr>
                <w:rFonts w:eastAsia="SimSun"/>
                <w:kern w:val="22"/>
                <w:szCs w:val="22"/>
              </w:rPr>
              <w:t>23 (47%)</w:t>
            </w:r>
          </w:p>
        </w:tc>
        <w:tc>
          <w:tcPr>
            <w:tcW w:w="1614" w:type="dxa"/>
            <w:shd w:val="clear" w:color="auto" w:fill="auto"/>
            <w:tcMar>
              <w:top w:w="29" w:type="dxa"/>
              <w:left w:w="115" w:type="dxa"/>
              <w:bottom w:w="29" w:type="dxa"/>
              <w:right w:w="115" w:type="dxa"/>
            </w:tcMar>
            <w:vAlign w:val="center"/>
          </w:tcPr>
          <w:p w:rsidR="009F5D7B" w:rsidRPr="00EE0850" w:rsidRDefault="00974DFD" w:rsidP="00974DFD">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Pr>
                <w:rFonts w:eastAsia="SimSun"/>
                <w:kern w:val="22"/>
                <w:szCs w:val="22"/>
              </w:rPr>
              <w:t xml:space="preserve">Pregunta </w:t>
            </w:r>
            <w:r w:rsidR="009F5D7B" w:rsidRPr="00EE0850">
              <w:rPr>
                <w:rFonts w:eastAsia="SimSun"/>
                <w:kern w:val="22"/>
                <w:szCs w:val="22"/>
              </w:rPr>
              <w:t>38</w:t>
            </w:r>
          </w:p>
        </w:tc>
      </w:tr>
      <w:tr w:rsidR="009F5D7B" w:rsidRPr="00EE0850" w:rsidTr="005111BD">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F5D7B" w:rsidRPr="00974DFD"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974DFD">
              <w:rPr>
                <w:rFonts w:eastAsia="SimSun"/>
                <w:kern w:val="22"/>
                <w:szCs w:val="22"/>
                <w:lang w:val="es-ES"/>
              </w:rPr>
              <w:t>40.</w:t>
            </w:r>
            <w:r w:rsidRPr="00974DFD">
              <w:rPr>
                <w:rFonts w:eastAsia="SimSun"/>
                <w:kern w:val="22"/>
                <w:szCs w:val="22"/>
                <w:lang w:val="es-ES"/>
              </w:rPr>
              <w:tab/>
            </w:r>
            <w:r w:rsidR="00974DFD" w:rsidRPr="00E92C1D">
              <w:rPr>
                <w:kern w:val="22"/>
                <w:lang w:val="es-ES"/>
              </w:rPr>
              <w:t>Número y porcentaje de Partes con pueblos indígenas y comunidades locales en su país que han adoptado medidas con miras a asegurar que los conocimientos tradicionales asociados a recursos genéticos que están en posesión de pueblos indígenas y comunidades locales se accedan con el consentimiento fundamentado previo o la aprobación y participación de dichos pueblos indígenas y comunidades locales, y en las que se hayan establecido condiciones mutuamente acordadas, conforme a lo dispuesto en el artículo 7</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974DFD"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a)</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sidRPr="00EE0850">
              <w:rPr>
                <w:rFonts w:eastAsia="SimSun"/>
                <w:kern w:val="22"/>
                <w:szCs w:val="22"/>
              </w:rPr>
              <w:t>21(43%)</w:t>
            </w:r>
          </w:p>
        </w:tc>
        <w:tc>
          <w:tcPr>
            <w:tcW w:w="1614"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974DFD" w:rsidP="00974DFD">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Pr>
                <w:rFonts w:eastAsia="SimSun"/>
                <w:kern w:val="22"/>
                <w:szCs w:val="22"/>
              </w:rPr>
              <w:t xml:space="preserve">Pregunta </w:t>
            </w:r>
            <w:r w:rsidR="009F5D7B" w:rsidRPr="00EE0850">
              <w:rPr>
                <w:rFonts w:eastAsia="SimSun"/>
                <w:kern w:val="22"/>
                <w:szCs w:val="22"/>
              </w:rPr>
              <w:t>39</w:t>
            </w:r>
          </w:p>
        </w:tc>
      </w:tr>
      <w:tr w:rsidR="00974DFD" w:rsidRPr="00024C71" w:rsidTr="005111BD">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74DFD" w:rsidRPr="00974DFD" w:rsidRDefault="00974DFD"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974DFD">
              <w:rPr>
                <w:rFonts w:eastAsia="SimSun"/>
                <w:kern w:val="22"/>
                <w:szCs w:val="22"/>
                <w:lang w:val="es-ES"/>
              </w:rPr>
              <w:t>41.</w:t>
            </w:r>
            <w:r w:rsidRPr="00974DFD">
              <w:rPr>
                <w:rFonts w:eastAsia="SimSun"/>
                <w:kern w:val="22"/>
                <w:szCs w:val="22"/>
                <w:lang w:val="es-ES"/>
              </w:rPr>
              <w:tab/>
            </w:r>
            <w:r w:rsidRPr="00E92C1D">
              <w:rPr>
                <w:i/>
                <w:iCs/>
                <w:kern w:val="22"/>
                <w:lang w:val="es-ES"/>
              </w:rPr>
              <w:t>Nuevo:</w:t>
            </w:r>
            <w:r w:rsidRPr="00E92C1D">
              <w:rPr>
                <w:kern w:val="22"/>
                <w:lang w:val="es-ES"/>
              </w:rPr>
              <w:t> Número de protocolos y procedimientos comunitarios de pueblos indígenas y comunidades locales desarrollados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74DFD" w:rsidRPr="00EE0850" w:rsidRDefault="00974DFD"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974DFD">
              <w:rPr>
                <w:rFonts w:eastAsia="Calibri"/>
                <w:kern w:val="22"/>
                <w:szCs w:val="22"/>
                <w:lang w:val="es-ES"/>
              </w:rPr>
              <w:t xml:space="preserve"> </w:t>
            </w:r>
            <w:r w:rsidRPr="00EE0850">
              <w:rPr>
                <w:rFonts w:eastAsia="Calibri"/>
                <w:kern w:val="22"/>
                <w:szCs w:val="22"/>
              </w:rPr>
              <w:t>f)</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74DFD" w:rsidRPr="00EE0850" w:rsidRDefault="00974DFD" w:rsidP="00974DFD">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Pr>
                <w:rFonts w:eastAsia="SimSun"/>
                <w:kern w:val="22"/>
                <w:szCs w:val="22"/>
              </w:rPr>
              <w:t>Sin información concluyente</w:t>
            </w:r>
          </w:p>
        </w:tc>
        <w:tc>
          <w:tcPr>
            <w:tcW w:w="1614" w:type="dxa"/>
            <w:tcBorders>
              <w:bottom w:val="single" w:sz="4" w:space="0" w:color="auto"/>
            </w:tcBorders>
            <w:shd w:val="clear" w:color="auto" w:fill="auto"/>
            <w:tcMar>
              <w:top w:w="29" w:type="dxa"/>
              <w:left w:w="115" w:type="dxa"/>
              <w:bottom w:w="29" w:type="dxa"/>
              <w:right w:w="115" w:type="dxa"/>
            </w:tcMar>
            <w:vAlign w:val="center"/>
          </w:tcPr>
          <w:p w:rsidR="00974DFD" w:rsidRPr="00E92C1D" w:rsidRDefault="00974DFD" w:rsidP="00974DFD">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La pregunta 42</w:t>
            </w:r>
            <w:r>
              <w:rPr>
                <w:kern w:val="22"/>
                <w:lang w:val="es-ES"/>
              </w:rPr>
              <w:t xml:space="preserve"> </w:t>
            </w:r>
            <w:r w:rsidRPr="00E92C1D">
              <w:rPr>
                <w:kern w:val="22"/>
                <w:lang w:val="es-ES"/>
              </w:rPr>
              <w:t>requiere</w:t>
            </w:r>
            <w:r>
              <w:rPr>
                <w:kern w:val="22"/>
                <w:lang w:val="es-ES"/>
              </w:rPr>
              <w:t xml:space="preserve"> revisión Encuesta dirigida</w:t>
            </w:r>
          </w:p>
        </w:tc>
      </w:tr>
      <w:tr w:rsidR="009F5D7B" w:rsidRPr="00EE0850" w:rsidTr="005111BD">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F5D7B" w:rsidRPr="00974DFD"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974DFD">
              <w:rPr>
                <w:rFonts w:eastAsia="SimSun"/>
                <w:kern w:val="22"/>
                <w:szCs w:val="22"/>
                <w:lang w:val="es-ES"/>
              </w:rPr>
              <w:t>42.</w:t>
            </w:r>
            <w:r w:rsidRPr="00974DFD">
              <w:rPr>
                <w:rFonts w:eastAsia="SimSun"/>
                <w:kern w:val="22"/>
                <w:szCs w:val="22"/>
                <w:lang w:val="es-ES"/>
              </w:rPr>
              <w:tab/>
            </w:r>
            <w:r w:rsidR="00974DFD" w:rsidRPr="00E92C1D">
              <w:rPr>
                <w:kern w:val="22"/>
                <w:lang w:val="es-ES"/>
              </w:rPr>
              <w:t>Número de leyes consuetudinarias y protocolos y procedimientos comunitarios de pueblos indígenas y comunidades locales disponibles en el Centro de Intercambio de Información sobre APB</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974DFD" w:rsidP="00974DFD">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f)</w:t>
            </w:r>
            <w:r>
              <w:rPr>
                <w:rFonts w:eastAsia="Calibri"/>
                <w:kern w:val="22"/>
                <w:szCs w:val="22"/>
              </w:rPr>
              <w:t xml:space="preserve"> </w:t>
            </w:r>
            <w:r w:rsidR="009F5D7B" w:rsidRPr="00EE0850">
              <w:rPr>
                <w:rFonts w:eastAsia="Calibri"/>
                <w:kern w:val="22"/>
                <w:szCs w:val="22"/>
              </w:rPr>
              <w:t>g)</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sidRPr="00EE0850">
              <w:rPr>
                <w:rFonts w:eastAsia="SimSun"/>
                <w:kern w:val="22"/>
                <w:szCs w:val="22"/>
              </w:rPr>
              <w:t>3</w:t>
            </w:r>
          </w:p>
        </w:tc>
        <w:tc>
          <w:tcPr>
            <w:tcW w:w="1614"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974DFD" w:rsidP="000C6220">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sidRPr="00E92C1D">
              <w:rPr>
                <w:kern w:val="22"/>
                <w:lang w:val="es-ES"/>
              </w:rPr>
              <w:t>CII-APB</w:t>
            </w:r>
          </w:p>
        </w:tc>
      </w:tr>
      <w:tr w:rsidR="009F5D7B" w:rsidRPr="00024C71" w:rsidTr="005111BD">
        <w:trPr>
          <w:cantSplit/>
          <w:jc w:val="center"/>
        </w:trPr>
        <w:tc>
          <w:tcPr>
            <w:tcW w:w="9776" w:type="dxa"/>
            <w:gridSpan w:val="4"/>
            <w:shd w:val="pct5" w:color="auto" w:fill="auto"/>
            <w:tcMar>
              <w:top w:w="29" w:type="dxa"/>
              <w:left w:w="115" w:type="dxa"/>
              <w:bottom w:w="29" w:type="dxa"/>
              <w:right w:w="115" w:type="dxa"/>
            </w:tcMar>
            <w:vAlign w:val="center"/>
          </w:tcPr>
          <w:p w:rsidR="009F5D7B" w:rsidRPr="00974DFD" w:rsidRDefault="00974DFD" w:rsidP="000C6220">
            <w:pPr>
              <w:keepNext/>
              <w:suppressLineNumbers/>
              <w:suppressAutoHyphens/>
              <w:kinsoku w:val="0"/>
              <w:overflowPunct w:val="0"/>
              <w:autoSpaceDE w:val="0"/>
              <w:autoSpaceDN w:val="0"/>
              <w:adjustRightInd w:val="0"/>
              <w:snapToGrid w:val="0"/>
              <w:spacing w:after="0" w:line="240" w:lineRule="auto"/>
              <w:ind w:left="317"/>
              <w:jc w:val="left"/>
              <w:rPr>
                <w:rFonts w:eastAsia="SimSun"/>
                <w:b/>
                <w:kern w:val="22"/>
                <w:szCs w:val="22"/>
                <w:lang w:val="es-ES"/>
              </w:rPr>
            </w:pPr>
            <w:r w:rsidRPr="00E92C1D">
              <w:rPr>
                <w:b/>
                <w:bCs/>
                <w:kern w:val="22"/>
                <w:lang w:val="es-ES"/>
              </w:rPr>
              <w:t xml:space="preserve">Contribución a la conservación y utilización sostenible (artículo </w:t>
            </w:r>
            <w:r w:rsidR="009F5D7B" w:rsidRPr="00974DFD">
              <w:rPr>
                <w:rFonts w:eastAsia="SimSun"/>
                <w:b/>
                <w:kern w:val="22"/>
                <w:szCs w:val="22"/>
                <w:lang w:val="es-ES"/>
              </w:rPr>
              <w:t>9)</w:t>
            </w:r>
          </w:p>
        </w:tc>
      </w:tr>
      <w:tr w:rsidR="00355E88" w:rsidRPr="00EE0850" w:rsidTr="005111BD">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355E88" w:rsidRPr="00974DFD" w:rsidRDefault="00355E88" w:rsidP="000C6220">
            <w:pPr>
              <w:suppressLineNumbers/>
              <w:suppressAutoHyphens/>
              <w:kinsoku w:val="0"/>
              <w:overflowPunct w:val="0"/>
              <w:autoSpaceDE w:val="0"/>
              <w:autoSpaceDN w:val="0"/>
              <w:adjustRightInd w:val="0"/>
              <w:snapToGrid w:val="0"/>
              <w:spacing w:after="0" w:line="240" w:lineRule="auto"/>
              <w:ind w:left="314" w:hanging="360"/>
              <w:rPr>
                <w:kern w:val="22"/>
                <w:szCs w:val="22"/>
                <w:u w:color="000000"/>
                <w:lang w:val="es-ES"/>
              </w:rPr>
            </w:pPr>
            <w:r w:rsidRPr="00974DFD">
              <w:rPr>
                <w:kern w:val="22"/>
                <w:szCs w:val="22"/>
                <w:u w:color="000000"/>
                <w:lang w:val="es-ES"/>
              </w:rPr>
              <w:t>43.</w:t>
            </w:r>
            <w:r w:rsidRPr="00974DFD">
              <w:rPr>
                <w:kern w:val="22"/>
                <w:szCs w:val="22"/>
                <w:u w:color="000000"/>
                <w:lang w:val="es-ES"/>
              </w:rPr>
              <w:tab/>
            </w:r>
            <w:r w:rsidRPr="00E92C1D">
              <w:rPr>
                <w:i/>
                <w:iCs/>
                <w:color w:val="000000"/>
                <w:kern w:val="22"/>
                <w:u w:color="000000"/>
                <w:lang w:val="es-ES"/>
              </w:rPr>
              <w:t>Revisado:</w:t>
            </w:r>
            <w:r w:rsidRPr="00E92C1D">
              <w:rPr>
                <w:color w:val="000000"/>
                <w:kern w:val="22"/>
                <w:u w:color="000000"/>
                <w:lang w:val="es-ES"/>
              </w:rPr>
              <w:t> </w:t>
            </w:r>
            <w:r w:rsidRPr="00E92C1D">
              <w:rPr>
                <w:kern w:val="22"/>
                <w:lang w:val="es-ES"/>
              </w:rPr>
              <w:t xml:space="preserve">Número y porcentaje de Partes que han informado que la </w:t>
            </w:r>
            <w:r w:rsidRPr="00E92C1D">
              <w:rPr>
                <w:kern w:val="22"/>
                <w:u w:color="000000"/>
                <w:lang w:val="es-ES"/>
              </w:rPr>
              <w:t>aplicación del Protocolo de Nagoya ha contribuido a la conservación y utilización sostenible de la diversidad biológica en su país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355E88" w:rsidRPr="00EE0850" w:rsidRDefault="00355E88"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355E88">
              <w:rPr>
                <w:rFonts w:eastAsia="Calibri"/>
                <w:kern w:val="22"/>
                <w:szCs w:val="22"/>
                <w:lang w:val="es-ES"/>
              </w:rPr>
              <w:t xml:space="preserve"> </w:t>
            </w:r>
            <w:r w:rsidRPr="00EE0850">
              <w:rPr>
                <w:rFonts w:eastAsia="Calibri"/>
                <w:kern w:val="22"/>
                <w:szCs w:val="22"/>
              </w:rPr>
              <w:t>b)</w:t>
            </w:r>
          </w:p>
        </w:tc>
        <w:tc>
          <w:tcPr>
            <w:tcW w:w="1506" w:type="dxa"/>
            <w:tcBorders>
              <w:bottom w:val="single" w:sz="4" w:space="0" w:color="auto"/>
            </w:tcBorders>
            <w:shd w:val="clear" w:color="auto" w:fill="auto"/>
            <w:tcMar>
              <w:top w:w="29" w:type="dxa"/>
              <w:left w:w="115" w:type="dxa"/>
              <w:bottom w:w="29" w:type="dxa"/>
              <w:right w:w="115" w:type="dxa"/>
            </w:tcMar>
            <w:vAlign w:val="center"/>
          </w:tcPr>
          <w:p w:rsidR="00355E88" w:rsidRPr="00EE0850" w:rsidRDefault="00355E88" w:rsidP="00355E88">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Pr>
                <w:rFonts w:eastAsia="SimSun"/>
                <w:kern w:val="22"/>
                <w:szCs w:val="22"/>
              </w:rPr>
              <w:t>Sin información concluyente</w:t>
            </w:r>
          </w:p>
        </w:tc>
        <w:tc>
          <w:tcPr>
            <w:tcW w:w="1614" w:type="dxa"/>
            <w:tcBorders>
              <w:bottom w:val="single" w:sz="4" w:space="0" w:color="auto"/>
            </w:tcBorders>
            <w:shd w:val="clear" w:color="auto" w:fill="auto"/>
            <w:tcMar>
              <w:top w:w="29" w:type="dxa"/>
              <w:left w:w="115" w:type="dxa"/>
              <w:bottom w:w="29" w:type="dxa"/>
              <w:right w:w="115" w:type="dxa"/>
            </w:tcMar>
            <w:vAlign w:val="center"/>
          </w:tcPr>
          <w:p w:rsidR="00355E88" w:rsidRPr="00E92C1D" w:rsidRDefault="00355E88" w:rsidP="00355E88">
            <w:pPr>
              <w:keepNext/>
              <w:keepLines/>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La pregunta 46</w:t>
            </w:r>
            <w:r>
              <w:rPr>
                <w:kern w:val="22"/>
                <w:lang w:val="es-ES"/>
              </w:rPr>
              <w:t xml:space="preserve"> requiere revisión</w:t>
            </w:r>
          </w:p>
        </w:tc>
      </w:tr>
      <w:tr w:rsidR="009F5D7B" w:rsidRPr="00024C71" w:rsidTr="005111BD">
        <w:trPr>
          <w:cantSplit/>
          <w:jc w:val="center"/>
        </w:trPr>
        <w:tc>
          <w:tcPr>
            <w:tcW w:w="9776" w:type="dxa"/>
            <w:gridSpan w:val="4"/>
            <w:shd w:val="pct5" w:color="auto" w:fill="auto"/>
            <w:tcMar>
              <w:top w:w="29" w:type="dxa"/>
              <w:left w:w="115" w:type="dxa"/>
              <w:bottom w:w="29" w:type="dxa"/>
              <w:right w:w="115" w:type="dxa"/>
            </w:tcMar>
            <w:vAlign w:val="center"/>
          </w:tcPr>
          <w:p w:rsidR="009F5D7B" w:rsidRPr="00355E88" w:rsidRDefault="00355E88" w:rsidP="000C6220">
            <w:pPr>
              <w:keepNext/>
              <w:suppressLineNumbers/>
              <w:suppressAutoHyphens/>
              <w:kinsoku w:val="0"/>
              <w:overflowPunct w:val="0"/>
              <w:autoSpaceDE w:val="0"/>
              <w:autoSpaceDN w:val="0"/>
              <w:adjustRightInd w:val="0"/>
              <w:snapToGrid w:val="0"/>
              <w:spacing w:after="0" w:line="240" w:lineRule="auto"/>
              <w:ind w:left="314"/>
              <w:jc w:val="left"/>
              <w:rPr>
                <w:rFonts w:eastAsia="SimSun"/>
                <w:b/>
                <w:kern w:val="22"/>
                <w:szCs w:val="22"/>
                <w:lang w:val="es-ES"/>
              </w:rPr>
            </w:pPr>
            <w:r w:rsidRPr="00E92C1D">
              <w:rPr>
                <w:b/>
                <w:bCs/>
                <w:kern w:val="22"/>
                <w:lang w:val="es-ES"/>
              </w:rPr>
              <w:t>Cláusulas contractuales modelo, códigos de conducta, directrices, prácticas óptimas y estándares (artículos 19 y 20</w:t>
            </w:r>
            <w:r w:rsidR="009F5D7B" w:rsidRPr="00355E88">
              <w:rPr>
                <w:rFonts w:eastAsia="SimSun"/>
                <w:b/>
                <w:kern w:val="22"/>
                <w:szCs w:val="22"/>
                <w:lang w:val="es-ES"/>
              </w:rPr>
              <w:t>)</w:t>
            </w:r>
          </w:p>
        </w:tc>
      </w:tr>
      <w:tr w:rsidR="009F5D7B" w:rsidRPr="00EE0850" w:rsidTr="000C6220">
        <w:trPr>
          <w:cantSplit/>
          <w:jc w:val="center"/>
        </w:trPr>
        <w:tc>
          <w:tcPr>
            <w:tcW w:w="5552" w:type="dxa"/>
            <w:tcBorders>
              <w:bottom w:val="single" w:sz="4" w:space="0" w:color="auto"/>
            </w:tcBorders>
            <w:shd w:val="clear" w:color="auto" w:fill="auto"/>
            <w:tcMar>
              <w:top w:w="29" w:type="dxa"/>
              <w:left w:w="115" w:type="dxa"/>
              <w:bottom w:w="29" w:type="dxa"/>
              <w:right w:w="115" w:type="dxa"/>
            </w:tcMar>
            <w:vAlign w:val="center"/>
          </w:tcPr>
          <w:p w:rsidR="009F5D7B" w:rsidRPr="00355E88"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355E88">
              <w:rPr>
                <w:rFonts w:eastAsia="SimSun"/>
                <w:kern w:val="22"/>
                <w:szCs w:val="22"/>
                <w:lang w:val="es-ES"/>
              </w:rPr>
              <w:t>44.</w:t>
            </w:r>
            <w:r w:rsidRPr="00355E88">
              <w:rPr>
                <w:rFonts w:eastAsia="SimSun"/>
                <w:kern w:val="22"/>
                <w:szCs w:val="22"/>
                <w:lang w:val="es-ES"/>
              </w:rPr>
              <w:tab/>
            </w:r>
            <w:r w:rsidR="00355E88" w:rsidRPr="00E92C1D">
              <w:rPr>
                <w:kern w:val="22"/>
                <w:lang w:val="es-ES"/>
              </w:rPr>
              <w:t>Número de cláusulas contractuales modelo desarrolladas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355E88"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f)</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sidRPr="00EE0850">
              <w:rPr>
                <w:rFonts w:eastAsia="SimSun"/>
                <w:kern w:val="22"/>
                <w:szCs w:val="22"/>
              </w:rPr>
              <w:t>29</w:t>
            </w:r>
          </w:p>
        </w:tc>
        <w:tc>
          <w:tcPr>
            <w:tcW w:w="1614"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355E88" w:rsidP="00355E88">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Pr>
                <w:rFonts w:eastAsia="SimSun"/>
                <w:kern w:val="22"/>
                <w:szCs w:val="22"/>
              </w:rPr>
              <w:t xml:space="preserve">Pregunta </w:t>
            </w:r>
            <w:r w:rsidR="009F5D7B" w:rsidRPr="00EE0850">
              <w:rPr>
                <w:rFonts w:eastAsia="SimSun"/>
                <w:kern w:val="22"/>
                <w:szCs w:val="22"/>
              </w:rPr>
              <w:t xml:space="preserve">51, </w:t>
            </w:r>
            <w:r>
              <w:rPr>
                <w:rFonts w:eastAsia="SimSun"/>
                <w:kern w:val="22"/>
                <w:szCs w:val="22"/>
              </w:rPr>
              <w:t>encuesta dirigida</w:t>
            </w:r>
          </w:p>
        </w:tc>
      </w:tr>
      <w:tr w:rsidR="009F5D7B" w:rsidRPr="00EE0850" w:rsidTr="005111BD">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F5D7B" w:rsidRPr="00355E88"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355E88">
              <w:rPr>
                <w:rFonts w:eastAsia="SimSun"/>
                <w:kern w:val="22"/>
                <w:szCs w:val="22"/>
                <w:lang w:val="es-ES"/>
              </w:rPr>
              <w:t>45.</w:t>
            </w:r>
            <w:r w:rsidRPr="00355E88">
              <w:rPr>
                <w:rFonts w:eastAsia="SimSun"/>
                <w:kern w:val="22"/>
                <w:szCs w:val="22"/>
                <w:lang w:val="es-ES"/>
              </w:rPr>
              <w:tab/>
            </w:r>
            <w:r w:rsidR="00355E88" w:rsidRPr="00E92C1D">
              <w:rPr>
                <w:kern w:val="22"/>
                <w:lang w:val="es-ES"/>
              </w:rPr>
              <w:t>Número de códigos de conducta, directrices, prácticas óptimas y estándares desarrollados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355E88"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f)</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sidRPr="00EE0850">
              <w:rPr>
                <w:rFonts w:eastAsia="SimSun"/>
                <w:kern w:val="22"/>
                <w:szCs w:val="22"/>
              </w:rPr>
              <w:t>33</w:t>
            </w:r>
          </w:p>
        </w:tc>
        <w:tc>
          <w:tcPr>
            <w:tcW w:w="1614"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355E88" w:rsidP="00355E88">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Pr>
                <w:rFonts w:eastAsia="SimSun"/>
                <w:kern w:val="22"/>
                <w:szCs w:val="22"/>
              </w:rPr>
              <w:t>Pregunta 5</w:t>
            </w:r>
            <w:r w:rsidR="009F5D7B" w:rsidRPr="00EE0850">
              <w:rPr>
                <w:rFonts w:eastAsia="SimSun"/>
                <w:kern w:val="22"/>
                <w:szCs w:val="22"/>
              </w:rPr>
              <w:t xml:space="preserve">2, </w:t>
            </w:r>
            <w:r>
              <w:rPr>
                <w:rFonts w:eastAsia="SimSun"/>
                <w:kern w:val="22"/>
                <w:szCs w:val="22"/>
              </w:rPr>
              <w:t>encuesta dirigida</w:t>
            </w:r>
          </w:p>
        </w:tc>
      </w:tr>
      <w:tr w:rsidR="009F5D7B" w:rsidRPr="00EE0850" w:rsidTr="005111BD">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F5D7B" w:rsidRPr="00355E88"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355E88">
              <w:rPr>
                <w:rFonts w:eastAsia="SimSun"/>
                <w:kern w:val="22"/>
                <w:szCs w:val="22"/>
                <w:lang w:val="es-ES"/>
              </w:rPr>
              <w:t>46.</w:t>
            </w:r>
            <w:r w:rsidRPr="00355E88">
              <w:rPr>
                <w:rFonts w:eastAsia="SimSun"/>
                <w:kern w:val="22"/>
                <w:szCs w:val="22"/>
                <w:lang w:val="es-ES"/>
              </w:rPr>
              <w:tab/>
            </w:r>
            <w:r w:rsidR="00355E88" w:rsidRPr="00E92C1D">
              <w:rPr>
                <w:kern w:val="22"/>
                <w:lang w:val="es-ES"/>
              </w:rPr>
              <w:t>Número y porcentaje de cláusulas contractuales modelo que están disponibles en el Centro de Intercambio de Información sobre APB</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355E88" w:rsidP="00355E88">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 xml:space="preserve">f) </w:t>
            </w:r>
            <w:r>
              <w:rPr>
                <w:rFonts w:eastAsia="Calibri"/>
                <w:kern w:val="22"/>
                <w:szCs w:val="22"/>
              </w:rPr>
              <w:t xml:space="preserve"> </w:t>
            </w:r>
            <w:r w:rsidR="009F5D7B" w:rsidRPr="00EE0850">
              <w:rPr>
                <w:rFonts w:eastAsia="Calibri"/>
                <w:kern w:val="22"/>
                <w:szCs w:val="22"/>
              </w:rPr>
              <w:t>g)</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sidRPr="00EE0850">
              <w:rPr>
                <w:rFonts w:eastAsia="SimSun"/>
                <w:kern w:val="22"/>
                <w:szCs w:val="22"/>
              </w:rPr>
              <w:t>17 (59%)</w:t>
            </w:r>
          </w:p>
        </w:tc>
        <w:tc>
          <w:tcPr>
            <w:tcW w:w="1614"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355E88" w:rsidP="000C6220">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sidRPr="00E92C1D">
              <w:rPr>
                <w:kern w:val="22"/>
                <w:lang w:val="es-ES"/>
              </w:rPr>
              <w:t>CII-APB</w:t>
            </w:r>
          </w:p>
        </w:tc>
      </w:tr>
      <w:tr w:rsidR="009F5D7B" w:rsidRPr="00EE0850" w:rsidTr="005111BD">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F5D7B" w:rsidRPr="001A277A"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1A277A">
              <w:rPr>
                <w:rFonts w:eastAsia="SimSun"/>
                <w:kern w:val="22"/>
                <w:szCs w:val="22"/>
                <w:lang w:val="es-ES"/>
              </w:rPr>
              <w:lastRenderedPageBreak/>
              <w:t>47.</w:t>
            </w:r>
            <w:r w:rsidRPr="001A277A">
              <w:rPr>
                <w:rFonts w:eastAsia="SimSun"/>
                <w:kern w:val="22"/>
                <w:szCs w:val="22"/>
                <w:lang w:val="es-ES"/>
              </w:rPr>
              <w:tab/>
            </w:r>
            <w:r w:rsidR="001A277A" w:rsidRPr="00E92C1D">
              <w:rPr>
                <w:kern w:val="22"/>
                <w:lang w:val="es-ES"/>
              </w:rPr>
              <w:t>Número y porcentaje de códigos de conducta, directrices, prácticas óptimas y estándares que están disponibles en el Centro de Intercambio de Información sobre APB</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1A277A" w:rsidP="001A277A">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 xml:space="preserve">f) </w:t>
            </w:r>
            <w:r>
              <w:rPr>
                <w:rFonts w:eastAsia="Calibri"/>
                <w:kern w:val="22"/>
                <w:szCs w:val="22"/>
              </w:rPr>
              <w:t xml:space="preserve"> </w:t>
            </w:r>
            <w:r w:rsidR="009F5D7B" w:rsidRPr="00EE0850">
              <w:rPr>
                <w:rFonts w:eastAsia="Calibri"/>
                <w:kern w:val="22"/>
                <w:szCs w:val="22"/>
              </w:rPr>
              <w:t>g)</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sidRPr="00EE0850">
              <w:rPr>
                <w:rFonts w:eastAsia="SimSun"/>
                <w:kern w:val="22"/>
                <w:szCs w:val="22"/>
              </w:rPr>
              <w:t>25 (75%)</w:t>
            </w:r>
          </w:p>
        </w:tc>
        <w:tc>
          <w:tcPr>
            <w:tcW w:w="1614"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1A277A" w:rsidP="000C6220">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sidRPr="00E92C1D">
              <w:rPr>
                <w:kern w:val="22"/>
                <w:lang w:val="es-ES"/>
              </w:rPr>
              <w:t>CII-APB</w:t>
            </w:r>
          </w:p>
        </w:tc>
      </w:tr>
      <w:tr w:rsidR="009F5D7B" w:rsidRPr="00024C71" w:rsidTr="005111BD">
        <w:trPr>
          <w:cantSplit/>
          <w:jc w:val="center"/>
        </w:trPr>
        <w:tc>
          <w:tcPr>
            <w:tcW w:w="9776" w:type="dxa"/>
            <w:gridSpan w:val="4"/>
            <w:shd w:val="pct5" w:color="auto" w:fill="auto"/>
            <w:tcMar>
              <w:top w:w="29" w:type="dxa"/>
              <w:left w:w="115" w:type="dxa"/>
              <w:bottom w:w="29" w:type="dxa"/>
              <w:right w:w="115" w:type="dxa"/>
            </w:tcMar>
            <w:vAlign w:val="center"/>
          </w:tcPr>
          <w:p w:rsidR="009F5D7B" w:rsidRPr="001A277A" w:rsidRDefault="001A277A" w:rsidP="000C6220">
            <w:pPr>
              <w:keepNext/>
              <w:suppressLineNumbers/>
              <w:suppressAutoHyphens/>
              <w:kinsoku w:val="0"/>
              <w:overflowPunct w:val="0"/>
              <w:autoSpaceDE w:val="0"/>
              <w:autoSpaceDN w:val="0"/>
              <w:adjustRightInd w:val="0"/>
              <w:snapToGrid w:val="0"/>
              <w:spacing w:after="0" w:line="240" w:lineRule="auto"/>
              <w:ind w:left="314"/>
              <w:jc w:val="left"/>
              <w:rPr>
                <w:rFonts w:eastAsia="SimSun"/>
                <w:b/>
                <w:kern w:val="22"/>
                <w:szCs w:val="22"/>
                <w:lang w:val="es-ES"/>
              </w:rPr>
            </w:pPr>
            <w:r w:rsidRPr="00E92C1D">
              <w:rPr>
                <w:b/>
                <w:bCs/>
                <w:kern w:val="22"/>
                <w:lang w:val="es-ES"/>
              </w:rPr>
              <w:t>Aumento de la concienciación y capacidad (artículos 21 y 22</w:t>
            </w:r>
            <w:r w:rsidR="009F5D7B" w:rsidRPr="001A277A">
              <w:rPr>
                <w:rFonts w:eastAsia="SimSun"/>
                <w:b/>
                <w:kern w:val="22"/>
                <w:szCs w:val="22"/>
                <w:lang w:val="es-ES"/>
              </w:rPr>
              <w:t>)</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1A277A"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1A277A">
              <w:rPr>
                <w:rFonts w:eastAsia="SimSun"/>
                <w:kern w:val="22"/>
                <w:szCs w:val="22"/>
                <w:lang w:val="es-ES"/>
              </w:rPr>
              <w:t>48.</w:t>
            </w:r>
            <w:r w:rsidRPr="001A277A">
              <w:rPr>
                <w:rFonts w:eastAsia="SimSun"/>
                <w:kern w:val="22"/>
                <w:szCs w:val="22"/>
                <w:lang w:val="es-ES"/>
              </w:rPr>
              <w:tab/>
            </w:r>
            <w:r w:rsidR="001A277A" w:rsidRPr="00E92C1D">
              <w:rPr>
                <w:spacing w:val="4"/>
                <w:kern w:val="22"/>
                <w:lang w:val="es-ES"/>
              </w:rPr>
              <w:t>Número y porcentaje de Partes que han recibido apoyo externo para creación y desarrollo de capacidad para la aplicación del Protocolo de Nagoya desde su entrada en vigor</w:t>
            </w:r>
          </w:p>
        </w:tc>
        <w:tc>
          <w:tcPr>
            <w:tcW w:w="1104" w:type="dxa"/>
            <w:shd w:val="clear" w:color="auto" w:fill="auto"/>
            <w:tcMar>
              <w:top w:w="29" w:type="dxa"/>
              <w:left w:w="115" w:type="dxa"/>
              <w:bottom w:w="29" w:type="dxa"/>
              <w:right w:w="115" w:type="dxa"/>
            </w:tcMar>
            <w:vAlign w:val="center"/>
          </w:tcPr>
          <w:p w:rsidR="009F5D7B" w:rsidRPr="00EE0850" w:rsidRDefault="001A277A"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c)</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sidRPr="00EE0850">
              <w:rPr>
                <w:rFonts w:eastAsia="SimSun"/>
                <w:kern w:val="22"/>
                <w:szCs w:val="22"/>
              </w:rPr>
              <w:t>45 (43%)</w:t>
            </w:r>
          </w:p>
        </w:tc>
        <w:tc>
          <w:tcPr>
            <w:tcW w:w="1614" w:type="dxa"/>
            <w:shd w:val="clear" w:color="auto" w:fill="auto"/>
            <w:tcMar>
              <w:top w:w="29" w:type="dxa"/>
              <w:left w:w="115" w:type="dxa"/>
              <w:bottom w:w="29" w:type="dxa"/>
              <w:right w:w="115" w:type="dxa"/>
            </w:tcMar>
            <w:vAlign w:val="center"/>
          </w:tcPr>
          <w:p w:rsidR="009F5D7B" w:rsidRPr="00EE0850" w:rsidRDefault="001A277A" w:rsidP="001A277A">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Pr>
                <w:rFonts w:eastAsia="SimSun"/>
                <w:kern w:val="22"/>
                <w:szCs w:val="22"/>
              </w:rPr>
              <w:t xml:space="preserve">Pregunta </w:t>
            </w:r>
            <w:r w:rsidR="009F5D7B" w:rsidRPr="00EE0850">
              <w:rPr>
                <w:rFonts w:eastAsia="SimSun"/>
                <w:kern w:val="22"/>
                <w:szCs w:val="22"/>
              </w:rPr>
              <w:t>56</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1A277A"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1A277A">
              <w:rPr>
                <w:rFonts w:eastAsia="SimSun"/>
                <w:kern w:val="22"/>
                <w:szCs w:val="22"/>
                <w:lang w:val="es-ES"/>
              </w:rPr>
              <w:t>49.</w:t>
            </w:r>
            <w:r w:rsidRPr="001A277A">
              <w:rPr>
                <w:rFonts w:eastAsia="SimSun"/>
                <w:kern w:val="22"/>
                <w:szCs w:val="22"/>
                <w:lang w:val="es-ES"/>
              </w:rPr>
              <w:tab/>
            </w:r>
            <w:r w:rsidR="001A277A" w:rsidRPr="00E92C1D">
              <w:rPr>
                <w:kern w:val="22"/>
                <w:lang w:val="es-ES"/>
              </w:rPr>
              <w:t>Número y porcentaje de Partes que han proporcionado apoyo externo para creación y desarrollo de capacidad para la aplicación del Protocolo de Nagoya desde su entrada en vigor</w:t>
            </w:r>
          </w:p>
        </w:tc>
        <w:tc>
          <w:tcPr>
            <w:tcW w:w="1104" w:type="dxa"/>
            <w:shd w:val="clear" w:color="auto" w:fill="auto"/>
            <w:tcMar>
              <w:top w:w="29" w:type="dxa"/>
              <w:left w:w="115" w:type="dxa"/>
              <w:bottom w:w="29" w:type="dxa"/>
              <w:right w:w="115" w:type="dxa"/>
            </w:tcMar>
            <w:vAlign w:val="center"/>
          </w:tcPr>
          <w:p w:rsidR="009F5D7B" w:rsidRPr="00EE0850" w:rsidRDefault="001A277A"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c)</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sidRPr="00EE0850">
              <w:rPr>
                <w:rFonts w:eastAsia="SimSun"/>
                <w:kern w:val="22"/>
                <w:szCs w:val="22"/>
              </w:rPr>
              <w:t>27 (26%)</w:t>
            </w:r>
          </w:p>
        </w:tc>
        <w:tc>
          <w:tcPr>
            <w:tcW w:w="1614" w:type="dxa"/>
            <w:shd w:val="clear" w:color="auto" w:fill="auto"/>
            <w:tcMar>
              <w:top w:w="29" w:type="dxa"/>
              <w:left w:w="115" w:type="dxa"/>
              <w:bottom w:w="29" w:type="dxa"/>
              <w:right w:w="115" w:type="dxa"/>
            </w:tcMar>
            <w:vAlign w:val="center"/>
          </w:tcPr>
          <w:p w:rsidR="009F5D7B" w:rsidRPr="00EE0850" w:rsidRDefault="001A277A" w:rsidP="001A277A">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Pr>
                <w:rFonts w:eastAsia="SimSun"/>
                <w:kern w:val="22"/>
                <w:szCs w:val="22"/>
              </w:rPr>
              <w:t xml:space="preserve">Pregunta </w:t>
            </w:r>
            <w:r w:rsidR="009F5D7B" w:rsidRPr="00EE0850">
              <w:rPr>
                <w:rFonts w:eastAsia="SimSun"/>
                <w:kern w:val="22"/>
                <w:szCs w:val="22"/>
              </w:rPr>
              <w:t>57</w:t>
            </w:r>
          </w:p>
        </w:tc>
      </w:tr>
      <w:tr w:rsidR="009F5D7B" w:rsidRPr="00024C71" w:rsidTr="005111BD">
        <w:trPr>
          <w:cantSplit/>
          <w:jc w:val="center"/>
        </w:trPr>
        <w:tc>
          <w:tcPr>
            <w:tcW w:w="5552" w:type="dxa"/>
            <w:shd w:val="clear" w:color="auto" w:fill="auto"/>
            <w:tcMar>
              <w:top w:w="29" w:type="dxa"/>
              <w:left w:w="115" w:type="dxa"/>
              <w:bottom w:w="29" w:type="dxa"/>
              <w:right w:w="115" w:type="dxa"/>
            </w:tcMar>
          </w:tcPr>
          <w:p w:rsidR="009F5D7B" w:rsidRPr="001A277A"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1A277A">
              <w:rPr>
                <w:rFonts w:eastAsia="SimSun"/>
                <w:kern w:val="22"/>
                <w:szCs w:val="22"/>
                <w:lang w:val="es-ES"/>
              </w:rPr>
              <w:t>50.</w:t>
            </w:r>
            <w:r w:rsidRPr="001A277A">
              <w:rPr>
                <w:rFonts w:eastAsia="SimSun"/>
                <w:kern w:val="22"/>
                <w:szCs w:val="22"/>
                <w:lang w:val="es-ES"/>
              </w:rPr>
              <w:tab/>
            </w:r>
            <w:r w:rsidR="001A277A" w:rsidRPr="00E92C1D">
              <w:rPr>
                <w:kern w:val="22"/>
                <w:lang w:val="es-ES"/>
              </w:rPr>
              <w:t>Número de iniciativas de creación y desarrollo de capacidad brindadas que se completaron o iniciaron tras la adopción del Protocolo de Nagoya en 2010 y que estén proporcionando o hayan proporcionado apoyo directo para actividades a nivel de país que contribuyan a la ratificación y aplicación del Protocolo de Nagoya</w:t>
            </w:r>
          </w:p>
        </w:tc>
        <w:tc>
          <w:tcPr>
            <w:tcW w:w="1104" w:type="dxa"/>
            <w:shd w:val="clear" w:color="auto" w:fill="auto"/>
            <w:tcMar>
              <w:top w:w="29" w:type="dxa"/>
              <w:left w:w="115" w:type="dxa"/>
              <w:bottom w:w="29" w:type="dxa"/>
              <w:right w:w="115" w:type="dxa"/>
            </w:tcMar>
            <w:vAlign w:val="center"/>
          </w:tcPr>
          <w:p w:rsidR="009F5D7B" w:rsidRPr="00EE0850" w:rsidRDefault="001A277A"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c)</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sidRPr="00EE0850">
              <w:rPr>
                <w:rFonts w:eastAsia="SimSun"/>
                <w:kern w:val="22"/>
                <w:szCs w:val="22"/>
              </w:rPr>
              <w:t>90</w:t>
            </w:r>
          </w:p>
        </w:tc>
        <w:tc>
          <w:tcPr>
            <w:tcW w:w="1614" w:type="dxa"/>
            <w:shd w:val="clear" w:color="auto" w:fill="auto"/>
            <w:tcMar>
              <w:top w:w="29" w:type="dxa"/>
              <w:left w:w="115" w:type="dxa"/>
              <w:bottom w:w="29" w:type="dxa"/>
              <w:right w:w="115" w:type="dxa"/>
            </w:tcMar>
            <w:vAlign w:val="center"/>
          </w:tcPr>
          <w:p w:rsidR="009F5D7B" w:rsidRPr="001A277A" w:rsidRDefault="001A277A" w:rsidP="000C6220">
            <w:pPr>
              <w:suppressLineNumbers/>
              <w:suppressAutoHyphens/>
              <w:kinsoku w:val="0"/>
              <w:overflowPunct w:val="0"/>
              <w:autoSpaceDE w:val="0"/>
              <w:autoSpaceDN w:val="0"/>
              <w:adjustRightInd w:val="0"/>
              <w:snapToGrid w:val="0"/>
              <w:spacing w:after="0" w:line="240" w:lineRule="auto"/>
              <w:jc w:val="left"/>
              <w:rPr>
                <w:rFonts w:eastAsia="SimSun"/>
                <w:kern w:val="22"/>
                <w:szCs w:val="22"/>
                <w:lang w:val="es-ES"/>
              </w:rPr>
            </w:pPr>
            <w:r w:rsidRPr="00E92C1D">
              <w:rPr>
                <w:spacing w:val="-6"/>
                <w:kern w:val="22"/>
                <w:lang w:val="es-ES"/>
              </w:rPr>
              <w:t>Documentos de la SCDB sobre creación de capacidad</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1A277A"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1A277A">
              <w:rPr>
                <w:rFonts w:eastAsia="SimSun"/>
                <w:kern w:val="22"/>
                <w:szCs w:val="22"/>
                <w:lang w:val="es-ES"/>
              </w:rPr>
              <w:t>51.</w:t>
            </w:r>
            <w:r w:rsidRPr="001A277A">
              <w:rPr>
                <w:rFonts w:eastAsia="SimSun"/>
                <w:kern w:val="22"/>
                <w:szCs w:val="22"/>
                <w:lang w:val="es-ES"/>
              </w:rPr>
              <w:tab/>
            </w:r>
            <w:r w:rsidR="001A277A" w:rsidRPr="00E92C1D">
              <w:rPr>
                <w:kern w:val="22"/>
                <w:lang w:val="es-ES"/>
              </w:rPr>
              <w:t>Número de iniciativas de creación y desarrollo de capacidad puestas a disposición del Centro de Intercambio de Información sobre APB</w:t>
            </w:r>
          </w:p>
        </w:tc>
        <w:tc>
          <w:tcPr>
            <w:tcW w:w="1104" w:type="dxa"/>
            <w:shd w:val="clear" w:color="auto" w:fill="auto"/>
            <w:tcMar>
              <w:top w:w="29" w:type="dxa"/>
              <w:left w:w="115" w:type="dxa"/>
              <w:bottom w:w="29" w:type="dxa"/>
              <w:right w:w="115" w:type="dxa"/>
            </w:tcMar>
            <w:vAlign w:val="center"/>
          </w:tcPr>
          <w:p w:rsidR="009F5D7B" w:rsidRPr="00EE0850" w:rsidRDefault="001A277A" w:rsidP="001A277A">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c)</w:t>
            </w:r>
            <w:r>
              <w:rPr>
                <w:rFonts w:eastAsia="Calibri"/>
                <w:kern w:val="22"/>
                <w:szCs w:val="22"/>
              </w:rPr>
              <w:t xml:space="preserve"> </w:t>
            </w:r>
            <w:r w:rsidR="009F5D7B" w:rsidRPr="00EE0850">
              <w:rPr>
                <w:rFonts w:eastAsia="Calibri"/>
                <w:kern w:val="22"/>
                <w:szCs w:val="22"/>
              </w:rPr>
              <w:t>g)</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EE0850">
              <w:rPr>
                <w:rFonts w:eastAsia="Calibri"/>
                <w:kern w:val="22"/>
                <w:szCs w:val="22"/>
              </w:rPr>
              <w:t>57</w:t>
            </w:r>
          </w:p>
        </w:tc>
        <w:tc>
          <w:tcPr>
            <w:tcW w:w="1614" w:type="dxa"/>
            <w:shd w:val="clear" w:color="auto" w:fill="auto"/>
            <w:tcMar>
              <w:top w:w="29" w:type="dxa"/>
              <w:left w:w="115" w:type="dxa"/>
              <w:bottom w:w="29" w:type="dxa"/>
              <w:right w:w="115" w:type="dxa"/>
            </w:tcMar>
            <w:vAlign w:val="center"/>
          </w:tcPr>
          <w:p w:rsidR="009F5D7B" w:rsidRPr="00EE0850" w:rsidRDefault="001A277A" w:rsidP="000C6220">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sidRPr="00E92C1D">
              <w:rPr>
                <w:kern w:val="22"/>
                <w:lang w:val="es-ES"/>
              </w:rPr>
              <w:t>CII-APB</w:t>
            </w:r>
          </w:p>
        </w:tc>
      </w:tr>
      <w:tr w:rsidR="001A277A" w:rsidRPr="00024C71" w:rsidTr="005111BD">
        <w:trPr>
          <w:cantSplit/>
          <w:jc w:val="center"/>
        </w:trPr>
        <w:tc>
          <w:tcPr>
            <w:tcW w:w="5552" w:type="dxa"/>
            <w:shd w:val="clear" w:color="auto" w:fill="auto"/>
            <w:tcMar>
              <w:top w:w="29" w:type="dxa"/>
              <w:left w:w="115" w:type="dxa"/>
              <w:bottom w:w="29" w:type="dxa"/>
              <w:right w:w="115" w:type="dxa"/>
            </w:tcMar>
          </w:tcPr>
          <w:p w:rsidR="001A277A" w:rsidRPr="001A277A" w:rsidRDefault="001A277A"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1A277A">
              <w:rPr>
                <w:rFonts w:eastAsia="SimSun"/>
                <w:kern w:val="22"/>
                <w:szCs w:val="22"/>
                <w:lang w:val="es-ES"/>
              </w:rPr>
              <w:t>52.</w:t>
            </w:r>
            <w:r w:rsidRPr="001A277A">
              <w:rPr>
                <w:rFonts w:eastAsia="SimSun"/>
                <w:kern w:val="22"/>
                <w:szCs w:val="22"/>
                <w:lang w:val="es-ES"/>
              </w:rPr>
              <w:tab/>
            </w:r>
            <w:r w:rsidRPr="00E92C1D">
              <w:rPr>
                <w:kern w:val="22"/>
                <w:lang w:val="es-ES"/>
              </w:rPr>
              <w:t>Número de herramientas y recursos de creación de capacidad y concienciación sobre acceso y participación en los beneficios</w:t>
            </w:r>
          </w:p>
        </w:tc>
        <w:tc>
          <w:tcPr>
            <w:tcW w:w="1104" w:type="dxa"/>
            <w:shd w:val="clear" w:color="auto" w:fill="auto"/>
            <w:tcMar>
              <w:top w:w="29" w:type="dxa"/>
              <w:left w:w="115" w:type="dxa"/>
              <w:bottom w:w="29" w:type="dxa"/>
              <w:right w:w="115" w:type="dxa"/>
            </w:tcMar>
            <w:vAlign w:val="center"/>
          </w:tcPr>
          <w:p w:rsidR="001A277A" w:rsidRPr="00EE0850" w:rsidRDefault="001A277A"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1A277A">
              <w:rPr>
                <w:rFonts w:eastAsia="Calibri"/>
                <w:kern w:val="22"/>
                <w:szCs w:val="22"/>
                <w:lang w:val="es-ES"/>
              </w:rPr>
              <w:t xml:space="preserve"> </w:t>
            </w:r>
            <w:r w:rsidRPr="00EE0850">
              <w:rPr>
                <w:rFonts w:eastAsia="Calibri"/>
                <w:kern w:val="22"/>
                <w:szCs w:val="22"/>
              </w:rPr>
              <w:t>c)</w:t>
            </w:r>
          </w:p>
        </w:tc>
        <w:tc>
          <w:tcPr>
            <w:tcW w:w="1506" w:type="dxa"/>
            <w:shd w:val="clear" w:color="auto" w:fill="auto"/>
            <w:tcMar>
              <w:top w:w="29" w:type="dxa"/>
              <w:left w:w="115" w:type="dxa"/>
              <w:bottom w:w="29" w:type="dxa"/>
              <w:right w:w="115" w:type="dxa"/>
            </w:tcMar>
            <w:vAlign w:val="center"/>
          </w:tcPr>
          <w:p w:rsidR="001A277A" w:rsidRPr="00EE0850" w:rsidRDefault="001A277A"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EE0850">
              <w:rPr>
                <w:rFonts w:eastAsia="Calibri"/>
                <w:kern w:val="22"/>
                <w:szCs w:val="22"/>
              </w:rPr>
              <w:t>84</w:t>
            </w:r>
          </w:p>
        </w:tc>
        <w:tc>
          <w:tcPr>
            <w:tcW w:w="1614" w:type="dxa"/>
            <w:shd w:val="clear" w:color="auto" w:fill="auto"/>
            <w:tcMar>
              <w:top w:w="29" w:type="dxa"/>
              <w:left w:w="115" w:type="dxa"/>
              <w:bottom w:w="29" w:type="dxa"/>
              <w:right w:w="115" w:type="dxa"/>
            </w:tcMar>
            <w:vAlign w:val="center"/>
          </w:tcPr>
          <w:p w:rsidR="001A277A" w:rsidRPr="001A277A" w:rsidRDefault="001A277A" w:rsidP="00A601E5">
            <w:pPr>
              <w:suppressLineNumbers/>
              <w:suppressAutoHyphens/>
              <w:kinsoku w:val="0"/>
              <w:overflowPunct w:val="0"/>
              <w:autoSpaceDE w:val="0"/>
              <w:autoSpaceDN w:val="0"/>
              <w:adjustRightInd w:val="0"/>
              <w:snapToGrid w:val="0"/>
              <w:spacing w:after="0" w:line="240" w:lineRule="auto"/>
              <w:jc w:val="left"/>
              <w:rPr>
                <w:rFonts w:eastAsia="SimSun"/>
                <w:kern w:val="22"/>
                <w:szCs w:val="22"/>
                <w:lang w:val="es-ES"/>
              </w:rPr>
            </w:pPr>
            <w:r w:rsidRPr="00E92C1D">
              <w:rPr>
                <w:spacing w:val="-6"/>
                <w:kern w:val="22"/>
                <w:lang w:val="es-ES"/>
              </w:rPr>
              <w:t>Documentos de la SCDB sobre creación de capacidad</w:t>
            </w:r>
          </w:p>
        </w:tc>
      </w:tr>
      <w:tr w:rsidR="009F5D7B" w:rsidRPr="00EE0850" w:rsidTr="005111BD">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F5D7B" w:rsidRPr="001A277A"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1A277A">
              <w:rPr>
                <w:rFonts w:eastAsia="SimSun"/>
                <w:kern w:val="22"/>
                <w:szCs w:val="22"/>
                <w:lang w:val="es-ES"/>
              </w:rPr>
              <w:t>53.</w:t>
            </w:r>
            <w:r w:rsidRPr="001A277A">
              <w:rPr>
                <w:rFonts w:eastAsia="SimSun"/>
                <w:kern w:val="22"/>
                <w:szCs w:val="22"/>
                <w:lang w:val="es-ES"/>
              </w:rPr>
              <w:tab/>
            </w:r>
            <w:r w:rsidR="001A277A" w:rsidRPr="00E92C1D">
              <w:rPr>
                <w:spacing w:val="-1"/>
                <w:kern w:val="22"/>
                <w:lang w:val="es-ES"/>
              </w:rPr>
              <w:t>Número de herramientas y recursos de creación de capacidad y concienciación disponibles en el Centro de Intercambio de Información sobre APB</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1A277A" w:rsidP="001A277A">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c)</w:t>
            </w:r>
            <w:r>
              <w:rPr>
                <w:rFonts w:eastAsia="Calibri"/>
                <w:kern w:val="22"/>
                <w:szCs w:val="22"/>
              </w:rPr>
              <w:t xml:space="preserve"> </w:t>
            </w:r>
            <w:r w:rsidR="009F5D7B" w:rsidRPr="00EE0850">
              <w:rPr>
                <w:rFonts w:eastAsia="Calibri"/>
                <w:kern w:val="22"/>
                <w:szCs w:val="22"/>
              </w:rPr>
              <w:t>g)</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EE0850">
              <w:rPr>
                <w:rFonts w:eastAsia="Calibri"/>
                <w:kern w:val="22"/>
                <w:szCs w:val="22"/>
              </w:rPr>
              <w:t>34</w:t>
            </w:r>
          </w:p>
        </w:tc>
        <w:tc>
          <w:tcPr>
            <w:tcW w:w="1614"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1A277A" w:rsidP="000C6220">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sidRPr="00E92C1D">
              <w:rPr>
                <w:kern w:val="22"/>
                <w:lang w:val="es-ES"/>
              </w:rPr>
              <w:t>CII-APB</w:t>
            </w:r>
          </w:p>
        </w:tc>
      </w:tr>
      <w:tr w:rsidR="009F5D7B" w:rsidRPr="00024C71" w:rsidTr="005111BD">
        <w:trPr>
          <w:cantSplit/>
          <w:jc w:val="center"/>
        </w:trPr>
        <w:tc>
          <w:tcPr>
            <w:tcW w:w="9776" w:type="dxa"/>
            <w:gridSpan w:val="4"/>
            <w:tcBorders>
              <w:bottom w:val="single" w:sz="4" w:space="0" w:color="auto"/>
            </w:tcBorders>
            <w:shd w:val="pct10" w:color="auto" w:fill="auto"/>
            <w:tcMar>
              <w:top w:w="29" w:type="dxa"/>
              <w:left w:w="115" w:type="dxa"/>
              <w:bottom w:w="29" w:type="dxa"/>
              <w:right w:w="115" w:type="dxa"/>
            </w:tcMar>
            <w:vAlign w:val="center"/>
          </w:tcPr>
          <w:p w:rsidR="009F5D7B" w:rsidRPr="001A277A" w:rsidRDefault="001A277A" w:rsidP="000C6220">
            <w:pPr>
              <w:keepNext/>
              <w:suppressLineNumbers/>
              <w:suppressAutoHyphens/>
              <w:kinsoku w:val="0"/>
              <w:overflowPunct w:val="0"/>
              <w:autoSpaceDE w:val="0"/>
              <w:autoSpaceDN w:val="0"/>
              <w:adjustRightInd w:val="0"/>
              <w:snapToGrid w:val="0"/>
              <w:spacing w:after="0" w:line="240" w:lineRule="auto"/>
              <w:ind w:left="317"/>
              <w:jc w:val="left"/>
              <w:rPr>
                <w:rFonts w:eastAsia="SimSun"/>
                <w:b/>
                <w:kern w:val="22"/>
                <w:szCs w:val="22"/>
                <w:lang w:val="es-ES"/>
              </w:rPr>
            </w:pPr>
            <w:r w:rsidRPr="00E92C1D">
              <w:rPr>
                <w:b/>
                <w:bCs/>
                <w:kern w:val="22"/>
                <w:lang w:val="es-ES"/>
              </w:rPr>
              <w:t>Transferencia de tecnología, colaboración y cooperación</w:t>
            </w:r>
          </w:p>
        </w:tc>
      </w:tr>
      <w:tr w:rsidR="009F5D7B" w:rsidRPr="00EE0850" w:rsidTr="005111BD">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F5D7B" w:rsidRPr="001A277A"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1A277A">
              <w:rPr>
                <w:rFonts w:eastAsia="SimSun"/>
                <w:kern w:val="22"/>
                <w:szCs w:val="22"/>
                <w:lang w:val="es-ES"/>
              </w:rPr>
              <w:t>54.</w:t>
            </w:r>
            <w:r w:rsidRPr="001A277A">
              <w:rPr>
                <w:rFonts w:eastAsia="SimSun"/>
                <w:kern w:val="22"/>
                <w:szCs w:val="22"/>
                <w:lang w:val="es-ES"/>
              </w:rPr>
              <w:tab/>
            </w:r>
            <w:r w:rsidR="001A277A" w:rsidRPr="00E92C1D">
              <w:rPr>
                <w:kern w:val="22"/>
                <w:lang w:val="es-ES"/>
              </w:rPr>
              <w:t>Número y porcentaje de Partes que han colaborado y cooperado en programas de investigación y desarrollo científico y técnico como medio para conseguir el objetivo del Protocolo, conforme a lo dispuesto en el artículo 23</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1A277A"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a)</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EE0850">
              <w:rPr>
                <w:rFonts w:eastAsia="Calibri"/>
                <w:kern w:val="22"/>
                <w:szCs w:val="22"/>
              </w:rPr>
              <w:t>46 (44%)</w:t>
            </w:r>
          </w:p>
        </w:tc>
        <w:tc>
          <w:tcPr>
            <w:tcW w:w="1614" w:type="dxa"/>
            <w:tcBorders>
              <w:bottom w:val="single" w:sz="4" w:space="0" w:color="auto"/>
            </w:tcBorders>
            <w:shd w:val="clear" w:color="auto" w:fill="auto"/>
            <w:tcMar>
              <w:top w:w="29" w:type="dxa"/>
              <w:left w:w="115" w:type="dxa"/>
              <w:bottom w:w="29" w:type="dxa"/>
              <w:right w:w="115" w:type="dxa"/>
            </w:tcMar>
            <w:vAlign w:val="center"/>
          </w:tcPr>
          <w:p w:rsidR="009F5D7B" w:rsidRPr="00EE0850" w:rsidRDefault="001A277A" w:rsidP="001A277A">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Pr>
                <w:rFonts w:eastAsia="SimSun"/>
                <w:kern w:val="22"/>
                <w:szCs w:val="22"/>
              </w:rPr>
              <w:t xml:space="preserve">Pregunta </w:t>
            </w:r>
            <w:r w:rsidR="009F5D7B" w:rsidRPr="00EE0850">
              <w:rPr>
                <w:rFonts w:eastAsia="SimSun"/>
                <w:kern w:val="22"/>
                <w:szCs w:val="22"/>
              </w:rPr>
              <w:t>59</w:t>
            </w:r>
          </w:p>
        </w:tc>
      </w:tr>
      <w:tr w:rsidR="009F5D7B" w:rsidRPr="00EE0850" w:rsidTr="005111BD">
        <w:trPr>
          <w:cantSplit/>
          <w:jc w:val="center"/>
        </w:trPr>
        <w:tc>
          <w:tcPr>
            <w:tcW w:w="9776" w:type="dxa"/>
            <w:gridSpan w:val="4"/>
            <w:shd w:val="pct5" w:color="auto" w:fill="auto"/>
            <w:tcMar>
              <w:top w:w="29" w:type="dxa"/>
              <w:left w:w="115" w:type="dxa"/>
              <w:bottom w:w="29" w:type="dxa"/>
              <w:right w:w="115" w:type="dxa"/>
            </w:tcMar>
            <w:vAlign w:val="center"/>
          </w:tcPr>
          <w:p w:rsidR="009F5D7B" w:rsidRPr="00EE0850" w:rsidRDefault="001A277A" w:rsidP="000C6220">
            <w:pPr>
              <w:keepNext/>
              <w:suppressLineNumbers/>
              <w:suppressAutoHyphens/>
              <w:kinsoku w:val="0"/>
              <w:overflowPunct w:val="0"/>
              <w:autoSpaceDE w:val="0"/>
              <w:autoSpaceDN w:val="0"/>
              <w:adjustRightInd w:val="0"/>
              <w:snapToGrid w:val="0"/>
              <w:spacing w:after="0" w:line="240" w:lineRule="auto"/>
              <w:ind w:left="317"/>
              <w:jc w:val="left"/>
              <w:rPr>
                <w:rFonts w:eastAsia="SimSun"/>
                <w:b/>
                <w:kern w:val="22"/>
                <w:szCs w:val="22"/>
              </w:rPr>
            </w:pPr>
            <w:r w:rsidRPr="00E92C1D">
              <w:rPr>
                <w:b/>
                <w:bCs/>
                <w:kern w:val="22"/>
                <w:lang w:val="es-ES"/>
              </w:rPr>
              <w:t>Información adicional opcional</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1A277A"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1A277A">
              <w:rPr>
                <w:rFonts w:eastAsia="SimSun"/>
                <w:kern w:val="22"/>
                <w:szCs w:val="22"/>
                <w:lang w:val="es-ES"/>
              </w:rPr>
              <w:t>55.</w:t>
            </w:r>
            <w:r w:rsidRPr="001A277A">
              <w:rPr>
                <w:rFonts w:eastAsia="SimSun"/>
                <w:kern w:val="22"/>
                <w:szCs w:val="22"/>
                <w:lang w:val="es-ES"/>
              </w:rPr>
              <w:tab/>
            </w:r>
            <w:r w:rsidR="001A277A" w:rsidRPr="00E92C1D">
              <w:rPr>
                <w:kern w:val="22"/>
                <w:lang w:val="es-ES"/>
              </w:rPr>
              <w:t>Número y porcentaje de Partes que han establecido un mecanismo de asignaciones presupuestarias de fondos para la aplicación del Protocolo de Nagoya</w:t>
            </w:r>
          </w:p>
        </w:tc>
        <w:tc>
          <w:tcPr>
            <w:tcW w:w="1104" w:type="dxa"/>
            <w:shd w:val="clear" w:color="auto" w:fill="auto"/>
            <w:tcMar>
              <w:top w:w="29" w:type="dxa"/>
              <w:left w:w="115" w:type="dxa"/>
              <w:bottom w:w="29" w:type="dxa"/>
              <w:right w:w="115" w:type="dxa"/>
            </w:tcMar>
            <w:vAlign w:val="center"/>
          </w:tcPr>
          <w:p w:rsidR="009F5D7B" w:rsidRPr="00EE0850" w:rsidRDefault="001A277A"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c)</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sidRPr="00EE0850">
              <w:rPr>
                <w:rFonts w:eastAsia="SimSun"/>
                <w:kern w:val="22"/>
                <w:szCs w:val="22"/>
              </w:rPr>
              <w:t>24 (23%)</w:t>
            </w:r>
          </w:p>
        </w:tc>
        <w:tc>
          <w:tcPr>
            <w:tcW w:w="1614" w:type="dxa"/>
            <w:shd w:val="clear" w:color="auto" w:fill="auto"/>
            <w:tcMar>
              <w:top w:w="29" w:type="dxa"/>
              <w:left w:w="115" w:type="dxa"/>
              <w:bottom w:w="29" w:type="dxa"/>
              <w:right w:w="115" w:type="dxa"/>
            </w:tcMar>
            <w:vAlign w:val="center"/>
          </w:tcPr>
          <w:p w:rsidR="009F5D7B" w:rsidRPr="00EE0850" w:rsidRDefault="001A277A" w:rsidP="001A277A">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Pr>
                <w:rFonts w:eastAsia="SimSun"/>
                <w:kern w:val="22"/>
                <w:szCs w:val="22"/>
              </w:rPr>
              <w:t xml:space="preserve">Pregunta </w:t>
            </w:r>
            <w:r w:rsidR="009F5D7B" w:rsidRPr="00EE0850">
              <w:rPr>
                <w:rFonts w:eastAsia="SimSun"/>
                <w:kern w:val="22"/>
                <w:szCs w:val="22"/>
              </w:rPr>
              <w:t>61</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1A277A"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1A277A">
              <w:rPr>
                <w:rFonts w:eastAsia="SimSun"/>
                <w:kern w:val="22"/>
                <w:szCs w:val="22"/>
                <w:lang w:val="es-ES"/>
              </w:rPr>
              <w:t>56.</w:t>
            </w:r>
            <w:r w:rsidRPr="001A277A">
              <w:rPr>
                <w:rFonts w:eastAsia="SimSun"/>
                <w:kern w:val="22"/>
                <w:szCs w:val="22"/>
                <w:lang w:val="es-ES"/>
              </w:rPr>
              <w:tab/>
            </w:r>
            <w:r w:rsidR="001A277A" w:rsidRPr="00E92C1D">
              <w:rPr>
                <w:kern w:val="22"/>
                <w:lang w:val="es-ES"/>
              </w:rPr>
              <w:t>Número y porcentaje de Partes que han puesto recursos financieros a disposición de otras Partes</w:t>
            </w:r>
          </w:p>
        </w:tc>
        <w:tc>
          <w:tcPr>
            <w:tcW w:w="1104" w:type="dxa"/>
            <w:shd w:val="clear" w:color="auto" w:fill="auto"/>
            <w:tcMar>
              <w:top w:w="29" w:type="dxa"/>
              <w:left w:w="115" w:type="dxa"/>
              <w:bottom w:w="29" w:type="dxa"/>
              <w:right w:w="115" w:type="dxa"/>
            </w:tcMar>
            <w:vAlign w:val="center"/>
          </w:tcPr>
          <w:p w:rsidR="009F5D7B" w:rsidRPr="00EE0850" w:rsidRDefault="001A277A"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c)</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sidRPr="00EE0850">
              <w:rPr>
                <w:rFonts w:eastAsia="SimSun"/>
                <w:kern w:val="22"/>
                <w:szCs w:val="22"/>
              </w:rPr>
              <w:t>13 (12%)</w:t>
            </w:r>
          </w:p>
        </w:tc>
        <w:tc>
          <w:tcPr>
            <w:tcW w:w="1614" w:type="dxa"/>
            <w:shd w:val="clear" w:color="auto" w:fill="auto"/>
            <w:tcMar>
              <w:top w:w="29" w:type="dxa"/>
              <w:left w:w="115" w:type="dxa"/>
              <w:bottom w:w="29" w:type="dxa"/>
              <w:right w:w="115" w:type="dxa"/>
            </w:tcMar>
            <w:vAlign w:val="center"/>
          </w:tcPr>
          <w:p w:rsidR="009F5D7B" w:rsidRPr="00EE0850" w:rsidRDefault="001A277A" w:rsidP="001A277A">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Pr>
                <w:rFonts w:eastAsia="SimSun"/>
                <w:kern w:val="22"/>
                <w:szCs w:val="22"/>
              </w:rPr>
              <w:t xml:space="preserve">Pregunta </w:t>
            </w:r>
            <w:r w:rsidR="009F5D7B" w:rsidRPr="00EE0850">
              <w:rPr>
                <w:rFonts w:eastAsia="SimSun"/>
                <w:kern w:val="22"/>
                <w:szCs w:val="22"/>
              </w:rPr>
              <w:t>62</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1A277A"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1A277A">
              <w:rPr>
                <w:rFonts w:eastAsia="SimSun"/>
                <w:kern w:val="22"/>
                <w:szCs w:val="22"/>
                <w:lang w:val="es-ES"/>
              </w:rPr>
              <w:t>57.</w:t>
            </w:r>
            <w:r w:rsidRPr="001A277A">
              <w:rPr>
                <w:rFonts w:eastAsia="SimSun"/>
                <w:kern w:val="22"/>
                <w:szCs w:val="22"/>
                <w:lang w:val="es-ES"/>
              </w:rPr>
              <w:tab/>
            </w:r>
            <w:r w:rsidR="001A277A" w:rsidRPr="00E92C1D">
              <w:rPr>
                <w:kern w:val="22"/>
                <w:lang w:val="es-ES"/>
              </w:rPr>
              <w:t>Número y porcentaje de Partes que han recibido recursos financieros de otras Partes o de instituciones financieras para fines de aplicación del Protocolo, conforme a lo dispuesto en el artículo 25</w:t>
            </w:r>
          </w:p>
        </w:tc>
        <w:tc>
          <w:tcPr>
            <w:tcW w:w="1104" w:type="dxa"/>
            <w:shd w:val="clear" w:color="auto" w:fill="auto"/>
            <w:tcMar>
              <w:top w:w="29" w:type="dxa"/>
              <w:left w:w="115" w:type="dxa"/>
              <w:bottom w:w="29" w:type="dxa"/>
              <w:right w:w="115" w:type="dxa"/>
            </w:tcMar>
            <w:vAlign w:val="center"/>
          </w:tcPr>
          <w:p w:rsidR="009F5D7B" w:rsidRPr="00EE0850" w:rsidRDefault="001A277A"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C5131C">
              <w:rPr>
                <w:rFonts w:eastAsia="Calibri"/>
                <w:kern w:val="22"/>
                <w:szCs w:val="22"/>
                <w:lang w:val="es-ES"/>
              </w:rPr>
              <w:t xml:space="preserve"> </w:t>
            </w:r>
            <w:r w:rsidR="009F5D7B" w:rsidRPr="00EE0850">
              <w:rPr>
                <w:rFonts w:eastAsia="Calibri"/>
                <w:kern w:val="22"/>
                <w:szCs w:val="22"/>
              </w:rPr>
              <w:t>c)</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rFonts w:eastAsia="SimSun"/>
                <w:kern w:val="22"/>
                <w:szCs w:val="22"/>
              </w:rPr>
            </w:pPr>
            <w:r w:rsidRPr="00EE0850">
              <w:rPr>
                <w:rFonts w:eastAsia="SimSun"/>
                <w:kern w:val="22"/>
                <w:szCs w:val="22"/>
              </w:rPr>
              <w:t>35 (33%)</w:t>
            </w:r>
          </w:p>
        </w:tc>
        <w:tc>
          <w:tcPr>
            <w:tcW w:w="1614" w:type="dxa"/>
            <w:shd w:val="clear" w:color="auto" w:fill="auto"/>
            <w:tcMar>
              <w:top w:w="29" w:type="dxa"/>
              <w:left w:w="115" w:type="dxa"/>
              <w:bottom w:w="29" w:type="dxa"/>
              <w:right w:w="115" w:type="dxa"/>
            </w:tcMar>
            <w:vAlign w:val="center"/>
          </w:tcPr>
          <w:p w:rsidR="009F5D7B" w:rsidRPr="00EE0850" w:rsidRDefault="001A277A" w:rsidP="001A277A">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Pr>
                <w:rFonts w:eastAsia="SimSun"/>
                <w:kern w:val="22"/>
                <w:szCs w:val="22"/>
              </w:rPr>
              <w:t xml:space="preserve">Pregunta </w:t>
            </w:r>
            <w:r w:rsidR="009F5D7B" w:rsidRPr="00EE0850">
              <w:rPr>
                <w:rFonts w:eastAsia="SimSun"/>
                <w:kern w:val="22"/>
                <w:szCs w:val="22"/>
              </w:rPr>
              <w:t>62</w:t>
            </w:r>
          </w:p>
        </w:tc>
      </w:tr>
      <w:tr w:rsidR="001A277A" w:rsidRPr="00EE0850" w:rsidTr="005111BD">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1A277A" w:rsidRPr="001A277A" w:rsidRDefault="001A277A"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1A277A">
              <w:rPr>
                <w:rFonts w:eastAsia="SimSun"/>
                <w:kern w:val="22"/>
                <w:szCs w:val="22"/>
                <w:lang w:val="es-ES"/>
              </w:rPr>
              <w:lastRenderedPageBreak/>
              <w:t>58.</w:t>
            </w:r>
            <w:r w:rsidRPr="001A277A">
              <w:rPr>
                <w:rFonts w:eastAsia="SimSun"/>
                <w:kern w:val="22"/>
                <w:szCs w:val="22"/>
                <w:lang w:val="es-ES"/>
              </w:rPr>
              <w:tab/>
            </w:r>
            <w:r w:rsidRPr="00E92C1D">
              <w:rPr>
                <w:kern w:val="22"/>
                <w:lang w:val="es-ES"/>
              </w:rPr>
              <w:t>Número promedio de personal de tiempo completo dedicado a administrar funciones relacionadas directamente con la aplicación del Protocolo de Nagoya en cada Parte</w:t>
            </w:r>
          </w:p>
        </w:tc>
        <w:tc>
          <w:tcPr>
            <w:tcW w:w="1104" w:type="dxa"/>
            <w:tcBorders>
              <w:bottom w:val="single" w:sz="4" w:space="0" w:color="auto"/>
            </w:tcBorders>
            <w:shd w:val="clear" w:color="auto" w:fill="auto"/>
            <w:tcMar>
              <w:top w:w="29" w:type="dxa"/>
              <w:left w:w="115" w:type="dxa"/>
              <w:bottom w:w="29" w:type="dxa"/>
              <w:right w:w="115" w:type="dxa"/>
            </w:tcMar>
            <w:vAlign w:val="center"/>
          </w:tcPr>
          <w:p w:rsidR="001A277A" w:rsidRPr="00EE0850" w:rsidRDefault="001A277A" w:rsidP="000C6220">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sidRPr="001A277A">
              <w:rPr>
                <w:rFonts w:eastAsia="Calibri"/>
                <w:kern w:val="22"/>
                <w:szCs w:val="22"/>
                <w:lang w:val="es-ES"/>
              </w:rPr>
              <w:t xml:space="preserve"> </w:t>
            </w:r>
            <w:r w:rsidRPr="00EE0850">
              <w:rPr>
                <w:rFonts w:eastAsia="Calibri"/>
                <w:kern w:val="22"/>
                <w:szCs w:val="22"/>
              </w:rPr>
              <w:t>c)</w:t>
            </w:r>
          </w:p>
        </w:tc>
        <w:tc>
          <w:tcPr>
            <w:tcW w:w="1506" w:type="dxa"/>
            <w:tcBorders>
              <w:bottom w:val="single" w:sz="4" w:space="0" w:color="auto"/>
            </w:tcBorders>
            <w:shd w:val="clear" w:color="auto" w:fill="auto"/>
            <w:tcMar>
              <w:top w:w="29" w:type="dxa"/>
              <w:left w:w="115" w:type="dxa"/>
              <w:bottom w:w="29" w:type="dxa"/>
              <w:right w:w="115" w:type="dxa"/>
            </w:tcMar>
            <w:vAlign w:val="center"/>
          </w:tcPr>
          <w:p w:rsidR="001A277A" w:rsidRPr="00EE0850" w:rsidRDefault="001A277A" w:rsidP="001A277A">
            <w:pPr>
              <w:suppressLineNumbers/>
              <w:suppressAutoHyphens/>
              <w:kinsoku w:val="0"/>
              <w:overflowPunct w:val="0"/>
              <w:autoSpaceDE w:val="0"/>
              <w:autoSpaceDN w:val="0"/>
              <w:adjustRightInd w:val="0"/>
              <w:snapToGrid w:val="0"/>
              <w:spacing w:after="0" w:line="240" w:lineRule="auto"/>
              <w:jc w:val="center"/>
              <w:rPr>
                <w:rFonts w:eastAsia="Calibri"/>
                <w:kern w:val="22"/>
                <w:szCs w:val="22"/>
              </w:rPr>
            </w:pPr>
            <w:r>
              <w:rPr>
                <w:rFonts w:eastAsia="SimSun"/>
                <w:kern w:val="22"/>
                <w:szCs w:val="22"/>
              </w:rPr>
              <w:t>Sin información concluyente</w:t>
            </w:r>
          </w:p>
        </w:tc>
        <w:tc>
          <w:tcPr>
            <w:tcW w:w="1614" w:type="dxa"/>
            <w:tcBorders>
              <w:bottom w:val="single" w:sz="4" w:space="0" w:color="auto"/>
            </w:tcBorders>
            <w:shd w:val="clear" w:color="auto" w:fill="auto"/>
            <w:tcMar>
              <w:top w:w="29" w:type="dxa"/>
              <w:left w:w="115" w:type="dxa"/>
              <w:bottom w:w="29" w:type="dxa"/>
              <w:right w:w="115" w:type="dxa"/>
            </w:tcMar>
            <w:vAlign w:val="center"/>
          </w:tcPr>
          <w:p w:rsidR="001A277A" w:rsidRPr="00E92C1D" w:rsidRDefault="001A277A" w:rsidP="001A277A">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La pregunta 63</w:t>
            </w:r>
            <w:r>
              <w:rPr>
                <w:kern w:val="22"/>
                <w:lang w:val="es-ES"/>
              </w:rPr>
              <w:t xml:space="preserve"> requiere revisión</w:t>
            </w:r>
          </w:p>
        </w:tc>
      </w:tr>
      <w:tr w:rsidR="009F5D7B" w:rsidRPr="00024C71" w:rsidTr="005111BD">
        <w:trPr>
          <w:cantSplit/>
          <w:jc w:val="center"/>
        </w:trPr>
        <w:tc>
          <w:tcPr>
            <w:tcW w:w="9776" w:type="dxa"/>
            <w:gridSpan w:val="4"/>
            <w:shd w:val="pct5" w:color="auto" w:fill="auto"/>
            <w:tcMar>
              <w:top w:w="29" w:type="dxa"/>
              <w:left w:w="115" w:type="dxa"/>
              <w:bottom w:w="29" w:type="dxa"/>
              <w:right w:w="115" w:type="dxa"/>
            </w:tcMar>
            <w:vAlign w:val="center"/>
          </w:tcPr>
          <w:p w:rsidR="009F5D7B" w:rsidRPr="001A277A" w:rsidRDefault="001A277A" w:rsidP="000C6220">
            <w:pPr>
              <w:keepNext/>
              <w:suppressLineNumbers/>
              <w:suppressAutoHyphens/>
              <w:kinsoku w:val="0"/>
              <w:overflowPunct w:val="0"/>
              <w:autoSpaceDE w:val="0"/>
              <w:autoSpaceDN w:val="0"/>
              <w:adjustRightInd w:val="0"/>
              <w:snapToGrid w:val="0"/>
              <w:spacing w:after="0" w:line="240" w:lineRule="auto"/>
              <w:ind w:left="317"/>
              <w:jc w:val="left"/>
              <w:rPr>
                <w:rFonts w:eastAsia="SimSun"/>
                <w:b/>
                <w:kern w:val="22"/>
                <w:szCs w:val="22"/>
                <w:lang w:val="es-ES"/>
              </w:rPr>
            </w:pPr>
            <w:r w:rsidRPr="00E92C1D">
              <w:rPr>
                <w:b/>
                <w:bCs/>
                <w:kern w:val="22"/>
                <w:lang w:val="es-ES"/>
              </w:rPr>
              <w:t>Puesta en marcha y funcionamiento del Centro de Intercambio de Información sobre APB</w:t>
            </w:r>
          </w:p>
        </w:tc>
      </w:tr>
      <w:tr w:rsidR="009F5D7B" w:rsidRPr="00EE0850" w:rsidTr="005111BD">
        <w:trPr>
          <w:cantSplit/>
          <w:jc w:val="center"/>
        </w:trPr>
        <w:tc>
          <w:tcPr>
            <w:tcW w:w="5552" w:type="dxa"/>
            <w:shd w:val="clear" w:color="auto" w:fill="auto"/>
            <w:tcMar>
              <w:top w:w="29" w:type="dxa"/>
              <w:left w:w="115" w:type="dxa"/>
              <w:bottom w:w="29" w:type="dxa"/>
              <w:right w:w="115" w:type="dxa"/>
            </w:tcMar>
          </w:tcPr>
          <w:p w:rsidR="009F5D7B" w:rsidRPr="001A277A" w:rsidRDefault="009F5D7B" w:rsidP="000C6220">
            <w:pPr>
              <w:suppressLineNumbers/>
              <w:suppressAutoHyphens/>
              <w:kinsoku w:val="0"/>
              <w:overflowPunct w:val="0"/>
              <w:autoSpaceDE w:val="0"/>
              <w:autoSpaceDN w:val="0"/>
              <w:adjustRightInd w:val="0"/>
              <w:snapToGrid w:val="0"/>
              <w:spacing w:after="0" w:line="240" w:lineRule="auto"/>
              <w:ind w:left="314" w:hanging="360"/>
              <w:rPr>
                <w:rFonts w:eastAsia="SimSun"/>
                <w:kern w:val="22"/>
                <w:szCs w:val="22"/>
                <w:lang w:val="es-ES"/>
              </w:rPr>
            </w:pPr>
            <w:r w:rsidRPr="001A277A">
              <w:rPr>
                <w:rFonts w:eastAsia="SimSun"/>
                <w:kern w:val="22"/>
                <w:szCs w:val="22"/>
                <w:lang w:val="es-ES"/>
              </w:rPr>
              <w:t>59.</w:t>
            </w:r>
            <w:r w:rsidRPr="001A277A">
              <w:rPr>
                <w:rFonts w:eastAsia="SimSun"/>
                <w:kern w:val="22"/>
                <w:szCs w:val="22"/>
                <w:lang w:val="es-ES"/>
              </w:rPr>
              <w:tab/>
            </w:r>
            <w:r w:rsidR="001A277A" w:rsidRPr="00E92C1D">
              <w:rPr>
                <w:kern w:val="22"/>
                <w:lang w:val="es-ES"/>
              </w:rPr>
              <w:t>Número de Estados que no son Partes que han publicado información nacional (medidas de APB, ANC o puntos de verificación) en el Centro de Intercambio de Información sobre APB</w:t>
            </w:r>
          </w:p>
        </w:tc>
        <w:tc>
          <w:tcPr>
            <w:tcW w:w="1104" w:type="dxa"/>
            <w:shd w:val="clear" w:color="auto" w:fill="auto"/>
            <w:tcMar>
              <w:top w:w="29" w:type="dxa"/>
              <w:left w:w="115" w:type="dxa"/>
              <w:bottom w:w="29" w:type="dxa"/>
              <w:right w:w="115" w:type="dxa"/>
            </w:tcMar>
            <w:vAlign w:val="center"/>
          </w:tcPr>
          <w:p w:rsidR="009F5D7B" w:rsidRPr="00EE0850" w:rsidRDefault="001A277A" w:rsidP="000C6220">
            <w:pPr>
              <w:suppressLineNumbers/>
              <w:suppressAutoHyphens/>
              <w:kinsoku w:val="0"/>
              <w:overflowPunct w:val="0"/>
              <w:autoSpaceDE w:val="0"/>
              <w:autoSpaceDN w:val="0"/>
              <w:adjustRightInd w:val="0"/>
              <w:snapToGrid w:val="0"/>
              <w:spacing w:after="0" w:line="240" w:lineRule="auto"/>
              <w:jc w:val="center"/>
              <w:rPr>
                <w:kern w:val="22"/>
                <w:szCs w:val="22"/>
              </w:rPr>
            </w:pPr>
            <w:r w:rsidRPr="00C5131C">
              <w:rPr>
                <w:kern w:val="22"/>
                <w:szCs w:val="22"/>
                <w:lang w:val="es-ES"/>
              </w:rPr>
              <w:t xml:space="preserve"> </w:t>
            </w:r>
            <w:r w:rsidR="009F5D7B" w:rsidRPr="00EE0850">
              <w:rPr>
                <w:kern w:val="22"/>
                <w:szCs w:val="22"/>
              </w:rPr>
              <w:t>g)</w:t>
            </w:r>
          </w:p>
        </w:tc>
        <w:tc>
          <w:tcPr>
            <w:tcW w:w="1506" w:type="dxa"/>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center"/>
              <w:rPr>
                <w:kern w:val="22"/>
                <w:szCs w:val="22"/>
              </w:rPr>
            </w:pPr>
            <w:r w:rsidRPr="00EE0850">
              <w:rPr>
                <w:kern w:val="22"/>
                <w:szCs w:val="22"/>
              </w:rPr>
              <w:t>8</w:t>
            </w:r>
          </w:p>
        </w:tc>
        <w:tc>
          <w:tcPr>
            <w:tcW w:w="1614" w:type="dxa"/>
            <w:shd w:val="clear" w:color="auto" w:fill="auto"/>
            <w:tcMar>
              <w:top w:w="29" w:type="dxa"/>
              <w:left w:w="115" w:type="dxa"/>
              <w:bottom w:w="29" w:type="dxa"/>
              <w:right w:w="115" w:type="dxa"/>
            </w:tcMar>
            <w:vAlign w:val="center"/>
          </w:tcPr>
          <w:p w:rsidR="009F5D7B" w:rsidRPr="00EE0850" w:rsidRDefault="001A277A" w:rsidP="000C6220">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sidRPr="00E92C1D">
              <w:rPr>
                <w:kern w:val="22"/>
                <w:lang w:val="es-ES"/>
              </w:rPr>
              <w:t>CII-APB</w:t>
            </w:r>
          </w:p>
        </w:tc>
      </w:tr>
      <w:tr w:rsidR="009F5D7B" w:rsidRPr="00EE0850" w:rsidTr="005111BD">
        <w:trPr>
          <w:cantSplit/>
          <w:jc w:val="center"/>
        </w:trPr>
        <w:tc>
          <w:tcPr>
            <w:tcW w:w="555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9F5D7B" w:rsidRPr="001A277A" w:rsidRDefault="009F5D7B" w:rsidP="001A277A">
            <w:pPr>
              <w:suppressLineNumbers/>
              <w:suppressAutoHyphens/>
              <w:kinsoku w:val="0"/>
              <w:overflowPunct w:val="0"/>
              <w:autoSpaceDE w:val="0"/>
              <w:autoSpaceDN w:val="0"/>
              <w:adjustRightInd w:val="0"/>
              <w:snapToGrid w:val="0"/>
              <w:ind w:left="314" w:hanging="360"/>
              <w:rPr>
                <w:rFonts w:eastAsia="SimSun"/>
                <w:lang w:val="es-ES"/>
              </w:rPr>
            </w:pPr>
            <w:r w:rsidRPr="001A277A">
              <w:rPr>
                <w:rFonts w:eastAsia="SimSun"/>
                <w:kern w:val="22"/>
                <w:szCs w:val="22"/>
                <w:lang w:val="es-ES"/>
              </w:rPr>
              <w:t>60.</w:t>
            </w:r>
            <w:r w:rsidRPr="001A277A">
              <w:rPr>
                <w:rFonts w:eastAsia="SimSun"/>
                <w:kern w:val="22"/>
                <w:szCs w:val="22"/>
                <w:lang w:val="es-ES"/>
              </w:rPr>
              <w:tab/>
            </w:r>
            <w:r w:rsidR="001A277A" w:rsidRPr="00E92C1D">
              <w:rPr>
                <w:kern w:val="22"/>
                <w:lang w:val="es-ES"/>
              </w:rPr>
              <w:t>Número de visitantes al Centro de Intercambio de Información sobre APB por año</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rsidR="009F5D7B" w:rsidRPr="00EE0850" w:rsidRDefault="001A277A" w:rsidP="000C6220">
            <w:pPr>
              <w:suppressLineNumbers/>
              <w:suppressAutoHyphens/>
              <w:kinsoku w:val="0"/>
              <w:overflowPunct w:val="0"/>
              <w:autoSpaceDE w:val="0"/>
              <w:autoSpaceDN w:val="0"/>
              <w:adjustRightInd w:val="0"/>
              <w:snapToGrid w:val="0"/>
              <w:spacing w:after="0" w:line="240" w:lineRule="auto"/>
              <w:jc w:val="center"/>
              <w:rPr>
                <w:kern w:val="22"/>
                <w:szCs w:val="22"/>
              </w:rPr>
            </w:pPr>
            <w:r w:rsidRPr="00C5131C">
              <w:rPr>
                <w:kern w:val="22"/>
                <w:szCs w:val="22"/>
                <w:lang w:val="es-ES"/>
              </w:rPr>
              <w:t xml:space="preserve"> </w:t>
            </w:r>
            <w:r w:rsidR="009F5D7B" w:rsidRPr="00EE0850">
              <w:rPr>
                <w:kern w:val="22"/>
                <w:szCs w:val="22"/>
              </w:rPr>
              <w:t>g)</w:t>
            </w:r>
          </w:p>
        </w:tc>
        <w:tc>
          <w:tcPr>
            <w:tcW w:w="150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rsidR="009F5D7B" w:rsidRPr="00C5131C" w:rsidRDefault="009F5D7B" w:rsidP="000C6220">
            <w:pPr>
              <w:suppressLineNumbers/>
              <w:suppressAutoHyphens/>
              <w:kinsoku w:val="0"/>
              <w:overflowPunct w:val="0"/>
              <w:autoSpaceDE w:val="0"/>
              <w:autoSpaceDN w:val="0"/>
              <w:adjustRightInd w:val="0"/>
              <w:snapToGrid w:val="0"/>
              <w:spacing w:after="0" w:line="240" w:lineRule="auto"/>
              <w:jc w:val="center"/>
              <w:rPr>
                <w:kern w:val="22"/>
                <w:szCs w:val="22"/>
                <w:lang w:val="es-ES"/>
              </w:rPr>
            </w:pPr>
            <w:r w:rsidRPr="00C5131C">
              <w:rPr>
                <w:kern w:val="22"/>
                <w:szCs w:val="22"/>
                <w:lang w:val="es-ES"/>
              </w:rPr>
              <w:t>18</w:t>
            </w:r>
            <w:r w:rsidR="001A277A" w:rsidRPr="00C5131C">
              <w:rPr>
                <w:kern w:val="22"/>
                <w:szCs w:val="22"/>
                <w:lang w:val="es-ES"/>
              </w:rPr>
              <w:t>.</w:t>
            </w:r>
            <w:r w:rsidRPr="00C5131C">
              <w:rPr>
                <w:kern w:val="22"/>
                <w:szCs w:val="22"/>
                <w:lang w:val="es-ES"/>
              </w:rPr>
              <w:t>709 visit</w:t>
            </w:r>
            <w:r w:rsidR="001A277A" w:rsidRPr="00C5131C">
              <w:rPr>
                <w:kern w:val="22"/>
                <w:szCs w:val="22"/>
                <w:lang w:val="es-ES"/>
              </w:rPr>
              <w:t>antes</w:t>
            </w:r>
          </w:p>
          <w:p w:rsidR="009F5D7B" w:rsidRPr="00C5131C" w:rsidRDefault="009F5D7B" w:rsidP="001A277A">
            <w:pPr>
              <w:suppressLineNumbers/>
              <w:suppressAutoHyphens/>
              <w:kinsoku w:val="0"/>
              <w:overflowPunct w:val="0"/>
              <w:autoSpaceDE w:val="0"/>
              <w:autoSpaceDN w:val="0"/>
              <w:adjustRightInd w:val="0"/>
              <w:snapToGrid w:val="0"/>
              <w:spacing w:after="0" w:line="240" w:lineRule="auto"/>
              <w:jc w:val="center"/>
              <w:rPr>
                <w:kern w:val="22"/>
                <w:szCs w:val="22"/>
                <w:lang w:val="es-ES"/>
              </w:rPr>
            </w:pPr>
            <w:r w:rsidRPr="00C5131C">
              <w:rPr>
                <w:kern w:val="22"/>
                <w:szCs w:val="22"/>
                <w:lang w:val="es-ES"/>
              </w:rPr>
              <w:t>(a</w:t>
            </w:r>
            <w:r w:rsidR="001A277A" w:rsidRPr="00C5131C">
              <w:rPr>
                <w:kern w:val="22"/>
                <w:szCs w:val="22"/>
                <w:lang w:val="es-ES"/>
              </w:rPr>
              <w:t>l</w:t>
            </w:r>
            <w:r w:rsidRPr="00C5131C">
              <w:rPr>
                <w:kern w:val="22"/>
                <w:szCs w:val="22"/>
                <w:lang w:val="es-ES"/>
              </w:rPr>
              <w:t xml:space="preserve"> 22 </w:t>
            </w:r>
            <w:r w:rsidR="001A277A" w:rsidRPr="00C5131C">
              <w:rPr>
                <w:kern w:val="22"/>
                <w:szCs w:val="22"/>
                <w:lang w:val="es-ES"/>
              </w:rPr>
              <w:t xml:space="preserve">de marzo de </w:t>
            </w:r>
            <w:r w:rsidRPr="00C5131C">
              <w:rPr>
                <w:kern w:val="22"/>
                <w:szCs w:val="22"/>
                <w:lang w:val="es-ES"/>
              </w:rPr>
              <w:t>2018)</w:t>
            </w:r>
          </w:p>
        </w:tc>
        <w:tc>
          <w:tcPr>
            <w:tcW w:w="161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rsidR="009F5D7B" w:rsidRPr="00EE0850" w:rsidRDefault="009F5D7B" w:rsidP="000C6220">
            <w:pPr>
              <w:suppressLineNumbers/>
              <w:suppressAutoHyphens/>
              <w:kinsoku w:val="0"/>
              <w:overflowPunct w:val="0"/>
              <w:autoSpaceDE w:val="0"/>
              <w:autoSpaceDN w:val="0"/>
              <w:adjustRightInd w:val="0"/>
              <w:snapToGrid w:val="0"/>
              <w:spacing w:after="0" w:line="240" w:lineRule="auto"/>
              <w:jc w:val="left"/>
              <w:rPr>
                <w:rFonts w:eastAsia="SimSun"/>
                <w:kern w:val="22"/>
                <w:szCs w:val="22"/>
              </w:rPr>
            </w:pPr>
            <w:r w:rsidRPr="00EE0850">
              <w:rPr>
                <w:rFonts w:eastAsia="SimSun"/>
                <w:kern w:val="22"/>
                <w:szCs w:val="22"/>
              </w:rPr>
              <w:t>Google analytics</w:t>
            </w:r>
          </w:p>
        </w:tc>
      </w:tr>
    </w:tbl>
    <w:p w:rsidR="009F5D7B" w:rsidRPr="00EE0850" w:rsidRDefault="009F5D7B">
      <w:pPr>
        <w:jc w:val="center"/>
        <w:rPr>
          <w:kern w:val="22"/>
          <w:szCs w:val="22"/>
        </w:rPr>
      </w:pPr>
    </w:p>
    <w:p w:rsidR="00A14B71" w:rsidRPr="00EE0850" w:rsidRDefault="00A14B71">
      <w:pPr>
        <w:jc w:val="left"/>
        <w:rPr>
          <w:rFonts w:ascii="Times New Roman Bold" w:hAnsi="Times New Roman Bold" w:cs="Times New Roman Bold" w:hint="eastAsia"/>
          <w:b/>
          <w:bCs/>
          <w:caps/>
          <w:snapToGrid w:val="0"/>
          <w:kern w:val="22"/>
          <w:szCs w:val="22"/>
        </w:rPr>
      </w:pPr>
      <w:r w:rsidRPr="00EE0850">
        <w:br w:type="page"/>
      </w:r>
    </w:p>
    <w:p w:rsidR="009F5D7B" w:rsidRPr="004635DA" w:rsidRDefault="009F5D7B" w:rsidP="000C6220">
      <w:pPr>
        <w:pStyle w:val="recommendationheader"/>
        <w:spacing w:line="240" w:lineRule="auto"/>
        <w:rPr>
          <w:lang w:val="es-ES"/>
        </w:rPr>
      </w:pPr>
      <w:bookmarkStart w:id="3" w:name="_Toc256202"/>
      <w:r w:rsidRPr="00EE0850">
        <w:lastRenderedPageBreak/>
        <w:t>3/2.</w:t>
      </w:r>
      <w:r w:rsidRPr="00EE0850">
        <w:tab/>
      </w:r>
      <w:r w:rsidRPr="004635DA">
        <w:rPr>
          <w:lang w:val="es-ES"/>
        </w:rPr>
        <w:t>C</w:t>
      </w:r>
      <w:r w:rsidR="004635DA" w:rsidRPr="004635DA">
        <w:rPr>
          <w:lang w:val="es-ES"/>
        </w:rPr>
        <w:t xml:space="preserve">umplimiento del </w:t>
      </w:r>
      <w:r w:rsidRPr="004635DA">
        <w:rPr>
          <w:lang w:val="es-ES"/>
        </w:rPr>
        <w:t>Protocol</w:t>
      </w:r>
      <w:bookmarkEnd w:id="3"/>
      <w:r w:rsidR="004635DA" w:rsidRPr="004635DA">
        <w:rPr>
          <w:lang w:val="es-ES"/>
        </w:rPr>
        <w:t>o</w:t>
      </w:r>
    </w:p>
    <w:p w:rsidR="009F5D7B" w:rsidRPr="004635DA" w:rsidRDefault="004635DA" w:rsidP="000C6220">
      <w:pPr>
        <w:shd w:val="clear" w:color="auto" w:fill="FFFFFF"/>
        <w:spacing w:before="120" w:line="240" w:lineRule="auto"/>
        <w:ind w:firstLine="720"/>
        <w:rPr>
          <w:i/>
          <w:kern w:val="22"/>
          <w:szCs w:val="22"/>
          <w:lang w:val="es-ES"/>
        </w:rPr>
      </w:pPr>
      <w:r w:rsidRPr="006A76A4">
        <w:rPr>
          <w:i/>
          <w:kern w:val="22"/>
          <w:lang w:val="es-ES"/>
        </w:rPr>
        <w:t>La Conferencia de las Partes que actúa como reunión de las Partes en el Protocolo de Nagoya</w:t>
      </w:r>
      <w:r w:rsidRPr="006A76A4">
        <w:rPr>
          <w:i/>
          <w:kern w:val="22"/>
          <w:szCs w:val="22"/>
          <w:lang w:val="es-ES"/>
        </w:rPr>
        <w:t xml:space="preserve"> </w:t>
      </w:r>
      <w:r>
        <w:rPr>
          <w:i/>
          <w:kern w:val="22"/>
          <w:szCs w:val="22"/>
          <w:lang w:val="es-ES"/>
        </w:rPr>
        <w:t>sobre Acceso y Participación en los Beneficios</w:t>
      </w:r>
      <w:r w:rsidR="009F5D7B" w:rsidRPr="004635DA">
        <w:rPr>
          <w:i/>
          <w:kern w:val="22"/>
          <w:szCs w:val="22"/>
          <w:lang w:val="es-ES"/>
        </w:rPr>
        <w:t>,</w:t>
      </w:r>
    </w:p>
    <w:p w:rsidR="009F5D7B" w:rsidRPr="004635DA" w:rsidRDefault="004635DA" w:rsidP="000C6220">
      <w:pPr>
        <w:pStyle w:val="Para1"/>
        <w:numPr>
          <w:ilvl w:val="0"/>
          <w:numId w:val="0"/>
        </w:numPr>
        <w:adjustRightInd w:val="0"/>
        <w:snapToGrid w:val="0"/>
        <w:spacing w:line="240" w:lineRule="auto"/>
        <w:ind w:firstLine="720"/>
        <w:rPr>
          <w:kern w:val="22"/>
          <w:szCs w:val="22"/>
          <w:lang w:val="es-ES"/>
        </w:rPr>
      </w:pPr>
      <w:r w:rsidRPr="006A76A4">
        <w:rPr>
          <w:i/>
          <w:kern w:val="20"/>
          <w:szCs w:val="22"/>
          <w:lang w:val="es-ES"/>
        </w:rPr>
        <w:t>Tomando nota</w:t>
      </w:r>
      <w:r w:rsidRPr="006A76A4">
        <w:rPr>
          <w:kern w:val="20"/>
          <w:szCs w:val="22"/>
          <w:lang w:val="es-ES"/>
        </w:rPr>
        <w:t xml:space="preserve"> del informe sobre la segunda reunión del Comité de Cumplimient</w:t>
      </w:r>
      <w:r>
        <w:rPr>
          <w:kern w:val="20"/>
          <w:szCs w:val="22"/>
          <w:lang w:val="es-ES"/>
        </w:rPr>
        <w:t>o</w:t>
      </w:r>
      <w:r w:rsidR="009F5D7B" w:rsidRPr="00EE0850">
        <w:rPr>
          <w:rStyle w:val="Refdenotaalpie"/>
          <w:rFonts w:eastAsiaTheme="majorEastAsia"/>
          <w:kern w:val="22"/>
          <w:sz w:val="22"/>
          <w:szCs w:val="22"/>
          <w:u w:val="none"/>
          <w:vertAlign w:val="superscript"/>
        </w:rPr>
        <w:footnoteReference w:id="7"/>
      </w:r>
      <w:r w:rsidRPr="004635DA">
        <w:rPr>
          <w:kern w:val="22"/>
          <w:szCs w:val="22"/>
          <w:lang w:val="es-ES"/>
        </w:rPr>
        <w:t xml:space="preserve"> </w:t>
      </w:r>
      <w:r w:rsidRPr="006A76A4">
        <w:rPr>
          <w:kern w:val="22"/>
          <w:szCs w:val="22"/>
          <w:lang w:val="es-ES"/>
        </w:rPr>
        <w:t xml:space="preserve">y </w:t>
      </w:r>
      <w:r>
        <w:rPr>
          <w:kern w:val="22"/>
          <w:szCs w:val="22"/>
          <w:lang w:val="es-ES"/>
        </w:rPr>
        <w:t>las recomendaciones que contiene</w:t>
      </w:r>
      <w:r w:rsidR="009F5D7B" w:rsidRPr="004635DA">
        <w:rPr>
          <w:kern w:val="22"/>
          <w:szCs w:val="22"/>
          <w:lang w:val="es-ES"/>
        </w:rPr>
        <w:t>,</w:t>
      </w:r>
    </w:p>
    <w:p w:rsidR="009F5D7B" w:rsidRPr="004635DA" w:rsidRDefault="009F5D7B" w:rsidP="000C6220">
      <w:pPr>
        <w:suppressLineNumbers/>
        <w:shd w:val="clear" w:color="auto" w:fill="FFFFFF"/>
        <w:suppressAutoHyphens/>
        <w:kinsoku w:val="0"/>
        <w:overflowPunct w:val="0"/>
        <w:autoSpaceDE w:val="0"/>
        <w:autoSpaceDN w:val="0"/>
        <w:adjustRightInd w:val="0"/>
        <w:snapToGrid w:val="0"/>
        <w:spacing w:before="120" w:line="240" w:lineRule="auto"/>
        <w:ind w:firstLine="709"/>
        <w:rPr>
          <w:snapToGrid w:val="0"/>
          <w:kern w:val="22"/>
          <w:szCs w:val="22"/>
          <w:lang w:val="es-ES"/>
        </w:rPr>
      </w:pPr>
      <w:r w:rsidRPr="004635DA">
        <w:rPr>
          <w:snapToGrid w:val="0"/>
          <w:kern w:val="22"/>
          <w:szCs w:val="22"/>
          <w:lang w:val="es-ES"/>
        </w:rPr>
        <w:t>1.</w:t>
      </w:r>
      <w:r w:rsidRPr="004635DA">
        <w:rPr>
          <w:snapToGrid w:val="0"/>
          <w:kern w:val="22"/>
          <w:szCs w:val="22"/>
          <w:lang w:val="es-ES"/>
        </w:rPr>
        <w:tab/>
      </w:r>
      <w:r w:rsidR="004635DA" w:rsidRPr="00B96C9A">
        <w:rPr>
          <w:i/>
          <w:snapToGrid w:val="0"/>
          <w:kern w:val="22"/>
          <w:szCs w:val="22"/>
          <w:lang w:val="es-ES"/>
        </w:rPr>
        <w:t>Acoge con beneplácito</w:t>
      </w:r>
      <w:r w:rsidR="004635DA" w:rsidRPr="00B96C9A">
        <w:rPr>
          <w:snapToGrid w:val="0"/>
          <w:kern w:val="22"/>
          <w:szCs w:val="22"/>
          <w:lang w:val="es-ES"/>
        </w:rPr>
        <w:t xml:space="preserve"> el progreso alcanzado por las Partes en la aplicación del Protocolo e insta a las Partes que todavía no lo hayan hecho a establecer medidas legislativas, administrativas y de política en materia de acceso y participación en los beneficios, además de arreglos institucionales</w:t>
      </w:r>
      <w:r w:rsidRPr="004635DA">
        <w:rPr>
          <w:snapToGrid w:val="0"/>
          <w:kern w:val="22"/>
          <w:szCs w:val="22"/>
          <w:lang w:val="es-ES"/>
        </w:rPr>
        <w:t>;</w:t>
      </w:r>
    </w:p>
    <w:p w:rsidR="009F5D7B" w:rsidRPr="004635DA" w:rsidRDefault="009F5D7B" w:rsidP="000C6220">
      <w:pPr>
        <w:suppressLineNumbers/>
        <w:shd w:val="clear" w:color="auto" w:fill="FFFFFF"/>
        <w:suppressAutoHyphens/>
        <w:kinsoku w:val="0"/>
        <w:overflowPunct w:val="0"/>
        <w:autoSpaceDE w:val="0"/>
        <w:autoSpaceDN w:val="0"/>
        <w:adjustRightInd w:val="0"/>
        <w:snapToGrid w:val="0"/>
        <w:spacing w:before="120" w:line="240" w:lineRule="auto"/>
        <w:ind w:firstLine="709"/>
        <w:rPr>
          <w:snapToGrid w:val="0"/>
          <w:kern w:val="22"/>
          <w:szCs w:val="22"/>
          <w:lang w:val="es-ES"/>
        </w:rPr>
      </w:pPr>
      <w:r w:rsidRPr="004635DA">
        <w:rPr>
          <w:snapToGrid w:val="0"/>
          <w:kern w:val="22"/>
          <w:szCs w:val="22"/>
          <w:lang w:val="es-ES"/>
        </w:rPr>
        <w:t>2.</w:t>
      </w:r>
      <w:r w:rsidRPr="004635DA">
        <w:rPr>
          <w:i/>
          <w:snapToGrid w:val="0"/>
          <w:kern w:val="22"/>
          <w:szCs w:val="22"/>
          <w:lang w:val="es-ES"/>
        </w:rPr>
        <w:tab/>
      </w:r>
      <w:r w:rsidR="004635DA" w:rsidRPr="006A76A4">
        <w:rPr>
          <w:i/>
          <w:snapToGrid w:val="0"/>
          <w:kern w:val="22"/>
          <w:szCs w:val="22"/>
          <w:lang w:val="es-ES"/>
        </w:rPr>
        <w:t xml:space="preserve">También </w:t>
      </w:r>
      <w:r w:rsidR="004635DA">
        <w:rPr>
          <w:i/>
          <w:snapToGrid w:val="0"/>
          <w:kern w:val="22"/>
          <w:szCs w:val="22"/>
          <w:lang w:val="es-ES"/>
        </w:rPr>
        <w:t>a</w:t>
      </w:r>
      <w:r w:rsidR="004635DA" w:rsidRPr="00B96C9A">
        <w:rPr>
          <w:i/>
          <w:snapToGrid w:val="0"/>
          <w:kern w:val="22"/>
          <w:szCs w:val="22"/>
          <w:lang w:val="es-ES"/>
        </w:rPr>
        <w:t>coge con beneplácito</w:t>
      </w:r>
      <w:r w:rsidR="004635DA" w:rsidRPr="00B96C9A">
        <w:rPr>
          <w:snapToGrid w:val="0"/>
          <w:kern w:val="22"/>
          <w:szCs w:val="22"/>
          <w:lang w:val="es-ES"/>
        </w:rPr>
        <w:t xml:space="preserve"> la contribución del Comité de Cumplimiento a la primera evaluación y revisión del Protocolo en forma de información y conclusiones sobre cuestiones generales relativas al cumplimiento y recomendaciones para ayudar a abordar problemas en la aplicación del Protocolo</w:t>
      </w:r>
      <w:r w:rsidRPr="004635DA">
        <w:rPr>
          <w:snapToGrid w:val="0"/>
          <w:kern w:val="22"/>
          <w:szCs w:val="22"/>
          <w:lang w:val="es-ES"/>
        </w:rPr>
        <w:t>.</w:t>
      </w:r>
    </w:p>
    <w:p w:rsidR="009F5D7B" w:rsidRPr="004635DA" w:rsidRDefault="009F5D7B" w:rsidP="000C6220">
      <w:pPr>
        <w:spacing w:before="120" w:line="240" w:lineRule="auto"/>
        <w:rPr>
          <w:kern w:val="22"/>
          <w:szCs w:val="22"/>
          <w:lang w:val="es-ES"/>
        </w:rPr>
      </w:pPr>
    </w:p>
    <w:p w:rsidR="009F5D7B" w:rsidRPr="004635DA" w:rsidRDefault="009F5D7B">
      <w:pPr>
        <w:jc w:val="left"/>
        <w:rPr>
          <w:rFonts w:ascii="Times New Roman Bold" w:hAnsi="Times New Roman Bold" w:cs="Times New Roman Bold" w:hint="eastAsia"/>
          <w:b/>
          <w:bCs/>
          <w:caps/>
          <w:snapToGrid w:val="0"/>
          <w:kern w:val="22"/>
          <w:szCs w:val="22"/>
          <w:lang w:val="es-ES"/>
        </w:rPr>
      </w:pPr>
      <w:r w:rsidRPr="004635DA">
        <w:rPr>
          <w:rFonts w:hint="eastAsia"/>
          <w:lang w:val="es-ES"/>
        </w:rPr>
        <w:br w:type="page"/>
      </w:r>
    </w:p>
    <w:p w:rsidR="009F5D7B" w:rsidRPr="00081AB3" w:rsidRDefault="009F5D7B" w:rsidP="000C6220">
      <w:pPr>
        <w:pStyle w:val="recommendationheader"/>
        <w:spacing w:line="240" w:lineRule="auto"/>
        <w:rPr>
          <w:rFonts w:eastAsia="Arial Unicode MS"/>
          <w:snapToGrid w:val="0"/>
          <w:u w:color="000000"/>
          <w:bdr w:val="nil"/>
          <w:lang w:val="es-ES"/>
        </w:rPr>
      </w:pPr>
      <w:bookmarkStart w:id="4" w:name="_Toc256203"/>
      <w:r w:rsidRPr="00C5131C">
        <w:rPr>
          <w:rFonts w:eastAsia="Arial Unicode MS"/>
          <w:snapToGrid w:val="0"/>
          <w:u w:color="000000"/>
          <w:bdr w:val="nil"/>
          <w:lang w:val="es-ES"/>
        </w:rPr>
        <w:lastRenderedPageBreak/>
        <w:t>3/3.</w:t>
      </w:r>
      <w:r w:rsidRPr="00C5131C">
        <w:rPr>
          <w:rFonts w:eastAsia="Arial Unicode MS"/>
          <w:snapToGrid w:val="0"/>
          <w:u w:color="000000"/>
          <w:bdr w:val="nil"/>
          <w:lang w:val="es-ES"/>
        </w:rPr>
        <w:tab/>
      </w:r>
      <w:r w:rsidR="00081AB3" w:rsidRPr="00081AB3">
        <w:rPr>
          <w:rFonts w:eastAsia="Arial Unicode MS"/>
          <w:snapToGrid w:val="0"/>
          <w:u w:color="000000"/>
          <w:bdr w:val="nil"/>
          <w:lang w:val="es-ES"/>
        </w:rPr>
        <w:t xml:space="preserve">El </w:t>
      </w:r>
      <w:r w:rsidR="00081AB3" w:rsidRPr="004A1CE1">
        <w:rPr>
          <w:snapToGrid w:val="0"/>
          <w:kern w:val="22"/>
          <w:lang w:val="es-ES"/>
        </w:rPr>
        <w:t>Centro de Intercambio de Información sobre Acceso y Participación en los Beneficios</w:t>
      </w:r>
      <w:r w:rsidR="00081AB3">
        <w:rPr>
          <w:snapToGrid w:val="0"/>
          <w:kern w:val="22"/>
          <w:lang w:val="es-ES"/>
        </w:rPr>
        <w:t xml:space="preserve"> e Intercambio de Información</w:t>
      </w:r>
      <w:r w:rsidR="00081AB3" w:rsidRPr="004A1CE1">
        <w:rPr>
          <w:snapToGrid w:val="0"/>
          <w:kern w:val="22"/>
          <w:lang w:val="es-ES"/>
        </w:rPr>
        <w:t xml:space="preserve"> (artículo</w:t>
      </w:r>
      <w:r w:rsidRPr="00081AB3">
        <w:rPr>
          <w:rFonts w:eastAsia="Arial Unicode MS"/>
          <w:snapToGrid w:val="0"/>
          <w:u w:color="000000"/>
          <w:bdr w:val="nil"/>
          <w:lang w:val="es-ES"/>
        </w:rPr>
        <w:t xml:space="preserve"> 14)</w:t>
      </w:r>
      <w:bookmarkEnd w:id="4"/>
    </w:p>
    <w:p w:rsidR="009F5D7B" w:rsidRPr="00081AB3" w:rsidRDefault="00081AB3" w:rsidP="000C6220">
      <w:pPr>
        <w:keepNext/>
        <w:pBdr>
          <w:top w:val="nil"/>
          <w:left w:val="nil"/>
          <w:bottom w:val="nil"/>
          <w:right w:val="nil"/>
          <w:between w:val="nil"/>
          <w:bar w:val="nil"/>
        </w:pBdr>
        <w:spacing w:before="120" w:line="240" w:lineRule="auto"/>
        <w:ind w:firstLine="720"/>
        <w:rPr>
          <w:rFonts w:eastAsia="Arial Unicode MS"/>
          <w:i/>
          <w:snapToGrid w:val="0"/>
          <w:kern w:val="22"/>
          <w:u w:color="000000"/>
          <w:bdr w:val="nil"/>
          <w:lang w:val="es-ES"/>
        </w:rPr>
      </w:pPr>
      <w:r w:rsidRPr="00F46ABF">
        <w:rPr>
          <w:rFonts w:eastAsia="Arial Unicode MS"/>
          <w:i/>
          <w:snapToGrid w:val="0"/>
          <w:kern w:val="22"/>
          <w:u w:color="000000"/>
          <w:bdr w:val="nil"/>
          <w:lang w:val="es-ES"/>
        </w:rPr>
        <w:t>La Conferencia de las Partes que actúa como reunión de las Partes en el Protocolo de Nagoya</w:t>
      </w:r>
      <w:r>
        <w:rPr>
          <w:rFonts w:eastAsia="Arial Unicode MS"/>
          <w:i/>
          <w:snapToGrid w:val="0"/>
          <w:kern w:val="22"/>
          <w:u w:color="000000"/>
          <w:bdr w:val="nil"/>
          <w:lang w:val="es-ES"/>
        </w:rPr>
        <w:t xml:space="preserve"> sobre Acceso y Participación en los Beneficios</w:t>
      </w:r>
    </w:p>
    <w:p w:rsidR="009F5D7B" w:rsidRPr="00081AB3" w:rsidRDefault="009F5D7B" w:rsidP="000C6220">
      <w:pPr>
        <w:suppressLineNumbers/>
        <w:pBdr>
          <w:top w:val="nil"/>
          <w:left w:val="nil"/>
          <w:bottom w:val="nil"/>
          <w:right w:val="nil"/>
          <w:between w:val="nil"/>
          <w:bar w:val="nil"/>
        </w:pBdr>
        <w:suppressAutoHyphens/>
        <w:spacing w:before="120" w:line="240" w:lineRule="auto"/>
        <w:ind w:firstLine="720"/>
        <w:rPr>
          <w:snapToGrid w:val="0"/>
          <w:kern w:val="22"/>
          <w:lang w:val="es-ES"/>
        </w:rPr>
      </w:pPr>
      <w:r w:rsidRPr="00081AB3">
        <w:rPr>
          <w:snapToGrid w:val="0"/>
          <w:kern w:val="22"/>
          <w:lang w:val="es-ES"/>
        </w:rPr>
        <w:t>1.</w:t>
      </w:r>
      <w:r w:rsidRPr="00081AB3">
        <w:rPr>
          <w:snapToGrid w:val="0"/>
          <w:kern w:val="22"/>
          <w:lang w:val="es-ES"/>
        </w:rPr>
        <w:tab/>
      </w:r>
      <w:r w:rsidR="00081AB3" w:rsidRPr="00F46ABF">
        <w:rPr>
          <w:i/>
          <w:iCs/>
          <w:snapToGrid w:val="0"/>
          <w:kern w:val="22"/>
          <w:u w:color="000000"/>
          <w:lang w:val="es-ES"/>
        </w:rPr>
        <w:t xml:space="preserve">Acoge con satisfacción </w:t>
      </w:r>
      <w:r w:rsidR="00081AB3" w:rsidRPr="00F46ABF">
        <w:rPr>
          <w:iCs/>
          <w:snapToGrid w:val="0"/>
          <w:kern w:val="22"/>
          <w:u w:color="000000"/>
          <w:lang w:val="es-ES"/>
        </w:rPr>
        <w:t>los</w:t>
      </w:r>
      <w:r w:rsidR="00081AB3" w:rsidRPr="00F46ABF">
        <w:rPr>
          <w:i/>
          <w:iCs/>
          <w:snapToGrid w:val="0"/>
          <w:kern w:val="22"/>
          <w:u w:color="000000"/>
          <w:lang w:val="es-ES"/>
        </w:rPr>
        <w:t xml:space="preserve"> </w:t>
      </w:r>
      <w:r w:rsidR="00081AB3" w:rsidRPr="00F46ABF">
        <w:rPr>
          <w:snapToGrid w:val="0"/>
          <w:kern w:val="22"/>
          <w:u w:color="000000"/>
          <w:lang w:val="es-ES"/>
        </w:rPr>
        <w:t>progresos logrados por la Secretaría en la puesta en marcha y el funcionamiento del Centro de Intercambio de Información sobre Acceso y Participación en los Beneficios</w:t>
      </w:r>
      <w:r w:rsidRPr="00EE0850">
        <w:rPr>
          <w:snapToGrid w:val="0"/>
          <w:kern w:val="22"/>
          <w:vertAlign w:val="superscript"/>
        </w:rPr>
        <w:footnoteReference w:id="8"/>
      </w:r>
      <w:r w:rsidR="00081AB3" w:rsidRPr="00081AB3">
        <w:rPr>
          <w:snapToGrid w:val="0"/>
          <w:kern w:val="22"/>
          <w:lang w:val="es-ES"/>
        </w:rPr>
        <w:t>;</w:t>
      </w:r>
    </w:p>
    <w:p w:rsidR="009F5D7B" w:rsidRPr="00081AB3" w:rsidRDefault="009F5D7B" w:rsidP="000C6220">
      <w:pPr>
        <w:suppressLineNumbers/>
        <w:pBdr>
          <w:top w:val="nil"/>
          <w:left w:val="nil"/>
          <w:bottom w:val="nil"/>
          <w:right w:val="nil"/>
          <w:between w:val="nil"/>
          <w:bar w:val="nil"/>
        </w:pBdr>
        <w:suppressAutoHyphens/>
        <w:spacing w:before="120" w:line="240" w:lineRule="auto"/>
        <w:ind w:firstLine="720"/>
        <w:rPr>
          <w:snapToGrid w:val="0"/>
          <w:kern w:val="22"/>
          <w:lang w:val="es-ES"/>
        </w:rPr>
      </w:pPr>
      <w:r w:rsidRPr="00081AB3">
        <w:rPr>
          <w:snapToGrid w:val="0"/>
          <w:kern w:val="22"/>
          <w:lang w:val="es-ES"/>
        </w:rPr>
        <w:t>2.</w:t>
      </w:r>
      <w:r w:rsidRPr="00081AB3">
        <w:rPr>
          <w:snapToGrid w:val="0"/>
          <w:kern w:val="22"/>
          <w:lang w:val="es-ES"/>
        </w:rPr>
        <w:tab/>
      </w:r>
      <w:r w:rsidR="00081AB3" w:rsidRPr="00F46ABF">
        <w:rPr>
          <w:i/>
          <w:snapToGrid w:val="0"/>
          <w:kern w:val="22"/>
          <w:lang w:val="es-ES"/>
        </w:rPr>
        <w:t>Acoge con satisfacción</w:t>
      </w:r>
      <w:r w:rsidR="00081AB3" w:rsidRPr="00F46ABF">
        <w:rPr>
          <w:snapToGrid w:val="0"/>
          <w:kern w:val="22"/>
          <w:lang w:val="es-ES"/>
        </w:rPr>
        <w:t xml:space="preserve"> los esfuerzos realizados por las Partes, Estados que no son Partes, los pueblos indígenas y las comunidades locales e interesados directos pertinentes para facilitar información al Centro de Intercambio de Información sobre Acceso y Participación en los Beneficios</w:t>
      </w:r>
      <w:r w:rsidRPr="00081AB3">
        <w:rPr>
          <w:snapToGrid w:val="0"/>
          <w:kern w:val="22"/>
          <w:lang w:val="es-ES"/>
        </w:rPr>
        <w:t>;</w:t>
      </w:r>
    </w:p>
    <w:p w:rsidR="009F5D7B" w:rsidRPr="00081AB3" w:rsidRDefault="009F5D7B" w:rsidP="000C6220">
      <w:pPr>
        <w:suppressLineNumbers/>
        <w:shd w:val="clear" w:color="auto" w:fill="FFFFFF" w:themeFill="background1"/>
        <w:suppressAutoHyphens/>
        <w:kinsoku w:val="0"/>
        <w:overflowPunct w:val="0"/>
        <w:autoSpaceDE w:val="0"/>
        <w:autoSpaceDN w:val="0"/>
        <w:adjustRightInd w:val="0"/>
        <w:snapToGrid w:val="0"/>
        <w:spacing w:before="120" w:line="240" w:lineRule="auto"/>
        <w:ind w:firstLine="720"/>
        <w:rPr>
          <w:rFonts w:eastAsiaTheme="minorHAnsi"/>
          <w:snapToGrid w:val="0"/>
          <w:kern w:val="22"/>
          <w:szCs w:val="22"/>
          <w:lang w:val="es-ES"/>
        </w:rPr>
      </w:pPr>
      <w:r w:rsidRPr="00081AB3">
        <w:rPr>
          <w:rFonts w:eastAsiaTheme="minorHAnsi"/>
          <w:snapToGrid w:val="0"/>
          <w:kern w:val="22"/>
          <w:szCs w:val="22"/>
          <w:lang w:val="es-ES"/>
        </w:rPr>
        <w:t>3.</w:t>
      </w:r>
      <w:r w:rsidRPr="00081AB3">
        <w:rPr>
          <w:rFonts w:eastAsiaTheme="minorHAnsi"/>
          <w:snapToGrid w:val="0"/>
          <w:kern w:val="22"/>
          <w:szCs w:val="22"/>
          <w:lang w:val="es-ES"/>
        </w:rPr>
        <w:tab/>
      </w:r>
      <w:r w:rsidR="00081AB3" w:rsidRPr="00F46ABF">
        <w:rPr>
          <w:rFonts w:eastAsiaTheme="minorHAnsi"/>
          <w:i/>
          <w:snapToGrid w:val="0"/>
          <w:kern w:val="22"/>
          <w:szCs w:val="22"/>
          <w:lang w:val="es-ES"/>
        </w:rPr>
        <w:t>Insta</w:t>
      </w:r>
      <w:r w:rsidR="00081AB3" w:rsidRPr="00F46ABF">
        <w:rPr>
          <w:rFonts w:eastAsiaTheme="minorHAnsi"/>
          <w:snapToGrid w:val="0"/>
          <w:kern w:val="22"/>
          <w:szCs w:val="22"/>
          <w:lang w:val="es-ES"/>
        </w:rPr>
        <w:t xml:space="preserve"> a las Partes que aún no lo hayan hecho a publicar lo antes posible en el Centro de Intercambio de Información sobre Acceso y Participación en los Beneficios toda la información obligatoria que esté disponible a nivel nacional, en cumplimiento de las obligaciones asumidas en virtud del párrafo 2 del artículo 14 del Protocolo, teniendo en cuenta que la publicación de información obligatoria en el Centro de Intercambio de Información sobre Acceso y Participación en los Beneficios es esencial para la aplicación del Protocolo de Nagoya</w:t>
      </w:r>
      <w:r w:rsidRPr="00081AB3">
        <w:rPr>
          <w:rFonts w:eastAsiaTheme="minorHAnsi"/>
          <w:snapToGrid w:val="0"/>
          <w:kern w:val="22"/>
          <w:szCs w:val="22"/>
          <w:lang w:val="es-ES"/>
        </w:rPr>
        <w:t>;</w:t>
      </w:r>
    </w:p>
    <w:p w:rsidR="009F5D7B" w:rsidRPr="00081AB3" w:rsidRDefault="009F5D7B" w:rsidP="000C6220">
      <w:pPr>
        <w:suppressLineNumbers/>
        <w:shd w:val="clear" w:color="auto" w:fill="FFFFFF" w:themeFill="background1"/>
        <w:suppressAutoHyphens/>
        <w:kinsoku w:val="0"/>
        <w:overflowPunct w:val="0"/>
        <w:autoSpaceDE w:val="0"/>
        <w:autoSpaceDN w:val="0"/>
        <w:adjustRightInd w:val="0"/>
        <w:snapToGrid w:val="0"/>
        <w:spacing w:before="120" w:line="240" w:lineRule="auto"/>
        <w:ind w:firstLine="720"/>
        <w:rPr>
          <w:snapToGrid w:val="0"/>
          <w:kern w:val="22"/>
          <w:lang w:val="es-ES"/>
        </w:rPr>
      </w:pPr>
      <w:r w:rsidRPr="00081AB3">
        <w:rPr>
          <w:snapToGrid w:val="0"/>
          <w:kern w:val="22"/>
          <w:szCs w:val="22"/>
          <w:lang w:val="es-ES"/>
        </w:rPr>
        <w:t>4.</w:t>
      </w:r>
      <w:r w:rsidRPr="00081AB3">
        <w:rPr>
          <w:i/>
          <w:snapToGrid w:val="0"/>
          <w:kern w:val="22"/>
          <w:szCs w:val="22"/>
          <w:lang w:val="es-ES"/>
        </w:rPr>
        <w:tab/>
      </w:r>
      <w:r w:rsidR="00081AB3" w:rsidRPr="00F46ABF">
        <w:rPr>
          <w:i/>
          <w:snapToGrid w:val="0"/>
          <w:kern w:val="22"/>
          <w:szCs w:val="22"/>
          <w:lang w:val="es-ES"/>
        </w:rPr>
        <w:t xml:space="preserve">Insta </w:t>
      </w:r>
      <w:r w:rsidR="00081AB3" w:rsidRPr="00F46ABF">
        <w:rPr>
          <w:snapToGrid w:val="0"/>
          <w:kern w:val="22"/>
          <w:szCs w:val="22"/>
          <w:lang w:val="es-ES"/>
        </w:rPr>
        <w:t>a las Partes a proporcionar información sobre sus procedimientos nacionales de acceso y participación en los beneficios, utilizando para ello el formato común voluntario sobre procedimientos que está disponible en el Centro de Intercambio de Información sobre Acceso y Participación en los Beneficios</w:t>
      </w:r>
      <w:r w:rsidRPr="00081AB3">
        <w:rPr>
          <w:snapToGrid w:val="0"/>
          <w:kern w:val="22"/>
          <w:szCs w:val="22"/>
          <w:lang w:val="es-ES"/>
        </w:rPr>
        <w:t>;</w:t>
      </w:r>
    </w:p>
    <w:p w:rsidR="009F5D7B" w:rsidRPr="00081AB3" w:rsidRDefault="009F5D7B" w:rsidP="000C6220">
      <w:pPr>
        <w:suppressLineNumbers/>
        <w:pBdr>
          <w:top w:val="nil"/>
          <w:left w:val="nil"/>
          <w:bottom w:val="nil"/>
          <w:right w:val="nil"/>
          <w:between w:val="nil"/>
          <w:bar w:val="nil"/>
        </w:pBdr>
        <w:suppressAutoHyphens/>
        <w:spacing w:before="120" w:line="240" w:lineRule="auto"/>
        <w:ind w:firstLine="720"/>
        <w:rPr>
          <w:snapToGrid w:val="0"/>
          <w:kern w:val="22"/>
          <w:lang w:val="es-ES"/>
        </w:rPr>
      </w:pPr>
      <w:r w:rsidRPr="00081AB3">
        <w:rPr>
          <w:snapToGrid w:val="0"/>
          <w:kern w:val="22"/>
          <w:lang w:val="es-ES"/>
        </w:rPr>
        <w:t>5.</w:t>
      </w:r>
      <w:r w:rsidRPr="00081AB3">
        <w:rPr>
          <w:snapToGrid w:val="0"/>
          <w:kern w:val="22"/>
          <w:lang w:val="es-ES"/>
        </w:rPr>
        <w:tab/>
      </w:r>
      <w:r w:rsidR="00081AB3" w:rsidRPr="00F46ABF">
        <w:rPr>
          <w:i/>
          <w:snapToGrid w:val="0"/>
          <w:kern w:val="22"/>
          <w:lang w:val="es-ES"/>
        </w:rPr>
        <w:t xml:space="preserve">Toma nota </w:t>
      </w:r>
      <w:r w:rsidR="00081AB3" w:rsidRPr="00F46ABF">
        <w:rPr>
          <w:snapToGrid w:val="0"/>
          <w:kern w:val="22"/>
          <w:lang w:val="es-ES"/>
        </w:rPr>
        <w:t>de la lista de objetivos y prioridades para avanzar en la puesta en marcha y la administración del Centro de Intercambio de Información sobre Acceso y Participación en los Beneficios para el bienio 2019-2020 que figura en el anexo de la presente decisión</w:t>
      </w:r>
      <w:r w:rsidRPr="00081AB3">
        <w:rPr>
          <w:snapToGrid w:val="0"/>
          <w:kern w:val="22"/>
          <w:lang w:val="es-ES"/>
        </w:rPr>
        <w:t>;</w:t>
      </w:r>
    </w:p>
    <w:p w:rsidR="009F5D7B" w:rsidRPr="00081AB3" w:rsidRDefault="009F5D7B" w:rsidP="000C6220">
      <w:pPr>
        <w:suppressLineNumbers/>
        <w:pBdr>
          <w:top w:val="nil"/>
          <w:left w:val="nil"/>
          <w:bottom w:val="nil"/>
          <w:right w:val="nil"/>
          <w:between w:val="nil"/>
          <w:bar w:val="nil"/>
        </w:pBdr>
        <w:suppressAutoHyphens/>
        <w:spacing w:before="120" w:line="240" w:lineRule="auto"/>
        <w:ind w:firstLine="720"/>
        <w:rPr>
          <w:snapToGrid w:val="0"/>
          <w:kern w:val="22"/>
          <w:lang w:val="es-ES"/>
        </w:rPr>
      </w:pPr>
      <w:r w:rsidRPr="00081AB3">
        <w:rPr>
          <w:snapToGrid w:val="0"/>
          <w:kern w:val="22"/>
          <w:lang w:val="es-ES"/>
        </w:rPr>
        <w:t>6.</w:t>
      </w:r>
      <w:r w:rsidRPr="00081AB3">
        <w:rPr>
          <w:snapToGrid w:val="0"/>
          <w:kern w:val="22"/>
          <w:lang w:val="es-ES"/>
        </w:rPr>
        <w:tab/>
      </w:r>
      <w:r w:rsidR="00081AB3" w:rsidRPr="00F46ABF">
        <w:rPr>
          <w:i/>
          <w:snapToGrid w:val="0"/>
          <w:kern w:val="22"/>
          <w:lang w:val="es-ES"/>
        </w:rPr>
        <w:t>Hace suyas</w:t>
      </w:r>
      <w:r w:rsidR="00081AB3" w:rsidRPr="00F46ABF">
        <w:rPr>
          <w:snapToGrid w:val="0"/>
          <w:kern w:val="22"/>
          <w:lang w:val="es-ES"/>
        </w:rPr>
        <w:t xml:space="preserve"> las modalidades conjuntas de funcionamiento para el mecanismo de facilitación del Convenio, el Centro de Intercambio de Información sobre Seguridad de la Biotecnología y el Centro de Intercambio de Información sobre Acceso y Participación en los Beneficios, que figuran en el anexo de la decisión 14/</w:t>
      </w:r>
      <w:r w:rsidR="00081AB3">
        <w:rPr>
          <w:snapToGrid w:val="0"/>
          <w:kern w:val="22"/>
          <w:lang w:val="es-ES"/>
        </w:rPr>
        <w:t>25</w:t>
      </w:r>
      <w:r w:rsidR="00081AB3" w:rsidRPr="00F46ABF">
        <w:rPr>
          <w:snapToGrid w:val="0"/>
          <w:kern w:val="22"/>
          <w:lang w:val="es-ES"/>
        </w:rPr>
        <w:t>, y que son complementarias a las modalidades de funcionamiento del Centro de Intercambio de Información sobre Acceso y Participación en los Beneficios adoptadas por la Conferencia de las Partes que actúa como reunión de las Partes en el Protocolo de Nagoya en la decisión</w:t>
      </w:r>
      <w:r w:rsidRPr="00081AB3">
        <w:rPr>
          <w:snapToGrid w:val="0"/>
          <w:kern w:val="22"/>
          <w:lang w:val="es-ES"/>
        </w:rPr>
        <w:t xml:space="preserve"> </w:t>
      </w:r>
      <w:hyperlink r:id="rId12" w:history="1">
        <w:r w:rsidRPr="00081AB3">
          <w:rPr>
            <w:snapToGrid w:val="0"/>
            <w:color w:val="0000FF"/>
            <w:kern w:val="22"/>
            <w:u w:val="single"/>
            <w:lang w:val="es-ES"/>
          </w:rPr>
          <w:t>NP-1/2</w:t>
        </w:r>
      </w:hyperlink>
      <w:r w:rsidRPr="00081AB3">
        <w:rPr>
          <w:snapToGrid w:val="0"/>
          <w:kern w:val="22"/>
          <w:lang w:val="es-ES"/>
        </w:rPr>
        <w:t>;</w:t>
      </w:r>
    </w:p>
    <w:p w:rsidR="009F5D7B" w:rsidRPr="00081AB3" w:rsidRDefault="009F5D7B" w:rsidP="000C6220">
      <w:pPr>
        <w:suppressLineNumbers/>
        <w:pBdr>
          <w:top w:val="nil"/>
          <w:left w:val="nil"/>
          <w:bottom w:val="nil"/>
          <w:right w:val="nil"/>
          <w:between w:val="nil"/>
          <w:bar w:val="nil"/>
        </w:pBdr>
        <w:suppressAutoHyphens/>
        <w:spacing w:before="120" w:line="240" w:lineRule="auto"/>
        <w:ind w:firstLine="720"/>
        <w:rPr>
          <w:snapToGrid w:val="0"/>
          <w:kern w:val="22"/>
          <w:lang w:val="es-ES"/>
        </w:rPr>
      </w:pPr>
      <w:r w:rsidRPr="00081AB3">
        <w:rPr>
          <w:snapToGrid w:val="0"/>
          <w:kern w:val="22"/>
          <w:lang w:val="es-ES"/>
        </w:rPr>
        <w:t>7.</w:t>
      </w:r>
      <w:r w:rsidRPr="00081AB3">
        <w:rPr>
          <w:snapToGrid w:val="0"/>
          <w:kern w:val="22"/>
          <w:lang w:val="es-ES"/>
        </w:rPr>
        <w:tab/>
      </w:r>
      <w:r w:rsidR="00081AB3" w:rsidRPr="00F46ABF">
        <w:rPr>
          <w:i/>
          <w:snapToGrid w:val="0"/>
          <w:kern w:val="22"/>
          <w:lang w:val="es-ES"/>
        </w:rPr>
        <w:t xml:space="preserve">Expresa su reconocimiento </w:t>
      </w:r>
      <w:r w:rsidR="00081AB3" w:rsidRPr="00F46ABF">
        <w:rPr>
          <w:snapToGrid w:val="0"/>
          <w:kern w:val="22"/>
          <w:lang w:val="es-ES"/>
        </w:rPr>
        <w:t>al Comité Asesor Oficioso por la orientación técnica brindada</w:t>
      </w:r>
      <w:r w:rsidRPr="00081AB3">
        <w:rPr>
          <w:snapToGrid w:val="0"/>
          <w:kern w:val="22"/>
          <w:lang w:val="es-ES"/>
        </w:rPr>
        <w:t>;</w:t>
      </w:r>
    </w:p>
    <w:p w:rsidR="00081AB3" w:rsidRPr="00F46ABF" w:rsidRDefault="009F5D7B" w:rsidP="00081AB3">
      <w:pPr>
        <w:suppressLineNumbers/>
        <w:pBdr>
          <w:top w:val="nil"/>
          <w:left w:val="nil"/>
          <w:bottom w:val="nil"/>
          <w:right w:val="nil"/>
          <w:between w:val="nil"/>
          <w:bar w:val="nil"/>
        </w:pBdr>
        <w:suppressAutoHyphens/>
        <w:spacing w:before="120"/>
        <w:ind w:firstLine="720"/>
        <w:rPr>
          <w:snapToGrid w:val="0"/>
          <w:kern w:val="22"/>
          <w:lang w:val="es-ES"/>
        </w:rPr>
      </w:pPr>
      <w:r w:rsidRPr="00081AB3">
        <w:rPr>
          <w:snapToGrid w:val="0"/>
          <w:kern w:val="22"/>
          <w:lang w:val="es-ES"/>
        </w:rPr>
        <w:t>8.</w:t>
      </w:r>
      <w:r w:rsidRPr="00081AB3">
        <w:rPr>
          <w:snapToGrid w:val="0"/>
          <w:kern w:val="22"/>
          <w:lang w:val="es-ES"/>
        </w:rPr>
        <w:tab/>
      </w:r>
      <w:r w:rsidR="00081AB3" w:rsidRPr="00F46ABF">
        <w:rPr>
          <w:i/>
          <w:snapToGrid w:val="0"/>
          <w:kern w:val="22"/>
          <w:lang w:val="es-ES"/>
        </w:rPr>
        <w:t>Decide</w:t>
      </w:r>
      <w:r w:rsidR="00081AB3" w:rsidRPr="00F46ABF">
        <w:rPr>
          <w:snapToGrid w:val="0"/>
          <w:kern w:val="22"/>
          <w:lang w:val="es-ES"/>
        </w:rPr>
        <w:t xml:space="preserve"> que el Comité Asesor Oficioso celebre por lo menos una reunión y los debates informales en línea que sean necesarios y que informe sobre los resultados de su labor a la Conferencia de las Partes que actúa como reunión de las Partes en el Protocolo de Nagoya en su cuarta reunión;</w:t>
      </w:r>
    </w:p>
    <w:p w:rsidR="00081AB3" w:rsidRPr="007253BC" w:rsidRDefault="00081AB3" w:rsidP="00081AB3">
      <w:pPr>
        <w:suppressLineNumbers/>
        <w:pBdr>
          <w:top w:val="nil"/>
          <w:left w:val="nil"/>
          <w:bottom w:val="nil"/>
          <w:right w:val="nil"/>
          <w:between w:val="nil"/>
          <w:bar w:val="nil"/>
        </w:pBdr>
        <w:suppressAutoHyphens/>
        <w:spacing w:before="120"/>
        <w:ind w:firstLine="720"/>
        <w:rPr>
          <w:snapToGrid w:val="0"/>
          <w:kern w:val="22"/>
          <w:lang w:val="es-ES"/>
        </w:rPr>
      </w:pPr>
      <w:r w:rsidRPr="00F46ABF">
        <w:rPr>
          <w:snapToGrid w:val="0"/>
          <w:kern w:val="22"/>
          <w:lang w:val="es-ES"/>
        </w:rPr>
        <w:t>9.</w:t>
      </w:r>
      <w:r w:rsidRPr="00F46ABF">
        <w:rPr>
          <w:snapToGrid w:val="0"/>
          <w:kern w:val="22"/>
          <w:lang w:val="es-ES"/>
        </w:rPr>
        <w:tab/>
      </w:r>
      <w:r w:rsidRPr="00F46ABF">
        <w:rPr>
          <w:i/>
          <w:snapToGrid w:val="0"/>
          <w:kern w:val="22"/>
          <w:lang w:val="es-ES"/>
        </w:rPr>
        <w:t>Invita</w:t>
      </w:r>
      <w:r w:rsidRPr="00F46ABF">
        <w:rPr>
          <w:snapToGrid w:val="0"/>
          <w:kern w:val="22"/>
          <w:lang w:val="es-ES"/>
        </w:rPr>
        <w:t xml:space="preserve"> a las Partes, Estados que no son Partes y organizaciones pertinentes a utilizar los mecanismos de interoperabilidad del Centro de Intercambio de Información sobre Acceso y Participación en los Beneficios para facilitar el intercambio de información con sus bases de datos, sitios web y sistemas de tecnología de la información pertinentes</w:t>
      </w:r>
      <w:r w:rsidRPr="007253BC">
        <w:rPr>
          <w:snapToGrid w:val="0"/>
          <w:kern w:val="22"/>
          <w:lang w:val="es-ES"/>
        </w:rPr>
        <w:t>;</w:t>
      </w:r>
    </w:p>
    <w:p w:rsidR="00081AB3" w:rsidRPr="007253BC" w:rsidRDefault="00081AB3" w:rsidP="00081AB3">
      <w:pPr>
        <w:suppressLineNumbers/>
        <w:pBdr>
          <w:top w:val="nil"/>
          <w:left w:val="nil"/>
          <w:bottom w:val="nil"/>
          <w:right w:val="nil"/>
          <w:between w:val="nil"/>
          <w:bar w:val="nil"/>
        </w:pBdr>
        <w:suppressAutoHyphens/>
        <w:spacing w:before="120"/>
        <w:ind w:firstLine="720"/>
        <w:rPr>
          <w:snapToGrid w:val="0"/>
          <w:kern w:val="22"/>
          <w:lang w:val="es-ES"/>
        </w:rPr>
      </w:pPr>
      <w:r w:rsidRPr="007253BC">
        <w:rPr>
          <w:snapToGrid w:val="0"/>
          <w:kern w:val="22"/>
          <w:lang w:val="es-ES"/>
        </w:rPr>
        <w:t>10.</w:t>
      </w:r>
      <w:r w:rsidRPr="007253BC">
        <w:rPr>
          <w:snapToGrid w:val="0"/>
          <w:kern w:val="22"/>
          <w:lang w:val="es-ES"/>
        </w:rPr>
        <w:tab/>
      </w:r>
      <w:r w:rsidRPr="00F46ABF">
        <w:rPr>
          <w:i/>
          <w:snapToGrid w:val="0"/>
          <w:kern w:val="22"/>
          <w:lang w:val="es-ES"/>
        </w:rPr>
        <w:t>Invita</w:t>
      </w:r>
      <w:r w:rsidRPr="00F46ABF">
        <w:rPr>
          <w:snapToGrid w:val="0"/>
          <w:kern w:val="22"/>
          <w:lang w:val="es-ES"/>
        </w:rPr>
        <w:t xml:space="preserve"> a las Partes, Estados que no son Partes y organizaciones pertinentes, según proceda, a incluir actividades de creación de capacidad relacionadas con el Centro de Intercambio de Información sobre Acceso y Participación en los Beneficios en sus actividades, planes y proyectos de creación de capacidad en coordinación con la Secretaria Ejecutiva</w:t>
      </w:r>
      <w:r w:rsidRPr="007253BC">
        <w:rPr>
          <w:snapToGrid w:val="0"/>
          <w:kern w:val="22"/>
          <w:lang w:val="es-ES"/>
        </w:rPr>
        <w:t>;</w:t>
      </w:r>
    </w:p>
    <w:p w:rsidR="009F5D7B" w:rsidRPr="00081AB3" w:rsidRDefault="00081AB3" w:rsidP="00081AB3">
      <w:pPr>
        <w:suppressLineNumbers/>
        <w:pBdr>
          <w:top w:val="nil"/>
          <w:left w:val="nil"/>
          <w:bottom w:val="nil"/>
          <w:right w:val="nil"/>
          <w:between w:val="nil"/>
          <w:bar w:val="nil"/>
        </w:pBdr>
        <w:suppressAutoHyphens/>
        <w:spacing w:before="120" w:line="240" w:lineRule="auto"/>
        <w:ind w:firstLine="720"/>
        <w:rPr>
          <w:snapToGrid w:val="0"/>
          <w:kern w:val="22"/>
          <w:lang w:val="es-ES"/>
        </w:rPr>
      </w:pPr>
      <w:r w:rsidRPr="007253BC">
        <w:rPr>
          <w:snapToGrid w:val="0"/>
          <w:kern w:val="22"/>
          <w:lang w:val="es-ES"/>
        </w:rPr>
        <w:t>11.</w:t>
      </w:r>
      <w:r w:rsidRPr="007253BC">
        <w:rPr>
          <w:snapToGrid w:val="0"/>
          <w:kern w:val="22"/>
          <w:lang w:val="es-ES"/>
        </w:rPr>
        <w:tab/>
      </w:r>
      <w:r w:rsidRPr="00F46ABF">
        <w:rPr>
          <w:i/>
          <w:snapToGrid w:val="0"/>
          <w:kern w:val="22"/>
          <w:lang w:val="es-ES"/>
        </w:rPr>
        <w:t>Invita</w:t>
      </w:r>
      <w:r w:rsidRPr="00F46ABF">
        <w:rPr>
          <w:snapToGrid w:val="0"/>
          <w:kern w:val="22"/>
          <w:lang w:val="es-ES"/>
        </w:rPr>
        <w:t xml:space="preserve"> a las Partes, Estados que no son Partes, organizaciones internacionales pertinentes, bancos regionales de desarrollo y otras instituciones financieras, según corresponda, a apoyar las actividades de creación de capacidad relacionadas con el Centro de Intercambio de Información sobre Acceso y Participación en los Beneficios, incluido el sistema de vigilancia de la utilización de recursos genéticos del Protocolo</w:t>
      </w:r>
      <w:r w:rsidR="009F5D7B" w:rsidRPr="00081AB3">
        <w:rPr>
          <w:snapToGrid w:val="0"/>
          <w:kern w:val="22"/>
          <w:lang w:val="es-ES"/>
        </w:rPr>
        <w:t>;</w:t>
      </w:r>
    </w:p>
    <w:p w:rsidR="009F5D7B" w:rsidRPr="00081AB3" w:rsidRDefault="009F5D7B" w:rsidP="000C6220">
      <w:pPr>
        <w:suppressLineNumbers/>
        <w:pBdr>
          <w:top w:val="nil"/>
          <w:left w:val="nil"/>
          <w:bottom w:val="nil"/>
          <w:right w:val="nil"/>
          <w:between w:val="nil"/>
          <w:bar w:val="nil"/>
        </w:pBdr>
        <w:suppressAutoHyphens/>
        <w:spacing w:before="120" w:line="240" w:lineRule="auto"/>
        <w:ind w:firstLine="720"/>
        <w:rPr>
          <w:snapToGrid w:val="0"/>
          <w:kern w:val="22"/>
          <w:szCs w:val="22"/>
          <w:lang w:val="es-ES"/>
        </w:rPr>
      </w:pPr>
      <w:r w:rsidRPr="00081AB3">
        <w:rPr>
          <w:snapToGrid w:val="0"/>
          <w:kern w:val="22"/>
          <w:lang w:val="es-ES"/>
        </w:rPr>
        <w:lastRenderedPageBreak/>
        <w:t>12.</w:t>
      </w:r>
      <w:r w:rsidRPr="00081AB3">
        <w:rPr>
          <w:snapToGrid w:val="0"/>
          <w:kern w:val="22"/>
          <w:lang w:val="es-ES"/>
        </w:rPr>
        <w:tab/>
      </w:r>
      <w:r w:rsidR="00081AB3" w:rsidRPr="00F46ABF">
        <w:rPr>
          <w:i/>
          <w:snapToGrid w:val="0"/>
          <w:kern w:val="22"/>
          <w:lang w:val="es-ES"/>
        </w:rPr>
        <w:t xml:space="preserve">Pide </w:t>
      </w:r>
      <w:r w:rsidR="00081AB3" w:rsidRPr="00F46ABF">
        <w:rPr>
          <w:snapToGrid w:val="0"/>
          <w:kern w:val="22"/>
          <w:lang w:val="es-ES"/>
        </w:rPr>
        <w:t>a la Secretaria Ejecutiva que continúe con la puesta en marcha y la administración del Centro de Intercambio de Información sobre Acceso y Participación en los Beneficios siguiendo los objetivos y prioridades para avanzar en la puesta en marcha y la administración del Centro de Intercambio de Información sobre Acceso y Participación en los Beneficios que figuran en el anexo de la presente decisión, de conformidad con las modalidades de funcionamiento y las sugerencias aportadas, en particular por las Partes y el Comité Asesor Oficioso del Centro de Intercambio de Información sobre Acceso y Participación en los Beneficios</w:t>
      </w:r>
      <w:r w:rsidRPr="00081AB3">
        <w:rPr>
          <w:snapToGrid w:val="0"/>
          <w:kern w:val="22"/>
          <w:szCs w:val="22"/>
          <w:lang w:val="es-ES"/>
        </w:rPr>
        <w:t>.</w:t>
      </w:r>
    </w:p>
    <w:p w:rsidR="009F5D7B" w:rsidRPr="00F07FBD" w:rsidRDefault="009F5D7B" w:rsidP="000C6220">
      <w:pPr>
        <w:keepNext/>
        <w:keepLines/>
        <w:spacing w:before="120" w:line="240" w:lineRule="auto"/>
        <w:jc w:val="center"/>
        <w:outlineLvl w:val="2"/>
        <w:rPr>
          <w:i/>
          <w:kern w:val="22"/>
          <w:szCs w:val="22"/>
          <w:lang w:val="es-ES"/>
        </w:rPr>
      </w:pPr>
      <w:r w:rsidRPr="00F07FBD">
        <w:rPr>
          <w:i/>
          <w:kern w:val="22"/>
          <w:szCs w:val="22"/>
          <w:lang w:val="es-ES"/>
        </w:rPr>
        <w:t>An</w:t>
      </w:r>
      <w:r w:rsidR="00081AB3" w:rsidRPr="00F07FBD">
        <w:rPr>
          <w:i/>
          <w:kern w:val="22"/>
          <w:szCs w:val="22"/>
          <w:lang w:val="es-ES"/>
        </w:rPr>
        <w:t>exo</w:t>
      </w:r>
    </w:p>
    <w:p w:rsidR="009F5D7B" w:rsidRPr="00F07FBD" w:rsidRDefault="00F07FBD" w:rsidP="000C6220">
      <w:pPr>
        <w:keepNext/>
        <w:keepLines/>
        <w:spacing w:before="120" w:line="240" w:lineRule="auto"/>
        <w:jc w:val="center"/>
        <w:rPr>
          <w:b/>
          <w:bCs/>
          <w:caps/>
          <w:kern w:val="22"/>
          <w:szCs w:val="22"/>
          <w:lang w:val="es-ES"/>
        </w:rPr>
      </w:pPr>
      <w:r w:rsidRPr="00F46ABF">
        <w:rPr>
          <w:b/>
          <w:bCs/>
          <w:caps/>
          <w:kern w:val="22"/>
          <w:szCs w:val="22"/>
          <w:lang w:val="es-ES"/>
        </w:rPr>
        <w:t>OBJETIVOS Y PRIORIDADES PARA quE LA SECRETARÍA avance en EL DESARROLLO Y LA ADMINISTRACIÓN DEL CENTRO DE INTERCAMBIO DE INFORMACIÓN SOBRE ACCESO Y PARTICIPACIÓN EN LOS BENEFICIO</w:t>
      </w:r>
      <w:r>
        <w:rPr>
          <w:b/>
          <w:bCs/>
          <w:caps/>
          <w:kern w:val="22"/>
          <w:szCs w:val="22"/>
          <w:lang w:val="es-ES"/>
        </w:rPr>
        <w:t>s</w:t>
      </w:r>
    </w:p>
    <w:p w:rsidR="009F5D7B" w:rsidRPr="00F07FBD" w:rsidRDefault="009F5D7B" w:rsidP="000C6220">
      <w:pPr>
        <w:keepNext/>
        <w:keepLines/>
        <w:spacing w:before="120" w:line="240" w:lineRule="auto"/>
        <w:jc w:val="center"/>
        <w:rPr>
          <w:rFonts w:eastAsia="MS Mincho"/>
          <w:bCs/>
          <w:kern w:val="22"/>
          <w:szCs w:val="22"/>
          <w:lang w:val="es-ES"/>
        </w:rPr>
      </w:pPr>
    </w:p>
    <w:p w:rsidR="009F5D7B" w:rsidRPr="00A601E5" w:rsidRDefault="00A601E5" w:rsidP="00A601E5">
      <w:pPr>
        <w:keepNext/>
        <w:keepLines/>
        <w:pBdr>
          <w:top w:val="nil"/>
          <w:left w:val="nil"/>
          <w:bottom w:val="nil"/>
          <w:right w:val="nil"/>
          <w:between w:val="nil"/>
          <w:bar w:val="nil"/>
        </w:pBdr>
        <w:spacing w:before="120" w:line="240" w:lineRule="auto"/>
        <w:ind w:left="1440" w:hanging="1440"/>
        <w:rPr>
          <w:b/>
          <w:snapToGrid w:val="0"/>
          <w:kern w:val="22"/>
          <w:szCs w:val="22"/>
          <w:lang w:val="es-ES"/>
        </w:rPr>
      </w:pPr>
      <w:r w:rsidRPr="00C5131C">
        <w:rPr>
          <w:b/>
          <w:snapToGrid w:val="0"/>
          <w:kern w:val="22"/>
          <w:szCs w:val="22"/>
          <w:lang w:val="es-ES"/>
        </w:rPr>
        <w:t>Objetivo 1.</w:t>
      </w:r>
      <w:r w:rsidRPr="00C5131C">
        <w:rPr>
          <w:b/>
          <w:snapToGrid w:val="0"/>
          <w:kern w:val="22"/>
          <w:szCs w:val="22"/>
          <w:lang w:val="es-ES"/>
        </w:rPr>
        <w:tab/>
      </w:r>
      <w:r w:rsidRPr="00A601E5">
        <w:rPr>
          <w:b/>
          <w:snapToGrid w:val="0"/>
          <w:kern w:val="22"/>
          <w:szCs w:val="22"/>
          <w:lang w:val="es-ES"/>
        </w:rPr>
        <w:t xml:space="preserve">Ingreso </w:t>
      </w:r>
      <w:r w:rsidRPr="00F46ABF">
        <w:rPr>
          <w:b/>
          <w:snapToGrid w:val="0"/>
          <w:kern w:val="22"/>
          <w:szCs w:val="22"/>
          <w:lang w:val="es-ES"/>
        </w:rPr>
        <w:t>de información y un mayor uso del Centro de Intercambio de Información sobre Acceso y Participación en los Beneficios</w:t>
      </w:r>
    </w:p>
    <w:p w:rsidR="009F5D7B" w:rsidRPr="00C5131C" w:rsidRDefault="00A601E5" w:rsidP="000C6220">
      <w:pPr>
        <w:keepNext/>
        <w:pBdr>
          <w:top w:val="nil"/>
          <w:left w:val="nil"/>
          <w:bottom w:val="nil"/>
          <w:right w:val="nil"/>
          <w:between w:val="nil"/>
          <w:bar w:val="nil"/>
        </w:pBdr>
        <w:spacing w:before="120" w:line="240" w:lineRule="auto"/>
        <w:rPr>
          <w:i/>
          <w:snapToGrid w:val="0"/>
          <w:kern w:val="22"/>
          <w:szCs w:val="22"/>
          <w:lang w:val="es-ES"/>
        </w:rPr>
      </w:pPr>
      <w:r w:rsidRPr="00C5131C">
        <w:rPr>
          <w:i/>
          <w:snapToGrid w:val="0"/>
          <w:kern w:val="22"/>
          <w:szCs w:val="22"/>
          <w:lang w:val="es-ES"/>
        </w:rPr>
        <w:t>Divulgación y participación</w:t>
      </w:r>
    </w:p>
    <w:p w:rsidR="009F5D7B" w:rsidRPr="00A601E5" w:rsidRDefault="00A601E5" w:rsidP="000C6220">
      <w:pPr>
        <w:pBdr>
          <w:top w:val="nil"/>
          <w:left w:val="nil"/>
          <w:bottom w:val="nil"/>
          <w:right w:val="nil"/>
          <w:between w:val="nil"/>
          <w:bar w:val="nil"/>
        </w:pBdr>
        <w:spacing w:before="120" w:line="240" w:lineRule="auto"/>
        <w:ind w:firstLine="709"/>
        <w:rPr>
          <w:snapToGrid w:val="0"/>
          <w:kern w:val="22"/>
          <w:szCs w:val="22"/>
          <w:lang w:val="es-ES"/>
        </w:rPr>
      </w:pPr>
      <w:r w:rsidRPr="00C5131C">
        <w:rPr>
          <w:snapToGrid w:val="0"/>
          <w:color w:val="000000"/>
          <w:kern w:val="22"/>
          <w:szCs w:val="22"/>
          <w:lang w:val="es-ES"/>
        </w:rPr>
        <w:t xml:space="preserve"> </w:t>
      </w:r>
      <w:r w:rsidR="009F5D7B" w:rsidRPr="00A601E5">
        <w:rPr>
          <w:snapToGrid w:val="0"/>
          <w:color w:val="000000"/>
          <w:kern w:val="22"/>
          <w:szCs w:val="22"/>
          <w:lang w:val="es-ES"/>
        </w:rPr>
        <w:t>a)</w:t>
      </w:r>
      <w:r w:rsidR="009F5D7B" w:rsidRPr="00A601E5">
        <w:rPr>
          <w:snapToGrid w:val="0"/>
          <w:color w:val="000000"/>
          <w:kern w:val="22"/>
          <w:szCs w:val="22"/>
          <w:lang w:val="es-ES"/>
        </w:rPr>
        <w:tab/>
      </w:r>
      <w:r w:rsidRPr="00F46ABF">
        <w:rPr>
          <w:snapToGrid w:val="0"/>
          <w:kern w:val="22"/>
          <w:szCs w:val="22"/>
          <w:lang w:val="es-ES"/>
        </w:rPr>
        <w:t>Asegurarse de que todas las Partes hayan designado su autoridad de publicación</w:t>
      </w:r>
      <w:r w:rsidR="009F5D7B" w:rsidRPr="00A601E5">
        <w:rPr>
          <w:snapToGrid w:val="0"/>
          <w:kern w:val="22"/>
          <w:szCs w:val="22"/>
          <w:lang w:val="es-ES"/>
        </w:rPr>
        <w:t>;</w:t>
      </w:r>
    </w:p>
    <w:p w:rsidR="009F5D7B" w:rsidRPr="00A601E5" w:rsidRDefault="00A601E5" w:rsidP="000C6220">
      <w:pPr>
        <w:pBdr>
          <w:top w:val="nil"/>
          <w:left w:val="nil"/>
          <w:bottom w:val="nil"/>
          <w:right w:val="nil"/>
          <w:between w:val="nil"/>
          <w:bar w:val="nil"/>
        </w:pBdr>
        <w:spacing w:before="120" w:line="240" w:lineRule="auto"/>
        <w:ind w:firstLine="709"/>
        <w:rPr>
          <w:snapToGrid w:val="0"/>
          <w:kern w:val="22"/>
          <w:szCs w:val="22"/>
          <w:lang w:val="es-ES"/>
        </w:rPr>
      </w:pPr>
      <w:r w:rsidRPr="00A601E5">
        <w:rPr>
          <w:snapToGrid w:val="0"/>
          <w:color w:val="000000"/>
          <w:kern w:val="22"/>
          <w:szCs w:val="22"/>
          <w:lang w:val="es-ES"/>
        </w:rPr>
        <w:t xml:space="preserve"> </w:t>
      </w:r>
      <w:r w:rsidR="009F5D7B" w:rsidRPr="00A601E5">
        <w:rPr>
          <w:snapToGrid w:val="0"/>
          <w:color w:val="000000"/>
          <w:kern w:val="22"/>
          <w:szCs w:val="22"/>
          <w:lang w:val="es-ES"/>
        </w:rPr>
        <w:t>b)</w:t>
      </w:r>
      <w:r w:rsidR="009F5D7B" w:rsidRPr="00A601E5">
        <w:rPr>
          <w:snapToGrid w:val="0"/>
          <w:color w:val="000000"/>
          <w:kern w:val="22"/>
          <w:szCs w:val="22"/>
          <w:lang w:val="es-ES"/>
        </w:rPr>
        <w:tab/>
      </w:r>
      <w:r w:rsidRPr="00F46ABF">
        <w:rPr>
          <w:snapToGrid w:val="0"/>
          <w:kern w:val="22"/>
          <w:szCs w:val="22"/>
          <w:lang w:val="es-ES"/>
        </w:rPr>
        <w:t>Alentar y ayudar con la publicación de toda la información nacional disponible, en particular con respecto a las autoridades nacionales competentes, las medidas de acceso y participación en los beneficios, los procedimientos de acceso y participación en los beneficios y los certificados de cumplimiento reconocidos internacionalmente, según sea necesario</w:t>
      </w:r>
      <w:r w:rsidR="009F5D7B" w:rsidRPr="00A601E5">
        <w:rPr>
          <w:snapToGrid w:val="0"/>
          <w:kern w:val="22"/>
          <w:szCs w:val="22"/>
          <w:lang w:val="es-ES"/>
        </w:rPr>
        <w:t>;</w:t>
      </w:r>
    </w:p>
    <w:p w:rsidR="009F5D7B" w:rsidRPr="00A601E5" w:rsidRDefault="00A601E5" w:rsidP="000C6220">
      <w:pPr>
        <w:pBdr>
          <w:top w:val="nil"/>
          <w:left w:val="nil"/>
          <w:bottom w:val="nil"/>
          <w:right w:val="nil"/>
          <w:between w:val="nil"/>
          <w:bar w:val="nil"/>
        </w:pBdr>
        <w:spacing w:before="120" w:line="240" w:lineRule="auto"/>
        <w:ind w:firstLine="709"/>
        <w:rPr>
          <w:kern w:val="22"/>
          <w:szCs w:val="22"/>
          <w:lang w:val="es-ES"/>
        </w:rPr>
      </w:pPr>
      <w:r w:rsidRPr="00A601E5">
        <w:rPr>
          <w:color w:val="000000"/>
          <w:kern w:val="22"/>
          <w:szCs w:val="22"/>
          <w:lang w:val="es-ES"/>
        </w:rPr>
        <w:t xml:space="preserve"> </w:t>
      </w:r>
      <w:r w:rsidR="009F5D7B" w:rsidRPr="00A601E5">
        <w:rPr>
          <w:color w:val="000000"/>
          <w:kern w:val="22"/>
          <w:szCs w:val="22"/>
          <w:lang w:val="es-ES"/>
        </w:rPr>
        <w:t>c)</w:t>
      </w:r>
      <w:r w:rsidR="009F5D7B" w:rsidRPr="00A601E5">
        <w:rPr>
          <w:color w:val="000000"/>
          <w:kern w:val="22"/>
          <w:szCs w:val="22"/>
          <w:lang w:val="es-ES"/>
        </w:rPr>
        <w:tab/>
      </w:r>
      <w:r w:rsidRPr="00F46ABF">
        <w:rPr>
          <w:snapToGrid w:val="0"/>
          <w:kern w:val="22"/>
          <w:szCs w:val="22"/>
          <w:lang w:val="es-ES"/>
        </w:rPr>
        <w:t>Colaborar con los pueblos indígenas y las comunidades locales y demás interesados directos y organizaciones pertinentes para alentar la presentación de registros de referencia</w:t>
      </w:r>
      <w:r w:rsidR="009F5D7B" w:rsidRPr="00A601E5">
        <w:rPr>
          <w:snapToGrid w:val="0"/>
          <w:kern w:val="22"/>
          <w:szCs w:val="22"/>
          <w:lang w:val="es-ES"/>
        </w:rPr>
        <w:t>;</w:t>
      </w:r>
    </w:p>
    <w:p w:rsidR="009F5D7B" w:rsidRPr="00A601E5" w:rsidRDefault="00A601E5" w:rsidP="000C6220">
      <w:pPr>
        <w:pBdr>
          <w:top w:val="nil"/>
          <w:left w:val="nil"/>
          <w:bottom w:val="nil"/>
          <w:right w:val="nil"/>
          <w:between w:val="nil"/>
          <w:bar w:val="nil"/>
        </w:pBdr>
        <w:spacing w:before="120" w:line="240" w:lineRule="auto"/>
        <w:ind w:firstLine="709"/>
        <w:rPr>
          <w:kern w:val="22"/>
          <w:szCs w:val="22"/>
          <w:lang w:val="es-ES"/>
        </w:rPr>
      </w:pPr>
      <w:r w:rsidRPr="00A601E5">
        <w:rPr>
          <w:color w:val="000000"/>
          <w:kern w:val="22"/>
          <w:szCs w:val="22"/>
          <w:lang w:val="es-ES"/>
        </w:rPr>
        <w:t xml:space="preserve"> </w:t>
      </w:r>
      <w:r w:rsidR="009F5D7B" w:rsidRPr="00A601E5">
        <w:rPr>
          <w:color w:val="000000"/>
          <w:kern w:val="22"/>
          <w:szCs w:val="22"/>
          <w:lang w:val="es-ES"/>
        </w:rPr>
        <w:t>d)</w:t>
      </w:r>
      <w:r w:rsidR="009F5D7B" w:rsidRPr="00A601E5">
        <w:rPr>
          <w:color w:val="000000"/>
          <w:kern w:val="22"/>
          <w:szCs w:val="22"/>
          <w:lang w:val="es-ES"/>
        </w:rPr>
        <w:tab/>
      </w:r>
      <w:r w:rsidRPr="00F46ABF">
        <w:rPr>
          <w:color w:val="000000"/>
          <w:kern w:val="22"/>
          <w:szCs w:val="22"/>
          <w:lang w:val="es-ES"/>
        </w:rPr>
        <w:t xml:space="preserve">Emitir </w:t>
      </w:r>
      <w:r w:rsidRPr="00F46ABF">
        <w:rPr>
          <w:snapToGrid w:val="0"/>
          <w:kern w:val="22"/>
          <w:szCs w:val="22"/>
          <w:lang w:val="es-ES"/>
        </w:rPr>
        <w:t>anuncios periódicos del Centro de Intercambio de Información sobre APB respecto de actualizaciones y cambios, así como información relacionada, dirigidos a los usuarios del Centro de Intercambio de Información sobre APB, especialmente puntos focales nacionales, autoridades de publicación y usuarios nacionales autorizados</w:t>
      </w:r>
      <w:r w:rsidR="009F5D7B" w:rsidRPr="00A601E5">
        <w:rPr>
          <w:snapToGrid w:val="0"/>
          <w:kern w:val="22"/>
          <w:szCs w:val="22"/>
          <w:lang w:val="es-ES"/>
        </w:rPr>
        <w:t>;</w:t>
      </w:r>
    </w:p>
    <w:p w:rsidR="009F5D7B" w:rsidRPr="00A601E5" w:rsidRDefault="009F5D7B" w:rsidP="000C6220">
      <w:pPr>
        <w:keepNext/>
        <w:pBdr>
          <w:top w:val="nil"/>
          <w:left w:val="nil"/>
          <w:bottom w:val="nil"/>
          <w:right w:val="nil"/>
          <w:between w:val="nil"/>
          <w:bar w:val="nil"/>
        </w:pBdr>
        <w:spacing w:before="120" w:line="240" w:lineRule="auto"/>
        <w:rPr>
          <w:i/>
          <w:snapToGrid w:val="0"/>
          <w:kern w:val="22"/>
          <w:szCs w:val="22"/>
          <w:lang w:val="es-ES"/>
        </w:rPr>
      </w:pPr>
      <w:r w:rsidRPr="00A601E5">
        <w:rPr>
          <w:i/>
          <w:snapToGrid w:val="0"/>
          <w:kern w:val="22"/>
          <w:szCs w:val="22"/>
          <w:lang w:val="es-ES"/>
        </w:rPr>
        <w:t>C</w:t>
      </w:r>
      <w:r w:rsidR="00A601E5" w:rsidRPr="00A601E5">
        <w:rPr>
          <w:i/>
          <w:snapToGrid w:val="0"/>
          <w:kern w:val="22"/>
          <w:szCs w:val="22"/>
          <w:lang w:val="es-ES"/>
        </w:rPr>
        <w:t>reación de c</w:t>
      </w:r>
      <w:r w:rsidRPr="00A601E5">
        <w:rPr>
          <w:i/>
          <w:snapToGrid w:val="0"/>
          <w:kern w:val="22"/>
          <w:szCs w:val="22"/>
          <w:lang w:val="es-ES"/>
        </w:rPr>
        <w:t>apaci</w:t>
      </w:r>
      <w:r w:rsidR="00A601E5" w:rsidRPr="00A601E5">
        <w:rPr>
          <w:i/>
          <w:snapToGrid w:val="0"/>
          <w:kern w:val="22"/>
          <w:szCs w:val="22"/>
          <w:lang w:val="es-ES"/>
        </w:rPr>
        <w:t>dad</w:t>
      </w:r>
    </w:p>
    <w:p w:rsidR="009F5D7B" w:rsidRPr="00A601E5" w:rsidRDefault="00A601E5" w:rsidP="000C6220">
      <w:pPr>
        <w:pBdr>
          <w:top w:val="nil"/>
          <w:left w:val="nil"/>
          <w:bottom w:val="nil"/>
          <w:right w:val="nil"/>
          <w:between w:val="nil"/>
          <w:bar w:val="nil"/>
        </w:pBdr>
        <w:spacing w:before="120" w:line="240" w:lineRule="auto"/>
        <w:ind w:firstLine="720"/>
        <w:rPr>
          <w:snapToGrid w:val="0"/>
          <w:kern w:val="22"/>
          <w:szCs w:val="22"/>
          <w:lang w:val="es-ES"/>
        </w:rPr>
      </w:pPr>
      <w:r w:rsidRPr="00A601E5">
        <w:rPr>
          <w:snapToGrid w:val="0"/>
          <w:color w:val="000000"/>
          <w:kern w:val="22"/>
          <w:szCs w:val="22"/>
          <w:lang w:val="es-ES"/>
        </w:rPr>
        <w:t xml:space="preserve"> </w:t>
      </w:r>
      <w:r w:rsidR="009F5D7B" w:rsidRPr="00A601E5">
        <w:rPr>
          <w:snapToGrid w:val="0"/>
          <w:color w:val="000000"/>
          <w:kern w:val="22"/>
          <w:szCs w:val="22"/>
          <w:lang w:val="es-ES"/>
        </w:rPr>
        <w:t>a)</w:t>
      </w:r>
      <w:r w:rsidR="009F5D7B" w:rsidRPr="00A601E5">
        <w:rPr>
          <w:snapToGrid w:val="0"/>
          <w:color w:val="000000"/>
          <w:kern w:val="22"/>
          <w:szCs w:val="22"/>
          <w:lang w:val="es-ES"/>
        </w:rPr>
        <w:tab/>
      </w:r>
      <w:r w:rsidRPr="00F46ABF">
        <w:rPr>
          <w:snapToGrid w:val="0"/>
          <w:kern w:val="22"/>
          <w:szCs w:val="22"/>
          <w:lang w:val="es-ES"/>
        </w:rPr>
        <w:t>Difundir y promover el uso de los recursos de creación de capacidad del Centro de Intercambio de Información sobre APB, con inclusión del módulo de aprendizaje electrónico y las guías paso a paso</w:t>
      </w:r>
      <w:r w:rsidR="009F5D7B" w:rsidRPr="00A601E5">
        <w:rPr>
          <w:snapToGrid w:val="0"/>
          <w:kern w:val="22"/>
          <w:szCs w:val="22"/>
          <w:lang w:val="es-ES"/>
        </w:rPr>
        <w:t>;</w:t>
      </w:r>
    </w:p>
    <w:p w:rsidR="009F5D7B" w:rsidRPr="00A601E5" w:rsidRDefault="00A601E5" w:rsidP="000C6220">
      <w:pPr>
        <w:pBdr>
          <w:top w:val="nil"/>
          <w:left w:val="nil"/>
          <w:bottom w:val="nil"/>
          <w:right w:val="nil"/>
          <w:between w:val="nil"/>
          <w:bar w:val="nil"/>
        </w:pBdr>
        <w:spacing w:before="120" w:line="240" w:lineRule="auto"/>
        <w:ind w:firstLine="720"/>
        <w:rPr>
          <w:snapToGrid w:val="0"/>
          <w:kern w:val="22"/>
          <w:szCs w:val="22"/>
          <w:lang w:val="es-ES"/>
        </w:rPr>
      </w:pPr>
      <w:r w:rsidRPr="00A601E5">
        <w:rPr>
          <w:snapToGrid w:val="0"/>
          <w:color w:val="000000"/>
          <w:kern w:val="22"/>
          <w:szCs w:val="22"/>
          <w:lang w:val="es-ES"/>
        </w:rPr>
        <w:t xml:space="preserve"> </w:t>
      </w:r>
      <w:r w:rsidR="009F5D7B" w:rsidRPr="00A601E5">
        <w:rPr>
          <w:snapToGrid w:val="0"/>
          <w:color w:val="000000"/>
          <w:kern w:val="22"/>
          <w:szCs w:val="22"/>
          <w:lang w:val="es-ES"/>
        </w:rPr>
        <w:t>b)</w:t>
      </w:r>
      <w:r w:rsidR="009F5D7B" w:rsidRPr="00A601E5">
        <w:rPr>
          <w:snapToGrid w:val="0"/>
          <w:color w:val="000000"/>
          <w:kern w:val="22"/>
          <w:szCs w:val="22"/>
          <w:lang w:val="es-ES"/>
        </w:rPr>
        <w:tab/>
      </w:r>
      <w:r w:rsidRPr="00F46ABF">
        <w:rPr>
          <w:snapToGrid w:val="0"/>
          <w:kern w:val="22"/>
          <w:szCs w:val="22"/>
          <w:lang w:val="es-ES"/>
        </w:rPr>
        <w:t>Traducir los recursos de creación de capacidad elaborados por la Secretaria Ejecutiva para el Centro de Intercambio de Información sobre APB y publicarlos en todos los idiomas oficiales de las Naciones Unidas</w:t>
      </w:r>
      <w:r w:rsidR="009F5D7B" w:rsidRPr="00A601E5">
        <w:rPr>
          <w:snapToGrid w:val="0"/>
          <w:kern w:val="22"/>
          <w:szCs w:val="22"/>
          <w:lang w:val="es-ES"/>
        </w:rPr>
        <w:t>;</w:t>
      </w:r>
    </w:p>
    <w:p w:rsidR="009F5D7B" w:rsidRPr="00A601E5" w:rsidRDefault="00A601E5" w:rsidP="000C6220">
      <w:pPr>
        <w:pBdr>
          <w:top w:val="nil"/>
          <w:left w:val="nil"/>
          <w:bottom w:val="nil"/>
          <w:right w:val="nil"/>
          <w:between w:val="nil"/>
          <w:bar w:val="nil"/>
        </w:pBdr>
        <w:spacing w:before="120" w:line="240" w:lineRule="auto"/>
        <w:ind w:firstLine="720"/>
        <w:rPr>
          <w:kern w:val="22"/>
          <w:szCs w:val="22"/>
          <w:lang w:val="es-ES"/>
        </w:rPr>
      </w:pPr>
      <w:r>
        <w:rPr>
          <w:snapToGrid w:val="0"/>
          <w:color w:val="000000"/>
          <w:kern w:val="22"/>
          <w:szCs w:val="22"/>
          <w:lang w:val="es-ES"/>
        </w:rPr>
        <w:t xml:space="preserve"> </w:t>
      </w:r>
      <w:r w:rsidR="009F5D7B" w:rsidRPr="00A601E5">
        <w:rPr>
          <w:snapToGrid w:val="0"/>
          <w:color w:val="000000"/>
          <w:kern w:val="22"/>
          <w:szCs w:val="22"/>
          <w:lang w:val="es-ES"/>
        </w:rPr>
        <w:t>c)</w:t>
      </w:r>
      <w:r w:rsidR="009F5D7B" w:rsidRPr="00A601E5">
        <w:rPr>
          <w:snapToGrid w:val="0"/>
          <w:color w:val="000000"/>
          <w:kern w:val="22"/>
          <w:szCs w:val="22"/>
          <w:lang w:val="es-ES"/>
        </w:rPr>
        <w:tab/>
      </w:r>
      <w:r w:rsidRPr="00F46ABF">
        <w:rPr>
          <w:snapToGrid w:val="0"/>
          <w:kern w:val="22"/>
          <w:szCs w:val="22"/>
          <w:lang w:val="es-ES"/>
        </w:rPr>
        <w:t>Continuar proporcionando capacitación presencial (con sujeción a la financiación disponible), así como a distancia si así se solicita, según sea necesario</w:t>
      </w:r>
      <w:r w:rsidR="009F5D7B" w:rsidRPr="00A601E5">
        <w:rPr>
          <w:snapToGrid w:val="0"/>
          <w:kern w:val="22"/>
          <w:szCs w:val="22"/>
          <w:lang w:val="es-ES"/>
        </w:rPr>
        <w:t>;</w:t>
      </w:r>
    </w:p>
    <w:p w:rsidR="009F5D7B" w:rsidRPr="00A601E5" w:rsidRDefault="00A601E5" w:rsidP="000C6220">
      <w:pPr>
        <w:pBdr>
          <w:top w:val="nil"/>
          <w:left w:val="nil"/>
          <w:bottom w:val="nil"/>
          <w:right w:val="nil"/>
          <w:between w:val="nil"/>
          <w:bar w:val="nil"/>
        </w:pBdr>
        <w:spacing w:before="120" w:line="240" w:lineRule="auto"/>
        <w:ind w:firstLine="720"/>
        <w:rPr>
          <w:snapToGrid w:val="0"/>
          <w:kern w:val="22"/>
          <w:szCs w:val="22"/>
          <w:lang w:val="es-ES"/>
        </w:rPr>
      </w:pPr>
      <w:r w:rsidRPr="00C5131C">
        <w:rPr>
          <w:snapToGrid w:val="0"/>
          <w:color w:val="000000"/>
          <w:kern w:val="22"/>
          <w:szCs w:val="22"/>
          <w:lang w:val="es-ES"/>
        </w:rPr>
        <w:t xml:space="preserve"> </w:t>
      </w:r>
      <w:r w:rsidR="009F5D7B" w:rsidRPr="00A601E5">
        <w:rPr>
          <w:snapToGrid w:val="0"/>
          <w:color w:val="000000"/>
          <w:kern w:val="22"/>
          <w:szCs w:val="22"/>
          <w:lang w:val="es-ES"/>
        </w:rPr>
        <w:t>d)</w:t>
      </w:r>
      <w:r w:rsidR="009F5D7B" w:rsidRPr="00A601E5">
        <w:rPr>
          <w:snapToGrid w:val="0"/>
          <w:color w:val="000000"/>
          <w:kern w:val="22"/>
          <w:szCs w:val="22"/>
          <w:lang w:val="es-ES"/>
        </w:rPr>
        <w:tab/>
      </w:r>
      <w:r w:rsidRPr="00F46ABF">
        <w:rPr>
          <w:snapToGrid w:val="0"/>
          <w:kern w:val="22"/>
          <w:szCs w:val="22"/>
          <w:lang w:val="es-ES"/>
        </w:rPr>
        <w:t>Colaborar con asociados que desarrollen proyectos de creación de capacidad para asegurarse de que incluyan actividades pertinentes para apoyar y promover el uso del Centro de Intercambio de Información sobre APB</w:t>
      </w:r>
      <w:r w:rsidR="009F5D7B" w:rsidRPr="00A601E5">
        <w:rPr>
          <w:snapToGrid w:val="0"/>
          <w:kern w:val="22"/>
          <w:szCs w:val="22"/>
          <w:lang w:val="es-ES"/>
        </w:rPr>
        <w:t>;</w:t>
      </w:r>
    </w:p>
    <w:p w:rsidR="009F5D7B" w:rsidRPr="00035F57" w:rsidRDefault="00A601E5" w:rsidP="000C6220">
      <w:pPr>
        <w:pBdr>
          <w:top w:val="nil"/>
          <w:left w:val="nil"/>
          <w:bottom w:val="nil"/>
          <w:right w:val="nil"/>
          <w:between w:val="nil"/>
          <w:bar w:val="nil"/>
        </w:pBdr>
        <w:spacing w:before="120" w:line="240" w:lineRule="auto"/>
        <w:ind w:firstLine="720"/>
        <w:rPr>
          <w:snapToGrid w:val="0"/>
          <w:kern w:val="22"/>
          <w:szCs w:val="22"/>
          <w:lang w:val="es-ES"/>
        </w:rPr>
      </w:pPr>
      <w:r w:rsidRPr="00A601E5">
        <w:rPr>
          <w:snapToGrid w:val="0"/>
          <w:color w:val="000000"/>
          <w:kern w:val="22"/>
          <w:szCs w:val="22"/>
          <w:lang w:val="es-ES"/>
        </w:rPr>
        <w:t xml:space="preserve"> </w:t>
      </w:r>
      <w:r w:rsidR="009F5D7B" w:rsidRPr="00035F57">
        <w:rPr>
          <w:snapToGrid w:val="0"/>
          <w:color w:val="000000"/>
          <w:kern w:val="22"/>
          <w:szCs w:val="22"/>
          <w:lang w:val="es-ES"/>
        </w:rPr>
        <w:t>e)</w:t>
      </w:r>
      <w:r w:rsidR="009F5D7B" w:rsidRPr="00035F57">
        <w:rPr>
          <w:snapToGrid w:val="0"/>
          <w:color w:val="000000"/>
          <w:kern w:val="22"/>
          <w:szCs w:val="22"/>
          <w:lang w:val="es-ES"/>
        </w:rPr>
        <w:tab/>
      </w:r>
      <w:r w:rsidR="00035F57" w:rsidRPr="00F46ABF">
        <w:rPr>
          <w:snapToGrid w:val="0"/>
          <w:kern w:val="22"/>
          <w:szCs w:val="22"/>
          <w:lang w:val="es-ES"/>
        </w:rPr>
        <w:t>Crear conciencia sobre el Centro de Intercambio de Información sobre APB entre los pueblos indígenas y las comunidades locales y otros interesados directos pertinentes, como el sector empresarial y la comunidad científica</w:t>
      </w:r>
      <w:r w:rsidR="009F5D7B" w:rsidRPr="00035F57">
        <w:rPr>
          <w:snapToGrid w:val="0"/>
          <w:kern w:val="22"/>
          <w:szCs w:val="22"/>
          <w:lang w:val="es-ES"/>
        </w:rPr>
        <w:t>;</w:t>
      </w:r>
    </w:p>
    <w:p w:rsidR="009F5D7B" w:rsidRPr="00035F57" w:rsidRDefault="00A601E5" w:rsidP="000C6220">
      <w:pPr>
        <w:pBdr>
          <w:top w:val="nil"/>
          <w:left w:val="nil"/>
          <w:bottom w:val="nil"/>
          <w:right w:val="nil"/>
          <w:between w:val="nil"/>
          <w:bar w:val="nil"/>
        </w:pBdr>
        <w:spacing w:before="120" w:line="240" w:lineRule="auto"/>
        <w:ind w:firstLine="720"/>
        <w:rPr>
          <w:snapToGrid w:val="0"/>
          <w:kern w:val="22"/>
          <w:szCs w:val="22"/>
          <w:lang w:val="es-ES"/>
        </w:rPr>
      </w:pPr>
      <w:r w:rsidRPr="00035F57">
        <w:rPr>
          <w:snapToGrid w:val="0"/>
          <w:color w:val="000000"/>
          <w:kern w:val="22"/>
          <w:szCs w:val="22"/>
          <w:lang w:val="es-ES"/>
        </w:rPr>
        <w:t xml:space="preserve"> </w:t>
      </w:r>
      <w:r w:rsidR="009F5D7B" w:rsidRPr="00035F57">
        <w:rPr>
          <w:snapToGrid w:val="0"/>
          <w:color w:val="000000"/>
          <w:kern w:val="22"/>
          <w:szCs w:val="22"/>
          <w:lang w:val="es-ES"/>
        </w:rPr>
        <w:t>f)</w:t>
      </w:r>
      <w:r w:rsidR="009F5D7B" w:rsidRPr="00035F57">
        <w:rPr>
          <w:snapToGrid w:val="0"/>
          <w:color w:val="000000"/>
          <w:kern w:val="22"/>
          <w:szCs w:val="22"/>
          <w:lang w:val="es-ES"/>
        </w:rPr>
        <w:tab/>
      </w:r>
      <w:r w:rsidR="00035F57" w:rsidRPr="00F46ABF">
        <w:rPr>
          <w:snapToGrid w:val="0"/>
          <w:kern w:val="22"/>
          <w:szCs w:val="22"/>
          <w:lang w:val="es-ES"/>
        </w:rPr>
        <w:t>Crear conciencia sobre el Centro de Intercambio de Información sobre APB en foros internacionales pertinentes que se ocupen de cuestiones relacionadas con el acceso y la participación en los beneficios</w:t>
      </w:r>
      <w:r w:rsidR="009F5D7B" w:rsidRPr="00035F57">
        <w:rPr>
          <w:snapToGrid w:val="0"/>
          <w:kern w:val="22"/>
          <w:szCs w:val="22"/>
          <w:lang w:val="es-ES"/>
        </w:rPr>
        <w:t>;</w:t>
      </w:r>
    </w:p>
    <w:p w:rsidR="009F5D7B" w:rsidRPr="00C5131C" w:rsidRDefault="00035F57" w:rsidP="000C6220">
      <w:pPr>
        <w:keepNext/>
        <w:pBdr>
          <w:top w:val="nil"/>
          <w:left w:val="nil"/>
          <w:bottom w:val="nil"/>
          <w:right w:val="nil"/>
          <w:between w:val="nil"/>
          <w:bar w:val="nil"/>
        </w:pBdr>
        <w:spacing w:before="120" w:line="240" w:lineRule="auto"/>
        <w:rPr>
          <w:i/>
          <w:snapToGrid w:val="0"/>
          <w:kern w:val="22"/>
          <w:szCs w:val="22"/>
          <w:lang w:val="es-ES"/>
        </w:rPr>
      </w:pPr>
      <w:r w:rsidRPr="00C5131C">
        <w:rPr>
          <w:i/>
          <w:snapToGrid w:val="0"/>
          <w:kern w:val="22"/>
          <w:szCs w:val="22"/>
          <w:lang w:val="es-ES"/>
        </w:rPr>
        <w:lastRenderedPageBreak/>
        <w:t>Interoperabilidad y colaboració</w:t>
      </w:r>
      <w:r w:rsidR="009F5D7B" w:rsidRPr="00C5131C">
        <w:rPr>
          <w:i/>
          <w:snapToGrid w:val="0"/>
          <w:kern w:val="22"/>
          <w:szCs w:val="22"/>
          <w:lang w:val="es-ES"/>
        </w:rPr>
        <w:t>n</w:t>
      </w:r>
    </w:p>
    <w:p w:rsidR="009F5D7B" w:rsidRPr="00035F57" w:rsidRDefault="00035F57" w:rsidP="000C6220">
      <w:pPr>
        <w:pBdr>
          <w:top w:val="nil"/>
          <w:left w:val="nil"/>
          <w:bottom w:val="nil"/>
          <w:right w:val="nil"/>
          <w:between w:val="nil"/>
          <w:bar w:val="nil"/>
        </w:pBdr>
        <w:tabs>
          <w:tab w:val="left" w:pos="1260"/>
        </w:tabs>
        <w:spacing w:before="120" w:line="240" w:lineRule="auto"/>
        <w:ind w:firstLine="720"/>
        <w:rPr>
          <w:snapToGrid w:val="0"/>
          <w:kern w:val="22"/>
          <w:szCs w:val="22"/>
          <w:lang w:val="es-ES"/>
        </w:rPr>
      </w:pPr>
      <w:r w:rsidRPr="00C5131C">
        <w:rPr>
          <w:snapToGrid w:val="0"/>
          <w:color w:val="000000"/>
          <w:kern w:val="22"/>
          <w:szCs w:val="22"/>
          <w:lang w:val="es-ES"/>
        </w:rPr>
        <w:t xml:space="preserve"> </w:t>
      </w:r>
      <w:r w:rsidR="009F5D7B" w:rsidRPr="00035F57">
        <w:rPr>
          <w:snapToGrid w:val="0"/>
          <w:color w:val="000000"/>
          <w:kern w:val="22"/>
          <w:szCs w:val="22"/>
          <w:lang w:val="es-ES"/>
        </w:rPr>
        <w:t>a)</w:t>
      </w:r>
      <w:r w:rsidR="009F5D7B" w:rsidRPr="00035F57">
        <w:rPr>
          <w:snapToGrid w:val="0"/>
          <w:color w:val="000000"/>
          <w:kern w:val="22"/>
          <w:szCs w:val="22"/>
          <w:lang w:val="es-ES"/>
        </w:rPr>
        <w:tab/>
      </w:r>
      <w:r w:rsidRPr="00F46ABF">
        <w:rPr>
          <w:snapToGrid w:val="0"/>
          <w:kern w:val="22"/>
          <w:szCs w:val="22"/>
          <w:lang w:val="es-ES"/>
        </w:rPr>
        <w:t>Continuar concientizando y apoyando la creación de capacidad sobre el uso de la interfaz de programación de aplicaciones (API) y otros mecanismos de interoperabilidad, entre otras cosas proporcionando documentación pertinente, incluidas lecciones aprendidas y ejemplos</w:t>
      </w:r>
      <w:r w:rsidR="009F5D7B" w:rsidRPr="00035F57">
        <w:rPr>
          <w:snapToGrid w:val="0"/>
          <w:kern w:val="22"/>
          <w:szCs w:val="22"/>
          <w:lang w:val="es-ES"/>
        </w:rPr>
        <w:t>;</w:t>
      </w:r>
    </w:p>
    <w:p w:rsidR="009F5D7B" w:rsidRPr="00035F57" w:rsidRDefault="00035F57" w:rsidP="000C6220">
      <w:pPr>
        <w:pBdr>
          <w:top w:val="nil"/>
          <w:left w:val="nil"/>
          <w:bottom w:val="nil"/>
          <w:right w:val="nil"/>
          <w:between w:val="nil"/>
          <w:bar w:val="nil"/>
        </w:pBdr>
        <w:tabs>
          <w:tab w:val="left" w:pos="1260"/>
        </w:tabs>
        <w:spacing w:before="120" w:line="240" w:lineRule="auto"/>
        <w:ind w:firstLine="720"/>
        <w:rPr>
          <w:snapToGrid w:val="0"/>
          <w:kern w:val="22"/>
          <w:szCs w:val="22"/>
          <w:lang w:val="es-ES"/>
        </w:rPr>
      </w:pPr>
      <w:r w:rsidRPr="00035F57">
        <w:rPr>
          <w:snapToGrid w:val="0"/>
          <w:color w:val="000000"/>
          <w:kern w:val="22"/>
          <w:szCs w:val="22"/>
          <w:lang w:val="es-ES"/>
        </w:rPr>
        <w:t xml:space="preserve"> </w:t>
      </w:r>
      <w:r w:rsidR="009F5D7B" w:rsidRPr="00035F57">
        <w:rPr>
          <w:snapToGrid w:val="0"/>
          <w:color w:val="000000"/>
          <w:kern w:val="22"/>
          <w:szCs w:val="22"/>
          <w:lang w:val="es-ES"/>
        </w:rPr>
        <w:t>b)</w:t>
      </w:r>
      <w:r w:rsidR="009F5D7B" w:rsidRPr="00035F57">
        <w:rPr>
          <w:snapToGrid w:val="0"/>
          <w:color w:val="000000"/>
          <w:kern w:val="22"/>
          <w:szCs w:val="22"/>
          <w:lang w:val="es-ES"/>
        </w:rPr>
        <w:tab/>
      </w:r>
      <w:r w:rsidRPr="00F46ABF">
        <w:rPr>
          <w:snapToGrid w:val="0"/>
          <w:kern w:val="22"/>
          <w:szCs w:val="22"/>
          <w:lang w:val="es-ES"/>
        </w:rPr>
        <w:t>Facilitar el intercambio de información con sistemas y bases de datos nacionales pertinentes</w:t>
      </w:r>
      <w:r w:rsidR="009F5D7B" w:rsidRPr="00035F57">
        <w:rPr>
          <w:snapToGrid w:val="0"/>
          <w:kern w:val="22"/>
          <w:szCs w:val="22"/>
          <w:lang w:val="es-ES"/>
        </w:rPr>
        <w:t>;</w:t>
      </w:r>
    </w:p>
    <w:p w:rsidR="009F5D7B" w:rsidRPr="00035F57" w:rsidRDefault="00035F57" w:rsidP="000C6220">
      <w:pPr>
        <w:pBdr>
          <w:top w:val="nil"/>
          <w:left w:val="nil"/>
          <w:bottom w:val="nil"/>
          <w:right w:val="nil"/>
          <w:between w:val="nil"/>
          <w:bar w:val="nil"/>
        </w:pBdr>
        <w:tabs>
          <w:tab w:val="left" w:pos="1260"/>
        </w:tabs>
        <w:spacing w:before="120" w:line="240" w:lineRule="auto"/>
        <w:ind w:firstLine="720"/>
        <w:rPr>
          <w:snapToGrid w:val="0"/>
          <w:kern w:val="22"/>
          <w:szCs w:val="22"/>
          <w:lang w:val="es-ES"/>
        </w:rPr>
      </w:pPr>
      <w:r w:rsidRPr="00035F57">
        <w:rPr>
          <w:snapToGrid w:val="0"/>
          <w:kern w:val="22"/>
          <w:szCs w:val="22"/>
          <w:lang w:val="es-ES"/>
        </w:rPr>
        <w:t xml:space="preserve"> </w:t>
      </w:r>
      <w:r w:rsidR="009F5D7B" w:rsidRPr="00035F57">
        <w:rPr>
          <w:snapToGrid w:val="0"/>
          <w:kern w:val="22"/>
          <w:szCs w:val="22"/>
          <w:lang w:val="es-ES"/>
        </w:rPr>
        <w:t>c)</w:t>
      </w:r>
      <w:r w:rsidR="009F5D7B" w:rsidRPr="00035F57">
        <w:rPr>
          <w:snapToGrid w:val="0"/>
          <w:kern w:val="22"/>
          <w:szCs w:val="22"/>
          <w:lang w:val="es-ES"/>
        </w:rPr>
        <w:tab/>
      </w:r>
      <w:r w:rsidRPr="00F46ABF">
        <w:rPr>
          <w:snapToGrid w:val="0"/>
          <w:kern w:val="22"/>
          <w:szCs w:val="22"/>
          <w:lang w:val="es-ES"/>
        </w:rPr>
        <w:t>Estudiar cómo se puede utilizar la Herramienta Bioland para Mecanismos Nacionales de Facilitación a efectos de facilitar el intercambio de información relacionada con el acceso y la participación en los beneficios</w:t>
      </w:r>
      <w:r w:rsidR="009F5D7B" w:rsidRPr="00035F57">
        <w:rPr>
          <w:snapToGrid w:val="0"/>
          <w:kern w:val="22"/>
          <w:szCs w:val="22"/>
          <w:lang w:val="es-ES"/>
        </w:rPr>
        <w:t>;</w:t>
      </w:r>
    </w:p>
    <w:p w:rsidR="009F5D7B" w:rsidRPr="00035F57" w:rsidRDefault="00035F57" w:rsidP="000C6220">
      <w:pPr>
        <w:pBdr>
          <w:top w:val="nil"/>
          <w:left w:val="nil"/>
          <w:bottom w:val="nil"/>
          <w:right w:val="nil"/>
          <w:between w:val="nil"/>
          <w:bar w:val="nil"/>
        </w:pBdr>
        <w:tabs>
          <w:tab w:val="left" w:pos="1260"/>
        </w:tabs>
        <w:spacing w:before="120" w:line="240" w:lineRule="auto"/>
        <w:ind w:firstLine="720"/>
        <w:rPr>
          <w:snapToGrid w:val="0"/>
          <w:kern w:val="22"/>
          <w:szCs w:val="22"/>
          <w:lang w:val="es-ES"/>
        </w:rPr>
      </w:pPr>
      <w:r w:rsidRPr="00035F57">
        <w:rPr>
          <w:snapToGrid w:val="0"/>
          <w:color w:val="000000"/>
          <w:kern w:val="22"/>
          <w:szCs w:val="22"/>
          <w:lang w:val="es-ES"/>
        </w:rPr>
        <w:t xml:space="preserve"> </w:t>
      </w:r>
      <w:r w:rsidR="009F5D7B" w:rsidRPr="00035F57">
        <w:rPr>
          <w:snapToGrid w:val="0"/>
          <w:color w:val="000000"/>
          <w:kern w:val="22"/>
          <w:szCs w:val="22"/>
          <w:lang w:val="es-ES"/>
        </w:rPr>
        <w:t>d)</w:t>
      </w:r>
      <w:r w:rsidR="009F5D7B" w:rsidRPr="00035F57">
        <w:rPr>
          <w:snapToGrid w:val="0"/>
          <w:color w:val="000000"/>
          <w:kern w:val="22"/>
          <w:szCs w:val="22"/>
          <w:lang w:val="es-ES"/>
        </w:rPr>
        <w:tab/>
      </w:r>
      <w:r w:rsidRPr="00F46ABF">
        <w:rPr>
          <w:snapToGrid w:val="0"/>
          <w:kern w:val="22"/>
          <w:szCs w:val="22"/>
          <w:lang w:val="es-ES"/>
        </w:rPr>
        <w:t>Continuar colaborando con instrumentos e iniciativas pertinentes (como el Sistema Mundial de Información del Tratado Internacional sobre los Recursos Fitogenéticos para la Alimentación y la Agricultura, InforMEA y la Federación Mundial de Colecciones de Cultivos</w:t>
      </w:r>
      <w:r w:rsidR="009F5D7B" w:rsidRPr="00035F57">
        <w:rPr>
          <w:snapToGrid w:val="0"/>
          <w:kern w:val="22"/>
          <w:szCs w:val="22"/>
          <w:lang w:val="es-ES"/>
        </w:rPr>
        <w:t>);</w:t>
      </w:r>
    </w:p>
    <w:p w:rsidR="009F5D7B" w:rsidRPr="00035F57" w:rsidRDefault="00035F57" w:rsidP="00035F57">
      <w:pPr>
        <w:keepNext/>
        <w:pBdr>
          <w:top w:val="nil"/>
          <w:left w:val="nil"/>
          <w:bottom w:val="nil"/>
          <w:right w:val="nil"/>
          <w:between w:val="nil"/>
          <w:bar w:val="nil"/>
        </w:pBdr>
        <w:spacing w:before="120" w:line="240" w:lineRule="auto"/>
        <w:ind w:left="1440" w:hanging="1440"/>
        <w:rPr>
          <w:b/>
          <w:snapToGrid w:val="0"/>
          <w:kern w:val="22"/>
          <w:szCs w:val="22"/>
          <w:lang w:val="es-ES"/>
        </w:rPr>
      </w:pPr>
      <w:r w:rsidRPr="00C5131C">
        <w:rPr>
          <w:b/>
          <w:snapToGrid w:val="0"/>
          <w:kern w:val="22"/>
          <w:szCs w:val="22"/>
          <w:lang w:val="es-ES"/>
        </w:rPr>
        <w:t>Objetivo 2.</w:t>
      </w:r>
      <w:r w:rsidRPr="00C5131C">
        <w:rPr>
          <w:b/>
          <w:snapToGrid w:val="0"/>
          <w:kern w:val="22"/>
          <w:szCs w:val="22"/>
          <w:lang w:val="es-ES"/>
        </w:rPr>
        <w:tab/>
      </w:r>
      <w:r w:rsidRPr="00035F57">
        <w:rPr>
          <w:b/>
          <w:snapToGrid w:val="0"/>
          <w:kern w:val="22"/>
          <w:szCs w:val="22"/>
          <w:lang w:val="es-ES"/>
        </w:rPr>
        <w:t xml:space="preserve">Traducción </w:t>
      </w:r>
      <w:r w:rsidRPr="00F46ABF">
        <w:rPr>
          <w:b/>
          <w:snapToGrid w:val="0"/>
          <w:kern w:val="22"/>
          <w:szCs w:val="22"/>
          <w:lang w:val="es-ES"/>
        </w:rPr>
        <w:t>y funcionalidad para la puesta en funcionamiento del Centro de Intercambio de Información sobre Acceso y Participación en los Beneficios en los seis idiomas oficiales de las Naciones Unidas</w:t>
      </w:r>
    </w:p>
    <w:p w:rsidR="009F5D7B" w:rsidRPr="00035F57" w:rsidRDefault="00035F57" w:rsidP="000C6220">
      <w:pPr>
        <w:pBdr>
          <w:top w:val="nil"/>
          <w:left w:val="nil"/>
          <w:bottom w:val="nil"/>
          <w:right w:val="nil"/>
          <w:between w:val="nil"/>
          <w:bar w:val="nil"/>
        </w:pBdr>
        <w:tabs>
          <w:tab w:val="left" w:pos="1260"/>
        </w:tabs>
        <w:spacing w:before="120" w:line="240" w:lineRule="auto"/>
        <w:ind w:firstLine="720"/>
        <w:rPr>
          <w:snapToGrid w:val="0"/>
          <w:kern w:val="22"/>
          <w:szCs w:val="22"/>
          <w:lang w:val="es-ES"/>
        </w:rPr>
      </w:pPr>
      <w:r w:rsidRPr="00C5131C">
        <w:rPr>
          <w:snapToGrid w:val="0"/>
          <w:color w:val="000000"/>
          <w:kern w:val="22"/>
          <w:szCs w:val="22"/>
          <w:lang w:val="es-ES"/>
        </w:rPr>
        <w:t xml:space="preserve"> </w:t>
      </w:r>
      <w:r w:rsidR="009F5D7B" w:rsidRPr="00035F57">
        <w:rPr>
          <w:snapToGrid w:val="0"/>
          <w:color w:val="000000"/>
          <w:kern w:val="22"/>
          <w:szCs w:val="22"/>
          <w:lang w:val="es-ES"/>
        </w:rPr>
        <w:t>a)</w:t>
      </w:r>
      <w:r w:rsidR="009F5D7B" w:rsidRPr="00035F57">
        <w:rPr>
          <w:snapToGrid w:val="0"/>
          <w:color w:val="000000"/>
          <w:kern w:val="22"/>
          <w:szCs w:val="22"/>
          <w:lang w:val="es-ES"/>
        </w:rPr>
        <w:tab/>
      </w:r>
      <w:r w:rsidRPr="00F46ABF">
        <w:rPr>
          <w:snapToGrid w:val="0"/>
          <w:kern w:val="22"/>
          <w:szCs w:val="22"/>
          <w:lang w:val="es-ES"/>
        </w:rPr>
        <w:t>Continuar con la traducción del Centro de Intercambio de Información sobre APB como una de las principales prioridades</w:t>
      </w:r>
      <w:r w:rsidR="009F5D7B" w:rsidRPr="00035F57">
        <w:rPr>
          <w:snapToGrid w:val="0"/>
          <w:kern w:val="22"/>
          <w:szCs w:val="22"/>
          <w:lang w:val="es-ES"/>
        </w:rPr>
        <w:t>;</w:t>
      </w:r>
    </w:p>
    <w:p w:rsidR="009F5D7B" w:rsidRPr="00035F57" w:rsidRDefault="00035F57" w:rsidP="000C6220">
      <w:pPr>
        <w:pBdr>
          <w:top w:val="nil"/>
          <w:left w:val="nil"/>
          <w:bottom w:val="nil"/>
          <w:right w:val="nil"/>
          <w:between w:val="nil"/>
          <w:bar w:val="nil"/>
        </w:pBdr>
        <w:tabs>
          <w:tab w:val="left" w:pos="1260"/>
        </w:tabs>
        <w:spacing w:before="120" w:line="240" w:lineRule="auto"/>
        <w:ind w:firstLine="720"/>
        <w:rPr>
          <w:snapToGrid w:val="0"/>
          <w:kern w:val="22"/>
          <w:szCs w:val="22"/>
          <w:lang w:val="es-ES"/>
        </w:rPr>
      </w:pPr>
      <w:r w:rsidRPr="00035F57">
        <w:rPr>
          <w:snapToGrid w:val="0"/>
          <w:color w:val="000000"/>
          <w:kern w:val="22"/>
          <w:szCs w:val="22"/>
          <w:lang w:val="es-ES"/>
        </w:rPr>
        <w:t xml:space="preserve"> </w:t>
      </w:r>
      <w:r w:rsidR="009F5D7B" w:rsidRPr="00035F57">
        <w:rPr>
          <w:snapToGrid w:val="0"/>
          <w:color w:val="000000"/>
          <w:kern w:val="22"/>
          <w:szCs w:val="22"/>
          <w:lang w:val="es-ES"/>
        </w:rPr>
        <w:t>b)</w:t>
      </w:r>
      <w:r w:rsidR="009F5D7B" w:rsidRPr="00035F57">
        <w:rPr>
          <w:snapToGrid w:val="0"/>
          <w:color w:val="000000"/>
          <w:kern w:val="22"/>
          <w:szCs w:val="22"/>
          <w:lang w:val="es-ES"/>
        </w:rPr>
        <w:tab/>
      </w:r>
      <w:r w:rsidRPr="00F46ABF">
        <w:rPr>
          <w:snapToGrid w:val="0"/>
          <w:kern w:val="22"/>
          <w:szCs w:val="22"/>
          <w:lang w:val="es-ES"/>
        </w:rPr>
        <w:t>Asegurarse de que se mantengan los mecanismos y procedimientos estandarizados a fin de que se continúe sin demoras con la traducción del sitio web</w:t>
      </w:r>
      <w:r w:rsidR="009F5D7B" w:rsidRPr="00035F57">
        <w:rPr>
          <w:kern w:val="22"/>
          <w:szCs w:val="22"/>
          <w:lang w:val="es-ES"/>
        </w:rPr>
        <w:t>;</w:t>
      </w:r>
    </w:p>
    <w:p w:rsidR="009F5D7B" w:rsidRPr="00035F57" w:rsidRDefault="00035F57" w:rsidP="000C6220">
      <w:pPr>
        <w:keepNext/>
        <w:pBdr>
          <w:top w:val="nil"/>
          <w:left w:val="nil"/>
          <w:bottom w:val="nil"/>
          <w:right w:val="nil"/>
          <w:between w:val="nil"/>
          <w:bar w:val="nil"/>
        </w:pBdr>
        <w:spacing w:before="120" w:line="240" w:lineRule="auto"/>
        <w:ind w:left="864" w:hanging="864"/>
        <w:rPr>
          <w:b/>
          <w:snapToGrid w:val="0"/>
          <w:kern w:val="22"/>
          <w:szCs w:val="22"/>
          <w:lang w:val="es-ES"/>
        </w:rPr>
      </w:pPr>
      <w:r w:rsidRPr="00035F57">
        <w:rPr>
          <w:b/>
          <w:snapToGrid w:val="0"/>
          <w:kern w:val="22"/>
          <w:szCs w:val="22"/>
          <w:lang w:val="es-ES"/>
        </w:rPr>
        <w:t>Objetivo</w:t>
      </w:r>
      <w:r w:rsidR="009F5D7B" w:rsidRPr="00035F57">
        <w:rPr>
          <w:b/>
          <w:snapToGrid w:val="0"/>
          <w:kern w:val="22"/>
          <w:szCs w:val="22"/>
          <w:lang w:val="es-ES"/>
        </w:rPr>
        <w:t xml:space="preserve"> 3.</w:t>
      </w:r>
      <w:r w:rsidR="009F5D7B" w:rsidRPr="00035F57">
        <w:rPr>
          <w:b/>
          <w:snapToGrid w:val="0"/>
          <w:kern w:val="22"/>
          <w:szCs w:val="22"/>
          <w:lang w:val="es-ES"/>
        </w:rPr>
        <w:tab/>
        <w:t>Manten</w:t>
      </w:r>
      <w:r w:rsidRPr="00035F57">
        <w:rPr>
          <w:b/>
          <w:snapToGrid w:val="0"/>
          <w:kern w:val="22"/>
          <w:szCs w:val="22"/>
          <w:lang w:val="es-ES"/>
        </w:rPr>
        <w:t xml:space="preserve">imiento </w:t>
      </w:r>
      <w:r w:rsidRPr="00F46ABF">
        <w:rPr>
          <w:b/>
          <w:snapToGrid w:val="0"/>
          <w:kern w:val="22"/>
          <w:szCs w:val="22"/>
          <w:lang w:val="es-ES"/>
        </w:rPr>
        <w:t>y mejora de la funcionalidad</w:t>
      </w:r>
      <w:r w:rsidRPr="007253BC">
        <w:rPr>
          <w:b/>
          <w:snapToGrid w:val="0"/>
          <w:kern w:val="22"/>
          <w:szCs w:val="22"/>
          <w:lang w:val="es-ES"/>
        </w:rPr>
        <w:t xml:space="preserve"> </w:t>
      </w:r>
    </w:p>
    <w:p w:rsidR="009F5D7B" w:rsidRPr="00035F57" w:rsidRDefault="00035F57" w:rsidP="000C6220">
      <w:pPr>
        <w:pBdr>
          <w:top w:val="nil"/>
          <w:left w:val="nil"/>
          <w:bottom w:val="nil"/>
          <w:right w:val="nil"/>
          <w:between w:val="nil"/>
          <w:bar w:val="nil"/>
        </w:pBdr>
        <w:tabs>
          <w:tab w:val="left" w:pos="1260"/>
        </w:tabs>
        <w:spacing w:before="120" w:line="240" w:lineRule="auto"/>
        <w:ind w:firstLine="720"/>
        <w:rPr>
          <w:snapToGrid w:val="0"/>
          <w:kern w:val="22"/>
          <w:szCs w:val="22"/>
          <w:lang w:val="es-ES"/>
        </w:rPr>
      </w:pPr>
      <w:r w:rsidRPr="00C5131C">
        <w:rPr>
          <w:snapToGrid w:val="0"/>
          <w:color w:val="000000"/>
          <w:kern w:val="22"/>
          <w:szCs w:val="22"/>
          <w:lang w:val="es-ES"/>
        </w:rPr>
        <w:t xml:space="preserve"> </w:t>
      </w:r>
      <w:r w:rsidR="009F5D7B" w:rsidRPr="00035F57">
        <w:rPr>
          <w:snapToGrid w:val="0"/>
          <w:color w:val="000000"/>
          <w:kern w:val="22"/>
          <w:szCs w:val="22"/>
          <w:lang w:val="es-ES"/>
        </w:rPr>
        <w:t>a)</w:t>
      </w:r>
      <w:r w:rsidR="009F5D7B" w:rsidRPr="00035F57">
        <w:rPr>
          <w:snapToGrid w:val="0"/>
          <w:color w:val="000000"/>
          <w:kern w:val="22"/>
          <w:szCs w:val="22"/>
          <w:lang w:val="es-ES"/>
        </w:rPr>
        <w:tab/>
      </w:r>
      <w:r w:rsidRPr="00F46ABF">
        <w:rPr>
          <w:snapToGrid w:val="0"/>
          <w:kern w:val="22"/>
          <w:szCs w:val="22"/>
          <w:lang w:val="es-ES"/>
        </w:rPr>
        <w:t>Mantener y mejorar las funcionalidades y finalizar las cuestiones pendientes</w:t>
      </w:r>
      <w:r w:rsidR="009F5D7B" w:rsidRPr="00035F57">
        <w:rPr>
          <w:snapToGrid w:val="0"/>
          <w:kern w:val="22"/>
          <w:szCs w:val="22"/>
          <w:lang w:val="es-ES"/>
        </w:rPr>
        <w:t>;</w:t>
      </w:r>
    </w:p>
    <w:p w:rsidR="009F5D7B" w:rsidRPr="00035F57" w:rsidRDefault="00035F57" w:rsidP="000C6220">
      <w:pPr>
        <w:pBdr>
          <w:top w:val="nil"/>
          <w:left w:val="nil"/>
          <w:bottom w:val="nil"/>
          <w:right w:val="nil"/>
          <w:between w:val="nil"/>
          <w:bar w:val="nil"/>
        </w:pBdr>
        <w:tabs>
          <w:tab w:val="left" w:pos="1260"/>
        </w:tabs>
        <w:spacing w:before="120" w:line="240" w:lineRule="auto"/>
        <w:ind w:firstLine="720"/>
        <w:rPr>
          <w:snapToGrid w:val="0"/>
          <w:kern w:val="22"/>
          <w:szCs w:val="22"/>
          <w:lang w:val="es-ES"/>
        </w:rPr>
      </w:pPr>
      <w:r w:rsidRPr="00035F57">
        <w:rPr>
          <w:snapToGrid w:val="0"/>
          <w:color w:val="000000"/>
          <w:kern w:val="22"/>
          <w:szCs w:val="22"/>
          <w:lang w:val="es-ES"/>
        </w:rPr>
        <w:t xml:space="preserve"> </w:t>
      </w:r>
      <w:r w:rsidR="009F5D7B" w:rsidRPr="00035F57">
        <w:rPr>
          <w:snapToGrid w:val="0"/>
          <w:color w:val="000000"/>
          <w:kern w:val="22"/>
          <w:szCs w:val="22"/>
          <w:lang w:val="es-ES"/>
        </w:rPr>
        <w:t>b)</w:t>
      </w:r>
      <w:r w:rsidR="009F5D7B" w:rsidRPr="00035F57">
        <w:rPr>
          <w:snapToGrid w:val="0"/>
          <w:color w:val="000000"/>
          <w:kern w:val="22"/>
          <w:szCs w:val="22"/>
          <w:lang w:val="es-ES"/>
        </w:rPr>
        <w:tab/>
      </w:r>
      <w:r w:rsidRPr="00F46ABF">
        <w:rPr>
          <w:snapToGrid w:val="0"/>
          <w:kern w:val="22"/>
          <w:szCs w:val="22"/>
          <w:lang w:val="es-ES"/>
        </w:rPr>
        <w:t>Completar la documentación de la interfaz de programación de aplicaciones, el principal mecanismo de interoperabilidad</w:t>
      </w:r>
      <w:r w:rsidR="009F5D7B" w:rsidRPr="00035F57">
        <w:rPr>
          <w:snapToGrid w:val="0"/>
          <w:kern w:val="22"/>
          <w:szCs w:val="22"/>
          <w:lang w:val="es-ES"/>
        </w:rPr>
        <w:t>;</w:t>
      </w:r>
    </w:p>
    <w:p w:rsidR="009F5D7B" w:rsidRPr="00035F57" w:rsidRDefault="00035F57" w:rsidP="000C6220">
      <w:pPr>
        <w:pBdr>
          <w:top w:val="nil"/>
          <w:left w:val="nil"/>
          <w:bottom w:val="nil"/>
          <w:right w:val="nil"/>
          <w:between w:val="nil"/>
          <w:bar w:val="nil"/>
        </w:pBdr>
        <w:tabs>
          <w:tab w:val="left" w:pos="1260"/>
        </w:tabs>
        <w:spacing w:before="120" w:line="240" w:lineRule="auto"/>
        <w:ind w:firstLine="720"/>
        <w:rPr>
          <w:snapToGrid w:val="0"/>
          <w:kern w:val="22"/>
          <w:szCs w:val="22"/>
          <w:lang w:val="es-ES"/>
        </w:rPr>
      </w:pPr>
      <w:r w:rsidRPr="00035F57">
        <w:rPr>
          <w:snapToGrid w:val="0"/>
          <w:color w:val="000000"/>
          <w:kern w:val="22"/>
          <w:szCs w:val="22"/>
          <w:lang w:val="es-ES"/>
        </w:rPr>
        <w:t xml:space="preserve"> </w:t>
      </w:r>
      <w:r w:rsidR="009F5D7B" w:rsidRPr="00035F57">
        <w:rPr>
          <w:snapToGrid w:val="0"/>
          <w:color w:val="000000"/>
          <w:kern w:val="22"/>
          <w:szCs w:val="22"/>
          <w:lang w:val="es-ES"/>
        </w:rPr>
        <w:t>c)</w:t>
      </w:r>
      <w:r w:rsidR="009F5D7B" w:rsidRPr="00035F57">
        <w:rPr>
          <w:snapToGrid w:val="0"/>
          <w:color w:val="000000"/>
          <w:kern w:val="22"/>
          <w:szCs w:val="22"/>
          <w:lang w:val="es-ES"/>
        </w:rPr>
        <w:tab/>
      </w:r>
      <w:r w:rsidRPr="009B18FC">
        <w:rPr>
          <w:snapToGrid w:val="0"/>
          <w:kern w:val="22"/>
          <w:szCs w:val="22"/>
          <w:lang w:val="es-ES"/>
        </w:rPr>
        <w:t xml:space="preserve">Mejorar la funcionalidad de búsqueda para ordenar y agrupar registros, así como para explorar, analizar y presentar la información publicada de formas significativas, incluida la información relacionada con la creación de capacidad y </w:t>
      </w:r>
      <w:r>
        <w:rPr>
          <w:snapToGrid w:val="0"/>
          <w:kern w:val="22"/>
          <w:szCs w:val="22"/>
          <w:lang w:val="es-ES"/>
        </w:rPr>
        <w:t xml:space="preserve">haciendo uso </w:t>
      </w:r>
      <w:r w:rsidRPr="009B18FC">
        <w:rPr>
          <w:snapToGrid w:val="0"/>
          <w:kern w:val="22"/>
          <w:szCs w:val="22"/>
          <w:lang w:val="es-ES"/>
        </w:rPr>
        <w:t>de mapas, cuadros y gráficos, según proceda</w:t>
      </w:r>
      <w:r w:rsidR="009F5D7B" w:rsidRPr="00035F57">
        <w:rPr>
          <w:snapToGrid w:val="0"/>
          <w:kern w:val="22"/>
          <w:szCs w:val="22"/>
          <w:lang w:val="es-ES"/>
        </w:rPr>
        <w:t>;</w:t>
      </w:r>
    </w:p>
    <w:p w:rsidR="009F5D7B" w:rsidRPr="00035F57" w:rsidRDefault="00035F57" w:rsidP="000C6220">
      <w:pPr>
        <w:pBdr>
          <w:top w:val="nil"/>
          <w:left w:val="nil"/>
          <w:bottom w:val="nil"/>
          <w:right w:val="nil"/>
          <w:between w:val="nil"/>
          <w:bar w:val="nil"/>
        </w:pBdr>
        <w:tabs>
          <w:tab w:val="left" w:pos="1260"/>
        </w:tabs>
        <w:spacing w:before="120" w:line="240" w:lineRule="auto"/>
        <w:ind w:firstLine="720"/>
        <w:rPr>
          <w:snapToGrid w:val="0"/>
          <w:kern w:val="22"/>
          <w:szCs w:val="22"/>
          <w:lang w:val="es-ES"/>
        </w:rPr>
      </w:pPr>
      <w:r w:rsidRPr="00035F57">
        <w:rPr>
          <w:snapToGrid w:val="0"/>
          <w:color w:val="000000"/>
          <w:kern w:val="22"/>
          <w:szCs w:val="22"/>
          <w:lang w:val="es-ES"/>
        </w:rPr>
        <w:t xml:space="preserve"> </w:t>
      </w:r>
      <w:r w:rsidR="009F5D7B" w:rsidRPr="00035F57">
        <w:rPr>
          <w:snapToGrid w:val="0"/>
          <w:color w:val="000000"/>
          <w:kern w:val="22"/>
          <w:szCs w:val="22"/>
          <w:lang w:val="es-ES"/>
        </w:rPr>
        <w:t>d)</w:t>
      </w:r>
      <w:r w:rsidR="009F5D7B" w:rsidRPr="00035F57">
        <w:rPr>
          <w:snapToGrid w:val="0"/>
          <w:color w:val="000000"/>
          <w:kern w:val="22"/>
          <w:szCs w:val="22"/>
          <w:lang w:val="es-ES"/>
        </w:rPr>
        <w:tab/>
      </w:r>
      <w:r w:rsidRPr="00F46ABF">
        <w:rPr>
          <w:snapToGrid w:val="0"/>
          <w:kern w:val="22"/>
          <w:szCs w:val="22"/>
          <w:lang w:val="es-ES"/>
        </w:rPr>
        <w:t>Mejorar la gestión de los vocabularios comunes (tesauros), incluida la forma en que se etiquetan los datos con palabras clave para mejorar la recuperación de información</w:t>
      </w:r>
      <w:r w:rsidR="009F5D7B" w:rsidRPr="00035F57">
        <w:rPr>
          <w:snapToGrid w:val="0"/>
          <w:kern w:val="22"/>
          <w:szCs w:val="22"/>
          <w:lang w:val="es-ES"/>
        </w:rPr>
        <w:t>;</w:t>
      </w:r>
    </w:p>
    <w:p w:rsidR="009F5D7B" w:rsidRPr="00035F57" w:rsidRDefault="00035F57" w:rsidP="000C6220">
      <w:pPr>
        <w:pBdr>
          <w:top w:val="nil"/>
          <w:left w:val="nil"/>
          <w:bottom w:val="nil"/>
          <w:right w:val="nil"/>
          <w:between w:val="nil"/>
          <w:bar w:val="nil"/>
        </w:pBdr>
        <w:tabs>
          <w:tab w:val="left" w:pos="1260"/>
        </w:tabs>
        <w:spacing w:before="120" w:line="240" w:lineRule="auto"/>
        <w:ind w:firstLine="709"/>
        <w:rPr>
          <w:snapToGrid w:val="0"/>
          <w:kern w:val="22"/>
          <w:szCs w:val="22"/>
          <w:lang w:val="es-ES"/>
        </w:rPr>
      </w:pPr>
      <w:r w:rsidRPr="00035F57">
        <w:rPr>
          <w:snapToGrid w:val="0"/>
          <w:color w:val="000000"/>
          <w:kern w:val="22"/>
          <w:szCs w:val="22"/>
          <w:lang w:val="es-ES"/>
        </w:rPr>
        <w:t xml:space="preserve"> </w:t>
      </w:r>
      <w:r w:rsidR="009F5D7B" w:rsidRPr="00035F57">
        <w:rPr>
          <w:snapToGrid w:val="0"/>
          <w:color w:val="000000"/>
          <w:kern w:val="22"/>
          <w:szCs w:val="22"/>
          <w:lang w:val="es-ES"/>
        </w:rPr>
        <w:t>e)</w:t>
      </w:r>
      <w:r w:rsidR="009F5D7B" w:rsidRPr="00035F57">
        <w:rPr>
          <w:snapToGrid w:val="0"/>
          <w:color w:val="000000"/>
          <w:kern w:val="22"/>
          <w:szCs w:val="22"/>
          <w:lang w:val="es-ES"/>
        </w:rPr>
        <w:tab/>
      </w:r>
      <w:r w:rsidRPr="00F46ABF">
        <w:rPr>
          <w:snapToGrid w:val="0"/>
          <w:kern w:val="22"/>
          <w:szCs w:val="22"/>
          <w:lang w:val="es-ES"/>
        </w:rPr>
        <w:t>Mejorar la analítica de sitio web de manera de incluir el seguimiento de descargas y vistas de registros individuales y sus archivos adjuntos, y proporcionar analítica e información pertinente a los usuarios nacionales</w:t>
      </w:r>
      <w:r w:rsidR="009F5D7B" w:rsidRPr="00035F57">
        <w:rPr>
          <w:snapToGrid w:val="0"/>
          <w:kern w:val="22"/>
          <w:szCs w:val="22"/>
          <w:lang w:val="es-ES"/>
        </w:rPr>
        <w:t>;</w:t>
      </w:r>
    </w:p>
    <w:p w:rsidR="009F5D7B" w:rsidRPr="00035F57" w:rsidRDefault="00035F57" w:rsidP="000C6220">
      <w:pPr>
        <w:pBdr>
          <w:top w:val="nil"/>
          <w:left w:val="nil"/>
          <w:bottom w:val="nil"/>
          <w:right w:val="nil"/>
          <w:between w:val="nil"/>
          <w:bar w:val="nil"/>
        </w:pBdr>
        <w:tabs>
          <w:tab w:val="left" w:pos="1260"/>
        </w:tabs>
        <w:spacing w:before="120" w:line="240" w:lineRule="auto"/>
        <w:ind w:firstLine="709"/>
        <w:rPr>
          <w:snapToGrid w:val="0"/>
          <w:kern w:val="22"/>
          <w:szCs w:val="22"/>
          <w:lang w:val="es-ES"/>
        </w:rPr>
      </w:pPr>
      <w:r w:rsidRPr="00035F57">
        <w:rPr>
          <w:snapToGrid w:val="0"/>
          <w:color w:val="000000"/>
          <w:kern w:val="22"/>
          <w:szCs w:val="22"/>
          <w:lang w:val="es-ES"/>
        </w:rPr>
        <w:t xml:space="preserve"> </w:t>
      </w:r>
      <w:r w:rsidR="009F5D7B" w:rsidRPr="00035F57">
        <w:rPr>
          <w:snapToGrid w:val="0"/>
          <w:color w:val="000000"/>
          <w:kern w:val="22"/>
          <w:szCs w:val="22"/>
          <w:lang w:val="es-ES"/>
        </w:rPr>
        <w:t>f)</w:t>
      </w:r>
      <w:r w:rsidR="009F5D7B" w:rsidRPr="00035F57">
        <w:rPr>
          <w:snapToGrid w:val="0"/>
          <w:color w:val="000000"/>
          <w:kern w:val="22"/>
          <w:szCs w:val="22"/>
          <w:lang w:val="es-ES"/>
        </w:rPr>
        <w:tab/>
      </w:r>
      <w:r w:rsidRPr="00F46ABF">
        <w:rPr>
          <w:snapToGrid w:val="0"/>
          <w:kern w:val="22"/>
          <w:szCs w:val="22"/>
          <w:lang w:val="es-ES"/>
        </w:rPr>
        <w:t>Mejorar la funcionalidad de manera de posibilitar actualizaciones fáciles de registros que incluyan referencias a versiones anteriores de registros</w:t>
      </w:r>
      <w:r w:rsidR="009F5D7B" w:rsidRPr="00035F57">
        <w:rPr>
          <w:snapToGrid w:val="0"/>
          <w:kern w:val="22"/>
          <w:szCs w:val="22"/>
          <w:lang w:val="es-ES"/>
        </w:rPr>
        <w:t>;</w:t>
      </w:r>
    </w:p>
    <w:p w:rsidR="009F5D7B" w:rsidRPr="00035F57" w:rsidRDefault="00035F57" w:rsidP="000C6220">
      <w:pPr>
        <w:keepNext/>
        <w:pBdr>
          <w:top w:val="nil"/>
          <w:left w:val="nil"/>
          <w:bottom w:val="nil"/>
          <w:right w:val="nil"/>
          <w:between w:val="nil"/>
          <w:bar w:val="nil"/>
        </w:pBdr>
        <w:spacing w:before="120" w:line="240" w:lineRule="auto"/>
        <w:ind w:left="864" w:hanging="864"/>
        <w:rPr>
          <w:b/>
          <w:snapToGrid w:val="0"/>
          <w:kern w:val="22"/>
          <w:szCs w:val="22"/>
          <w:lang w:val="es-ES"/>
        </w:rPr>
      </w:pPr>
      <w:r w:rsidRPr="00035F57">
        <w:rPr>
          <w:b/>
          <w:snapToGrid w:val="0"/>
          <w:kern w:val="22"/>
          <w:szCs w:val="22"/>
          <w:lang w:val="es-ES"/>
        </w:rPr>
        <w:t>Objetivo</w:t>
      </w:r>
      <w:r w:rsidR="009F5D7B" w:rsidRPr="00035F57">
        <w:rPr>
          <w:b/>
          <w:snapToGrid w:val="0"/>
          <w:kern w:val="22"/>
          <w:szCs w:val="22"/>
          <w:lang w:val="es-ES"/>
        </w:rPr>
        <w:t xml:space="preserve"> 4.</w:t>
      </w:r>
      <w:r w:rsidR="009F5D7B" w:rsidRPr="00035F57">
        <w:rPr>
          <w:b/>
          <w:snapToGrid w:val="0"/>
          <w:kern w:val="22"/>
          <w:szCs w:val="22"/>
          <w:lang w:val="es-ES"/>
        </w:rPr>
        <w:tab/>
      </w:r>
      <w:r w:rsidRPr="009B18FC">
        <w:rPr>
          <w:b/>
          <w:snapToGrid w:val="0"/>
          <w:kern w:val="22"/>
          <w:szCs w:val="22"/>
          <w:lang w:val="es-ES"/>
        </w:rPr>
        <w:t xml:space="preserve">Integración </w:t>
      </w:r>
      <w:r w:rsidRPr="00F46ABF">
        <w:rPr>
          <w:b/>
          <w:snapToGrid w:val="0"/>
          <w:kern w:val="22"/>
          <w:szCs w:val="22"/>
          <w:lang w:val="es-ES"/>
        </w:rPr>
        <w:t>con el mecanismo de facilitación</w:t>
      </w:r>
    </w:p>
    <w:p w:rsidR="009F5D7B" w:rsidRPr="00035F57" w:rsidRDefault="00035F57" w:rsidP="000C6220">
      <w:pPr>
        <w:pBdr>
          <w:top w:val="nil"/>
          <w:left w:val="nil"/>
          <w:bottom w:val="nil"/>
          <w:right w:val="nil"/>
          <w:between w:val="nil"/>
          <w:bar w:val="nil"/>
        </w:pBdr>
        <w:tabs>
          <w:tab w:val="left" w:pos="1260"/>
        </w:tabs>
        <w:spacing w:before="120" w:line="240" w:lineRule="auto"/>
        <w:ind w:firstLine="720"/>
        <w:rPr>
          <w:snapToGrid w:val="0"/>
          <w:kern w:val="22"/>
          <w:szCs w:val="22"/>
          <w:lang w:val="es-ES"/>
        </w:rPr>
      </w:pPr>
      <w:r w:rsidRPr="00C5131C">
        <w:rPr>
          <w:snapToGrid w:val="0"/>
          <w:color w:val="000000"/>
          <w:kern w:val="22"/>
          <w:szCs w:val="22"/>
          <w:lang w:val="es-ES"/>
        </w:rPr>
        <w:t xml:space="preserve"> </w:t>
      </w:r>
      <w:r w:rsidR="009F5D7B" w:rsidRPr="00035F57">
        <w:rPr>
          <w:snapToGrid w:val="0"/>
          <w:color w:val="000000"/>
          <w:kern w:val="22"/>
          <w:szCs w:val="22"/>
          <w:lang w:val="es-ES"/>
        </w:rPr>
        <w:t>a)</w:t>
      </w:r>
      <w:r w:rsidR="009F5D7B" w:rsidRPr="00035F57">
        <w:rPr>
          <w:snapToGrid w:val="0"/>
          <w:color w:val="000000"/>
          <w:kern w:val="22"/>
          <w:szCs w:val="22"/>
          <w:lang w:val="es-ES"/>
        </w:rPr>
        <w:tab/>
      </w:r>
      <w:r w:rsidRPr="00F46ABF">
        <w:rPr>
          <w:snapToGrid w:val="0"/>
          <w:kern w:val="22"/>
          <w:szCs w:val="22"/>
          <w:lang w:val="es-ES"/>
        </w:rPr>
        <w:t>Continuar apoyando la aplicación de la estrategia web del CDB</w:t>
      </w:r>
      <w:r w:rsidR="009F5D7B" w:rsidRPr="00035F57">
        <w:rPr>
          <w:snapToGrid w:val="0"/>
          <w:kern w:val="22"/>
          <w:szCs w:val="22"/>
          <w:lang w:val="es-ES"/>
        </w:rPr>
        <w:t>;</w:t>
      </w:r>
    </w:p>
    <w:p w:rsidR="009F5D7B" w:rsidRPr="00035F57" w:rsidRDefault="00035F57" w:rsidP="000C6220">
      <w:pPr>
        <w:pBdr>
          <w:top w:val="nil"/>
          <w:left w:val="nil"/>
          <w:bottom w:val="nil"/>
          <w:right w:val="nil"/>
          <w:between w:val="nil"/>
          <w:bar w:val="nil"/>
        </w:pBdr>
        <w:tabs>
          <w:tab w:val="left" w:pos="1260"/>
        </w:tabs>
        <w:spacing w:before="120" w:line="240" w:lineRule="auto"/>
        <w:ind w:firstLine="720"/>
        <w:rPr>
          <w:snapToGrid w:val="0"/>
          <w:kern w:val="22"/>
          <w:szCs w:val="22"/>
          <w:lang w:val="es-ES"/>
        </w:rPr>
      </w:pPr>
      <w:r w:rsidRPr="00035F57">
        <w:rPr>
          <w:snapToGrid w:val="0"/>
          <w:color w:val="000000"/>
          <w:kern w:val="22"/>
          <w:szCs w:val="22"/>
          <w:lang w:val="es-ES"/>
        </w:rPr>
        <w:t xml:space="preserve"> </w:t>
      </w:r>
      <w:r w:rsidR="009F5D7B" w:rsidRPr="00035F57">
        <w:rPr>
          <w:snapToGrid w:val="0"/>
          <w:color w:val="000000"/>
          <w:kern w:val="22"/>
          <w:szCs w:val="22"/>
          <w:lang w:val="es-ES"/>
        </w:rPr>
        <w:t>b)</w:t>
      </w:r>
      <w:r w:rsidR="009F5D7B" w:rsidRPr="00035F57">
        <w:rPr>
          <w:snapToGrid w:val="0"/>
          <w:color w:val="000000"/>
          <w:kern w:val="22"/>
          <w:szCs w:val="22"/>
          <w:lang w:val="es-ES"/>
        </w:rPr>
        <w:tab/>
      </w:r>
      <w:r w:rsidRPr="00F46ABF">
        <w:rPr>
          <w:snapToGrid w:val="0"/>
          <w:kern w:val="22"/>
          <w:szCs w:val="22"/>
          <w:lang w:val="es-ES"/>
        </w:rPr>
        <w:t>Apoyar la integración del mecanismo de facilitación central del Convenio y el Centro de Intercambio de Información sobre Seguridad de la Biotecnología con el Centro de Intercambio de Información sobre Acceso y Participación en los Beneficios en una única plataforma para lograr un enfoque coordinado del desarrollo web y la infraestructura de tecnología de la información relacionada</w:t>
      </w:r>
      <w:r w:rsidR="009F5D7B" w:rsidRPr="00035F57">
        <w:rPr>
          <w:snapToGrid w:val="0"/>
          <w:kern w:val="22"/>
          <w:szCs w:val="22"/>
          <w:lang w:val="es-ES"/>
        </w:rPr>
        <w:t>.</w:t>
      </w:r>
    </w:p>
    <w:p w:rsidR="009F5D7B" w:rsidRPr="00035F57" w:rsidRDefault="009F5D7B" w:rsidP="000C6220">
      <w:pPr>
        <w:spacing w:before="120" w:line="240" w:lineRule="auto"/>
        <w:rPr>
          <w:kern w:val="22"/>
          <w:szCs w:val="22"/>
          <w:lang w:val="es-ES"/>
        </w:rPr>
      </w:pPr>
    </w:p>
    <w:p w:rsidR="007A0D55" w:rsidRPr="00035F57" w:rsidRDefault="007A0D55" w:rsidP="000C6220">
      <w:pPr>
        <w:spacing w:before="120" w:line="240" w:lineRule="auto"/>
        <w:jc w:val="left"/>
        <w:rPr>
          <w:kern w:val="22"/>
          <w:lang w:val="es-ES"/>
        </w:rPr>
      </w:pPr>
      <w:r w:rsidRPr="00035F57">
        <w:rPr>
          <w:kern w:val="22"/>
          <w:lang w:val="es-ES"/>
        </w:rPr>
        <w:br w:type="page"/>
      </w:r>
    </w:p>
    <w:p w:rsidR="009F5D7B" w:rsidRPr="003272EB" w:rsidRDefault="009F5D7B" w:rsidP="000C6220">
      <w:pPr>
        <w:pStyle w:val="recommendationheader"/>
        <w:tabs>
          <w:tab w:val="clear" w:pos="720"/>
        </w:tabs>
        <w:spacing w:line="240" w:lineRule="auto"/>
        <w:rPr>
          <w:lang w:val="es-ES"/>
        </w:rPr>
      </w:pPr>
      <w:bookmarkStart w:id="5" w:name="_Toc256204"/>
      <w:r w:rsidRPr="00C5131C">
        <w:rPr>
          <w:lang w:val="es-ES"/>
        </w:rPr>
        <w:lastRenderedPageBreak/>
        <w:t>3/4.</w:t>
      </w:r>
      <w:r w:rsidRPr="00C5131C">
        <w:rPr>
          <w:lang w:val="es-ES"/>
        </w:rPr>
        <w:tab/>
      </w:r>
      <w:r w:rsidR="003272EB" w:rsidRPr="003272EB">
        <w:rPr>
          <w:lang w:val="es-ES"/>
        </w:rPr>
        <w:t>Vigilancia y presentación de informes (a</w:t>
      </w:r>
      <w:r w:rsidRPr="003272EB">
        <w:rPr>
          <w:lang w:val="es-ES"/>
        </w:rPr>
        <w:t>rt</w:t>
      </w:r>
      <w:r w:rsidR="003272EB" w:rsidRPr="003272EB">
        <w:rPr>
          <w:lang w:val="es-ES"/>
        </w:rPr>
        <w:t>ículo</w:t>
      </w:r>
      <w:r w:rsidRPr="003272EB">
        <w:rPr>
          <w:lang w:val="es-ES"/>
        </w:rPr>
        <w:t xml:space="preserve"> 29)</w:t>
      </w:r>
      <w:bookmarkEnd w:id="5"/>
    </w:p>
    <w:p w:rsidR="009F5D7B" w:rsidRPr="003272EB" w:rsidRDefault="003272EB" w:rsidP="000C6220">
      <w:pPr>
        <w:pStyle w:val="Para1"/>
        <w:numPr>
          <w:ilvl w:val="0"/>
          <w:numId w:val="0"/>
        </w:numPr>
        <w:suppressLineNumbers/>
        <w:suppressAutoHyphens/>
        <w:kinsoku w:val="0"/>
        <w:overflowPunct w:val="0"/>
        <w:autoSpaceDE w:val="0"/>
        <w:autoSpaceDN w:val="0"/>
        <w:adjustRightInd w:val="0"/>
        <w:snapToGrid w:val="0"/>
        <w:spacing w:line="240" w:lineRule="auto"/>
        <w:ind w:firstLine="720"/>
        <w:rPr>
          <w:i/>
          <w:kern w:val="22"/>
          <w:szCs w:val="22"/>
          <w:lang w:val="es-ES"/>
        </w:rPr>
      </w:pPr>
      <w:r w:rsidRPr="007E6249">
        <w:rPr>
          <w:i/>
          <w:iCs/>
          <w:kern w:val="22"/>
          <w:szCs w:val="22"/>
          <w:lang w:val="es-ES"/>
        </w:rPr>
        <w:t>La Conferencia de las Partes que actúa como reunión de las Partes en el Protocolo de Nagoya sobre Acceso y Participación en los Beneficios</w:t>
      </w:r>
      <w:r w:rsidR="009F5D7B" w:rsidRPr="003272EB">
        <w:rPr>
          <w:i/>
          <w:kern w:val="22"/>
          <w:szCs w:val="22"/>
          <w:lang w:val="es-ES"/>
        </w:rPr>
        <w:t>,</w:t>
      </w:r>
    </w:p>
    <w:p w:rsidR="009F5D7B" w:rsidRPr="003272EB" w:rsidRDefault="003272EB" w:rsidP="000C6220">
      <w:pPr>
        <w:pStyle w:val="Para1"/>
        <w:numPr>
          <w:ilvl w:val="0"/>
          <w:numId w:val="0"/>
        </w:numPr>
        <w:suppressLineNumbers/>
        <w:suppressAutoHyphens/>
        <w:kinsoku w:val="0"/>
        <w:overflowPunct w:val="0"/>
        <w:autoSpaceDE w:val="0"/>
        <w:autoSpaceDN w:val="0"/>
        <w:adjustRightInd w:val="0"/>
        <w:snapToGrid w:val="0"/>
        <w:spacing w:line="240" w:lineRule="auto"/>
        <w:ind w:firstLine="720"/>
        <w:rPr>
          <w:kern w:val="22"/>
          <w:szCs w:val="22"/>
          <w:lang w:val="es-ES"/>
        </w:rPr>
      </w:pPr>
      <w:r w:rsidRPr="007E6249">
        <w:rPr>
          <w:i/>
          <w:iCs/>
          <w:kern w:val="22"/>
          <w:szCs w:val="22"/>
          <w:lang w:val="es-ES"/>
        </w:rPr>
        <w:t>Reconociendo</w:t>
      </w:r>
      <w:r w:rsidRPr="007E6249">
        <w:rPr>
          <w:kern w:val="22"/>
          <w:szCs w:val="22"/>
          <w:lang w:val="es-ES"/>
        </w:rPr>
        <w:t xml:space="preserve"> la importancia de mejorar la armonización de los informes nacionales que se presentan en el marco del Convenio y sus Protocolos, y de aumentar las sinergias entre las convenciones relativas a la diversidad biológica y las convenciones de Río, así como la Agenda 2030 para el Desarrollo Sostenib</w:t>
      </w:r>
      <w:r>
        <w:rPr>
          <w:kern w:val="22"/>
          <w:szCs w:val="22"/>
          <w:lang w:val="es-ES"/>
        </w:rPr>
        <w:t>le</w:t>
      </w:r>
      <w:r w:rsidR="009F5D7B" w:rsidRPr="00EE0850">
        <w:rPr>
          <w:rStyle w:val="Refdenotaalpie"/>
          <w:rFonts w:eastAsiaTheme="majorEastAsia"/>
          <w:kern w:val="22"/>
          <w:sz w:val="22"/>
          <w:szCs w:val="22"/>
          <w:u w:val="none"/>
          <w:vertAlign w:val="superscript"/>
        </w:rPr>
        <w:footnoteReference w:id="9"/>
      </w:r>
      <w:r w:rsidR="009F5D7B" w:rsidRPr="003272EB">
        <w:rPr>
          <w:kern w:val="22"/>
          <w:szCs w:val="22"/>
          <w:lang w:val="es-ES"/>
        </w:rPr>
        <w:t xml:space="preserve"> </w:t>
      </w:r>
      <w:r>
        <w:rPr>
          <w:kern w:val="22"/>
          <w:szCs w:val="22"/>
          <w:lang w:val="es-ES"/>
        </w:rPr>
        <w:t>y</w:t>
      </w:r>
      <w:r w:rsidR="009F5D7B" w:rsidRPr="003272EB">
        <w:rPr>
          <w:kern w:val="22"/>
          <w:szCs w:val="22"/>
          <w:lang w:val="es-ES"/>
        </w:rPr>
        <w:t xml:space="preserve"> </w:t>
      </w:r>
      <w:r w:rsidRPr="007E6249">
        <w:rPr>
          <w:kern w:val="22"/>
          <w:szCs w:val="22"/>
          <w:lang w:val="es-ES"/>
        </w:rPr>
        <w:t xml:space="preserve">las herramientas de presentación de informes para los Objetivos de Desarrollo Sostenible, y </w:t>
      </w:r>
      <w:r w:rsidRPr="007E6249">
        <w:rPr>
          <w:i/>
          <w:iCs/>
          <w:kern w:val="22"/>
          <w:szCs w:val="22"/>
          <w:lang w:val="es-ES"/>
        </w:rPr>
        <w:t>señalando</w:t>
      </w:r>
      <w:r w:rsidRPr="007E6249">
        <w:rPr>
          <w:kern w:val="22"/>
          <w:szCs w:val="22"/>
          <w:lang w:val="es-ES"/>
        </w:rPr>
        <w:t xml:space="preserve"> el progreso alcanzado al respecto hasta ahora</w:t>
      </w:r>
      <w:r w:rsidR="009F5D7B" w:rsidRPr="003272EB">
        <w:rPr>
          <w:kern w:val="22"/>
          <w:szCs w:val="22"/>
          <w:lang w:val="es-ES"/>
        </w:rPr>
        <w:t>,</w:t>
      </w:r>
    </w:p>
    <w:p w:rsidR="009F5D7B" w:rsidRPr="003272EB" w:rsidRDefault="003272EB" w:rsidP="000C6220">
      <w:pPr>
        <w:pStyle w:val="Para1"/>
        <w:numPr>
          <w:ilvl w:val="0"/>
          <w:numId w:val="20"/>
        </w:numPr>
        <w:suppressLineNumbers/>
        <w:tabs>
          <w:tab w:val="clear" w:pos="360"/>
          <w:tab w:val="clear" w:pos="567"/>
          <w:tab w:val="clear" w:pos="2912"/>
          <w:tab w:val="num" w:pos="1418"/>
        </w:tabs>
        <w:suppressAutoHyphens/>
        <w:kinsoku w:val="0"/>
        <w:overflowPunct w:val="0"/>
        <w:autoSpaceDE w:val="0"/>
        <w:autoSpaceDN w:val="0"/>
        <w:adjustRightInd w:val="0"/>
        <w:snapToGrid w:val="0"/>
        <w:spacing w:line="240" w:lineRule="auto"/>
        <w:ind w:firstLine="720"/>
        <w:rPr>
          <w:kern w:val="22"/>
          <w:szCs w:val="22"/>
          <w:lang w:val="es-ES"/>
        </w:rPr>
      </w:pPr>
      <w:r w:rsidRPr="007E6249">
        <w:rPr>
          <w:i/>
          <w:iCs/>
          <w:kern w:val="22"/>
          <w:szCs w:val="22"/>
          <w:lang w:val="es-ES"/>
        </w:rPr>
        <w:t>Acepta</w:t>
      </w:r>
      <w:r w:rsidRPr="007E6249">
        <w:rPr>
          <w:kern w:val="22"/>
          <w:szCs w:val="22"/>
          <w:lang w:val="es-ES"/>
        </w:rPr>
        <w:t xml:space="preserve"> la invitación de la Conferencia de las Partes en el Convenio que figura en </w:t>
      </w:r>
      <w:r>
        <w:rPr>
          <w:kern w:val="22"/>
          <w:szCs w:val="22"/>
          <w:lang w:val="es-ES"/>
        </w:rPr>
        <w:t>el párrafo 1 de la</w:t>
      </w:r>
      <w:r w:rsidRPr="007E6249">
        <w:rPr>
          <w:kern w:val="22"/>
          <w:szCs w:val="22"/>
          <w:lang w:val="es-ES"/>
        </w:rPr>
        <w:t xml:space="preserve"> decisión</w:t>
      </w:r>
      <w:r w:rsidRPr="006D7473">
        <w:rPr>
          <w:kern w:val="22"/>
          <w:szCs w:val="22"/>
          <w:lang w:val="es-ES"/>
        </w:rPr>
        <w:t xml:space="preserve"> 14/27, </w:t>
      </w:r>
      <w:r w:rsidRPr="007E6249">
        <w:rPr>
          <w:i/>
          <w:iCs/>
          <w:kern w:val="22"/>
          <w:szCs w:val="22"/>
          <w:lang w:val="es-ES"/>
        </w:rPr>
        <w:t>acuerda</w:t>
      </w:r>
      <w:r w:rsidRPr="007E6249">
        <w:rPr>
          <w:kern w:val="22"/>
          <w:szCs w:val="22"/>
          <w:lang w:val="es-ES"/>
        </w:rPr>
        <w:t xml:space="preserve"> tener un ciclo sincronizado de presentación de los informes nacionales a partir de 2023</w:t>
      </w:r>
      <w:r w:rsidR="009F5D7B" w:rsidRPr="003272EB">
        <w:rPr>
          <w:kern w:val="22"/>
          <w:szCs w:val="22"/>
          <w:lang w:val="es-ES"/>
        </w:rPr>
        <w:t>;</w:t>
      </w:r>
    </w:p>
    <w:p w:rsidR="009F5D7B" w:rsidRPr="003272EB" w:rsidRDefault="009F5D7B" w:rsidP="000C6220">
      <w:pPr>
        <w:suppressLineNumbers/>
        <w:suppressAutoHyphens/>
        <w:kinsoku w:val="0"/>
        <w:overflowPunct w:val="0"/>
        <w:autoSpaceDE w:val="0"/>
        <w:autoSpaceDN w:val="0"/>
        <w:adjustRightInd w:val="0"/>
        <w:snapToGrid w:val="0"/>
        <w:spacing w:before="120" w:line="240" w:lineRule="auto"/>
        <w:ind w:firstLine="720"/>
        <w:rPr>
          <w:snapToGrid w:val="0"/>
          <w:kern w:val="22"/>
          <w:szCs w:val="22"/>
          <w:lang w:val="es-ES"/>
        </w:rPr>
      </w:pPr>
      <w:r w:rsidRPr="003272EB">
        <w:rPr>
          <w:snapToGrid w:val="0"/>
          <w:kern w:val="22"/>
          <w:szCs w:val="22"/>
          <w:lang w:val="es-ES"/>
        </w:rPr>
        <w:t>2.</w:t>
      </w:r>
      <w:r w:rsidRPr="003272EB">
        <w:rPr>
          <w:snapToGrid w:val="0"/>
          <w:kern w:val="22"/>
          <w:szCs w:val="22"/>
          <w:lang w:val="es-ES"/>
        </w:rPr>
        <w:tab/>
      </w:r>
      <w:r w:rsidR="003272EB" w:rsidRPr="007E6249">
        <w:rPr>
          <w:i/>
          <w:iCs/>
          <w:szCs w:val="22"/>
          <w:lang w:val="es-ES"/>
        </w:rPr>
        <w:t>Acoge con beneplácito</w:t>
      </w:r>
      <w:r w:rsidR="003272EB" w:rsidRPr="007E6249">
        <w:rPr>
          <w:szCs w:val="22"/>
          <w:lang w:val="es-ES"/>
        </w:rPr>
        <w:t xml:space="preserve"> el hecho de que 82 de las 100 Partes obligadas a proporcionar información hayan presentado sus informes nacionales provisionales</w:t>
      </w:r>
      <w:r w:rsidRPr="003272EB">
        <w:rPr>
          <w:snapToGrid w:val="0"/>
          <w:kern w:val="22"/>
          <w:szCs w:val="22"/>
          <w:lang w:val="es-ES"/>
        </w:rPr>
        <w:t>;</w:t>
      </w:r>
    </w:p>
    <w:p w:rsidR="009F5D7B" w:rsidRPr="003272EB" w:rsidRDefault="009F5D7B" w:rsidP="000C6220">
      <w:pPr>
        <w:suppressLineNumbers/>
        <w:suppressAutoHyphens/>
        <w:kinsoku w:val="0"/>
        <w:overflowPunct w:val="0"/>
        <w:autoSpaceDE w:val="0"/>
        <w:autoSpaceDN w:val="0"/>
        <w:adjustRightInd w:val="0"/>
        <w:snapToGrid w:val="0"/>
        <w:spacing w:before="120" w:line="240" w:lineRule="auto"/>
        <w:ind w:firstLine="720"/>
        <w:rPr>
          <w:snapToGrid w:val="0"/>
          <w:kern w:val="22"/>
          <w:szCs w:val="22"/>
          <w:lang w:val="es-ES"/>
        </w:rPr>
      </w:pPr>
      <w:r w:rsidRPr="003272EB">
        <w:rPr>
          <w:snapToGrid w:val="0"/>
          <w:kern w:val="22"/>
          <w:szCs w:val="22"/>
          <w:lang w:val="es-ES"/>
        </w:rPr>
        <w:t>3.</w:t>
      </w:r>
      <w:r w:rsidRPr="003272EB">
        <w:rPr>
          <w:snapToGrid w:val="0"/>
          <w:kern w:val="22"/>
          <w:szCs w:val="22"/>
          <w:lang w:val="es-ES"/>
        </w:rPr>
        <w:tab/>
      </w:r>
      <w:r w:rsidR="003272EB" w:rsidRPr="007E6249">
        <w:rPr>
          <w:i/>
          <w:iCs/>
          <w:szCs w:val="22"/>
          <w:lang w:val="es-ES"/>
        </w:rPr>
        <w:t xml:space="preserve">También acoge con beneplácito </w:t>
      </w:r>
      <w:r w:rsidR="003272EB" w:rsidRPr="007E6249">
        <w:rPr>
          <w:szCs w:val="22"/>
          <w:lang w:val="es-ES"/>
        </w:rPr>
        <w:t>los informes nacionales provisionales presentados por Estados que no son Partes</w:t>
      </w:r>
      <w:r w:rsidRPr="003272EB">
        <w:rPr>
          <w:snapToGrid w:val="0"/>
          <w:kern w:val="22"/>
          <w:szCs w:val="22"/>
          <w:lang w:val="es-ES"/>
        </w:rPr>
        <w:t>;</w:t>
      </w:r>
    </w:p>
    <w:p w:rsidR="009F5D7B" w:rsidRPr="003272EB" w:rsidRDefault="009F5D7B" w:rsidP="000C6220">
      <w:pPr>
        <w:suppressLineNumbers/>
        <w:suppressAutoHyphens/>
        <w:kinsoku w:val="0"/>
        <w:overflowPunct w:val="0"/>
        <w:autoSpaceDE w:val="0"/>
        <w:autoSpaceDN w:val="0"/>
        <w:adjustRightInd w:val="0"/>
        <w:snapToGrid w:val="0"/>
        <w:spacing w:before="120" w:line="240" w:lineRule="auto"/>
        <w:ind w:firstLine="720"/>
        <w:rPr>
          <w:snapToGrid w:val="0"/>
          <w:kern w:val="22"/>
          <w:szCs w:val="22"/>
          <w:lang w:val="es-ES"/>
        </w:rPr>
      </w:pPr>
      <w:r w:rsidRPr="003272EB">
        <w:rPr>
          <w:snapToGrid w:val="0"/>
          <w:kern w:val="22"/>
          <w:szCs w:val="22"/>
          <w:lang w:val="es-ES"/>
        </w:rPr>
        <w:t>4.</w:t>
      </w:r>
      <w:r w:rsidRPr="003272EB">
        <w:rPr>
          <w:snapToGrid w:val="0"/>
          <w:kern w:val="22"/>
          <w:szCs w:val="22"/>
          <w:lang w:val="es-ES"/>
        </w:rPr>
        <w:tab/>
      </w:r>
      <w:r w:rsidR="003272EB" w:rsidRPr="007E6249">
        <w:rPr>
          <w:i/>
          <w:iCs/>
          <w:szCs w:val="22"/>
          <w:lang w:val="es-ES"/>
        </w:rPr>
        <w:t>Insta</w:t>
      </w:r>
      <w:r w:rsidR="003272EB" w:rsidRPr="007E6249">
        <w:rPr>
          <w:szCs w:val="22"/>
          <w:lang w:val="es-ES"/>
        </w:rPr>
        <w:t xml:space="preserve"> a las Partes que no hayan presentado su informe nacional provisional a que lo hagan lo antes posible</w:t>
      </w:r>
      <w:r w:rsidRPr="003272EB">
        <w:rPr>
          <w:snapToGrid w:val="0"/>
          <w:kern w:val="22"/>
          <w:szCs w:val="22"/>
          <w:lang w:val="es-ES"/>
        </w:rPr>
        <w:t>;</w:t>
      </w:r>
    </w:p>
    <w:p w:rsidR="009F5D7B" w:rsidRPr="003272EB" w:rsidRDefault="009F5D7B" w:rsidP="000C6220">
      <w:pPr>
        <w:suppressLineNumbers/>
        <w:suppressAutoHyphens/>
        <w:kinsoku w:val="0"/>
        <w:overflowPunct w:val="0"/>
        <w:autoSpaceDE w:val="0"/>
        <w:autoSpaceDN w:val="0"/>
        <w:adjustRightInd w:val="0"/>
        <w:snapToGrid w:val="0"/>
        <w:spacing w:before="120" w:line="240" w:lineRule="auto"/>
        <w:ind w:firstLine="720"/>
        <w:rPr>
          <w:snapToGrid w:val="0"/>
          <w:kern w:val="22"/>
          <w:szCs w:val="22"/>
          <w:lang w:val="es-ES"/>
        </w:rPr>
      </w:pPr>
      <w:r w:rsidRPr="003272EB">
        <w:rPr>
          <w:snapToGrid w:val="0"/>
          <w:kern w:val="22"/>
          <w:szCs w:val="22"/>
          <w:lang w:val="es-ES"/>
        </w:rPr>
        <w:t>5.</w:t>
      </w:r>
      <w:r w:rsidRPr="003272EB">
        <w:rPr>
          <w:snapToGrid w:val="0"/>
          <w:kern w:val="22"/>
          <w:szCs w:val="22"/>
          <w:lang w:val="es-ES"/>
        </w:rPr>
        <w:tab/>
      </w:r>
      <w:r w:rsidR="003272EB" w:rsidRPr="007E6249">
        <w:rPr>
          <w:i/>
          <w:iCs/>
          <w:szCs w:val="22"/>
          <w:lang w:val="es-ES"/>
        </w:rPr>
        <w:t xml:space="preserve">Expresa su agradecimiento </w:t>
      </w:r>
      <w:r w:rsidR="003272EB" w:rsidRPr="007E6249">
        <w:rPr>
          <w:szCs w:val="22"/>
          <w:lang w:val="es-ES"/>
        </w:rPr>
        <w:t xml:space="preserve">por el apoyo financiero proporcionado por el Fondo para el Medio Ambiente Mundial a un conjunto de Partes admisibles en apoyo a la elaboración de sus informes nacionales provisionales, y </w:t>
      </w:r>
      <w:r w:rsidR="003272EB" w:rsidRPr="007E6249">
        <w:rPr>
          <w:i/>
          <w:iCs/>
          <w:szCs w:val="22"/>
          <w:lang w:val="es-ES"/>
        </w:rPr>
        <w:t>señala</w:t>
      </w:r>
      <w:r w:rsidR="003272EB" w:rsidRPr="007E6249">
        <w:rPr>
          <w:szCs w:val="22"/>
          <w:lang w:val="es-ES"/>
        </w:rPr>
        <w:t xml:space="preserve"> la importancia de la disponibilidad oportuna de recursos financieros para apoyar la elaboración y presentación de informes nacionales antes de que finalice el plazo de presentación de informes</w:t>
      </w:r>
      <w:r w:rsidRPr="003272EB">
        <w:rPr>
          <w:snapToGrid w:val="0"/>
          <w:kern w:val="22"/>
          <w:szCs w:val="22"/>
          <w:lang w:val="es-ES"/>
        </w:rPr>
        <w:t>;</w:t>
      </w:r>
    </w:p>
    <w:p w:rsidR="009F5D7B" w:rsidRPr="003272EB" w:rsidRDefault="009F5D7B" w:rsidP="000C6220">
      <w:pPr>
        <w:suppressLineNumbers/>
        <w:suppressAutoHyphens/>
        <w:kinsoku w:val="0"/>
        <w:overflowPunct w:val="0"/>
        <w:autoSpaceDE w:val="0"/>
        <w:autoSpaceDN w:val="0"/>
        <w:adjustRightInd w:val="0"/>
        <w:snapToGrid w:val="0"/>
        <w:spacing w:before="120" w:line="240" w:lineRule="auto"/>
        <w:ind w:firstLine="720"/>
        <w:rPr>
          <w:snapToGrid w:val="0"/>
          <w:kern w:val="22"/>
          <w:szCs w:val="22"/>
          <w:lang w:val="es-ES"/>
        </w:rPr>
      </w:pPr>
      <w:r w:rsidRPr="003272EB">
        <w:rPr>
          <w:snapToGrid w:val="0"/>
          <w:kern w:val="22"/>
          <w:szCs w:val="22"/>
          <w:lang w:val="es-ES"/>
        </w:rPr>
        <w:t>6.</w:t>
      </w:r>
      <w:r w:rsidRPr="003272EB">
        <w:rPr>
          <w:snapToGrid w:val="0"/>
          <w:kern w:val="22"/>
          <w:szCs w:val="22"/>
          <w:lang w:val="es-ES"/>
        </w:rPr>
        <w:tab/>
      </w:r>
      <w:r w:rsidR="003272EB" w:rsidRPr="007E6249">
        <w:rPr>
          <w:i/>
          <w:iCs/>
          <w:kern w:val="22"/>
          <w:lang w:val="es-ES"/>
        </w:rPr>
        <w:t>Acoge con beneplácito</w:t>
      </w:r>
      <w:r w:rsidR="003272EB" w:rsidRPr="007E6249">
        <w:rPr>
          <w:kern w:val="22"/>
          <w:lang w:val="es-ES"/>
        </w:rPr>
        <w:t xml:space="preserve"> </w:t>
      </w:r>
      <w:r w:rsidR="003272EB" w:rsidRPr="007E6249">
        <w:rPr>
          <w:lang w:val="es-ES"/>
        </w:rPr>
        <w:t>los esfuerzos realizados por la Secretaría para asistir a las Partes en la presentación de sus informes nacionales provisionales</w:t>
      </w:r>
      <w:r w:rsidRPr="003272EB">
        <w:rPr>
          <w:snapToGrid w:val="0"/>
          <w:kern w:val="22"/>
          <w:szCs w:val="22"/>
          <w:lang w:val="es-ES"/>
        </w:rPr>
        <w:t>;</w:t>
      </w:r>
    </w:p>
    <w:p w:rsidR="009F5D7B" w:rsidRPr="003272EB" w:rsidRDefault="009F5D7B" w:rsidP="000C6220">
      <w:pPr>
        <w:suppressLineNumbers/>
        <w:suppressAutoHyphens/>
        <w:kinsoku w:val="0"/>
        <w:overflowPunct w:val="0"/>
        <w:autoSpaceDE w:val="0"/>
        <w:autoSpaceDN w:val="0"/>
        <w:adjustRightInd w:val="0"/>
        <w:snapToGrid w:val="0"/>
        <w:spacing w:before="120" w:line="240" w:lineRule="auto"/>
        <w:ind w:firstLine="720"/>
        <w:rPr>
          <w:snapToGrid w:val="0"/>
          <w:kern w:val="22"/>
          <w:szCs w:val="22"/>
          <w:lang w:val="es-ES"/>
        </w:rPr>
      </w:pPr>
      <w:r w:rsidRPr="003272EB">
        <w:rPr>
          <w:snapToGrid w:val="0"/>
          <w:kern w:val="22"/>
          <w:szCs w:val="22"/>
          <w:lang w:val="es-ES"/>
        </w:rPr>
        <w:t>7.</w:t>
      </w:r>
      <w:r w:rsidRPr="003272EB">
        <w:rPr>
          <w:snapToGrid w:val="0"/>
          <w:kern w:val="22"/>
          <w:szCs w:val="22"/>
          <w:lang w:val="es-ES"/>
        </w:rPr>
        <w:tab/>
      </w:r>
      <w:r w:rsidR="003272EB" w:rsidRPr="007E6249">
        <w:rPr>
          <w:i/>
          <w:iCs/>
          <w:kern w:val="22"/>
          <w:lang w:val="es-ES"/>
        </w:rPr>
        <w:t>Pide</w:t>
      </w:r>
      <w:r w:rsidR="003272EB" w:rsidRPr="007E6249">
        <w:rPr>
          <w:kern w:val="22"/>
          <w:lang w:val="es-ES"/>
        </w:rPr>
        <w:t xml:space="preserve"> al Comité de Cumplimiento que contribuya a la revisión del formato de informes para el siguiente período de presentación de informes</w:t>
      </w:r>
      <w:r w:rsidRPr="003272EB">
        <w:rPr>
          <w:snapToGrid w:val="0"/>
          <w:kern w:val="22"/>
          <w:szCs w:val="22"/>
          <w:lang w:val="es-ES"/>
        </w:rPr>
        <w:t>;</w:t>
      </w:r>
    </w:p>
    <w:p w:rsidR="009F5D7B" w:rsidRPr="003272EB" w:rsidRDefault="009F5D7B" w:rsidP="000C6220">
      <w:pPr>
        <w:suppressLineNumbers/>
        <w:suppressAutoHyphens/>
        <w:kinsoku w:val="0"/>
        <w:overflowPunct w:val="0"/>
        <w:autoSpaceDE w:val="0"/>
        <w:autoSpaceDN w:val="0"/>
        <w:snapToGrid w:val="0"/>
        <w:spacing w:before="120" w:line="240" w:lineRule="auto"/>
        <w:ind w:firstLine="720"/>
        <w:rPr>
          <w:snapToGrid w:val="0"/>
          <w:kern w:val="22"/>
          <w:szCs w:val="22"/>
          <w:lang w:val="es-ES"/>
        </w:rPr>
      </w:pPr>
      <w:r w:rsidRPr="003272EB">
        <w:rPr>
          <w:snapToGrid w:val="0"/>
          <w:kern w:val="22"/>
          <w:szCs w:val="22"/>
          <w:lang w:val="es-ES"/>
        </w:rPr>
        <w:t>8.</w:t>
      </w:r>
      <w:r w:rsidRPr="003272EB">
        <w:rPr>
          <w:snapToGrid w:val="0"/>
          <w:kern w:val="22"/>
          <w:szCs w:val="22"/>
          <w:lang w:val="es-ES"/>
        </w:rPr>
        <w:tab/>
      </w:r>
      <w:r w:rsidR="003272EB" w:rsidRPr="00D54E8A">
        <w:rPr>
          <w:i/>
          <w:iCs/>
          <w:kern w:val="22"/>
          <w:lang w:val="es-ES"/>
        </w:rPr>
        <w:t>Pide</w:t>
      </w:r>
      <w:r w:rsidR="003272EB" w:rsidRPr="00D54E8A">
        <w:rPr>
          <w:kern w:val="22"/>
          <w:lang w:val="es-ES"/>
        </w:rPr>
        <w:t xml:space="preserve"> a la Secretaria Ejecutiva que revise el formato de presentación de informes para someterlo a la consideración de la Conferencia de las Partes que actúa como reunión de las Partes en el Protocolo en su cuarta reunión, teniendo en cuenta las observaciones recibidas, aportes del Comité de Cumplimiento, el marco de indicadores que consta en la decisión </w:t>
      </w:r>
      <w:r w:rsidR="003272EB" w:rsidRPr="006D7473">
        <w:rPr>
          <w:snapToGrid w:val="0"/>
          <w:kern w:val="22"/>
          <w:szCs w:val="22"/>
          <w:lang w:val="es-ES"/>
        </w:rPr>
        <w:t xml:space="preserve">NP-3/1, </w:t>
      </w:r>
      <w:r w:rsidR="003272EB" w:rsidRPr="00D54E8A">
        <w:rPr>
          <w:kern w:val="22"/>
          <w:lang w:val="es-ES"/>
        </w:rPr>
        <w:t>el marco mundial para la diversidad biológica posterior a 2020 y la armonización de los informes nacionales con arreglo al Convenio y sus Protocolos, teniendo presente la necesidad de una continuidad en el formato para determinar los progresos en la aplicación</w:t>
      </w:r>
      <w:r w:rsidRPr="003272EB">
        <w:rPr>
          <w:snapToGrid w:val="0"/>
          <w:kern w:val="22"/>
          <w:szCs w:val="22"/>
          <w:lang w:val="es-ES"/>
        </w:rPr>
        <w:t>;</w:t>
      </w:r>
    </w:p>
    <w:p w:rsidR="009F5D7B" w:rsidRPr="003272EB" w:rsidRDefault="009F5D7B" w:rsidP="000C6220">
      <w:pPr>
        <w:suppressLineNumbers/>
        <w:suppressAutoHyphens/>
        <w:kinsoku w:val="0"/>
        <w:overflowPunct w:val="0"/>
        <w:autoSpaceDE w:val="0"/>
        <w:autoSpaceDN w:val="0"/>
        <w:snapToGrid w:val="0"/>
        <w:spacing w:before="120" w:line="240" w:lineRule="auto"/>
        <w:ind w:firstLine="720"/>
        <w:rPr>
          <w:snapToGrid w:val="0"/>
          <w:kern w:val="22"/>
          <w:szCs w:val="22"/>
          <w:lang w:val="es-ES"/>
        </w:rPr>
      </w:pPr>
      <w:r w:rsidRPr="003272EB">
        <w:rPr>
          <w:snapToGrid w:val="0"/>
          <w:kern w:val="22"/>
          <w:szCs w:val="22"/>
          <w:lang w:val="es-ES"/>
        </w:rPr>
        <w:t>9.</w:t>
      </w:r>
      <w:r w:rsidRPr="003272EB">
        <w:rPr>
          <w:snapToGrid w:val="0"/>
          <w:kern w:val="22"/>
          <w:szCs w:val="22"/>
          <w:lang w:val="es-ES"/>
        </w:rPr>
        <w:tab/>
      </w:r>
      <w:r w:rsidR="003272EB" w:rsidRPr="006D7473">
        <w:rPr>
          <w:i/>
          <w:snapToGrid w:val="0"/>
          <w:kern w:val="22"/>
          <w:szCs w:val="22"/>
          <w:lang w:val="es-ES"/>
        </w:rPr>
        <w:t>D</w:t>
      </w:r>
      <w:r w:rsidR="003272EB" w:rsidRPr="00D54E8A">
        <w:rPr>
          <w:i/>
          <w:iCs/>
          <w:kern w:val="22"/>
          <w:lang w:val="es-ES"/>
        </w:rPr>
        <w:t>ecide</w:t>
      </w:r>
      <w:r w:rsidR="003272EB" w:rsidRPr="00D54E8A">
        <w:rPr>
          <w:kern w:val="22"/>
          <w:lang w:val="es-ES"/>
        </w:rPr>
        <w:t xml:space="preserve"> volver a tratar la cuestión relacionada con la frecuencia de la presentación de informes en una reunión posterior de la Conferencia de las Partes que actúa como reunión de las Partes en el Protocolo, teniendo en cuenta la armonización de los informes nacionales con arreglo al Convenio y sus Protocolos y el marco para la diversidad biológica posterior a 2020</w:t>
      </w:r>
      <w:r w:rsidRPr="003272EB">
        <w:rPr>
          <w:snapToGrid w:val="0"/>
          <w:kern w:val="22"/>
          <w:szCs w:val="22"/>
          <w:lang w:val="es-ES"/>
        </w:rPr>
        <w:t>.</w:t>
      </w:r>
    </w:p>
    <w:p w:rsidR="009F5D7B" w:rsidRPr="003272EB" w:rsidRDefault="009F5D7B" w:rsidP="000C6220">
      <w:pPr>
        <w:suppressLineNumbers/>
        <w:suppressAutoHyphens/>
        <w:spacing w:before="120" w:line="240" w:lineRule="auto"/>
        <w:rPr>
          <w:kern w:val="22"/>
          <w:szCs w:val="22"/>
          <w:lang w:val="es-ES"/>
        </w:rPr>
      </w:pPr>
    </w:p>
    <w:p w:rsidR="009F5D7B" w:rsidRPr="003272EB" w:rsidRDefault="009F5D7B" w:rsidP="000C6220">
      <w:pPr>
        <w:spacing w:before="120" w:line="240" w:lineRule="auto"/>
        <w:jc w:val="left"/>
        <w:rPr>
          <w:rFonts w:ascii="Times New Roman Bold" w:hAnsi="Times New Roman Bold" w:cs="Times New Roman Bold" w:hint="eastAsia"/>
          <w:b/>
          <w:bCs/>
          <w:caps/>
          <w:snapToGrid w:val="0"/>
          <w:kern w:val="22"/>
          <w:szCs w:val="22"/>
          <w:lang w:val="es-ES"/>
        </w:rPr>
      </w:pPr>
      <w:r w:rsidRPr="003272EB">
        <w:rPr>
          <w:lang w:val="es-ES"/>
        </w:rPr>
        <w:br w:type="page"/>
      </w:r>
    </w:p>
    <w:p w:rsidR="009E044D" w:rsidRPr="00FF06CC" w:rsidRDefault="009E044D" w:rsidP="000C6220">
      <w:pPr>
        <w:pStyle w:val="recommendationheader"/>
        <w:spacing w:line="240" w:lineRule="auto"/>
        <w:rPr>
          <w:b w:val="0"/>
          <w:szCs w:val="22"/>
          <w:lang w:val="es-ES"/>
        </w:rPr>
      </w:pPr>
      <w:bookmarkStart w:id="6" w:name="_Toc256205"/>
      <w:r w:rsidRPr="00C5131C">
        <w:rPr>
          <w:rStyle w:val="Ttulo2Car"/>
          <w:b/>
          <w:kern w:val="22"/>
          <w:szCs w:val="22"/>
          <w:lang w:val="es-ES"/>
        </w:rPr>
        <w:lastRenderedPageBreak/>
        <w:t>3/5.</w:t>
      </w:r>
      <w:r w:rsidRPr="00C5131C">
        <w:rPr>
          <w:rStyle w:val="Ttulo2Car"/>
          <w:b/>
          <w:kern w:val="22"/>
          <w:szCs w:val="22"/>
          <w:lang w:val="es-ES"/>
        </w:rPr>
        <w:tab/>
      </w:r>
      <w:r w:rsidRPr="00FF06CC">
        <w:rPr>
          <w:rStyle w:val="Ttulo2Car"/>
          <w:b/>
          <w:kern w:val="22"/>
          <w:szCs w:val="22"/>
          <w:lang w:val="es-ES"/>
        </w:rPr>
        <w:t>Me</w:t>
      </w:r>
      <w:r w:rsidR="00FF06CC" w:rsidRPr="00FF06CC">
        <w:rPr>
          <w:rStyle w:val="Ttulo2Car"/>
          <w:b/>
          <w:kern w:val="22"/>
          <w:szCs w:val="22"/>
          <w:lang w:val="es-ES"/>
        </w:rPr>
        <w:t xml:space="preserve">didas para brindar asistencia para la creación de capacidades y </w:t>
      </w:r>
      <w:r w:rsidR="00FF06CC">
        <w:rPr>
          <w:rStyle w:val="Ttulo2Car"/>
          <w:b/>
          <w:kern w:val="22"/>
          <w:szCs w:val="22"/>
          <w:lang w:val="es-ES"/>
        </w:rPr>
        <w:t xml:space="preserve">el desarrollo de capacidades </w:t>
      </w:r>
      <w:r w:rsidRPr="00FF06CC">
        <w:rPr>
          <w:rStyle w:val="Ttulo2Car"/>
          <w:b/>
          <w:kern w:val="22"/>
          <w:szCs w:val="22"/>
          <w:lang w:val="es-ES"/>
        </w:rPr>
        <w:t>(</w:t>
      </w:r>
      <w:r w:rsidR="00FF06CC">
        <w:rPr>
          <w:rStyle w:val="Ttulo2Car"/>
          <w:b/>
          <w:kern w:val="22"/>
          <w:szCs w:val="22"/>
          <w:lang w:val="es-ES"/>
        </w:rPr>
        <w:t>a</w:t>
      </w:r>
      <w:r w:rsidRPr="00FF06CC">
        <w:rPr>
          <w:rStyle w:val="Ttulo2Car"/>
          <w:b/>
          <w:kern w:val="22"/>
          <w:szCs w:val="22"/>
          <w:lang w:val="es-ES"/>
        </w:rPr>
        <w:t>rt</w:t>
      </w:r>
      <w:r w:rsidR="00FF06CC">
        <w:rPr>
          <w:rStyle w:val="Ttulo2Car"/>
          <w:b/>
          <w:kern w:val="22"/>
          <w:szCs w:val="22"/>
          <w:lang w:val="es-ES"/>
        </w:rPr>
        <w:t>ículo</w:t>
      </w:r>
      <w:r w:rsidRPr="00FF06CC">
        <w:rPr>
          <w:rStyle w:val="Ttulo2Car"/>
          <w:b/>
          <w:kern w:val="22"/>
          <w:szCs w:val="22"/>
          <w:lang w:val="es-ES"/>
        </w:rPr>
        <w:t xml:space="preserve"> 2</w:t>
      </w:r>
      <w:r w:rsidRPr="00FF06CC">
        <w:rPr>
          <w:rStyle w:val="Ttulo2Car"/>
          <w:b/>
          <w:caps/>
          <w:kern w:val="22"/>
          <w:szCs w:val="22"/>
          <w:lang w:val="es-ES"/>
        </w:rPr>
        <w:t>2)</w:t>
      </w:r>
      <w:bookmarkEnd w:id="6"/>
    </w:p>
    <w:p w:rsidR="009E044D" w:rsidRPr="00FF06CC" w:rsidRDefault="00FF06CC" w:rsidP="000C6220">
      <w:pPr>
        <w:pStyle w:val="Prrafodelista"/>
        <w:keepNext/>
        <w:numPr>
          <w:ilvl w:val="0"/>
          <w:numId w:val="56"/>
        </w:numPr>
        <w:suppressLineNumbers/>
        <w:suppressAutoHyphens/>
        <w:spacing w:before="120" w:line="240" w:lineRule="auto"/>
        <w:ind w:left="1843" w:hanging="992"/>
        <w:contextualSpacing w:val="0"/>
        <w:jc w:val="left"/>
        <w:rPr>
          <w:b/>
          <w:kern w:val="22"/>
          <w:szCs w:val="22"/>
          <w:lang w:val="es-ES"/>
        </w:rPr>
      </w:pPr>
      <w:r w:rsidRPr="00FF06CC">
        <w:rPr>
          <w:b/>
          <w:snapToGrid w:val="0"/>
          <w:kern w:val="22"/>
          <w:szCs w:val="22"/>
          <w:lang w:val="es-ES"/>
        </w:rPr>
        <w:t xml:space="preserve">Marco </w:t>
      </w:r>
      <w:r w:rsidRPr="003E0A23">
        <w:rPr>
          <w:b/>
          <w:snapToGrid w:val="0"/>
          <w:kern w:val="22"/>
          <w:szCs w:val="22"/>
          <w:lang w:val="es-ES"/>
        </w:rPr>
        <w:t>estratégico para la creación y el desarrollo de capacidad en apoyo a la aplicación del Protocolo de Nagoy</w:t>
      </w:r>
      <w:r>
        <w:rPr>
          <w:b/>
          <w:snapToGrid w:val="0"/>
          <w:kern w:val="22"/>
          <w:szCs w:val="22"/>
          <w:lang w:val="es-ES"/>
        </w:rPr>
        <w:t>a</w:t>
      </w:r>
    </w:p>
    <w:p w:rsidR="009E044D" w:rsidRPr="00FF06CC" w:rsidRDefault="00FF06CC" w:rsidP="000C6220">
      <w:pPr>
        <w:suppressLineNumbers/>
        <w:suppressAutoHyphens/>
        <w:kinsoku w:val="0"/>
        <w:overflowPunct w:val="0"/>
        <w:autoSpaceDE w:val="0"/>
        <w:autoSpaceDN w:val="0"/>
        <w:adjustRightInd w:val="0"/>
        <w:snapToGrid w:val="0"/>
        <w:spacing w:before="120" w:line="240" w:lineRule="auto"/>
        <w:ind w:firstLine="720"/>
        <w:rPr>
          <w:i/>
          <w:kern w:val="22"/>
          <w:szCs w:val="22"/>
          <w:lang w:val="es-ES" w:eastAsia="en-CA"/>
        </w:rPr>
      </w:pPr>
      <w:r w:rsidRPr="003E0A23">
        <w:rPr>
          <w:i/>
          <w:kern w:val="22"/>
          <w:szCs w:val="22"/>
          <w:lang w:val="es-ES" w:eastAsia="en-CA"/>
        </w:rPr>
        <w:t>La Conferencia de las Partes que actúa como reunión de las Partes en el Protocolo de Nagoya</w:t>
      </w:r>
      <w:r w:rsidRPr="00C84183">
        <w:rPr>
          <w:i/>
          <w:kern w:val="22"/>
          <w:szCs w:val="22"/>
          <w:lang w:val="es-ES" w:eastAsia="en-CA"/>
        </w:rPr>
        <w:t xml:space="preserve"> </w:t>
      </w:r>
      <w:r>
        <w:rPr>
          <w:i/>
          <w:kern w:val="22"/>
          <w:szCs w:val="22"/>
          <w:lang w:val="es-ES" w:eastAsia="en-CA"/>
        </w:rPr>
        <w:t>sobre Acceso y Participación en los Beneficios</w:t>
      </w:r>
    </w:p>
    <w:p w:rsidR="009E044D" w:rsidRPr="00FF06CC" w:rsidRDefault="009E044D" w:rsidP="000C6220">
      <w:pPr>
        <w:suppressLineNumbers/>
        <w:suppressAutoHyphens/>
        <w:kinsoku w:val="0"/>
        <w:overflowPunct w:val="0"/>
        <w:autoSpaceDE w:val="0"/>
        <w:autoSpaceDN w:val="0"/>
        <w:adjustRightInd w:val="0"/>
        <w:snapToGrid w:val="0"/>
        <w:spacing w:before="120" w:line="240" w:lineRule="auto"/>
        <w:ind w:firstLine="720"/>
        <w:rPr>
          <w:kern w:val="22"/>
          <w:szCs w:val="22"/>
          <w:lang w:val="es-ES"/>
        </w:rPr>
      </w:pPr>
      <w:r w:rsidRPr="00FF06CC">
        <w:rPr>
          <w:color w:val="000000"/>
          <w:kern w:val="22"/>
          <w:szCs w:val="22"/>
          <w:lang w:val="es-ES"/>
        </w:rPr>
        <w:t>1.</w:t>
      </w:r>
      <w:r w:rsidRPr="00FF06CC">
        <w:rPr>
          <w:color w:val="000000"/>
          <w:kern w:val="22"/>
          <w:szCs w:val="22"/>
          <w:lang w:val="es-ES"/>
        </w:rPr>
        <w:tab/>
      </w:r>
      <w:r w:rsidR="00FF06CC" w:rsidRPr="003E0A23">
        <w:rPr>
          <w:i/>
          <w:iCs/>
          <w:kern w:val="22"/>
          <w:lang w:val="es-ES" w:eastAsia="en-CA"/>
        </w:rPr>
        <w:t xml:space="preserve">Toma nota </w:t>
      </w:r>
      <w:r w:rsidR="00FF06CC" w:rsidRPr="003E0A23">
        <w:rPr>
          <w:kern w:val="22"/>
          <w:lang w:val="es-ES" w:eastAsia="en-CA"/>
        </w:rPr>
        <w:t>de los progresos realizados en la implementación del marco estratégico para la creación y el desarrollo de capacidad para la aplicación del Protocolo de Nagoya sobre Acceso a los Recursos Genéticos y Participación Justa y Equitativa en los Beneficios que se Deriven de su Utilizació</w:t>
      </w:r>
      <w:r w:rsidRPr="00FF06CC">
        <w:rPr>
          <w:kern w:val="22"/>
          <w:szCs w:val="22"/>
          <w:lang w:val="es-ES"/>
        </w:rPr>
        <w:t>n</w:t>
      </w:r>
      <w:r w:rsidRPr="00EE0850">
        <w:rPr>
          <w:kern w:val="22"/>
          <w:szCs w:val="22"/>
          <w:vertAlign w:val="superscript"/>
        </w:rPr>
        <w:footnoteReference w:id="10"/>
      </w:r>
      <w:r w:rsidR="00FF06CC" w:rsidRPr="00FF06CC">
        <w:rPr>
          <w:kern w:val="22"/>
          <w:szCs w:val="22"/>
          <w:lang w:val="es-ES"/>
        </w:rPr>
        <w:t>;</w:t>
      </w:r>
    </w:p>
    <w:p w:rsidR="009E044D" w:rsidRPr="00FF06CC" w:rsidRDefault="009E044D" w:rsidP="000C6220">
      <w:pPr>
        <w:suppressLineNumbers/>
        <w:pBdr>
          <w:top w:val="nil"/>
          <w:left w:val="nil"/>
          <w:bottom w:val="nil"/>
          <w:right w:val="nil"/>
          <w:between w:val="nil"/>
          <w:bar w:val="nil"/>
        </w:pBdr>
        <w:suppressAutoHyphens/>
        <w:spacing w:before="120" w:line="240" w:lineRule="auto"/>
        <w:ind w:firstLine="720"/>
        <w:rPr>
          <w:kern w:val="22"/>
          <w:szCs w:val="22"/>
          <w:lang w:val="es-ES"/>
        </w:rPr>
      </w:pPr>
      <w:r w:rsidRPr="00FF06CC">
        <w:rPr>
          <w:color w:val="000000"/>
          <w:kern w:val="22"/>
          <w:szCs w:val="22"/>
          <w:lang w:val="es-ES"/>
        </w:rPr>
        <w:t>2.</w:t>
      </w:r>
      <w:r w:rsidRPr="00FF06CC">
        <w:rPr>
          <w:color w:val="000000"/>
          <w:kern w:val="22"/>
          <w:szCs w:val="22"/>
          <w:lang w:val="es-ES"/>
        </w:rPr>
        <w:tab/>
      </w:r>
      <w:r w:rsidR="00FF06CC" w:rsidRPr="003E0A23">
        <w:rPr>
          <w:i/>
          <w:iCs/>
          <w:kern w:val="22"/>
          <w:lang w:val="es-ES" w:eastAsia="en-CA"/>
        </w:rPr>
        <w:t xml:space="preserve">Invita </w:t>
      </w:r>
      <w:r w:rsidR="00FF06CC" w:rsidRPr="003E0A23">
        <w:rPr>
          <w:kern w:val="22"/>
          <w:lang w:val="es-ES" w:eastAsia="en-CA"/>
        </w:rPr>
        <w:t>a las Partes, otros Gobiernos y organizaciones pertinentes a ampliar sus esfuerzos para implementar el marco estratégico y compartir información sobre sus iniciativas de creación de capacidad, incluidas nuevas experiencias, mejores prácticas y lecciones aprendidas, y recursos de creación de capacidad, a través del Centro de Intercambio de Información sobre APB, empleando para ello los formatos comunes pertinentes</w:t>
      </w:r>
      <w:r w:rsidRPr="00FF06CC">
        <w:rPr>
          <w:kern w:val="22"/>
          <w:szCs w:val="22"/>
          <w:lang w:val="es-ES"/>
        </w:rPr>
        <w:t>;</w:t>
      </w:r>
    </w:p>
    <w:p w:rsidR="009E044D" w:rsidRPr="00FF06CC" w:rsidRDefault="009E044D" w:rsidP="000C6220">
      <w:pPr>
        <w:suppressLineNumbers/>
        <w:pBdr>
          <w:top w:val="nil"/>
          <w:left w:val="nil"/>
          <w:bottom w:val="nil"/>
          <w:right w:val="nil"/>
          <w:between w:val="nil"/>
          <w:bar w:val="nil"/>
        </w:pBdr>
        <w:suppressAutoHyphens/>
        <w:spacing w:before="120" w:line="240" w:lineRule="auto"/>
        <w:ind w:firstLine="720"/>
        <w:rPr>
          <w:kern w:val="22"/>
          <w:szCs w:val="22"/>
          <w:lang w:val="es-ES"/>
        </w:rPr>
      </w:pPr>
      <w:r w:rsidRPr="00FF06CC">
        <w:rPr>
          <w:color w:val="000000"/>
          <w:kern w:val="22"/>
          <w:szCs w:val="22"/>
          <w:lang w:val="es-ES"/>
        </w:rPr>
        <w:t>3.</w:t>
      </w:r>
      <w:r w:rsidRPr="00FF06CC">
        <w:rPr>
          <w:color w:val="000000"/>
          <w:kern w:val="22"/>
          <w:szCs w:val="22"/>
          <w:lang w:val="es-ES"/>
        </w:rPr>
        <w:tab/>
      </w:r>
      <w:r w:rsidR="00FF06CC" w:rsidRPr="003E0A23">
        <w:rPr>
          <w:i/>
          <w:iCs/>
          <w:kern w:val="22"/>
          <w:lang w:val="es-ES" w:eastAsia="en-CA"/>
        </w:rPr>
        <w:t xml:space="preserve">Invita </w:t>
      </w:r>
      <w:r w:rsidR="00FF06CC" w:rsidRPr="003E0A23">
        <w:rPr>
          <w:kern w:val="22"/>
          <w:lang w:val="es-ES" w:eastAsia="en-CA"/>
        </w:rPr>
        <w:t>a las Partes, otros Gobiernos y organizaciones pertinentes a que consideren la posibilidad de desarrollar proyectos regionales y subregionales como forma de avanzar en el apoyo a la cooperación regional y en la resolución de las carencias de creación de capacidad en ciertas regiones</w:t>
      </w:r>
      <w:r w:rsidRPr="00FF06CC">
        <w:rPr>
          <w:snapToGrid w:val="0"/>
          <w:kern w:val="22"/>
          <w:szCs w:val="22"/>
          <w:lang w:val="es-ES"/>
        </w:rPr>
        <w:t>;</w:t>
      </w:r>
    </w:p>
    <w:p w:rsidR="009E044D" w:rsidRPr="00FF06CC" w:rsidRDefault="009E044D" w:rsidP="000C6220">
      <w:pPr>
        <w:suppressLineNumbers/>
        <w:pBdr>
          <w:top w:val="nil"/>
          <w:left w:val="nil"/>
          <w:bottom w:val="nil"/>
          <w:right w:val="nil"/>
          <w:between w:val="nil"/>
          <w:bar w:val="nil"/>
        </w:pBdr>
        <w:suppressAutoHyphens/>
        <w:spacing w:before="120" w:line="240" w:lineRule="auto"/>
        <w:ind w:firstLine="720"/>
        <w:rPr>
          <w:color w:val="000000"/>
          <w:kern w:val="22"/>
          <w:szCs w:val="22"/>
          <w:lang w:val="es-ES"/>
        </w:rPr>
      </w:pPr>
      <w:r w:rsidRPr="00FF06CC">
        <w:rPr>
          <w:color w:val="000000"/>
          <w:kern w:val="22"/>
          <w:szCs w:val="22"/>
          <w:lang w:val="es-ES"/>
        </w:rPr>
        <w:t>4.</w:t>
      </w:r>
      <w:r w:rsidRPr="00FF06CC">
        <w:rPr>
          <w:color w:val="000000"/>
          <w:kern w:val="22"/>
          <w:szCs w:val="22"/>
          <w:lang w:val="es-ES"/>
        </w:rPr>
        <w:tab/>
      </w:r>
      <w:r w:rsidR="00FF06CC" w:rsidRPr="00FF06CC">
        <w:rPr>
          <w:i/>
          <w:kern w:val="22"/>
          <w:szCs w:val="22"/>
          <w:lang w:val="es-ES"/>
        </w:rPr>
        <w:t>T</w:t>
      </w:r>
      <w:r w:rsidR="00FF06CC" w:rsidRPr="00FF06CC">
        <w:rPr>
          <w:i/>
          <w:iCs/>
          <w:kern w:val="22"/>
          <w:lang w:val="es-ES" w:eastAsia="en-CA"/>
        </w:rPr>
        <w:t xml:space="preserve">oma nota </w:t>
      </w:r>
      <w:r w:rsidR="00FF06CC" w:rsidRPr="00FF06CC">
        <w:rPr>
          <w:kern w:val="22"/>
          <w:lang w:val="es-ES" w:eastAsia="en-CA"/>
        </w:rPr>
        <w:t>del informe de la reunión del Comité Asesor Oficioso sobre Creación de Capacidad para la Aplicación del Protocolo de Nagoya celebrada en el período entre sesiones</w:t>
      </w:r>
      <w:r w:rsidRPr="00EE0850">
        <w:rPr>
          <w:kern w:val="22"/>
          <w:szCs w:val="22"/>
          <w:vertAlign w:val="superscript"/>
        </w:rPr>
        <w:footnoteReference w:id="11"/>
      </w:r>
      <w:r w:rsidR="00FF06CC" w:rsidRPr="00FF06CC">
        <w:rPr>
          <w:kern w:val="22"/>
          <w:lang w:val="es-ES" w:eastAsia="en-CA"/>
        </w:rPr>
        <w:t>,</w:t>
      </w:r>
      <w:r w:rsidRPr="00FF06CC">
        <w:rPr>
          <w:i/>
          <w:kern w:val="22"/>
          <w:szCs w:val="22"/>
          <w:lang w:val="es-ES"/>
        </w:rPr>
        <w:t xml:space="preserve"> </w:t>
      </w:r>
      <w:r w:rsidR="00FF06CC" w:rsidRPr="00FF06CC">
        <w:rPr>
          <w:kern w:val="22"/>
          <w:szCs w:val="22"/>
          <w:lang w:val="es-ES"/>
        </w:rPr>
        <w:t>y</w:t>
      </w:r>
      <w:r w:rsidRPr="00FF06CC">
        <w:rPr>
          <w:kern w:val="22"/>
          <w:szCs w:val="22"/>
          <w:lang w:val="es-ES"/>
        </w:rPr>
        <w:t xml:space="preserve"> </w:t>
      </w:r>
      <w:r w:rsidRPr="00FF06CC">
        <w:rPr>
          <w:i/>
          <w:kern w:val="22"/>
          <w:szCs w:val="22"/>
          <w:lang w:val="es-ES"/>
        </w:rPr>
        <w:t>decide</w:t>
      </w:r>
      <w:r w:rsidR="00FF06CC" w:rsidRPr="00FF06CC">
        <w:rPr>
          <w:kern w:val="22"/>
          <w:szCs w:val="22"/>
          <w:lang w:val="es-ES"/>
        </w:rPr>
        <w:t xml:space="preserve"> </w:t>
      </w:r>
      <w:r w:rsidR="00FF06CC" w:rsidRPr="003E0A23">
        <w:rPr>
          <w:kern w:val="22"/>
          <w:lang w:val="es-ES" w:eastAsia="en-CA"/>
        </w:rPr>
        <w:t>prorrogar el mandato del Comité Asesor Oficioso hasta la cuarta reunión de la Conferencia de las Partes que actúa como reunión de las Partes en el Protocolo de Nagoya, para que pueda seguir apoyando la implementación del marco estratégico para la creación y el desarrollo de capacidad de conformidad con el mandato que figura en la decisión</w:t>
      </w:r>
      <w:r w:rsidRPr="00FF06CC">
        <w:rPr>
          <w:kern w:val="22"/>
          <w:szCs w:val="22"/>
          <w:lang w:val="es-ES"/>
        </w:rPr>
        <w:t xml:space="preserve"> </w:t>
      </w:r>
      <w:hyperlink r:id="rId13" w:history="1">
        <w:r w:rsidRPr="00FF06CC">
          <w:rPr>
            <w:color w:val="0000FF"/>
            <w:kern w:val="22"/>
            <w:szCs w:val="22"/>
            <w:u w:val="single"/>
            <w:lang w:val="es-ES"/>
          </w:rPr>
          <w:t>NP-1/8</w:t>
        </w:r>
      </w:hyperlink>
      <w:r w:rsidRPr="00FF06CC">
        <w:rPr>
          <w:kern w:val="22"/>
          <w:szCs w:val="22"/>
          <w:lang w:val="es-ES"/>
        </w:rPr>
        <w:t>;</w:t>
      </w:r>
    </w:p>
    <w:p w:rsidR="009E044D" w:rsidRPr="00FF06CC" w:rsidRDefault="009E044D" w:rsidP="000C6220">
      <w:pPr>
        <w:suppressLineNumbers/>
        <w:pBdr>
          <w:top w:val="nil"/>
          <w:left w:val="nil"/>
          <w:bottom w:val="nil"/>
          <w:right w:val="nil"/>
          <w:between w:val="nil"/>
          <w:bar w:val="nil"/>
        </w:pBdr>
        <w:suppressAutoHyphens/>
        <w:spacing w:before="120" w:line="240" w:lineRule="auto"/>
        <w:ind w:firstLine="720"/>
        <w:rPr>
          <w:kern w:val="22"/>
          <w:szCs w:val="22"/>
          <w:lang w:val="es-ES"/>
        </w:rPr>
      </w:pPr>
      <w:r w:rsidRPr="00FF06CC">
        <w:rPr>
          <w:color w:val="000000"/>
          <w:kern w:val="22"/>
          <w:szCs w:val="22"/>
          <w:lang w:val="es-ES"/>
        </w:rPr>
        <w:t>5.</w:t>
      </w:r>
      <w:r w:rsidRPr="00FF06CC">
        <w:rPr>
          <w:color w:val="000000"/>
          <w:kern w:val="22"/>
          <w:szCs w:val="22"/>
          <w:lang w:val="es-ES"/>
        </w:rPr>
        <w:tab/>
      </w:r>
      <w:r w:rsidR="00FF06CC" w:rsidRPr="003E0A23">
        <w:rPr>
          <w:i/>
          <w:iCs/>
          <w:kern w:val="22"/>
          <w:lang w:val="es-ES" w:eastAsia="en-CA"/>
        </w:rPr>
        <w:t xml:space="preserve">Decide </w:t>
      </w:r>
      <w:r w:rsidR="00FF06CC" w:rsidRPr="003E0A23">
        <w:rPr>
          <w:kern w:val="22"/>
          <w:lang w:val="es-ES" w:eastAsia="en-CA"/>
        </w:rPr>
        <w:t xml:space="preserve">que el Comité Asesor Oficioso celebrará una reunión y las consultas en línea que sean necesarias, y </w:t>
      </w:r>
      <w:r w:rsidR="00FF06CC" w:rsidRPr="003E0A23">
        <w:rPr>
          <w:i/>
          <w:kern w:val="22"/>
          <w:lang w:val="es-ES" w:eastAsia="en-CA"/>
        </w:rPr>
        <w:t>pide</w:t>
      </w:r>
      <w:r w:rsidR="00FF06CC" w:rsidRPr="003E0A23">
        <w:rPr>
          <w:kern w:val="22"/>
          <w:lang w:val="es-ES" w:eastAsia="en-CA"/>
        </w:rPr>
        <w:t xml:space="preserve"> al Comité Asesor Oficioso que aporte insumos para la evaluación del marco estratégico mediante un examen de las conclusiones preliminares y brindando información y recomendaciones adicionales</w:t>
      </w:r>
      <w:r w:rsidRPr="00FF06CC">
        <w:rPr>
          <w:kern w:val="22"/>
          <w:szCs w:val="22"/>
          <w:lang w:val="es-ES"/>
        </w:rPr>
        <w:t>;</w:t>
      </w:r>
    </w:p>
    <w:p w:rsidR="009E044D" w:rsidRPr="00FF06CC" w:rsidRDefault="009E044D" w:rsidP="000C6220">
      <w:pPr>
        <w:suppressLineNumbers/>
        <w:pBdr>
          <w:top w:val="nil"/>
          <w:left w:val="nil"/>
          <w:bottom w:val="nil"/>
          <w:right w:val="nil"/>
          <w:between w:val="nil"/>
          <w:bar w:val="nil"/>
        </w:pBdr>
        <w:suppressAutoHyphens/>
        <w:spacing w:before="120" w:line="240" w:lineRule="auto"/>
        <w:ind w:firstLine="720"/>
        <w:rPr>
          <w:kern w:val="22"/>
          <w:szCs w:val="22"/>
          <w:lang w:val="es-ES"/>
        </w:rPr>
      </w:pPr>
      <w:r w:rsidRPr="00FF06CC">
        <w:rPr>
          <w:color w:val="000000"/>
          <w:kern w:val="22"/>
          <w:szCs w:val="22"/>
          <w:lang w:val="es-ES"/>
        </w:rPr>
        <w:t>6.</w:t>
      </w:r>
      <w:r w:rsidRPr="00FF06CC">
        <w:rPr>
          <w:color w:val="000000"/>
          <w:kern w:val="22"/>
          <w:szCs w:val="22"/>
          <w:lang w:val="es-ES"/>
        </w:rPr>
        <w:tab/>
      </w:r>
      <w:r w:rsidR="00FF06CC" w:rsidRPr="003E0A23">
        <w:rPr>
          <w:i/>
          <w:iCs/>
          <w:kern w:val="22"/>
          <w:lang w:val="es-ES" w:eastAsia="en-CA"/>
        </w:rPr>
        <w:t xml:space="preserve">Decide también </w:t>
      </w:r>
      <w:r w:rsidR="00FF06CC" w:rsidRPr="003E0A23">
        <w:rPr>
          <w:kern w:val="22"/>
          <w:lang w:val="es-ES" w:eastAsia="en-CA"/>
        </w:rPr>
        <w:t>evaluar el marco estratégico para la creación y el desarrollo de capacidad en apoyo a la aplicación efectiva del Protocolo de Nagoya</w:t>
      </w:r>
      <w:r w:rsidRPr="00EE0850">
        <w:rPr>
          <w:kern w:val="22"/>
          <w:szCs w:val="22"/>
          <w:vertAlign w:val="superscript"/>
        </w:rPr>
        <w:footnoteReference w:id="12"/>
      </w:r>
      <w:r w:rsidRPr="00FF06CC">
        <w:rPr>
          <w:kern w:val="22"/>
          <w:szCs w:val="22"/>
          <w:lang w:val="es-ES"/>
        </w:rPr>
        <w:t xml:space="preserve"> </w:t>
      </w:r>
      <w:r w:rsidR="00FF06CC">
        <w:rPr>
          <w:kern w:val="22"/>
          <w:szCs w:val="22"/>
          <w:lang w:val="es-ES"/>
        </w:rPr>
        <w:t xml:space="preserve">sobre </w:t>
      </w:r>
      <w:r w:rsidR="00FF06CC" w:rsidRPr="003E0A23">
        <w:rPr>
          <w:kern w:val="22"/>
          <w:lang w:val="es-ES" w:eastAsia="en-CA"/>
        </w:rPr>
        <w:t>la base de los elementos que figuran en el anexo de la presente decisión</w:t>
      </w:r>
      <w:r w:rsidRPr="00FF06CC">
        <w:rPr>
          <w:kern w:val="22"/>
          <w:szCs w:val="22"/>
          <w:lang w:val="es-ES"/>
        </w:rPr>
        <w:t>;</w:t>
      </w:r>
    </w:p>
    <w:p w:rsidR="009E044D" w:rsidRPr="00FF06CC" w:rsidRDefault="009E044D" w:rsidP="000C6220">
      <w:pPr>
        <w:suppressLineNumbers/>
        <w:pBdr>
          <w:top w:val="nil"/>
          <w:left w:val="nil"/>
          <w:bottom w:val="nil"/>
          <w:right w:val="nil"/>
          <w:between w:val="nil"/>
          <w:bar w:val="nil"/>
        </w:pBdr>
        <w:suppressAutoHyphens/>
        <w:spacing w:before="120" w:line="240" w:lineRule="auto"/>
        <w:ind w:firstLine="720"/>
        <w:rPr>
          <w:i/>
          <w:kern w:val="22"/>
          <w:szCs w:val="22"/>
          <w:lang w:val="es-ES"/>
        </w:rPr>
      </w:pPr>
      <w:r w:rsidRPr="00FF06CC">
        <w:rPr>
          <w:color w:val="000000"/>
          <w:kern w:val="22"/>
          <w:szCs w:val="22"/>
          <w:lang w:val="es-ES"/>
        </w:rPr>
        <w:t>7.</w:t>
      </w:r>
      <w:r w:rsidRPr="00FF06CC">
        <w:rPr>
          <w:color w:val="000000"/>
          <w:kern w:val="22"/>
          <w:szCs w:val="22"/>
          <w:lang w:val="es-ES"/>
        </w:rPr>
        <w:tab/>
      </w:r>
      <w:r w:rsidR="00FF06CC" w:rsidRPr="003E0A23">
        <w:rPr>
          <w:i/>
          <w:iCs/>
          <w:kern w:val="22"/>
          <w:lang w:val="es-ES" w:eastAsia="en-CA"/>
        </w:rPr>
        <w:t xml:space="preserve">Pide </w:t>
      </w:r>
      <w:r w:rsidR="00FF06CC" w:rsidRPr="003E0A23">
        <w:rPr>
          <w:kern w:val="22"/>
          <w:lang w:val="es-ES" w:eastAsia="en-CA"/>
        </w:rPr>
        <w:t>a la Secretaria Ejecutiva que</w:t>
      </w:r>
      <w:r w:rsidRPr="00FF06CC">
        <w:rPr>
          <w:kern w:val="22"/>
          <w:szCs w:val="22"/>
          <w:lang w:val="es-ES"/>
        </w:rPr>
        <w:t>:</w:t>
      </w:r>
    </w:p>
    <w:p w:rsidR="009E044D" w:rsidRPr="00513849" w:rsidRDefault="00FF06CC" w:rsidP="000C6220">
      <w:pPr>
        <w:suppressLineNumbers/>
        <w:pBdr>
          <w:top w:val="nil"/>
          <w:left w:val="nil"/>
          <w:bottom w:val="nil"/>
          <w:right w:val="nil"/>
          <w:between w:val="nil"/>
          <w:bar w:val="nil"/>
        </w:pBdr>
        <w:suppressAutoHyphens/>
        <w:spacing w:before="120" w:line="240" w:lineRule="auto"/>
        <w:ind w:firstLine="720"/>
        <w:rPr>
          <w:kern w:val="22"/>
          <w:szCs w:val="22"/>
          <w:lang w:val="es-ES"/>
        </w:rPr>
      </w:pPr>
      <w:r w:rsidRPr="00C5131C">
        <w:rPr>
          <w:kern w:val="22"/>
          <w:szCs w:val="22"/>
          <w:lang w:val="es-ES"/>
        </w:rPr>
        <w:t xml:space="preserve"> </w:t>
      </w:r>
      <w:r w:rsidR="009E044D" w:rsidRPr="00513849">
        <w:rPr>
          <w:kern w:val="22"/>
          <w:szCs w:val="22"/>
          <w:lang w:val="es-ES"/>
        </w:rPr>
        <w:t>a)</w:t>
      </w:r>
      <w:r w:rsidR="009E044D" w:rsidRPr="00513849">
        <w:rPr>
          <w:kern w:val="22"/>
          <w:szCs w:val="22"/>
          <w:lang w:val="es-ES"/>
        </w:rPr>
        <w:tab/>
      </w:r>
      <w:r w:rsidRPr="00513849">
        <w:rPr>
          <w:kern w:val="22"/>
          <w:lang w:val="es-ES" w:eastAsia="en-CA"/>
        </w:rPr>
        <w:t>Continúe llevando a cabo y facilitando actividades de creación de capacidad en apoyo a la ratificación y aplicación del Protocolo de Nagoya, con sujeción a la disponibilidad de recursos, según lo indicado en el plan de acción a corto plazo (2017-2020) que figura en el anexo de la decisión</w:t>
      </w:r>
      <w:r w:rsidR="009E044D" w:rsidRPr="00513849">
        <w:rPr>
          <w:kern w:val="22"/>
          <w:szCs w:val="22"/>
          <w:lang w:val="es-ES"/>
        </w:rPr>
        <w:t xml:space="preserve"> </w:t>
      </w:r>
      <w:hyperlink r:id="rId14" w:history="1">
        <w:r w:rsidR="009E044D" w:rsidRPr="00513849">
          <w:rPr>
            <w:color w:val="0000FF"/>
            <w:kern w:val="22"/>
            <w:szCs w:val="22"/>
            <w:u w:val="single"/>
            <w:lang w:val="es-ES"/>
          </w:rPr>
          <w:t>NP-2/8</w:t>
        </w:r>
      </w:hyperlink>
      <w:r w:rsidR="009E044D" w:rsidRPr="00513849">
        <w:rPr>
          <w:kern w:val="22"/>
          <w:szCs w:val="22"/>
          <w:lang w:val="es-ES"/>
        </w:rPr>
        <w:t xml:space="preserve"> </w:t>
      </w:r>
      <w:r w:rsidR="00513849" w:rsidRPr="003E0A23">
        <w:rPr>
          <w:kern w:val="22"/>
          <w:szCs w:val="22"/>
          <w:lang w:val="es-ES"/>
        </w:rPr>
        <w:t xml:space="preserve">de </w:t>
      </w:r>
      <w:r w:rsidR="00513849" w:rsidRPr="003E0A23">
        <w:rPr>
          <w:kern w:val="22"/>
          <w:lang w:val="es-ES" w:eastAsia="en-CA"/>
        </w:rPr>
        <w:t>la Conferencia de las Partes que actúa como reunión de las Partes en el Protocolo y la decisió</w:t>
      </w:r>
      <w:r w:rsidR="00513849" w:rsidRPr="003E0A23">
        <w:rPr>
          <w:kern w:val="22"/>
          <w:szCs w:val="22"/>
          <w:lang w:val="es-ES"/>
        </w:rPr>
        <w:t>n</w:t>
      </w:r>
      <w:r w:rsidR="009E044D" w:rsidRPr="00513849">
        <w:rPr>
          <w:kern w:val="22"/>
          <w:szCs w:val="22"/>
          <w:lang w:val="es-ES"/>
        </w:rPr>
        <w:t xml:space="preserve"> </w:t>
      </w:r>
      <w:hyperlink r:id="rId15" w:history="1">
        <w:r w:rsidR="009E044D" w:rsidRPr="00513849">
          <w:rPr>
            <w:color w:val="0000FF"/>
            <w:kern w:val="22"/>
            <w:szCs w:val="22"/>
            <w:u w:val="single"/>
            <w:lang w:val="es-ES"/>
          </w:rPr>
          <w:t>XIII/23</w:t>
        </w:r>
      </w:hyperlink>
      <w:r w:rsidR="009E044D" w:rsidRPr="00513849">
        <w:rPr>
          <w:kern w:val="22"/>
          <w:szCs w:val="22"/>
          <w:lang w:val="es-ES"/>
        </w:rPr>
        <w:t xml:space="preserve"> </w:t>
      </w:r>
      <w:r w:rsidR="00513849" w:rsidRPr="003E0A23">
        <w:rPr>
          <w:kern w:val="22"/>
          <w:lang w:val="es-ES" w:eastAsia="en-CA"/>
        </w:rPr>
        <w:t>de la Conferencia de las Partes en el Convenio para mejorar y apoyar la creación de capacidad para la implementación del Plan Estratégico para la Diversidad Biológica 2011-2020 y sus Metas de Aichi para la Diversidad Biológica</w:t>
      </w:r>
      <w:r w:rsidR="009E044D" w:rsidRPr="00513849">
        <w:rPr>
          <w:kern w:val="22"/>
          <w:szCs w:val="22"/>
          <w:lang w:val="es-ES"/>
        </w:rPr>
        <w:t>;</w:t>
      </w:r>
    </w:p>
    <w:p w:rsidR="009E044D" w:rsidRPr="00513849" w:rsidRDefault="00FF06CC" w:rsidP="000C6220">
      <w:pPr>
        <w:suppressLineNumbers/>
        <w:pBdr>
          <w:top w:val="nil"/>
          <w:left w:val="nil"/>
          <w:bottom w:val="nil"/>
          <w:right w:val="nil"/>
          <w:between w:val="nil"/>
          <w:bar w:val="nil"/>
        </w:pBdr>
        <w:suppressAutoHyphens/>
        <w:spacing w:before="120" w:line="240" w:lineRule="auto"/>
        <w:ind w:firstLine="720"/>
        <w:rPr>
          <w:kern w:val="22"/>
          <w:szCs w:val="22"/>
          <w:lang w:val="es-ES"/>
        </w:rPr>
      </w:pPr>
      <w:r w:rsidRPr="00513849">
        <w:rPr>
          <w:kern w:val="22"/>
          <w:szCs w:val="22"/>
          <w:lang w:val="es-ES"/>
        </w:rPr>
        <w:t xml:space="preserve"> </w:t>
      </w:r>
      <w:r w:rsidR="009E044D" w:rsidRPr="00513849">
        <w:rPr>
          <w:kern w:val="22"/>
          <w:szCs w:val="22"/>
          <w:lang w:val="es-ES"/>
        </w:rPr>
        <w:t>b)</w:t>
      </w:r>
      <w:r w:rsidR="009E044D" w:rsidRPr="00513849">
        <w:rPr>
          <w:kern w:val="22"/>
          <w:szCs w:val="22"/>
          <w:lang w:val="es-ES"/>
        </w:rPr>
        <w:tab/>
      </w:r>
      <w:r w:rsidR="00513849" w:rsidRPr="003E0A23">
        <w:rPr>
          <w:kern w:val="22"/>
          <w:lang w:val="es-ES" w:eastAsia="en-CA"/>
        </w:rPr>
        <w:t>Prepare una evaluación del marco estratégico para la creación y el desarrollo de capacidad de conformidad con la decisión NP-1/8, párrafo 9 f), y presente el informe de esa evaluación al Órgano Subsidiario sobre la Aplicación para que lo examine en su tercera reunión, con miras a lograr un enfoque eficaz para la creación de capacidad en el marco del Protocolo de Nagoya que esté en consonancia con el marco mundial de la diversidad biológica posterior a 2020</w:t>
      </w:r>
      <w:r w:rsidR="009E044D" w:rsidRPr="00513849">
        <w:rPr>
          <w:kern w:val="22"/>
          <w:szCs w:val="22"/>
          <w:lang w:val="es-ES"/>
        </w:rPr>
        <w:t>;</w:t>
      </w:r>
    </w:p>
    <w:p w:rsidR="009E044D" w:rsidRPr="00513849" w:rsidRDefault="009E044D" w:rsidP="000C6220">
      <w:pPr>
        <w:suppressLineNumbers/>
        <w:pBdr>
          <w:top w:val="nil"/>
          <w:left w:val="nil"/>
          <w:bottom w:val="nil"/>
          <w:right w:val="nil"/>
          <w:between w:val="nil"/>
          <w:bar w:val="nil"/>
        </w:pBdr>
        <w:suppressAutoHyphens/>
        <w:spacing w:before="120" w:line="240" w:lineRule="auto"/>
        <w:ind w:firstLine="720"/>
        <w:rPr>
          <w:b/>
          <w:kern w:val="22"/>
          <w:szCs w:val="22"/>
          <w:lang w:val="es-ES"/>
        </w:rPr>
      </w:pPr>
      <w:r w:rsidRPr="00513849">
        <w:rPr>
          <w:kern w:val="22"/>
          <w:szCs w:val="22"/>
          <w:lang w:val="es-ES"/>
        </w:rPr>
        <w:lastRenderedPageBreak/>
        <w:t>8.</w:t>
      </w:r>
      <w:r w:rsidRPr="00513849">
        <w:rPr>
          <w:kern w:val="22"/>
          <w:szCs w:val="22"/>
          <w:lang w:val="es-ES"/>
        </w:rPr>
        <w:tab/>
      </w:r>
      <w:r w:rsidR="00513849" w:rsidRPr="003E0A23">
        <w:rPr>
          <w:i/>
          <w:iCs/>
          <w:kern w:val="22"/>
          <w:lang w:val="es-ES" w:eastAsia="en-CA"/>
        </w:rPr>
        <w:t xml:space="preserve">Pide </w:t>
      </w:r>
      <w:r w:rsidR="00513849" w:rsidRPr="003E0A23">
        <w:rPr>
          <w:kern w:val="22"/>
          <w:lang w:val="es-ES" w:eastAsia="en-CA"/>
        </w:rPr>
        <w:t>al Órgano Subsidiario sobre la Aplicación que en su tercera reunión examine el informe de la evaluación presentado por la Secretaria Ejecutiva y formule sus recomendaciones a la Conferencia de las Partes que actúa como reunión de las Partes en el Protocolo en su cuarta reunión</w:t>
      </w:r>
      <w:r w:rsidRPr="00513849">
        <w:rPr>
          <w:kern w:val="22"/>
          <w:szCs w:val="22"/>
          <w:lang w:val="es-ES"/>
        </w:rPr>
        <w:t>.</w:t>
      </w:r>
    </w:p>
    <w:p w:rsidR="009E044D" w:rsidRPr="00513849" w:rsidRDefault="00513849" w:rsidP="000C6220">
      <w:pPr>
        <w:pStyle w:val="Para1"/>
        <w:keepNext/>
        <w:numPr>
          <w:ilvl w:val="0"/>
          <w:numId w:val="56"/>
        </w:numPr>
        <w:suppressLineNumbers/>
        <w:tabs>
          <w:tab w:val="clear" w:pos="567"/>
        </w:tabs>
        <w:suppressAutoHyphens/>
        <w:kinsoku w:val="0"/>
        <w:overflowPunct w:val="0"/>
        <w:autoSpaceDE w:val="0"/>
        <w:autoSpaceDN w:val="0"/>
        <w:adjustRightInd w:val="0"/>
        <w:snapToGrid w:val="0"/>
        <w:spacing w:line="240" w:lineRule="auto"/>
        <w:jc w:val="center"/>
        <w:rPr>
          <w:b/>
          <w:kern w:val="22"/>
          <w:szCs w:val="22"/>
          <w:lang w:val="es-ES"/>
        </w:rPr>
      </w:pPr>
      <w:r w:rsidRPr="00513849">
        <w:rPr>
          <w:b/>
          <w:kern w:val="22"/>
          <w:szCs w:val="22"/>
          <w:lang w:val="es-ES"/>
        </w:rPr>
        <w:t xml:space="preserve">Marco </w:t>
      </w:r>
      <w:r w:rsidRPr="003E0A23">
        <w:rPr>
          <w:b/>
          <w:kern w:val="22"/>
          <w:szCs w:val="22"/>
          <w:lang w:val="es-ES"/>
        </w:rPr>
        <w:t xml:space="preserve">estratégico a largo plazo para la creación de capacidad después de </w:t>
      </w:r>
      <w:r w:rsidRPr="0018745A">
        <w:rPr>
          <w:b/>
          <w:kern w:val="22"/>
          <w:szCs w:val="22"/>
          <w:lang w:val="es-ES"/>
        </w:rPr>
        <w:t>2020</w:t>
      </w:r>
    </w:p>
    <w:p w:rsidR="009E044D" w:rsidRPr="00513849" w:rsidRDefault="00513849" w:rsidP="000C6220">
      <w:pPr>
        <w:pStyle w:val="Para1"/>
        <w:keepNext/>
        <w:numPr>
          <w:ilvl w:val="0"/>
          <w:numId w:val="0"/>
        </w:numPr>
        <w:suppressLineNumbers/>
        <w:suppressAutoHyphens/>
        <w:kinsoku w:val="0"/>
        <w:overflowPunct w:val="0"/>
        <w:autoSpaceDE w:val="0"/>
        <w:autoSpaceDN w:val="0"/>
        <w:adjustRightInd w:val="0"/>
        <w:snapToGrid w:val="0"/>
        <w:spacing w:line="240" w:lineRule="auto"/>
        <w:ind w:firstLine="720"/>
        <w:rPr>
          <w:i/>
          <w:kern w:val="22"/>
          <w:szCs w:val="22"/>
          <w:lang w:val="es-ES"/>
        </w:rPr>
      </w:pPr>
      <w:r w:rsidRPr="003E0A23">
        <w:rPr>
          <w:i/>
          <w:kern w:val="22"/>
          <w:szCs w:val="22"/>
          <w:lang w:val="es-ES"/>
        </w:rPr>
        <w:t>La Conferencia de las Partes que actúa como reunión de las Partes en el Protocolo de Nagoya</w:t>
      </w:r>
      <w:r w:rsidR="009E044D" w:rsidRPr="00513849">
        <w:rPr>
          <w:i/>
          <w:kern w:val="22"/>
          <w:szCs w:val="22"/>
          <w:lang w:val="es-ES"/>
        </w:rPr>
        <w:t>,</w:t>
      </w:r>
    </w:p>
    <w:p w:rsidR="009E044D" w:rsidRPr="00513849" w:rsidRDefault="009E044D" w:rsidP="000C6220">
      <w:pPr>
        <w:pStyle w:val="Para1"/>
        <w:keepNext/>
        <w:numPr>
          <w:ilvl w:val="0"/>
          <w:numId w:val="0"/>
        </w:numPr>
        <w:suppressLineNumbers/>
        <w:suppressAutoHyphens/>
        <w:kinsoku w:val="0"/>
        <w:overflowPunct w:val="0"/>
        <w:autoSpaceDE w:val="0"/>
        <w:autoSpaceDN w:val="0"/>
        <w:adjustRightInd w:val="0"/>
        <w:snapToGrid w:val="0"/>
        <w:spacing w:line="240" w:lineRule="auto"/>
        <w:ind w:firstLine="720"/>
        <w:rPr>
          <w:kern w:val="22"/>
          <w:szCs w:val="22"/>
          <w:lang w:val="es-ES"/>
        </w:rPr>
      </w:pPr>
      <w:r w:rsidRPr="00513849">
        <w:rPr>
          <w:i/>
          <w:iCs/>
          <w:kern w:val="22"/>
          <w:szCs w:val="22"/>
          <w:lang w:val="es-ES"/>
        </w:rPr>
        <w:t>Rec</w:t>
      </w:r>
      <w:r w:rsidR="00513849" w:rsidRPr="00513849">
        <w:rPr>
          <w:i/>
          <w:iCs/>
          <w:kern w:val="22"/>
          <w:szCs w:val="22"/>
          <w:lang w:val="es-ES"/>
        </w:rPr>
        <w:t>ordando</w:t>
      </w:r>
      <w:r w:rsidRPr="00513849">
        <w:rPr>
          <w:i/>
          <w:iCs/>
          <w:kern w:val="22"/>
          <w:szCs w:val="22"/>
          <w:lang w:val="es-ES"/>
        </w:rPr>
        <w:t xml:space="preserve"> </w:t>
      </w:r>
      <w:r w:rsidR="00513849" w:rsidRPr="00513849">
        <w:rPr>
          <w:kern w:val="22"/>
          <w:szCs w:val="22"/>
          <w:lang w:val="es-ES"/>
        </w:rPr>
        <w:t>las decisiones</w:t>
      </w:r>
      <w:r w:rsidRPr="00513849">
        <w:rPr>
          <w:kern w:val="22"/>
          <w:szCs w:val="22"/>
          <w:lang w:val="es-ES"/>
        </w:rPr>
        <w:t xml:space="preserve"> </w:t>
      </w:r>
      <w:hyperlink r:id="rId16" w:history="1">
        <w:r w:rsidRPr="00513849">
          <w:rPr>
            <w:rStyle w:val="Hipervnculo"/>
            <w:kern w:val="22"/>
            <w:sz w:val="22"/>
            <w:szCs w:val="22"/>
            <w:lang w:val="es-ES"/>
          </w:rPr>
          <w:t>NP-1/8</w:t>
        </w:r>
      </w:hyperlink>
      <w:r w:rsidR="00513849" w:rsidRPr="00513849">
        <w:rPr>
          <w:kern w:val="22"/>
          <w:szCs w:val="22"/>
          <w:lang w:val="es-ES"/>
        </w:rPr>
        <w:t xml:space="preserve"> y</w:t>
      </w:r>
      <w:r w:rsidRPr="00513849">
        <w:rPr>
          <w:kern w:val="22"/>
          <w:szCs w:val="22"/>
          <w:lang w:val="es-ES"/>
        </w:rPr>
        <w:t xml:space="preserve"> </w:t>
      </w:r>
      <w:hyperlink r:id="rId17" w:history="1">
        <w:r w:rsidRPr="00513849">
          <w:rPr>
            <w:rStyle w:val="Hipervnculo"/>
            <w:kern w:val="22"/>
            <w:sz w:val="22"/>
            <w:szCs w:val="22"/>
            <w:lang w:val="es-ES"/>
          </w:rPr>
          <w:t>NP-2/8</w:t>
        </w:r>
      </w:hyperlink>
      <w:r w:rsidRPr="00513849">
        <w:rPr>
          <w:kern w:val="22"/>
          <w:szCs w:val="22"/>
          <w:lang w:val="es-ES"/>
        </w:rPr>
        <w:t>,</w:t>
      </w:r>
    </w:p>
    <w:p w:rsidR="009E044D" w:rsidRPr="00513849" w:rsidRDefault="009E044D" w:rsidP="000C6220">
      <w:pPr>
        <w:pStyle w:val="Para1"/>
        <w:numPr>
          <w:ilvl w:val="0"/>
          <w:numId w:val="0"/>
        </w:numPr>
        <w:suppressLineNumbers/>
        <w:tabs>
          <w:tab w:val="clear" w:pos="567"/>
          <w:tab w:val="clear" w:pos="2912"/>
          <w:tab w:val="num" w:pos="1418"/>
        </w:tabs>
        <w:suppressAutoHyphens/>
        <w:kinsoku w:val="0"/>
        <w:overflowPunct w:val="0"/>
        <w:autoSpaceDE w:val="0"/>
        <w:autoSpaceDN w:val="0"/>
        <w:adjustRightInd w:val="0"/>
        <w:snapToGrid w:val="0"/>
        <w:spacing w:line="240" w:lineRule="auto"/>
        <w:ind w:firstLine="720"/>
        <w:rPr>
          <w:kern w:val="22"/>
          <w:szCs w:val="22"/>
          <w:lang w:val="es-ES"/>
        </w:rPr>
      </w:pPr>
      <w:r w:rsidRPr="00513849">
        <w:rPr>
          <w:kern w:val="22"/>
          <w:szCs w:val="22"/>
          <w:lang w:val="es-ES"/>
        </w:rPr>
        <w:t>1.</w:t>
      </w:r>
      <w:r w:rsidRPr="00513849">
        <w:rPr>
          <w:kern w:val="22"/>
          <w:szCs w:val="22"/>
          <w:lang w:val="es-ES"/>
        </w:rPr>
        <w:tab/>
      </w:r>
      <w:r w:rsidR="00513849" w:rsidRPr="003E0A23">
        <w:rPr>
          <w:i/>
          <w:kern w:val="22"/>
          <w:szCs w:val="22"/>
          <w:lang w:val="es-ES"/>
        </w:rPr>
        <w:t>Toma nota</w:t>
      </w:r>
      <w:r w:rsidR="00513849" w:rsidRPr="003E0A23">
        <w:rPr>
          <w:kern w:val="22"/>
          <w:szCs w:val="22"/>
          <w:lang w:val="es-ES"/>
        </w:rPr>
        <w:t xml:space="preserve"> del informe sobre los progresos realizados en la implementación del plan de acción a corto plazo (2017-2020) para mejorar y apoyar la creación de capacidad para la aplicación del Convenio y sus Protocolos apoyada y facilitada por la Secretaria Ejecutiva en colaboración con diversos asociado</w:t>
      </w:r>
      <w:r w:rsidR="00513849">
        <w:rPr>
          <w:kern w:val="22"/>
          <w:szCs w:val="22"/>
          <w:lang w:val="es-ES"/>
        </w:rPr>
        <w:t>s</w:t>
      </w:r>
      <w:r w:rsidRPr="00EE0850">
        <w:rPr>
          <w:rStyle w:val="StyleFootnoteReferencenumberFootnoteReferenceSuperscript-EF"/>
          <w:sz w:val="22"/>
          <w:szCs w:val="22"/>
        </w:rPr>
        <w:footnoteReference w:id="13"/>
      </w:r>
      <w:r w:rsidR="00513849" w:rsidRPr="00513849">
        <w:rPr>
          <w:kern w:val="22"/>
          <w:szCs w:val="22"/>
          <w:lang w:val="es-ES"/>
        </w:rPr>
        <w:t>;</w:t>
      </w:r>
    </w:p>
    <w:p w:rsidR="009E044D" w:rsidRPr="00513849" w:rsidRDefault="009E044D" w:rsidP="000C6220">
      <w:pPr>
        <w:pStyle w:val="Para1"/>
        <w:numPr>
          <w:ilvl w:val="0"/>
          <w:numId w:val="0"/>
        </w:numPr>
        <w:suppressLineNumbers/>
        <w:tabs>
          <w:tab w:val="clear" w:pos="567"/>
          <w:tab w:val="clear" w:pos="2912"/>
          <w:tab w:val="num" w:pos="1418"/>
        </w:tabs>
        <w:suppressAutoHyphens/>
        <w:kinsoku w:val="0"/>
        <w:overflowPunct w:val="0"/>
        <w:autoSpaceDE w:val="0"/>
        <w:autoSpaceDN w:val="0"/>
        <w:adjustRightInd w:val="0"/>
        <w:snapToGrid w:val="0"/>
        <w:spacing w:line="240" w:lineRule="auto"/>
        <w:ind w:firstLine="720"/>
        <w:rPr>
          <w:kern w:val="22"/>
          <w:szCs w:val="22"/>
          <w:lang w:val="es-ES"/>
        </w:rPr>
      </w:pPr>
      <w:r w:rsidRPr="00513849">
        <w:rPr>
          <w:kern w:val="22"/>
          <w:szCs w:val="22"/>
          <w:lang w:val="es-ES"/>
        </w:rPr>
        <w:t>2.</w:t>
      </w:r>
      <w:r w:rsidRPr="00513849">
        <w:rPr>
          <w:kern w:val="22"/>
          <w:szCs w:val="22"/>
          <w:lang w:val="es-ES"/>
        </w:rPr>
        <w:tab/>
      </w:r>
      <w:r w:rsidR="00513849" w:rsidRPr="00CD044F">
        <w:rPr>
          <w:i/>
          <w:iCs/>
          <w:kern w:val="22"/>
          <w:szCs w:val="22"/>
          <w:lang w:val="es-ES"/>
        </w:rPr>
        <w:t>Acoge con satisfacción</w:t>
      </w:r>
      <w:r w:rsidR="00513849" w:rsidRPr="00CD044F">
        <w:rPr>
          <w:kern w:val="22"/>
          <w:szCs w:val="22"/>
          <w:lang w:val="es-ES"/>
        </w:rPr>
        <w:t xml:space="preserve"> el mandato para el estudio dirigido a proporcionar una base de información para la preparación de un marco estratégico a largo plazo para la creación de capacidad después de 2020, que figura en el apéndice del anexo I de la decisión 14/24, y </w:t>
      </w:r>
      <w:r w:rsidR="00513849" w:rsidRPr="003E0A23">
        <w:rPr>
          <w:i/>
          <w:iCs/>
          <w:kern w:val="22"/>
          <w:szCs w:val="22"/>
          <w:lang w:val="es-ES"/>
        </w:rPr>
        <w:t>observa</w:t>
      </w:r>
      <w:r w:rsidR="00513849" w:rsidRPr="003E0A23">
        <w:rPr>
          <w:kern w:val="22"/>
          <w:szCs w:val="22"/>
          <w:lang w:val="es-ES"/>
        </w:rPr>
        <w:t xml:space="preserve"> que en la </w:t>
      </w:r>
      <w:r w:rsidR="00513849" w:rsidRPr="00CD044F">
        <w:rPr>
          <w:kern w:val="22"/>
          <w:szCs w:val="22"/>
          <w:lang w:val="es-ES"/>
        </w:rPr>
        <w:t>decisi</w:t>
      </w:r>
      <w:r w:rsidR="00513849">
        <w:rPr>
          <w:kern w:val="22"/>
          <w:szCs w:val="22"/>
          <w:lang w:val="es-ES"/>
        </w:rPr>
        <w:t>ó</w:t>
      </w:r>
      <w:r w:rsidR="00513849" w:rsidRPr="00CD044F">
        <w:rPr>
          <w:kern w:val="22"/>
          <w:szCs w:val="22"/>
          <w:lang w:val="es-ES"/>
        </w:rPr>
        <w:t xml:space="preserve">n 14/24, </w:t>
      </w:r>
      <w:r w:rsidR="00513849" w:rsidRPr="003E0A23">
        <w:rPr>
          <w:kern w:val="22"/>
          <w:szCs w:val="22"/>
          <w:lang w:val="es-ES"/>
        </w:rPr>
        <w:t xml:space="preserve">la Conferencia de las Partes pidió a la Secretaria Ejecutiva que, con sujeción a la disponibilidad de recursos, encargara la realización de un estudio que proporcionara una base de información para la preparación de un marco estratégico a largo plazo para la creación de capacidad después de 2020, y </w:t>
      </w:r>
      <w:r w:rsidR="00513849" w:rsidRPr="003E0A23">
        <w:rPr>
          <w:i/>
          <w:iCs/>
          <w:kern w:val="22"/>
          <w:szCs w:val="22"/>
          <w:lang w:val="es-ES"/>
        </w:rPr>
        <w:t>pide</w:t>
      </w:r>
      <w:r w:rsidR="00513849" w:rsidRPr="003E0A23">
        <w:rPr>
          <w:kern w:val="22"/>
          <w:szCs w:val="22"/>
          <w:lang w:val="es-ES"/>
        </w:rPr>
        <w:t xml:space="preserve"> que en el estudio se tengan en cuenta aspectos pertinentes para el Protocolo de Nagoya</w:t>
      </w:r>
      <w:r w:rsidRPr="00513849">
        <w:rPr>
          <w:kern w:val="22"/>
          <w:szCs w:val="22"/>
          <w:lang w:val="es-ES"/>
        </w:rPr>
        <w:t>;</w:t>
      </w:r>
    </w:p>
    <w:p w:rsidR="009E044D" w:rsidRPr="00513849" w:rsidRDefault="009E044D" w:rsidP="000C6220">
      <w:pPr>
        <w:pStyle w:val="Para1"/>
        <w:numPr>
          <w:ilvl w:val="0"/>
          <w:numId w:val="0"/>
        </w:numPr>
        <w:suppressLineNumbers/>
        <w:tabs>
          <w:tab w:val="clear" w:pos="567"/>
          <w:tab w:val="clear" w:pos="2912"/>
          <w:tab w:val="num" w:pos="1418"/>
        </w:tabs>
        <w:suppressAutoHyphens/>
        <w:kinsoku w:val="0"/>
        <w:overflowPunct w:val="0"/>
        <w:autoSpaceDE w:val="0"/>
        <w:autoSpaceDN w:val="0"/>
        <w:adjustRightInd w:val="0"/>
        <w:snapToGrid w:val="0"/>
        <w:spacing w:line="240" w:lineRule="auto"/>
        <w:ind w:firstLine="720"/>
        <w:rPr>
          <w:kern w:val="22"/>
          <w:szCs w:val="22"/>
          <w:lang w:val="es-ES"/>
        </w:rPr>
      </w:pPr>
      <w:r w:rsidRPr="00513849">
        <w:rPr>
          <w:kern w:val="22"/>
          <w:szCs w:val="22"/>
          <w:lang w:val="es-ES"/>
        </w:rPr>
        <w:t>3.</w:t>
      </w:r>
      <w:r w:rsidRPr="00513849">
        <w:rPr>
          <w:kern w:val="22"/>
          <w:szCs w:val="22"/>
          <w:lang w:val="es-ES"/>
        </w:rPr>
        <w:tab/>
      </w:r>
      <w:r w:rsidR="00513849" w:rsidRPr="003E0A23">
        <w:rPr>
          <w:i/>
          <w:iCs/>
          <w:kern w:val="22"/>
          <w:szCs w:val="22"/>
          <w:lang w:val="es-ES"/>
        </w:rPr>
        <w:t>Invita</w:t>
      </w:r>
      <w:r w:rsidR="00513849" w:rsidRPr="003E0A23">
        <w:rPr>
          <w:kern w:val="22"/>
          <w:szCs w:val="22"/>
          <w:lang w:val="es-ES"/>
        </w:rPr>
        <w:t xml:space="preserve"> a las Partes, pueblos indígenas y comunidades locales y organizaciones pertinentes a presentar a la Secretaria Ejecutiva sus opiniones y sugerencias sobre los posibles elementos del marco estratégico a largo plazo para la creación de capacidad después de 2020</w:t>
      </w:r>
      <w:r w:rsidRPr="00513849">
        <w:rPr>
          <w:kern w:val="22"/>
          <w:szCs w:val="22"/>
          <w:lang w:val="es-ES"/>
        </w:rPr>
        <w:t>;</w:t>
      </w:r>
    </w:p>
    <w:p w:rsidR="009E044D" w:rsidRPr="00513849" w:rsidRDefault="009E044D" w:rsidP="000C6220">
      <w:pPr>
        <w:pStyle w:val="Para1"/>
        <w:numPr>
          <w:ilvl w:val="0"/>
          <w:numId w:val="0"/>
        </w:numPr>
        <w:suppressLineNumbers/>
        <w:tabs>
          <w:tab w:val="clear" w:pos="567"/>
          <w:tab w:val="clear" w:pos="2912"/>
          <w:tab w:val="num" w:pos="1418"/>
        </w:tabs>
        <w:suppressAutoHyphens/>
        <w:kinsoku w:val="0"/>
        <w:overflowPunct w:val="0"/>
        <w:autoSpaceDE w:val="0"/>
        <w:autoSpaceDN w:val="0"/>
        <w:adjustRightInd w:val="0"/>
        <w:snapToGrid w:val="0"/>
        <w:spacing w:line="240" w:lineRule="auto"/>
        <w:ind w:firstLine="720"/>
        <w:rPr>
          <w:kern w:val="22"/>
          <w:szCs w:val="22"/>
          <w:lang w:val="es-ES"/>
        </w:rPr>
      </w:pPr>
      <w:r w:rsidRPr="00513849">
        <w:rPr>
          <w:kern w:val="22"/>
          <w:szCs w:val="22"/>
          <w:lang w:val="es-ES"/>
        </w:rPr>
        <w:t>4.</w:t>
      </w:r>
      <w:r w:rsidRPr="00513849">
        <w:rPr>
          <w:kern w:val="22"/>
          <w:szCs w:val="22"/>
          <w:lang w:val="es-ES"/>
        </w:rPr>
        <w:tab/>
      </w:r>
      <w:r w:rsidR="00513849" w:rsidRPr="003E0A23">
        <w:rPr>
          <w:i/>
          <w:iCs/>
          <w:kern w:val="22"/>
          <w:szCs w:val="22"/>
          <w:lang w:val="es-ES"/>
        </w:rPr>
        <w:t>Invita</w:t>
      </w:r>
      <w:r w:rsidR="00513849" w:rsidRPr="003E0A23">
        <w:rPr>
          <w:kern w:val="22"/>
          <w:szCs w:val="22"/>
          <w:lang w:val="es-ES"/>
        </w:rPr>
        <w:t xml:space="preserve"> </w:t>
      </w:r>
      <w:r w:rsidR="00513849" w:rsidRPr="003E0A23">
        <w:rPr>
          <w:i/>
          <w:iCs/>
          <w:kern w:val="22"/>
          <w:szCs w:val="22"/>
          <w:lang w:val="es-ES"/>
        </w:rPr>
        <w:t xml:space="preserve">también </w:t>
      </w:r>
      <w:r w:rsidR="00513849" w:rsidRPr="003E0A23">
        <w:rPr>
          <w:kern w:val="22"/>
          <w:szCs w:val="22"/>
          <w:lang w:val="es-ES"/>
        </w:rPr>
        <w:t>a las Partes, así como a los pueblos indígenas y las comunidades locales y organizaciones pertinentes, a participar en los talleres consultivos y foros de debate en línea sobre el proyecto de marco estratégico a largo plazo para la creación de capacidad después de 2020, conjuntamente con el proceso de preparación para el marco mundial de la diversidad biológica posterior a 2020</w:t>
      </w:r>
      <w:r w:rsidRPr="00513849">
        <w:rPr>
          <w:kern w:val="22"/>
          <w:szCs w:val="22"/>
          <w:lang w:val="es-ES"/>
        </w:rPr>
        <w:t>;</w:t>
      </w:r>
    </w:p>
    <w:p w:rsidR="009E044D" w:rsidRPr="00513849" w:rsidRDefault="009E044D" w:rsidP="000C6220">
      <w:pPr>
        <w:pStyle w:val="Para1"/>
        <w:numPr>
          <w:ilvl w:val="0"/>
          <w:numId w:val="0"/>
        </w:numPr>
        <w:suppressLineNumbers/>
        <w:tabs>
          <w:tab w:val="clear" w:pos="567"/>
          <w:tab w:val="clear" w:pos="2912"/>
          <w:tab w:val="num" w:pos="1418"/>
        </w:tabs>
        <w:suppressAutoHyphens/>
        <w:kinsoku w:val="0"/>
        <w:overflowPunct w:val="0"/>
        <w:autoSpaceDE w:val="0"/>
        <w:autoSpaceDN w:val="0"/>
        <w:adjustRightInd w:val="0"/>
        <w:snapToGrid w:val="0"/>
        <w:spacing w:line="240" w:lineRule="auto"/>
        <w:ind w:firstLine="720"/>
        <w:rPr>
          <w:kern w:val="22"/>
          <w:szCs w:val="22"/>
          <w:lang w:val="es-ES"/>
        </w:rPr>
      </w:pPr>
      <w:r w:rsidRPr="00513849">
        <w:rPr>
          <w:rFonts w:eastAsia="MS Mincho"/>
          <w:kern w:val="22"/>
          <w:szCs w:val="22"/>
          <w:lang w:val="es-ES"/>
        </w:rPr>
        <w:t>5.</w:t>
      </w:r>
      <w:r w:rsidRPr="00513849">
        <w:rPr>
          <w:rFonts w:eastAsia="MS Mincho"/>
          <w:kern w:val="22"/>
          <w:szCs w:val="22"/>
          <w:lang w:val="es-ES"/>
        </w:rPr>
        <w:tab/>
      </w:r>
      <w:r w:rsidR="00513849" w:rsidRPr="003E0A23">
        <w:rPr>
          <w:i/>
          <w:iCs/>
          <w:kern w:val="22"/>
          <w:szCs w:val="22"/>
          <w:lang w:val="es-ES"/>
        </w:rPr>
        <w:t>Pide</w:t>
      </w:r>
      <w:r w:rsidR="00513849" w:rsidRPr="003E0A23">
        <w:rPr>
          <w:kern w:val="22"/>
          <w:szCs w:val="22"/>
          <w:lang w:val="es-ES"/>
        </w:rPr>
        <w:t xml:space="preserve"> al Comité Asesor Oficioso sobre Creación de Capacidad para la Aplicación del Protocolo de Nagoya que contribuya a la elaboración del proyecto de marco estratégico a largo plazo para la creación de capacidad después de 2020</w:t>
      </w:r>
      <w:r w:rsidRPr="00513849">
        <w:rPr>
          <w:rFonts w:eastAsia="MS Mincho"/>
          <w:kern w:val="22"/>
          <w:szCs w:val="22"/>
          <w:lang w:val="es-ES"/>
        </w:rPr>
        <w:t>;</w:t>
      </w:r>
    </w:p>
    <w:p w:rsidR="009E044D" w:rsidRPr="00513849" w:rsidRDefault="009E044D" w:rsidP="000C6220">
      <w:pPr>
        <w:pStyle w:val="Para1"/>
        <w:numPr>
          <w:ilvl w:val="0"/>
          <w:numId w:val="0"/>
        </w:numPr>
        <w:suppressLineNumbers/>
        <w:tabs>
          <w:tab w:val="clear" w:pos="567"/>
          <w:tab w:val="clear" w:pos="2912"/>
          <w:tab w:val="num" w:pos="1418"/>
        </w:tabs>
        <w:suppressAutoHyphens/>
        <w:kinsoku w:val="0"/>
        <w:overflowPunct w:val="0"/>
        <w:autoSpaceDE w:val="0"/>
        <w:autoSpaceDN w:val="0"/>
        <w:adjustRightInd w:val="0"/>
        <w:snapToGrid w:val="0"/>
        <w:spacing w:line="240" w:lineRule="auto"/>
        <w:ind w:firstLine="720"/>
        <w:rPr>
          <w:kern w:val="22"/>
          <w:szCs w:val="22"/>
          <w:lang w:val="es-ES"/>
        </w:rPr>
      </w:pPr>
      <w:r w:rsidRPr="00513849">
        <w:rPr>
          <w:kern w:val="22"/>
          <w:szCs w:val="22"/>
          <w:lang w:val="es-ES"/>
        </w:rPr>
        <w:t>6.</w:t>
      </w:r>
      <w:r w:rsidRPr="00513849">
        <w:rPr>
          <w:kern w:val="22"/>
          <w:szCs w:val="22"/>
          <w:lang w:val="es-ES"/>
        </w:rPr>
        <w:tab/>
      </w:r>
      <w:r w:rsidR="00513849" w:rsidRPr="003E0A23">
        <w:rPr>
          <w:i/>
          <w:iCs/>
          <w:kern w:val="22"/>
          <w:szCs w:val="22"/>
          <w:lang w:val="es-ES"/>
        </w:rPr>
        <w:t>Pide</w:t>
      </w:r>
      <w:r w:rsidR="00513849" w:rsidRPr="003E0A23">
        <w:rPr>
          <w:kern w:val="22"/>
          <w:szCs w:val="22"/>
          <w:lang w:val="es-ES"/>
        </w:rPr>
        <w:t xml:space="preserve"> a la Secretaria Ejecutiva que, con sujeción a la disponibilidad de recursos, presente un proyecto de marco estratégico a largo plazo para la creación de capacidad después de 2020 para que lo examine el Órgano Subsidiario sobre la Aplicación en su tercera reunión y para su posterior examen por la Conferencia de las Partes que actúa como reunión de las Partes en el Protocolo en su cuarta reunión</w:t>
      </w:r>
      <w:r w:rsidRPr="00513849">
        <w:rPr>
          <w:kern w:val="22"/>
          <w:szCs w:val="22"/>
          <w:lang w:val="es-ES"/>
        </w:rPr>
        <w:t>;</w:t>
      </w:r>
    </w:p>
    <w:p w:rsidR="009E044D" w:rsidRPr="00C5131C" w:rsidRDefault="009E044D" w:rsidP="000C6220">
      <w:pPr>
        <w:keepNext/>
        <w:suppressLineNumbers/>
        <w:suppressAutoHyphens/>
        <w:spacing w:before="120" w:line="240" w:lineRule="auto"/>
        <w:jc w:val="center"/>
        <w:outlineLvl w:val="2"/>
        <w:rPr>
          <w:i/>
          <w:kern w:val="22"/>
          <w:szCs w:val="22"/>
          <w:lang w:val="es-ES"/>
        </w:rPr>
      </w:pPr>
      <w:r w:rsidRPr="00C5131C">
        <w:rPr>
          <w:i/>
          <w:kern w:val="22"/>
          <w:szCs w:val="22"/>
          <w:lang w:val="es-ES"/>
        </w:rPr>
        <w:t>An</w:t>
      </w:r>
      <w:r w:rsidR="00513849" w:rsidRPr="00C5131C">
        <w:rPr>
          <w:i/>
          <w:kern w:val="22"/>
          <w:szCs w:val="22"/>
          <w:lang w:val="es-ES"/>
        </w:rPr>
        <w:t>exo</w:t>
      </w:r>
    </w:p>
    <w:p w:rsidR="009E044D" w:rsidRPr="00513849" w:rsidRDefault="009E044D" w:rsidP="000C6220">
      <w:pPr>
        <w:keepNext/>
        <w:suppressLineNumbers/>
        <w:suppressAutoHyphens/>
        <w:spacing w:before="120" w:line="240" w:lineRule="auto"/>
        <w:jc w:val="center"/>
        <w:rPr>
          <w:b/>
          <w:caps/>
          <w:kern w:val="22"/>
          <w:szCs w:val="22"/>
          <w:lang w:val="es-ES"/>
        </w:rPr>
      </w:pPr>
      <w:r w:rsidRPr="00513849">
        <w:rPr>
          <w:b/>
          <w:caps/>
          <w:kern w:val="22"/>
          <w:szCs w:val="22"/>
          <w:lang w:val="es-ES"/>
        </w:rPr>
        <w:t>Element</w:t>
      </w:r>
      <w:r w:rsidR="00513849" w:rsidRPr="00513849">
        <w:rPr>
          <w:b/>
          <w:caps/>
          <w:kern w:val="22"/>
          <w:szCs w:val="22"/>
          <w:lang w:val="es-ES"/>
        </w:rPr>
        <w:t>O</w:t>
      </w:r>
      <w:r w:rsidRPr="00513849">
        <w:rPr>
          <w:b/>
          <w:caps/>
          <w:kern w:val="22"/>
          <w:szCs w:val="22"/>
          <w:lang w:val="es-ES"/>
        </w:rPr>
        <w:t xml:space="preserve">s </w:t>
      </w:r>
      <w:r w:rsidR="00513849" w:rsidRPr="00CD044F">
        <w:rPr>
          <w:b/>
          <w:caps/>
          <w:kern w:val="22"/>
          <w:szCs w:val="22"/>
          <w:lang w:val="es-ES"/>
        </w:rPr>
        <w:t xml:space="preserve">PARA LA EVALUACIÓN DEL MARCO ESTRATÉGICO PARA LA CREACIÓN Y </w:t>
      </w:r>
      <w:r w:rsidR="00513849" w:rsidRPr="00CD044F">
        <w:rPr>
          <w:b/>
          <w:caps/>
          <w:kern w:val="22"/>
          <w:szCs w:val="22"/>
          <w:lang w:val="es-ES"/>
        </w:rPr>
        <w:br/>
        <w:t xml:space="preserve">EL DESARROLLO DE CAPACIDAD EN APOYO A LA APLICACIÓN EFECTIVA DEL </w:t>
      </w:r>
      <w:r w:rsidR="00513849" w:rsidRPr="00CD044F">
        <w:rPr>
          <w:b/>
          <w:caps/>
          <w:kern w:val="22"/>
          <w:szCs w:val="22"/>
          <w:lang w:val="es-ES"/>
        </w:rPr>
        <w:br/>
        <w:t>PROTOCOLO DE NAGOYA</w:t>
      </w:r>
      <w:r w:rsidR="00513849" w:rsidRPr="00513849">
        <w:rPr>
          <w:b/>
          <w:caps/>
          <w:kern w:val="22"/>
          <w:szCs w:val="22"/>
          <w:lang w:val="es-ES"/>
        </w:rPr>
        <w:t xml:space="preserve"> </w:t>
      </w:r>
    </w:p>
    <w:p w:rsidR="009E044D" w:rsidRPr="00CF4188" w:rsidRDefault="009E044D" w:rsidP="000C6220">
      <w:pPr>
        <w:keepNext/>
        <w:suppressLineNumbers/>
        <w:tabs>
          <w:tab w:val="left" w:pos="426"/>
        </w:tabs>
        <w:suppressAutoHyphens/>
        <w:kinsoku w:val="0"/>
        <w:overflowPunct w:val="0"/>
        <w:autoSpaceDE w:val="0"/>
        <w:autoSpaceDN w:val="0"/>
        <w:snapToGrid w:val="0"/>
        <w:spacing w:before="120" w:line="240" w:lineRule="auto"/>
        <w:jc w:val="center"/>
        <w:rPr>
          <w:b/>
          <w:kern w:val="22"/>
          <w:szCs w:val="22"/>
          <w:lang w:val="es-ES"/>
        </w:rPr>
      </w:pPr>
      <w:r w:rsidRPr="00CF4188">
        <w:rPr>
          <w:b/>
          <w:kern w:val="22"/>
          <w:szCs w:val="22"/>
          <w:lang w:val="es-ES"/>
        </w:rPr>
        <w:t>A.</w:t>
      </w:r>
      <w:r w:rsidRPr="00CF4188">
        <w:rPr>
          <w:b/>
          <w:kern w:val="22"/>
          <w:szCs w:val="22"/>
          <w:lang w:val="es-ES"/>
        </w:rPr>
        <w:tab/>
      </w:r>
      <w:r w:rsidR="00CF4188" w:rsidRPr="00CD044F">
        <w:rPr>
          <w:b/>
          <w:kern w:val="22"/>
          <w:szCs w:val="22"/>
          <w:lang w:val="es-ES"/>
        </w:rPr>
        <w:t>Alcance y objetivos de la evaluación</w:t>
      </w:r>
      <w:r w:rsidR="00CF4188" w:rsidRPr="00CF4188">
        <w:rPr>
          <w:b/>
          <w:kern w:val="22"/>
          <w:szCs w:val="22"/>
          <w:lang w:val="es-ES"/>
        </w:rPr>
        <w:t xml:space="preserve"> </w:t>
      </w:r>
    </w:p>
    <w:p w:rsidR="009E044D" w:rsidRPr="00CF4188" w:rsidRDefault="009E044D" w:rsidP="000C6220">
      <w:pPr>
        <w:suppressLineNumbers/>
        <w:suppressAutoHyphens/>
        <w:kinsoku w:val="0"/>
        <w:overflowPunct w:val="0"/>
        <w:autoSpaceDE w:val="0"/>
        <w:autoSpaceDN w:val="0"/>
        <w:snapToGrid w:val="0"/>
        <w:spacing w:before="120" w:line="240" w:lineRule="auto"/>
        <w:rPr>
          <w:snapToGrid w:val="0"/>
          <w:kern w:val="22"/>
          <w:szCs w:val="22"/>
          <w:lang w:val="es-ES"/>
        </w:rPr>
      </w:pPr>
      <w:r w:rsidRPr="00CF4188">
        <w:rPr>
          <w:snapToGrid w:val="0"/>
          <w:kern w:val="22"/>
          <w:szCs w:val="22"/>
          <w:lang w:val="es-ES"/>
        </w:rPr>
        <w:t>1.</w:t>
      </w:r>
      <w:r w:rsidRPr="00CF4188">
        <w:rPr>
          <w:snapToGrid w:val="0"/>
          <w:kern w:val="22"/>
          <w:szCs w:val="22"/>
          <w:lang w:val="es-ES"/>
        </w:rPr>
        <w:tab/>
      </w:r>
      <w:r w:rsidR="00CF4188" w:rsidRPr="003E0A23">
        <w:rPr>
          <w:snapToGrid w:val="0"/>
          <w:kern w:val="22"/>
          <w:szCs w:val="22"/>
          <w:lang w:val="es-ES"/>
        </w:rPr>
        <w:t>Se propone que el ejercicio se centre en evaluar la pertinencia y eficacia del marco estratégico para orientar la labor de creación y desarrollo de capacidad en el corto y mediano plazo (2014-2020) y en formular recomendaciones que podrían ser útiles para la posible revisión del marco estratégico después de 2020. En otras palabras, el objetivo de la evaluación será determinar la contribución del marco en términos de ayudar a promover un enfoque estratégico, coherente y coordinado para la creación y el desarrollo de capacidad para la aplicación efectiva del Protocolo de Nagoya</w:t>
      </w:r>
      <w:r w:rsidRPr="00CF4188">
        <w:rPr>
          <w:snapToGrid w:val="0"/>
          <w:kern w:val="22"/>
          <w:szCs w:val="22"/>
          <w:lang w:val="es-ES"/>
        </w:rPr>
        <w:t>.</w:t>
      </w:r>
    </w:p>
    <w:p w:rsidR="009E044D" w:rsidRPr="00CF4188" w:rsidRDefault="009E044D" w:rsidP="000C6220">
      <w:pPr>
        <w:suppressLineNumbers/>
        <w:suppressAutoHyphens/>
        <w:kinsoku w:val="0"/>
        <w:overflowPunct w:val="0"/>
        <w:autoSpaceDE w:val="0"/>
        <w:autoSpaceDN w:val="0"/>
        <w:snapToGrid w:val="0"/>
        <w:spacing w:before="120" w:line="240" w:lineRule="auto"/>
        <w:rPr>
          <w:snapToGrid w:val="0"/>
          <w:kern w:val="22"/>
          <w:szCs w:val="22"/>
          <w:lang w:val="es-ES"/>
        </w:rPr>
      </w:pPr>
      <w:r w:rsidRPr="00CF4188">
        <w:rPr>
          <w:snapToGrid w:val="0"/>
          <w:kern w:val="22"/>
          <w:szCs w:val="22"/>
          <w:lang w:val="es-ES"/>
        </w:rPr>
        <w:t>2.</w:t>
      </w:r>
      <w:r w:rsidRPr="00CF4188">
        <w:rPr>
          <w:snapToGrid w:val="0"/>
          <w:kern w:val="22"/>
          <w:szCs w:val="22"/>
          <w:lang w:val="es-ES"/>
        </w:rPr>
        <w:tab/>
      </w:r>
      <w:r w:rsidR="00CF4188" w:rsidRPr="003E0A23">
        <w:rPr>
          <w:snapToGrid w:val="0"/>
          <w:kern w:val="22"/>
          <w:szCs w:val="22"/>
          <w:lang w:val="es-ES"/>
        </w:rPr>
        <w:t>La evaluación tendrá tres objetivos específicos</w:t>
      </w:r>
      <w:r w:rsidRPr="00CF4188">
        <w:rPr>
          <w:snapToGrid w:val="0"/>
          <w:kern w:val="22"/>
          <w:szCs w:val="22"/>
          <w:lang w:val="es-ES"/>
        </w:rPr>
        <w:t>:</w:t>
      </w:r>
    </w:p>
    <w:p w:rsidR="009E044D" w:rsidRPr="00CF4188" w:rsidRDefault="00CF4188" w:rsidP="000C6220">
      <w:pPr>
        <w:suppressLineNumbers/>
        <w:suppressAutoHyphens/>
        <w:kinsoku w:val="0"/>
        <w:overflowPunct w:val="0"/>
        <w:autoSpaceDE w:val="0"/>
        <w:autoSpaceDN w:val="0"/>
        <w:snapToGrid w:val="0"/>
        <w:spacing w:before="120" w:line="240" w:lineRule="auto"/>
        <w:ind w:firstLine="720"/>
        <w:rPr>
          <w:kern w:val="22"/>
          <w:szCs w:val="22"/>
          <w:lang w:val="es-ES"/>
        </w:rPr>
      </w:pPr>
      <w:r w:rsidRPr="00C5131C">
        <w:rPr>
          <w:kern w:val="22"/>
          <w:szCs w:val="22"/>
          <w:lang w:val="es-ES"/>
        </w:rPr>
        <w:lastRenderedPageBreak/>
        <w:t xml:space="preserve"> </w:t>
      </w:r>
      <w:r w:rsidR="009E044D" w:rsidRPr="00CF4188">
        <w:rPr>
          <w:kern w:val="22"/>
          <w:szCs w:val="22"/>
          <w:lang w:val="es-ES"/>
        </w:rPr>
        <w:t>a)</w:t>
      </w:r>
      <w:r w:rsidR="009E044D" w:rsidRPr="00CF4188">
        <w:rPr>
          <w:kern w:val="22"/>
          <w:szCs w:val="22"/>
          <w:lang w:val="es-ES"/>
        </w:rPr>
        <w:tab/>
      </w:r>
      <w:r w:rsidRPr="003E0A23">
        <w:rPr>
          <w:snapToGrid w:val="0"/>
          <w:kern w:val="22"/>
          <w:szCs w:val="22"/>
          <w:lang w:val="es-ES"/>
        </w:rPr>
        <w:t>Hacer un balance y un examen de los progresos alcanzados en la implementación del marco estratégico, incluidos los principales logros por área clave del marco estratégico, las limitaciones y las lecciones aprendidas desde su adopción en 2014, basándose en el logro de los objetivos del marco estratégic</w:t>
      </w:r>
      <w:r>
        <w:rPr>
          <w:snapToGrid w:val="0"/>
          <w:kern w:val="22"/>
          <w:szCs w:val="22"/>
          <w:lang w:val="es-ES"/>
        </w:rPr>
        <w:t>o</w:t>
      </w:r>
      <w:r w:rsidR="009E044D" w:rsidRPr="00EE0850">
        <w:rPr>
          <w:rStyle w:val="Refdenotaalpie"/>
          <w:kern w:val="22"/>
          <w:sz w:val="22"/>
          <w:szCs w:val="22"/>
          <w:u w:val="none"/>
          <w:vertAlign w:val="superscript"/>
        </w:rPr>
        <w:footnoteReference w:id="14"/>
      </w:r>
      <w:r w:rsidRPr="00CF4188">
        <w:rPr>
          <w:kern w:val="22"/>
          <w:szCs w:val="22"/>
          <w:lang w:val="es-ES"/>
        </w:rPr>
        <w:t>;</w:t>
      </w:r>
    </w:p>
    <w:p w:rsidR="009E044D" w:rsidRPr="00CF4188" w:rsidRDefault="00CF4188" w:rsidP="000C6220">
      <w:pPr>
        <w:suppressLineNumbers/>
        <w:suppressAutoHyphens/>
        <w:kinsoku w:val="0"/>
        <w:overflowPunct w:val="0"/>
        <w:autoSpaceDE w:val="0"/>
        <w:autoSpaceDN w:val="0"/>
        <w:snapToGrid w:val="0"/>
        <w:spacing w:before="120" w:line="240" w:lineRule="auto"/>
        <w:ind w:firstLine="720"/>
        <w:rPr>
          <w:kern w:val="22"/>
          <w:szCs w:val="22"/>
          <w:lang w:val="es-ES"/>
        </w:rPr>
      </w:pPr>
      <w:r w:rsidRPr="00CF4188">
        <w:rPr>
          <w:kern w:val="22"/>
          <w:szCs w:val="22"/>
          <w:lang w:val="es-ES"/>
        </w:rPr>
        <w:t xml:space="preserve"> </w:t>
      </w:r>
      <w:r w:rsidR="009E044D" w:rsidRPr="00CF4188">
        <w:rPr>
          <w:kern w:val="22"/>
          <w:szCs w:val="22"/>
          <w:lang w:val="es-ES"/>
        </w:rPr>
        <w:t>b)</w:t>
      </w:r>
      <w:r w:rsidR="009E044D" w:rsidRPr="00CF4188">
        <w:rPr>
          <w:kern w:val="22"/>
          <w:szCs w:val="22"/>
          <w:lang w:val="es-ES"/>
        </w:rPr>
        <w:tab/>
      </w:r>
      <w:r w:rsidRPr="003E0A23">
        <w:rPr>
          <w:snapToGrid w:val="0"/>
          <w:kern w:val="22"/>
          <w:szCs w:val="22"/>
          <w:lang w:val="es-ES"/>
        </w:rPr>
        <w:t>Examinar la pertinencia y eficacia del marco estratégico para orientar y facilitar la labor de creación</w:t>
      </w:r>
      <w:r w:rsidR="009E044D" w:rsidRPr="00CF4188">
        <w:rPr>
          <w:kern w:val="22"/>
          <w:szCs w:val="22"/>
          <w:lang w:val="es-ES"/>
        </w:rPr>
        <w:t>;</w:t>
      </w:r>
    </w:p>
    <w:p w:rsidR="009E044D" w:rsidRPr="00CF4188" w:rsidRDefault="00CF4188" w:rsidP="000C6220">
      <w:pPr>
        <w:suppressLineNumbers/>
        <w:suppressAutoHyphens/>
        <w:kinsoku w:val="0"/>
        <w:overflowPunct w:val="0"/>
        <w:autoSpaceDE w:val="0"/>
        <w:autoSpaceDN w:val="0"/>
        <w:snapToGrid w:val="0"/>
        <w:spacing w:before="120" w:line="240" w:lineRule="auto"/>
        <w:ind w:firstLine="720"/>
        <w:rPr>
          <w:kern w:val="22"/>
          <w:szCs w:val="22"/>
          <w:lang w:val="es-ES"/>
        </w:rPr>
      </w:pPr>
      <w:r w:rsidRPr="00CF4188">
        <w:rPr>
          <w:kern w:val="22"/>
          <w:szCs w:val="22"/>
          <w:lang w:val="es-ES"/>
        </w:rPr>
        <w:t xml:space="preserve"> </w:t>
      </w:r>
      <w:r w:rsidR="009E044D" w:rsidRPr="00CF4188">
        <w:rPr>
          <w:kern w:val="22"/>
          <w:szCs w:val="22"/>
          <w:lang w:val="es-ES"/>
        </w:rPr>
        <w:t>c)</w:t>
      </w:r>
      <w:r w:rsidR="009E044D" w:rsidRPr="00CF4188">
        <w:rPr>
          <w:kern w:val="22"/>
          <w:szCs w:val="22"/>
          <w:lang w:val="es-ES"/>
        </w:rPr>
        <w:tab/>
      </w:r>
      <w:r w:rsidRPr="003E0A23">
        <w:rPr>
          <w:snapToGrid w:val="0"/>
          <w:kern w:val="22"/>
          <w:szCs w:val="22"/>
          <w:lang w:val="es-ES"/>
        </w:rPr>
        <w:t>Proponer opciones y formular recomendaciones para impulsar la creación de capacidad en apoyo a la aplicación del Protocolo de Nagoya, que podrían tenerse en cuenta en la preparación del marco estratégico a largo plazo para la creación y el desarrollo de capacidad después de 2020, de conformidad con la decisión XIII/23 de la Conferencia de las Partes</w:t>
      </w:r>
      <w:r w:rsidR="009E044D" w:rsidRPr="00CF4188">
        <w:rPr>
          <w:kern w:val="22"/>
          <w:szCs w:val="22"/>
          <w:lang w:val="es-ES"/>
        </w:rPr>
        <w:t>.</w:t>
      </w:r>
    </w:p>
    <w:p w:rsidR="009E044D" w:rsidRPr="00CF4188" w:rsidRDefault="009E044D" w:rsidP="000C6220">
      <w:pPr>
        <w:keepNext/>
        <w:suppressLineNumbers/>
        <w:suppressAutoHyphens/>
        <w:kinsoku w:val="0"/>
        <w:overflowPunct w:val="0"/>
        <w:autoSpaceDE w:val="0"/>
        <w:autoSpaceDN w:val="0"/>
        <w:snapToGrid w:val="0"/>
        <w:spacing w:before="120" w:line="240" w:lineRule="auto"/>
        <w:jc w:val="center"/>
        <w:rPr>
          <w:b/>
          <w:kern w:val="22"/>
          <w:szCs w:val="22"/>
          <w:lang w:val="es-ES"/>
        </w:rPr>
      </w:pPr>
      <w:r w:rsidRPr="00CF4188">
        <w:rPr>
          <w:b/>
          <w:kern w:val="22"/>
          <w:szCs w:val="22"/>
          <w:lang w:val="es-ES"/>
        </w:rPr>
        <w:t>B.</w:t>
      </w:r>
      <w:r w:rsidRPr="00CF4188">
        <w:rPr>
          <w:b/>
          <w:kern w:val="22"/>
          <w:szCs w:val="22"/>
          <w:lang w:val="es-ES"/>
        </w:rPr>
        <w:tab/>
      </w:r>
      <w:r w:rsidR="00CF4188" w:rsidRPr="003E0A23">
        <w:rPr>
          <w:b/>
          <w:bCs/>
          <w:kern w:val="22"/>
          <w:szCs w:val="22"/>
          <w:lang w:val="es-ES" w:eastAsia="en-CA"/>
        </w:rPr>
        <w:t>Metodología y fuentes de información</w:t>
      </w:r>
    </w:p>
    <w:p w:rsidR="009E044D" w:rsidRPr="00CF4188" w:rsidRDefault="009E044D" w:rsidP="000C6220">
      <w:pPr>
        <w:suppressLineNumbers/>
        <w:suppressAutoHyphens/>
        <w:kinsoku w:val="0"/>
        <w:overflowPunct w:val="0"/>
        <w:autoSpaceDE w:val="0"/>
        <w:autoSpaceDN w:val="0"/>
        <w:snapToGrid w:val="0"/>
        <w:spacing w:before="120" w:line="240" w:lineRule="auto"/>
        <w:rPr>
          <w:snapToGrid w:val="0"/>
          <w:kern w:val="22"/>
          <w:szCs w:val="22"/>
          <w:lang w:val="es-ES"/>
        </w:rPr>
      </w:pPr>
      <w:r w:rsidRPr="00CF4188">
        <w:rPr>
          <w:snapToGrid w:val="0"/>
          <w:kern w:val="22"/>
          <w:szCs w:val="22"/>
          <w:lang w:val="es-ES"/>
        </w:rPr>
        <w:t>3.</w:t>
      </w:r>
      <w:r w:rsidRPr="00CF4188">
        <w:rPr>
          <w:snapToGrid w:val="0"/>
          <w:kern w:val="22"/>
          <w:szCs w:val="22"/>
          <w:lang w:val="es-ES"/>
        </w:rPr>
        <w:tab/>
      </w:r>
      <w:r w:rsidR="00CF4188" w:rsidRPr="003E0A23">
        <w:rPr>
          <w:snapToGrid w:val="0"/>
          <w:kern w:val="22"/>
          <w:szCs w:val="22"/>
          <w:lang w:val="es-ES"/>
        </w:rPr>
        <w:t>La Secretaría será la encargada de llevar a cabo la evaluación en 2019 con aportes de las Partes, organizaciones internacionales y otros interesados directos pertinentes. Se emplearán tres métodos principales de recolección de datos: a) examen de documentación; b) una encuesta en línea; y c) entrevistas con representantes de organizaciones clave que se dedican a la creación y el desarrollo de capacidad relacionadas con el acceso y la participación en los beneficios</w:t>
      </w:r>
      <w:r w:rsidRPr="00CF4188">
        <w:rPr>
          <w:snapToGrid w:val="0"/>
          <w:kern w:val="22"/>
          <w:szCs w:val="22"/>
          <w:lang w:val="es-ES"/>
        </w:rPr>
        <w:t>.</w:t>
      </w:r>
    </w:p>
    <w:p w:rsidR="009E044D" w:rsidRPr="00CF4188" w:rsidRDefault="009E044D" w:rsidP="000C6220">
      <w:pPr>
        <w:suppressLineNumbers/>
        <w:suppressAutoHyphens/>
        <w:kinsoku w:val="0"/>
        <w:overflowPunct w:val="0"/>
        <w:autoSpaceDE w:val="0"/>
        <w:autoSpaceDN w:val="0"/>
        <w:snapToGrid w:val="0"/>
        <w:spacing w:before="120" w:line="240" w:lineRule="auto"/>
        <w:rPr>
          <w:snapToGrid w:val="0"/>
          <w:kern w:val="22"/>
          <w:szCs w:val="22"/>
          <w:lang w:val="es-ES"/>
        </w:rPr>
      </w:pPr>
      <w:r w:rsidRPr="00CF4188">
        <w:rPr>
          <w:snapToGrid w:val="0"/>
          <w:kern w:val="22"/>
          <w:szCs w:val="22"/>
          <w:lang w:val="es-ES"/>
        </w:rPr>
        <w:t>4.</w:t>
      </w:r>
      <w:r w:rsidRPr="00CF4188">
        <w:rPr>
          <w:snapToGrid w:val="0"/>
          <w:kern w:val="22"/>
          <w:szCs w:val="22"/>
          <w:lang w:val="es-ES"/>
        </w:rPr>
        <w:tab/>
      </w:r>
      <w:r w:rsidR="00CF4188" w:rsidRPr="00BC2798">
        <w:rPr>
          <w:snapToGrid w:val="0"/>
          <w:kern w:val="22"/>
          <w:szCs w:val="22"/>
          <w:lang w:val="es-ES"/>
        </w:rPr>
        <w:t xml:space="preserve">Se </w:t>
      </w:r>
      <w:r w:rsidR="00CF4188">
        <w:rPr>
          <w:snapToGrid w:val="0"/>
          <w:kern w:val="22"/>
          <w:szCs w:val="22"/>
          <w:lang w:val="es-ES"/>
        </w:rPr>
        <w:t>proponen</w:t>
      </w:r>
      <w:r w:rsidR="00CF4188" w:rsidRPr="00BC2798">
        <w:rPr>
          <w:snapToGrid w:val="0"/>
          <w:kern w:val="22"/>
          <w:szCs w:val="22"/>
          <w:lang w:val="es-ES"/>
        </w:rPr>
        <w:t xml:space="preserve"> </w:t>
      </w:r>
      <w:r w:rsidR="00CF4188" w:rsidRPr="003E0A23">
        <w:rPr>
          <w:snapToGrid w:val="0"/>
          <w:kern w:val="22"/>
          <w:szCs w:val="22"/>
          <w:lang w:val="es-ES"/>
        </w:rPr>
        <w:t>las siguientes preguntas y subpreguntas para orientar la revisión</w:t>
      </w:r>
      <w:r w:rsidRPr="00CF4188">
        <w:rPr>
          <w:snapToGrid w:val="0"/>
          <w:kern w:val="22"/>
          <w:szCs w:val="22"/>
          <w:lang w:val="es-ES"/>
        </w:rPr>
        <w:t>:</w:t>
      </w:r>
    </w:p>
    <w:p w:rsidR="009E044D" w:rsidRPr="00CF4188" w:rsidRDefault="00CF4188" w:rsidP="000C6220">
      <w:pPr>
        <w:suppressLineNumbers/>
        <w:suppressAutoHyphens/>
        <w:kinsoku w:val="0"/>
        <w:overflowPunct w:val="0"/>
        <w:autoSpaceDE w:val="0"/>
        <w:autoSpaceDN w:val="0"/>
        <w:snapToGrid w:val="0"/>
        <w:spacing w:before="120" w:line="240" w:lineRule="auto"/>
        <w:ind w:firstLine="720"/>
        <w:rPr>
          <w:bCs/>
          <w:kern w:val="22"/>
          <w:szCs w:val="22"/>
          <w:lang w:val="es-ES"/>
        </w:rPr>
      </w:pPr>
      <w:r w:rsidRPr="00C5131C">
        <w:rPr>
          <w:bCs/>
          <w:kern w:val="22"/>
          <w:szCs w:val="22"/>
          <w:lang w:val="es-ES"/>
        </w:rPr>
        <w:t xml:space="preserve"> </w:t>
      </w:r>
      <w:r w:rsidRPr="00CF4188">
        <w:rPr>
          <w:bCs/>
          <w:kern w:val="22"/>
          <w:szCs w:val="22"/>
          <w:lang w:val="es-ES"/>
        </w:rPr>
        <w:t>a)</w:t>
      </w:r>
      <w:r w:rsidRPr="00CF4188">
        <w:rPr>
          <w:bCs/>
          <w:kern w:val="22"/>
          <w:szCs w:val="22"/>
          <w:lang w:val="es-ES"/>
        </w:rPr>
        <w:tab/>
      </w:r>
      <w:r w:rsidRPr="00BC2798">
        <w:rPr>
          <w:bCs/>
          <w:kern w:val="22"/>
          <w:szCs w:val="22"/>
          <w:lang w:val="es-ES"/>
        </w:rPr>
        <w:t>¿Qué progresos ha habido en la implementación del marco estratégico</w:t>
      </w:r>
      <w:r w:rsidR="009E044D" w:rsidRPr="00CF4188">
        <w:rPr>
          <w:bCs/>
          <w:kern w:val="22"/>
          <w:szCs w:val="22"/>
          <w:lang w:val="es-ES"/>
        </w:rPr>
        <w:t>?</w:t>
      </w:r>
    </w:p>
    <w:p w:rsidR="009E044D" w:rsidRPr="00CF4188" w:rsidRDefault="00CF4188" w:rsidP="000C6220">
      <w:pPr>
        <w:suppressLineNumbers/>
        <w:suppressAutoHyphens/>
        <w:kinsoku w:val="0"/>
        <w:overflowPunct w:val="0"/>
        <w:autoSpaceDE w:val="0"/>
        <w:autoSpaceDN w:val="0"/>
        <w:snapToGrid w:val="0"/>
        <w:spacing w:before="120" w:line="240" w:lineRule="auto"/>
        <w:ind w:left="1418" w:hanging="708"/>
        <w:rPr>
          <w:kern w:val="22"/>
          <w:szCs w:val="22"/>
          <w:lang w:val="es-ES"/>
        </w:rPr>
      </w:pPr>
      <w:r w:rsidRPr="00CF4188">
        <w:rPr>
          <w:kern w:val="22"/>
          <w:szCs w:val="22"/>
          <w:lang w:val="es-ES"/>
        </w:rPr>
        <w:t xml:space="preserve"> </w:t>
      </w:r>
      <w:r w:rsidR="009E044D" w:rsidRPr="00CF4188">
        <w:rPr>
          <w:kern w:val="22"/>
          <w:szCs w:val="22"/>
          <w:lang w:val="es-ES"/>
        </w:rPr>
        <w:t>i)</w:t>
      </w:r>
      <w:r w:rsidR="009E044D" w:rsidRPr="00CF4188">
        <w:rPr>
          <w:kern w:val="22"/>
          <w:szCs w:val="22"/>
          <w:lang w:val="es-ES"/>
        </w:rPr>
        <w:tab/>
      </w:r>
      <w:r w:rsidRPr="00BC2798">
        <w:rPr>
          <w:kern w:val="22"/>
          <w:szCs w:val="22"/>
          <w:lang w:val="es-ES"/>
        </w:rPr>
        <w:t>¿</w:t>
      </w:r>
      <w:r w:rsidRPr="003E0A23">
        <w:rPr>
          <w:kern w:val="22"/>
          <w:szCs w:val="22"/>
          <w:lang w:val="es-ES"/>
        </w:rPr>
        <w:t>Cuáles son los principales logros en relación con la implementación del marco estratégico</w:t>
      </w:r>
      <w:r w:rsidR="009E044D" w:rsidRPr="00CF4188">
        <w:rPr>
          <w:kern w:val="22"/>
          <w:szCs w:val="22"/>
          <w:lang w:val="es-ES"/>
        </w:rPr>
        <w:t>?</w:t>
      </w:r>
    </w:p>
    <w:p w:rsidR="009E044D" w:rsidRPr="00CF4188" w:rsidRDefault="00CF4188" w:rsidP="000C6220">
      <w:pPr>
        <w:suppressLineNumbers/>
        <w:suppressAutoHyphens/>
        <w:kinsoku w:val="0"/>
        <w:overflowPunct w:val="0"/>
        <w:autoSpaceDE w:val="0"/>
        <w:autoSpaceDN w:val="0"/>
        <w:snapToGrid w:val="0"/>
        <w:spacing w:before="120" w:line="240" w:lineRule="auto"/>
        <w:ind w:left="1418" w:hanging="708"/>
        <w:rPr>
          <w:kern w:val="22"/>
          <w:szCs w:val="22"/>
          <w:lang w:val="es-ES"/>
        </w:rPr>
      </w:pPr>
      <w:r w:rsidRPr="00CF4188">
        <w:rPr>
          <w:kern w:val="22"/>
          <w:szCs w:val="22"/>
          <w:lang w:val="es-ES"/>
        </w:rPr>
        <w:t xml:space="preserve"> </w:t>
      </w:r>
      <w:r w:rsidR="009E044D" w:rsidRPr="00CF4188">
        <w:rPr>
          <w:kern w:val="22"/>
          <w:szCs w:val="22"/>
          <w:lang w:val="es-ES"/>
        </w:rPr>
        <w:t>ii)</w:t>
      </w:r>
      <w:r w:rsidR="009E044D" w:rsidRPr="00CF4188">
        <w:rPr>
          <w:kern w:val="22"/>
          <w:szCs w:val="22"/>
          <w:lang w:val="es-ES"/>
        </w:rPr>
        <w:tab/>
      </w:r>
      <w:r w:rsidRPr="003E0A23">
        <w:rPr>
          <w:kern w:val="22"/>
          <w:szCs w:val="22"/>
          <w:lang w:val="es-ES"/>
        </w:rPr>
        <w:t>¿Qué progresos ha habido en el fortalecimiento de capacidades en las cinco áreas clave</w:t>
      </w:r>
      <w:r w:rsidR="009E044D" w:rsidRPr="00EE0850">
        <w:rPr>
          <w:kern w:val="22"/>
          <w:szCs w:val="22"/>
          <w:vertAlign w:val="superscript"/>
        </w:rPr>
        <w:footnoteReference w:id="15"/>
      </w:r>
      <w:r w:rsidR="009E044D" w:rsidRPr="00CF4188">
        <w:rPr>
          <w:kern w:val="22"/>
          <w:szCs w:val="22"/>
          <w:lang w:val="es-ES"/>
        </w:rPr>
        <w:t xml:space="preserve"> identifi</w:t>
      </w:r>
      <w:r>
        <w:rPr>
          <w:kern w:val="22"/>
          <w:szCs w:val="22"/>
          <w:lang w:val="es-ES"/>
        </w:rPr>
        <w:t xml:space="preserve">cadas </w:t>
      </w:r>
      <w:r w:rsidRPr="003E0A23">
        <w:rPr>
          <w:kern w:val="22"/>
          <w:szCs w:val="22"/>
          <w:lang w:val="es-ES"/>
        </w:rPr>
        <w:t>en el marco estratégico</w:t>
      </w:r>
      <w:r w:rsidR="009E044D" w:rsidRPr="00CF4188">
        <w:rPr>
          <w:kern w:val="22"/>
          <w:szCs w:val="22"/>
          <w:lang w:val="es-ES"/>
        </w:rPr>
        <w:t>?</w:t>
      </w:r>
    </w:p>
    <w:p w:rsidR="009E044D" w:rsidRPr="00CF4188" w:rsidRDefault="00CF4188" w:rsidP="000C6220">
      <w:pPr>
        <w:suppressLineNumbers/>
        <w:suppressAutoHyphens/>
        <w:kinsoku w:val="0"/>
        <w:overflowPunct w:val="0"/>
        <w:autoSpaceDE w:val="0"/>
        <w:autoSpaceDN w:val="0"/>
        <w:snapToGrid w:val="0"/>
        <w:spacing w:before="120" w:line="240" w:lineRule="auto"/>
        <w:ind w:left="1418" w:hanging="708"/>
        <w:rPr>
          <w:kern w:val="22"/>
          <w:szCs w:val="22"/>
          <w:lang w:val="es-ES"/>
        </w:rPr>
      </w:pPr>
      <w:r w:rsidRPr="00CF4188">
        <w:rPr>
          <w:kern w:val="22"/>
          <w:szCs w:val="22"/>
          <w:lang w:val="es-ES"/>
        </w:rPr>
        <w:t xml:space="preserve"> </w:t>
      </w:r>
      <w:r w:rsidR="009E044D" w:rsidRPr="00CF4188">
        <w:rPr>
          <w:kern w:val="22"/>
          <w:szCs w:val="22"/>
          <w:lang w:val="es-ES"/>
        </w:rPr>
        <w:t>iii)</w:t>
      </w:r>
      <w:r w:rsidR="009E044D" w:rsidRPr="00CF4188">
        <w:rPr>
          <w:kern w:val="22"/>
          <w:szCs w:val="22"/>
          <w:lang w:val="es-ES"/>
        </w:rPr>
        <w:tab/>
      </w:r>
      <w:r w:rsidRPr="003E0A23">
        <w:rPr>
          <w:kern w:val="22"/>
          <w:szCs w:val="22"/>
          <w:lang w:val="es-ES"/>
        </w:rPr>
        <w:t>¿Existen carencias (ya sea temáticas o geográficas) en la implementación del marco estratégico</w:t>
      </w:r>
      <w:r w:rsidR="009E044D" w:rsidRPr="00CF4188">
        <w:rPr>
          <w:kern w:val="22"/>
          <w:szCs w:val="22"/>
          <w:lang w:val="es-ES"/>
        </w:rPr>
        <w:t>?</w:t>
      </w:r>
    </w:p>
    <w:p w:rsidR="009E044D" w:rsidRPr="00CF4188" w:rsidRDefault="00CF4188" w:rsidP="000C6220">
      <w:pPr>
        <w:suppressLineNumbers/>
        <w:suppressAutoHyphens/>
        <w:kinsoku w:val="0"/>
        <w:overflowPunct w:val="0"/>
        <w:autoSpaceDE w:val="0"/>
        <w:autoSpaceDN w:val="0"/>
        <w:snapToGrid w:val="0"/>
        <w:spacing w:before="120" w:line="240" w:lineRule="auto"/>
        <w:ind w:left="1418" w:hanging="708"/>
        <w:rPr>
          <w:kern w:val="22"/>
          <w:szCs w:val="22"/>
          <w:lang w:val="es-ES"/>
        </w:rPr>
      </w:pPr>
      <w:r w:rsidRPr="00CF4188">
        <w:rPr>
          <w:kern w:val="22"/>
          <w:szCs w:val="22"/>
          <w:lang w:val="es-ES"/>
        </w:rPr>
        <w:t xml:space="preserve"> </w:t>
      </w:r>
      <w:r w:rsidR="009E044D" w:rsidRPr="00CF4188">
        <w:rPr>
          <w:kern w:val="22"/>
          <w:szCs w:val="22"/>
          <w:lang w:val="es-ES"/>
        </w:rPr>
        <w:t>iv)</w:t>
      </w:r>
      <w:r w:rsidR="009E044D" w:rsidRPr="00CF4188">
        <w:rPr>
          <w:kern w:val="22"/>
          <w:szCs w:val="22"/>
          <w:lang w:val="es-ES"/>
        </w:rPr>
        <w:tab/>
      </w:r>
      <w:r w:rsidRPr="003E0A23">
        <w:rPr>
          <w:kern w:val="22"/>
          <w:szCs w:val="22"/>
          <w:lang w:val="es-ES"/>
        </w:rPr>
        <w:t>¿Se han utilizado las medidas y actividades de creación de capacidad propuestas en el apéndice II del marco estratégico en las iniciativas de creación de capacidad</w:t>
      </w:r>
      <w:r w:rsidR="009E044D" w:rsidRPr="00CF4188">
        <w:rPr>
          <w:kern w:val="22"/>
          <w:szCs w:val="22"/>
          <w:lang w:val="es-ES"/>
        </w:rPr>
        <w:t>?</w:t>
      </w:r>
    </w:p>
    <w:p w:rsidR="009E044D" w:rsidRPr="00CF4188" w:rsidRDefault="00CF4188" w:rsidP="000C6220">
      <w:pPr>
        <w:suppressLineNumbers/>
        <w:suppressAutoHyphens/>
        <w:kinsoku w:val="0"/>
        <w:overflowPunct w:val="0"/>
        <w:autoSpaceDE w:val="0"/>
        <w:autoSpaceDN w:val="0"/>
        <w:snapToGrid w:val="0"/>
        <w:spacing w:before="120" w:line="240" w:lineRule="auto"/>
        <w:ind w:left="1418" w:hanging="708"/>
        <w:rPr>
          <w:kern w:val="22"/>
          <w:szCs w:val="22"/>
          <w:lang w:val="es-ES"/>
        </w:rPr>
      </w:pPr>
      <w:r w:rsidRPr="00CF4188">
        <w:rPr>
          <w:kern w:val="22"/>
          <w:szCs w:val="22"/>
          <w:lang w:val="es-ES"/>
        </w:rPr>
        <w:t xml:space="preserve"> </w:t>
      </w:r>
      <w:r w:rsidR="009E044D" w:rsidRPr="00CF4188">
        <w:rPr>
          <w:kern w:val="22"/>
          <w:szCs w:val="22"/>
          <w:lang w:val="es-ES"/>
        </w:rPr>
        <w:t>v)</w:t>
      </w:r>
      <w:r w:rsidR="009E044D" w:rsidRPr="00CF4188">
        <w:rPr>
          <w:kern w:val="22"/>
          <w:szCs w:val="22"/>
          <w:lang w:val="es-ES"/>
        </w:rPr>
        <w:tab/>
      </w:r>
      <w:r w:rsidRPr="003E0A23">
        <w:rPr>
          <w:kern w:val="22"/>
          <w:szCs w:val="22"/>
          <w:lang w:val="es-ES"/>
        </w:rPr>
        <w:t>¿Cuáles han sido los principales obstáculos o dificultades en la implementación</w:t>
      </w:r>
      <w:r w:rsidR="009E044D" w:rsidRPr="00CF4188">
        <w:rPr>
          <w:kern w:val="22"/>
          <w:szCs w:val="22"/>
          <w:lang w:val="es-ES"/>
        </w:rPr>
        <w:t xml:space="preserve">? </w:t>
      </w:r>
    </w:p>
    <w:p w:rsidR="009E044D" w:rsidRPr="00CF4188" w:rsidRDefault="00CF4188" w:rsidP="000C6220">
      <w:pPr>
        <w:suppressLineNumbers/>
        <w:suppressAutoHyphens/>
        <w:kinsoku w:val="0"/>
        <w:overflowPunct w:val="0"/>
        <w:autoSpaceDE w:val="0"/>
        <w:autoSpaceDN w:val="0"/>
        <w:snapToGrid w:val="0"/>
        <w:spacing w:before="120" w:line="240" w:lineRule="auto"/>
        <w:ind w:left="1418" w:hanging="708"/>
        <w:rPr>
          <w:kern w:val="22"/>
          <w:szCs w:val="22"/>
          <w:lang w:val="es-ES"/>
        </w:rPr>
      </w:pPr>
      <w:r w:rsidRPr="00CF4188">
        <w:rPr>
          <w:kern w:val="22"/>
          <w:szCs w:val="22"/>
          <w:lang w:val="es-ES"/>
        </w:rPr>
        <w:t xml:space="preserve"> </w:t>
      </w:r>
      <w:r w:rsidR="009E044D" w:rsidRPr="00CF4188">
        <w:rPr>
          <w:kern w:val="22"/>
          <w:szCs w:val="22"/>
          <w:lang w:val="es-ES"/>
        </w:rPr>
        <w:t>vi)</w:t>
      </w:r>
      <w:r w:rsidR="009E044D" w:rsidRPr="00CF4188">
        <w:rPr>
          <w:kern w:val="22"/>
          <w:szCs w:val="22"/>
          <w:lang w:val="es-ES"/>
        </w:rPr>
        <w:tab/>
      </w:r>
      <w:r w:rsidRPr="003E0A23">
        <w:rPr>
          <w:kern w:val="22"/>
          <w:szCs w:val="22"/>
          <w:lang w:val="es-ES"/>
        </w:rPr>
        <w:t>¿Cuáles han sido los enfoques más exitosos y las lecciones surgidas de las iniciativas de creación de capacidad</w:t>
      </w:r>
      <w:r w:rsidR="009E044D" w:rsidRPr="00CF4188">
        <w:rPr>
          <w:kern w:val="22"/>
          <w:szCs w:val="22"/>
          <w:lang w:val="es-ES"/>
        </w:rPr>
        <w:t>?</w:t>
      </w:r>
    </w:p>
    <w:p w:rsidR="009E044D" w:rsidRPr="00CF4188" w:rsidRDefault="00CF4188" w:rsidP="000C6220">
      <w:pPr>
        <w:suppressLineNumbers/>
        <w:suppressAutoHyphens/>
        <w:kinsoku w:val="0"/>
        <w:overflowPunct w:val="0"/>
        <w:autoSpaceDE w:val="0"/>
        <w:autoSpaceDN w:val="0"/>
        <w:snapToGrid w:val="0"/>
        <w:spacing w:before="120" w:line="240" w:lineRule="auto"/>
        <w:ind w:firstLine="720"/>
        <w:rPr>
          <w:bCs/>
          <w:kern w:val="22"/>
          <w:szCs w:val="22"/>
          <w:lang w:val="es-ES"/>
        </w:rPr>
      </w:pPr>
      <w:r w:rsidRPr="00CF4188">
        <w:rPr>
          <w:bCs/>
          <w:kern w:val="22"/>
          <w:szCs w:val="22"/>
          <w:lang w:val="es-ES"/>
        </w:rPr>
        <w:t xml:space="preserve"> </w:t>
      </w:r>
      <w:r w:rsidR="009E044D" w:rsidRPr="00CF4188">
        <w:rPr>
          <w:bCs/>
          <w:kern w:val="22"/>
          <w:szCs w:val="22"/>
          <w:lang w:val="es-ES"/>
        </w:rPr>
        <w:t>b)</w:t>
      </w:r>
      <w:r w:rsidR="009E044D" w:rsidRPr="00CF4188">
        <w:rPr>
          <w:bCs/>
          <w:kern w:val="22"/>
          <w:szCs w:val="22"/>
          <w:lang w:val="es-ES"/>
        </w:rPr>
        <w:tab/>
      </w:r>
      <w:r w:rsidRPr="003E0A23">
        <w:rPr>
          <w:bCs/>
          <w:kern w:val="22"/>
          <w:szCs w:val="22"/>
          <w:lang w:val="es-ES"/>
        </w:rPr>
        <w:t>¿En qué medida ha sido efectivo el marco estratégico en términos de fomentar un enfoque sistemático, coherente y coordinado de la creación y el desarrollo de capacidad</w:t>
      </w:r>
      <w:r w:rsidR="009E044D" w:rsidRPr="00CF4188">
        <w:rPr>
          <w:bCs/>
          <w:kern w:val="22"/>
          <w:szCs w:val="22"/>
          <w:lang w:val="es-ES"/>
        </w:rPr>
        <w:t>?</w:t>
      </w:r>
    </w:p>
    <w:p w:rsidR="009E044D" w:rsidRPr="00CF4188" w:rsidRDefault="00CF4188" w:rsidP="000C6220">
      <w:pPr>
        <w:suppressLineNumbers/>
        <w:suppressAutoHyphens/>
        <w:kinsoku w:val="0"/>
        <w:overflowPunct w:val="0"/>
        <w:autoSpaceDE w:val="0"/>
        <w:autoSpaceDN w:val="0"/>
        <w:snapToGrid w:val="0"/>
        <w:spacing w:before="120" w:line="240" w:lineRule="auto"/>
        <w:ind w:left="1418" w:hanging="708"/>
        <w:rPr>
          <w:kern w:val="22"/>
          <w:szCs w:val="22"/>
          <w:lang w:val="es-ES"/>
        </w:rPr>
      </w:pPr>
      <w:r w:rsidRPr="00CF4188">
        <w:rPr>
          <w:kern w:val="22"/>
          <w:szCs w:val="22"/>
          <w:lang w:val="es-ES"/>
        </w:rPr>
        <w:t xml:space="preserve"> </w:t>
      </w:r>
      <w:r w:rsidR="009E044D" w:rsidRPr="00CF4188">
        <w:rPr>
          <w:kern w:val="22"/>
          <w:szCs w:val="22"/>
          <w:lang w:val="es-ES"/>
        </w:rPr>
        <w:t>i)</w:t>
      </w:r>
      <w:r w:rsidR="009E044D" w:rsidRPr="00CF4188">
        <w:rPr>
          <w:kern w:val="22"/>
          <w:szCs w:val="22"/>
          <w:lang w:val="es-ES"/>
        </w:rPr>
        <w:tab/>
      </w:r>
      <w:r w:rsidRPr="003E0A23">
        <w:rPr>
          <w:kern w:val="22"/>
          <w:szCs w:val="22"/>
          <w:lang w:val="es-ES"/>
        </w:rPr>
        <w:t>¿En qué medida se está usando el marco como referencia para orientar las políticas y medidas de las Partes, organizaciones y donantes con respecto a la creación de capacidad para el acceso y la participación en los beneficios (APB)? En el caso de que se esté usando, ¿cómo se está usando? Si no se ha usado como referencia, sírvase explicar por qué</w:t>
      </w:r>
      <w:r w:rsidR="009E044D" w:rsidRPr="00CF4188">
        <w:rPr>
          <w:kern w:val="22"/>
          <w:szCs w:val="22"/>
          <w:lang w:val="es-ES"/>
        </w:rPr>
        <w:t>;</w:t>
      </w:r>
    </w:p>
    <w:p w:rsidR="009E044D" w:rsidRPr="00CF4188" w:rsidRDefault="00CF4188" w:rsidP="000C6220">
      <w:pPr>
        <w:suppressLineNumbers/>
        <w:suppressAutoHyphens/>
        <w:kinsoku w:val="0"/>
        <w:overflowPunct w:val="0"/>
        <w:autoSpaceDE w:val="0"/>
        <w:autoSpaceDN w:val="0"/>
        <w:snapToGrid w:val="0"/>
        <w:spacing w:before="120" w:line="240" w:lineRule="auto"/>
        <w:ind w:left="1418" w:hanging="708"/>
        <w:rPr>
          <w:kern w:val="22"/>
          <w:szCs w:val="22"/>
          <w:lang w:val="es-ES"/>
        </w:rPr>
      </w:pPr>
      <w:r w:rsidRPr="00CF4188">
        <w:rPr>
          <w:kern w:val="22"/>
          <w:szCs w:val="22"/>
          <w:lang w:val="es-ES"/>
        </w:rPr>
        <w:t xml:space="preserve"> </w:t>
      </w:r>
      <w:r w:rsidR="009E044D" w:rsidRPr="00CF4188">
        <w:rPr>
          <w:kern w:val="22"/>
          <w:szCs w:val="22"/>
          <w:lang w:val="es-ES"/>
        </w:rPr>
        <w:t>ii)</w:t>
      </w:r>
      <w:r w:rsidR="009E044D" w:rsidRPr="00CF4188">
        <w:rPr>
          <w:kern w:val="22"/>
          <w:szCs w:val="22"/>
          <w:lang w:val="es-ES"/>
        </w:rPr>
        <w:tab/>
      </w:r>
      <w:r w:rsidRPr="003E0A23">
        <w:rPr>
          <w:kern w:val="22"/>
          <w:szCs w:val="22"/>
          <w:lang w:val="es-ES"/>
        </w:rPr>
        <w:t>¿Cuáles han sido los mecanismos más útiles para facilitar la coordinación de la implementación del marco estratégico y cómo la han facilitado</w:t>
      </w:r>
      <w:r w:rsidR="009E044D" w:rsidRPr="00CF4188">
        <w:rPr>
          <w:kern w:val="22"/>
          <w:szCs w:val="22"/>
          <w:lang w:val="es-ES"/>
        </w:rPr>
        <w:t>?</w:t>
      </w:r>
    </w:p>
    <w:p w:rsidR="009E044D" w:rsidRPr="00CF4188" w:rsidRDefault="00CF4188" w:rsidP="000C6220">
      <w:pPr>
        <w:suppressLineNumbers/>
        <w:suppressAutoHyphens/>
        <w:kinsoku w:val="0"/>
        <w:overflowPunct w:val="0"/>
        <w:autoSpaceDE w:val="0"/>
        <w:autoSpaceDN w:val="0"/>
        <w:snapToGrid w:val="0"/>
        <w:spacing w:before="120" w:line="240" w:lineRule="auto"/>
        <w:ind w:left="1418" w:hanging="708"/>
        <w:rPr>
          <w:kern w:val="22"/>
          <w:szCs w:val="22"/>
          <w:lang w:val="es-ES"/>
        </w:rPr>
      </w:pPr>
      <w:r w:rsidRPr="00CF4188">
        <w:rPr>
          <w:kern w:val="22"/>
          <w:szCs w:val="22"/>
          <w:lang w:val="es-ES"/>
        </w:rPr>
        <w:t xml:space="preserve"> </w:t>
      </w:r>
      <w:r w:rsidR="009E044D" w:rsidRPr="00CF4188">
        <w:rPr>
          <w:kern w:val="22"/>
          <w:szCs w:val="22"/>
          <w:lang w:val="es-ES"/>
        </w:rPr>
        <w:t>iii)</w:t>
      </w:r>
      <w:r w:rsidR="009E044D" w:rsidRPr="00CF4188">
        <w:rPr>
          <w:kern w:val="22"/>
          <w:szCs w:val="22"/>
          <w:lang w:val="es-ES"/>
        </w:rPr>
        <w:tab/>
      </w:r>
      <w:r w:rsidRPr="003E0A23">
        <w:rPr>
          <w:kern w:val="22"/>
          <w:szCs w:val="22"/>
          <w:lang w:val="es-ES"/>
        </w:rPr>
        <w:t>¿En qué medida cooperan las Partes y las organizaciones pertinentes en la creación de capacidad</w:t>
      </w:r>
      <w:r w:rsidR="009E044D" w:rsidRPr="00CF4188">
        <w:rPr>
          <w:kern w:val="22"/>
          <w:szCs w:val="22"/>
          <w:lang w:val="es-ES"/>
        </w:rPr>
        <w:t>?</w:t>
      </w:r>
    </w:p>
    <w:p w:rsidR="009E044D" w:rsidRPr="00CF4188" w:rsidRDefault="00CF4188" w:rsidP="000C6220">
      <w:pPr>
        <w:suppressLineNumbers/>
        <w:suppressAutoHyphens/>
        <w:kinsoku w:val="0"/>
        <w:overflowPunct w:val="0"/>
        <w:autoSpaceDE w:val="0"/>
        <w:autoSpaceDN w:val="0"/>
        <w:snapToGrid w:val="0"/>
        <w:spacing w:before="120" w:line="240" w:lineRule="auto"/>
        <w:ind w:firstLine="720"/>
        <w:rPr>
          <w:bCs/>
          <w:kern w:val="22"/>
          <w:szCs w:val="22"/>
          <w:lang w:val="es-ES"/>
        </w:rPr>
      </w:pPr>
      <w:r w:rsidRPr="00CF4188">
        <w:rPr>
          <w:bCs/>
          <w:kern w:val="22"/>
          <w:szCs w:val="22"/>
          <w:lang w:val="es-ES"/>
        </w:rPr>
        <w:t xml:space="preserve"> </w:t>
      </w:r>
      <w:r w:rsidR="009E044D" w:rsidRPr="00CF4188">
        <w:rPr>
          <w:bCs/>
          <w:kern w:val="22"/>
          <w:szCs w:val="22"/>
          <w:lang w:val="es-ES"/>
        </w:rPr>
        <w:t>c)</w:t>
      </w:r>
      <w:r w:rsidR="009E044D" w:rsidRPr="00CF4188">
        <w:rPr>
          <w:bCs/>
          <w:kern w:val="22"/>
          <w:szCs w:val="22"/>
          <w:lang w:val="es-ES"/>
        </w:rPr>
        <w:tab/>
      </w:r>
      <w:r w:rsidRPr="003E0A23">
        <w:rPr>
          <w:bCs/>
          <w:kern w:val="22"/>
          <w:szCs w:val="22"/>
          <w:lang w:val="es-ES"/>
        </w:rPr>
        <w:t>¿De qué manera ha sido eficaz el marco estratégico para orientar y facilitar las actividades de creación de capacidad</w:t>
      </w:r>
      <w:r w:rsidR="009E044D" w:rsidRPr="00CF4188">
        <w:rPr>
          <w:bCs/>
          <w:kern w:val="22"/>
          <w:szCs w:val="22"/>
          <w:lang w:val="es-ES"/>
        </w:rPr>
        <w:t>?</w:t>
      </w:r>
    </w:p>
    <w:p w:rsidR="009E044D" w:rsidRPr="00CF4188" w:rsidRDefault="00CF4188" w:rsidP="000C6220">
      <w:pPr>
        <w:suppressLineNumbers/>
        <w:suppressAutoHyphens/>
        <w:kinsoku w:val="0"/>
        <w:overflowPunct w:val="0"/>
        <w:autoSpaceDE w:val="0"/>
        <w:autoSpaceDN w:val="0"/>
        <w:snapToGrid w:val="0"/>
        <w:spacing w:before="120" w:line="240" w:lineRule="auto"/>
        <w:ind w:left="1418" w:hanging="567"/>
        <w:rPr>
          <w:kern w:val="22"/>
          <w:szCs w:val="22"/>
          <w:lang w:val="es-ES"/>
        </w:rPr>
      </w:pPr>
      <w:r w:rsidRPr="00CF4188">
        <w:rPr>
          <w:kern w:val="22"/>
          <w:szCs w:val="22"/>
          <w:lang w:val="es-ES"/>
        </w:rPr>
        <w:t xml:space="preserve"> </w:t>
      </w:r>
      <w:r w:rsidR="009E044D" w:rsidRPr="00CF4188">
        <w:rPr>
          <w:kern w:val="22"/>
          <w:szCs w:val="22"/>
          <w:lang w:val="es-ES"/>
        </w:rPr>
        <w:t>i)</w:t>
      </w:r>
      <w:r w:rsidR="009E044D" w:rsidRPr="00CF4188">
        <w:rPr>
          <w:kern w:val="22"/>
          <w:szCs w:val="22"/>
          <w:lang w:val="es-ES"/>
        </w:rPr>
        <w:tab/>
      </w:r>
      <w:r w:rsidRPr="003E0A23">
        <w:rPr>
          <w:kern w:val="22"/>
          <w:szCs w:val="22"/>
          <w:lang w:val="es-ES"/>
        </w:rPr>
        <w:t>¿Cómo se ha utilizado el marco estratégico para orientar actividades de creación de capacidad a nivel nacional, subregional, regional e internacional</w:t>
      </w:r>
      <w:r w:rsidR="009E044D" w:rsidRPr="00CF4188">
        <w:rPr>
          <w:kern w:val="22"/>
          <w:szCs w:val="22"/>
          <w:lang w:val="es-ES"/>
        </w:rPr>
        <w:t>?</w:t>
      </w:r>
    </w:p>
    <w:p w:rsidR="009E044D" w:rsidRPr="00CF4188" w:rsidRDefault="00CF4188" w:rsidP="000C6220">
      <w:pPr>
        <w:suppressLineNumbers/>
        <w:suppressAutoHyphens/>
        <w:kinsoku w:val="0"/>
        <w:overflowPunct w:val="0"/>
        <w:autoSpaceDE w:val="0"/>
        <w:autoSpaceDN w:val="0"/>
        <w:snapToGrid w:val="0"/>
        <w:spacing w:before="120" w:line="240" w:lineRule="auto"/>
        <w:ind w:left="1418" w:hanging="567"/>
        <w:rPr>
          <w:kern w:val="22"/>
          <w:szCs w:val="22"/>
          <w:lang w:val="es-ES"/>
        </w:rPr>
      </w:pPr>
      <w:r w:rsidRPr="00CF4188">
        <w:rPr>
          <w:kern w:val="22"/>
          <w:szCs w:val="22"/>
          <w:lang w:val="es-ES"/>
        </w:rPr>
        <w:lastRenderedPageBreak/>
        <w:t xml:space="preserve"> </w:t>
      </w:r>
      <w:r w:rsidR="009E044D" w:rsidRPr="00CF4188">
        <w:rPr>
          <w:kern w:val="22"/>
          <w:szCs w:val="22"/>
          <w:lang w:val="es-ES"/>
        </w:rPr>
        <w:t>ii)</w:t>
      </w:r>
      <w:r w:rsidR="009E044D" w:rsidRPr="00CF4188">
        <w:rPr>
          <w:kern w:val="22"/>
          <w:szCs w:val="22"/>
          <w:lang w:val="es-ES"/>
        </w:rPr>
        <w:tab/>
      </w:r>
      <w:r w:rsidRPr="003E0A23">
        <w:rPr>
          <w:kern w:val="22"/>
          <w:szCs w:val="22"/>
          <w:lang w:val="es-ES"/>
        </w:rPr>
        <w:t>¿Se ha utilizado el marco estratégico para orientar la movilización de recursos por las Partes? ¿Ha influido en la financiación de los donantes</w:t>
      </w:r>
      <w:r w:rsidR="009E044D" w:rsidRPr="00CF4188">
        <w:rPr>
          <w:kern w:val="22"/>
          <w:szCs w:val="22"/>
          <w:lang w:val="es-ES"/>
        </w:rPr>
        <w:t>?</w:t>
      </w:r>
    </w:p>
    <w:p w:rsidR="009E044D" w:rsidRPr="00CF4188" w:rsidRDefault="00CF4188" w:rsidP="000C6220">
      <w:pPr>
        <w:suppressLineNumbers/>
        <w:suppressAutoHyphens/>
        <w:kinsoku w:val="0"/>
        <w:overflowPunct w:val="0"/>
        <w:autoSpaceDE w:val="0"/>
        <w:autoSpaceDN w:val="0"/>
        <w:snapToGrid w:val="0"/>
        <w:spacing w:before="120" w:line="240" w:lineRule="auto"/>
        <w:ind w:left="1418" w:hanging="567"/>
        <w:rPr>
          <w:kern w:val="22"/>
          <w:szCs w:val="22"/>
          <w:lang w:val="es-ES"/>
        </w:rPr>
      </w:pPr>
      <w:r w:rsidRPr="00CF4188">
        <w:rPr>
          <w:kern w:val="22"/>
          <w:szCs w:val="22"/>
          <w:lang w:val="es-ES"/>
        </w:rPr>
        <w:t xml:space="preserve"> </w:t>
      </w:r>
      <w:r w:rsidR="009E044D" w:rsidRPr="00CF4188">
        <w:rPr>
          <w:kern w:val="22"/>
          <w:szCs w:val="22"/>
          <w:lang w:val="es-ES"/>
        </w:rPr>
        <w:t>iii)</w:t>
      </w:r>
      <w:r w:rsidR="009E044D" w:rsidRPr="00CF4188">
        <w:rPr>
          <w:kern w:val="22"/>
          <w:szCs w:val="22"/>
          <w:lang w:val="es-ES"/>
        </w:rPr>
        <w:tab/>
      </w:r>
      <w:r w:rsidRPr="003E0A23">
        <w:rPr>
          <w:kern w:val="22"/>
          <w:szCs w:val="22"/>
          <w:lang w:val="es-ES"/>
        </w:rPr>
        <w:t>¿En qué medida los países que reúnen las condiciones tomaron en cuenta el marco estratégico a la hora de diseñar los proyectos de creación de capacidad en materia de APB que presentaron al Fondo para el Medio Ambiente Mundial</w:t>
      </w:r>
      <w:r w:rsidR="009E044D" w:rsidRPr="00CF4188">
        <w:rPr>
          <w:kern w:val="22"/>
          <w:szCs w:val="22"/>
          <w:lang w:val="es-ES"/>
        </w:rPr>
        <w:t>?</w:t>
      </w:r>
    </w:p>
    <w:p w:rsidR="009E044D" w:rsidRPr="00CF4188" w:rsidRDefault="00CF4188" w:rsidP="000C6220">
      <w:pPr>
        <w:suppressLineNumbers/>
        <w:suppressAutoHyphens/>
        <w:kinsoku w:val="0"/>
        <w:overflowPunct w:val="0"/>
        <w:autoSpaceDE w:val="0"/>
        <w:autoSpaceDN w:val="0"/>
        <w:snapToGrid w:val="0"/>
        <w:spacing w:before="120" w:line="240" w:lineRule="auto"/>
        <w:ind w:firstLine="720"/>
        <w:rPr>
          <w:bCs/>
          <w:kern w:val="22"/>
          <w:szCs w:val="22"/>
          <w:lang w:val="es-ES"/>
        </w:rPr>
      </w:pPr>
      <w:r w:rsidRPr="00CF4188">
        <w:rPr>
          <w:bCs/>
          <w:kern w:val="22"/>
          <w:szCs w:val="22"/>
          <w:lang w:val="es-ES"/>
        </w:rPr>
        <w:t xml:space="preserve"> </w:t>
      </w:r>
      <w:r w:rsidR="009E044D" w:rsidRPr="00CF4188">
        <w:rPr>
          <w:bCs/>
          <w:kern w:val="22"/>
          <w:szCs w:val="22"/>
          <w:lang w:val="es-ES"/>
        </w:rPr>
        <w:t>d)</w:t>
      </w:r>
      <w:r w:rsidR="009E044D" w:rsidRPr="00CF4188">
        <w:rPr>
          <w:bCs/>
          <w:kern w:val="22"/>
          <w:szCs w:val="22"/>
          <w:lang w:val="es-ES"/>
        </w:rPr>
        <w:tab/>
      </w:r>
      <w:r w:rsidRPr="003E0A23">
        <w:rPr>
          <w:bCs/>
          <w:kern w:val="22"/>
          <w:szCs w:val="22"/>
          <w:lang w:val="es-ES"/>
        </w:rPr>
        <w:t>¿Siguen siendo pertinentes los elementos del marco estratégico (esto es, áreas clave, objetivos, actividades propuestas</w:t>
      </w:r>
      <w:r w:rsidR="009E044D" w:rsidRPr="00CF4188">
        <w:rPr>
          <w:bCs/>
          <w:kern w:val="22"/>
          <w:szCs w:val="22"/>
          <w:lang w:val="es-ES"/>
        </w:rPr>
        <w:t>)?</w:t>
      </w:r>
    </w:p>
    <w:p w:rsidR="009E044D" w:rsidRPr="00C5131C" w:rsidRDefault="00CF4188" w:rsidP="000C6220">
      <w:pPr>
        <w:suppressLineNumbers/>
        <w:suppressAutoHyphens/>
        <w:kinsoku w:val="0"/>
        <w:overflowPunct w:val="0"/>
        <w:autoSpaceDE w:val="0"/>
        <w:autoSpaceDN w:val="0"/>
        <w:snapToGrid w:val="0"/>
        <w:spacing w:before="120" w:line="240" w:lineRule="auto"/>
        <w:ind w:left="1418" w:hanging="567"/>
        <w:rPr>
          <w:kern w:val="22"/>
          <w:szCs w:val="22"/>
          <w:lang w:val="es-ES"/>
        </w:rPr>
      </w:pPr>
      <w:r w:rsidRPr="00CF4188">
        <w:rPr>
          <w:kern w:val="22"/>
          <w:szCs w:val="22"/>
          <w:lang w:val="es-ES"/>
        </w:rPr>
        <w:t xml:space="preserve"> i)</w:t>
      </w:r>
      <w:r w:rsidRPr="00CF4188">
        <w:rPr>
          <w:kern w:val="22"/>
          <w:szCs w:val="22"/>
          <w:lang w:val="es-ES"/>
        </w:rPr>
        <w:tab/>
      </w:r>
      <w:r w:rsidRPr="00B933FA">
        <w:rPr>
          <w:kern w:val="22"/>
          <w:szCs w:val="22"/>
          <w:lang w:val="es-ES"/>
        </w:rPr>
        <w:t>¿</w:t>
      </w:r>
      <w:r w:rsidRPr="003E0A23">
        <w:rPr>
          <w:kern w:val="22"/>
          <w:szCs w:val="22"/>
          <w:lang w:val="es-ES"/>
        </w:rPr>
        <w:t xml:space="preserve">Siguen siendo válidos los objetivos del marco estratégico? </w:t>
      </w:r>
      <w:r w:rsidRPr="00C5131C">
        <w:rPr>
          <w:kern w:val="22"/>
          <w:szCs w:val="22"/>
          <w:lang w:val="es-ES"/>
        </w:rPr>
        <w:t>¿En qué medida</w:t>
      </w:r>
      <w:r w:rsidR="009E044D" w:rsidRPr="00C5131C">
        <w:rPr>
          <w:kern w:val="22"/>
          <w:szCs w:val="22"/>
          <w:lang w:val="es-ES"/>
        </w:rPr>
        <w:t>?</w:t>
      </w:r>
    </w:p>
    <w:p w:rsidR="009E044D" w:rsidRPr="00CF4188" w:rsidRDefault="00CF4188" w:rsidP="000C6220">
      <w:pPr>
        <w:suppressLineNumbers/>
        <w:suppressAutoHyphens/>
        <w:kinsoku w:val="0"/>
        <w:overflowPunct w:val="0"/>
        <w:autoSpaceDE w:val="0"/>
        <w:autoSpaceDN w:val="0"/>
        <w:snapToGrid w:val="0"/>
        <w:spacing w:before="120" w:line="240" w:lineRule="auto"/>
        <w:ind w:left="1418" w:hanging="567"/>
        <w:rPr>
          <w:kern w:val="22"/>
          <w:szCs w:val="22"/>
          <w:lang w:val="es-ES"/>
        </w:rPr>
      </w:pPr>
      <w:r w:rsidRPr="00C5131C">
        <w:rPr>
          <w:kern w:val="22"/>
          <w:szCs w:val="22"/>
          <w:lang w:val="es-ES"/>
        </w:rPr>
        <w:t xml:space="preserve"> </w:t>
      </w:r>
      <w:r w:rsidR="009E044D" w:rsidRPr="00CF4188">
        <w:rPr>
          <w:kern w:val="22"/>
          <w:szCs w:val="22"/>
          <w:lang w:val="es-ES"/>
        </w:rPr>
        <w:t>ii)</w:t>
      </w:r>
      <w:r w:rsidR="009E044D" w:rsidRPr="00CF4188">
        <w:rPr>
          <w:kern w:val="22"/>
          <w:szCs w:val="22"/>
          <w:lang w:val="es-ES"/>
        </w:rPr>
        <w:tab/>
      </w:r>
      <w:r w:rsidRPr="00CF4188">
        <w:rPr>
          <w:kern w:val="22"/>
          <w:szCs w:val="22"/>
          <w:lang w:val="es-ES"/>
        </w:rPr>
        <w:t>¿Las áreas clave y las actividades indicativas de creación de capacidad</w:t>
      </w:r>
      <w:r w:rsidR="009E044D" w:rsidRPr="00EE0850">
        <w:rPr>
          <w:kern w:val="22"/>
          <w:szCs w:val="22"/>
          <w:vertAlign w:val="superscript"/>
        </w:rPr>
        <w:footnoteReference w:id="16"/>
      </w:r>
      <w:r>
        <w:rPr>
          <w:kern w:val="22"/>
          <w:szCs w:val="22"/>
          <w:lang w:val="es-ES"/>
        </w:rPr>
        <w:t xml:space="preserve"> </w:t>
      </w:r>
      <w:r w:rsidRPr="003E0A23">
        <w:rPr>
          <w:kern w:val="22"/>
          <w:szCs w:val="22"/>
          <w:lang w:val="es-ES"/>
        </w:rPr>
        <w:t>siguen siendo compatibles con los fines estratégicos generales, los objetivos y los cambios deseados en materia de creación y desarrollo de capacidad en apoyo a la aplicación del Protocolo de Nagoya</w:t>
      </w:r>
      <w:r w:rsidR="009E044D" w:rsidRPr="00CF4188">
        <w:rPr>
          <w:kern w:val="22"/>
          <w:szCs w:val="22"/>
          <w:lang w:val="es-ES"/>
        </w:rPr>
        <w:t>?</w:t>
      </w:r>
    </w:p>
    <w:p w:rsidR="009E044D" w:rsidRPr="009B1084" w:rsidRDefault="00CF4188" w:rsidP="000C6220">
      <w:pPr>
        <w:suppressLineNumbers/>
        <w:suppressAutoHyphens/>
        <w:kinsoku w:val="0"/>
        <w:overflowPunct w:val="0"/>
        <w:autoSpaceDE w:val="0"/>
        <w:autoSpaceDN w:val="0"/>
        <w:snapToGrid w:val="0"/>
        <w:spacing w:before="120" w:line="240" w:lineRule="auto"/>
        <w:ind w:firstLine="720"/>
        <w:rPr>
          <w:kern w:val="22"/>
          <w:szCs w:val="22"/>
          <w:lang w:val="es-ES"/>
        </w:rPr>
      </w:pPr>
      <w:r w:rsidRPr="00CF4188">
        <w:rPr>
          <w:bCs/>
          <w:kern w:val="22"/>
          <w:szCs w:val="22"/>
          <w:lang w:val="es-ES"/>
        </w:rPr>
        <w:t xml:space="preserve"> </w:t>
      </w:r>
      <w:r w:rsidR="009E044D" w:rsidRPr="009B1084">
        <w:rPr>
          <w:bCs/>
          <w:kern w:val="22"/>
          <w:szCs w:val="22"/>
          <w:lang w:val="es-ES"/>
        </w:rPr>
        <w:t>e)</w:t>
      </w:r>
      <w:r w:rsidR="009E044D" w:rsidRPr="009B1084">
        <w:rPr>
          <w:bCs/>
          <w:kern w:val="22"/>
          <w:szCs w:val="22"/>
          <w:lang w:val="es-ES"/>
        </w:rPr>
        <w:tab/>
      </w:r>
      <w:r w:rsidR="009B1084" w:rsidRPr="00F31CC0">
        <w:rPr>
          <w:kern w:val="22"/>
          <w:szCs w:val="22"/>
          <w:lang w:val="es-ES"/>
        </w:rPr>
        <w:t>Recomendaciones para la preparación del marco estratégico a largo plazo para la creación y el desarrollo de capacidad después de 2020</w:t>
      </w:r>
      <w:r w:rsidR="009E044D" w:rsidRPr="009B1084">
        <w:rPr>
          <w:bCs/>
          <w:kern w:val="22"/>
          <w:szCs w:val="22"/>
          <w:lang w:val="es-ES"/>
        </w:rPr>
        <w:t>:</w:t>
      </w:r>
    </w:p>
    <w:p w:rsidR="009E044D" w:rsidRPr="009B1084" w:rsidRDefault="00CF4188" w:rsidP="000C6220">
      <w:pPr>
        <w:suppressLineNumbers/>
        <w:suppressAutoHyphens/>
        <w:kinsoku w:val="0"/>
        <w:overflowPunct w:val="0"/>
        <w:autoSpaceDE w:val="0"/>
        <w:autoSpaceDN w:val="0"/>
        <w:snapToGrid w:val="0"/>
        <w:spacing w:before="120" w:line="240" w:lineRule="auto"/>
        <w:ind w:left="1418" w:hanging="567"/>
        <w:rPr>
          <w:kern w:val="22"/>
          <w:szCs w:val="22"/>
          <w:lang w:val="es-ES"/>
        </w:rPr>
      </w:pPr>
      <w:r w:rsidRPr="009B1084">
        <w:rPr>
          <w:kern w:val="22"/>
          <w:szCs w:val="22"/>
          <w:lang w:val="es-ES"/>
        </w:rPr>
        <w:t xml:space="preserve"> </w:t>
      </w:r>
      <w:r w:rsidR="009B1084">
        <w:rPr>
          <w:kern w:val="22"/>
          <w:szCs w:val="22"/>
          <w:lang w:val="es-ES"/>
        </w:rPr>
        <w:t>i)</w:t>
      </w:r>
      <w:r w:rsidR="009B1084">
        <w:rPr>
          <w:kern w:val="22"/>
          <w:szCs w:val="22"/>
          <w:lang w:val="es-ES"/>
        </w:rPr>
        <w:tab/>
      </w:r>
      <w:r w:rsidR="009B1084" w:rsidRPr="00F31CC0">
        <w:rPr>
          <w:kern w:val="22"/>
          <w:szCs w:val="22"/>
          <w:lang w:val="es-ES"/>
        </w:rPr>
        <w:t>¿Qué medidas prioritarias de creación de capacidad relacionadas con APB deben incluirse en el marco estratégico a largo plazo para la creación y el desarrollo de capacidad después de 2020</w:t>
      </w:r>
      <w:r w:rsidR="009E044D" w:rsidRPr="009B1084">
        <w:rPr>
          <w:kern w:val="22"/>
          <w:szCs w:val="22"/>
          <w:lang w:val="es-ES"/>
        </w:rPr>
        <w:t>?</w:t>
      </w:r>
    </w:p>
    <w:p w:rsidR="009E044D" w:rsidRPr="009B1084" w:rsidRDefault="00CF4188" w:rsidP="000C6220">
      <w:pPr>
        <w:suppressLineNumbers/>
        <w:suppressAutoHyphens/>
        <w:kinsoku w:val="0"/>
        <w:overflowPunct w:val="0"/>
        <w:autoSpaceDE w:val="0"/>
        <w:autoSpaceDN w:val="0"/>
        <w:snapToGrid w:val="0"/>
        <w:spacing w:before="120" w:line="240" w:lineRule="auto"/>
        <w:ind w:left="1418" w:hanging="567"/>
        <w:rPr>
          <w:kern w:val="22"/>
          <w:szCs w:val="22"/>
          <w:lang w:val="es-ES"/>
        </w:rPr>
      </w:pPr>
      <w:r w:rsidRPr="009B1084">
        <w:rPr>
          <w:kern w:val="22"/>
          <w:szCs w:val="22"/>
          <w:lang w:val="es-ES"/>
        </w:rPr>
        <w:t xml:space="preserve"> </w:t>
      </w:r>
      <w:r w:rsidR="009E044D" w:rsidRPr="009B1084">
        <w:rPr>
          <w:kern w:val="22"/>
          <w:szCs w:val="22"/>
          <w:lang w:val="es-ES"/>
        </w:rPr>
        <w:t>ii)</w:t>
      </w:r>
      <w:r w:rsidR="009E044D" w:rsidRPr="009B1084">
        <w:rPr>
          <w:kern w:val="22"/>
          <w:szCs w:val="22"/>
          <w:lang w:val="es-ES"/>
        </w:rPr>
        <w:tab/>
      </w:r>
      <w:r w:rsidR="009B1084" w:rsidRPr="00F31CC0">
        <w:rPr>
          <w:kern w:val="22"/>
          <w:szCs w:val="22"/>
          <w:lang w:val="es-ES"/>
        </w:rPr>
        <w:t xml:space="preserve">¿Qué recomendaciones clave puede </w:t>
      </w:r>
      <w:r w:rsidR="009B1084">
        <w:rPr>
          <w:kern w:val="22"/>
          <w:szCs w:val="22"/>
          <w:lang w:val="es-ES"/>
        </w:rPr>
        <w:t>sugerir</w:t>
      </w:r>
      <w:r w:rsidR="009B1084" w:rsidRPr="00F31CC0">
        <w:rPr>
          <w:kern w:val="22"/>
          <w:szCs w:val="22"/>
          <w:lang w:val="es-ES"/>
        </w:rPr>
        <w:t xml:space="preserve"> para mejorar la creación y el desarrollo de capacidad en materia de APB después de 2020</w:t>
      </w:r>
      <w:r w:rsidR="009B1084" w:rsidRPr="003E0A23">
        <w:rPr>
          <w:kern w:val="22"/>
          <w:szCs w:val="22"/>
          <w:lang w:val="es-ES"/>
        </w:rPr>
        <w:t>,</w:t>
      </w:r>
      <w:r w:rsidR="009B1084" w:rsidRPr="003E0A23">
        <w:rPr>
          <w:bCs/>
          <w:kern w:val="22"/>
          <w:szCs w:val="22"/>
          <w:lang w:val="es-ES"/>
        </w:rPr>
        <w:t xml:space="preserve"> t</w:t>
      </w:r>
      <w:r w:rsidR="009B1084">
        <w:rPr>
          <w:bCs/>
          <w:kern w:val="22"/>
          <w:szCs w:val="22"/>
          <w:lang w:val="es-ES"/>
        </w:rPr>
        <w:t xml:space="preserve">eniendo en cuenta las dificultades y los obstáculos que se indican en el párrafo </w:t>
      </w:r>
      <w:r w:rsidR="009B1084" w:rsidRPr="003E0A23">
        <w:rPr>
          <w:bCs/>
          <w:kern w:val="22"/>
          <w:szCs w:val="22"/>
          <w:lang w:val="es-ES"/>
        </w:rPr>
        <w:t>4</w:t>
      </w:r>
      <w:r w:rsidR="009B1084">
        <w:rPr>
          <w:bCs/>
          <w:kern w:val="22"/>
          <w:szCs w:val="22"/>
          <w:lang w:val="es-ES"/>
        </w:rPr>
        <w:t> </w:t>
      </w:r>
      <w:r w:rsidR="009B1084" w:rsidRPr="003E0A23">
        <w:rPr>
          <w:bCs/>
          <w:kern w:val="22"/>
          <w:szCs w:val="22"/>
          <w:lang w:val="es-ES"/>
        </w:rPr>
        <w:t>a)</w:t>
      </w:r>
      <w:r w:rsidR="009E044D" w:rsidRPr="009B1084">
        <w:rPr>
          <w:kern w:val="22"/>
          <w:szCs w:val="22"/>
          <w:lang w:val="es-ES"/>
        </w:rPr>
        <w:t>?</w:t>
      </w:r>
    </w:p>
    <w:p w:rsidR="009E044D" w:rsidRPr="009B1084" w:rsidRDefault="009E044D" w:rsidP="000C6220">
      <w:pPr>
        <w:suppressLineNumbers/>
        <w:suppressAutoHyphens/>
        <w:kinsoku w:val="0"/>
        <w:overflowPunct w:val="0"/>
        <w:autoSpaceDE w:val="0"/>
        <w:autoSpaceDN w:val="0"/>
        <w:snapToGrid w:val="0"/>
        <w:spacing w:before="120" w:line="240" w:lineRule="auto"/>
        <w:rPr>
          <w:snapToGrid w:val="0"/>
          <w:kern w:val="22"/>
          <w:szCs w:val="22"/>
          <w:lang w:val="es-ES"/>
        </w:rPr>
      </w:pPr>
      <w:r w:rsidRPr="009B1084">
        <w:rPr>
          <w:snapToGrid w:val="0"/>
          <w:kern w:val="22"/>
          <w:szCs w:val="22"/>
          <w:lang w:val="es-ES"/>
        </w:rPr>
        <w:t>5.</w:t>
      </w:r>
      <w:r w:rsidRPr="009B1084">
        <w:rPr>
          <w:snapToGrid w:val="0"/>
          <w:kern w:val="22"/>
          <w:szCs w:val="22"/>
          <w:lang w:val="es-ES"/>
        </w:rPr>
        <w:tab/>
      </w:r>
      <w:r w:rsidR="009B1084" w:rsidRPr="00F31CC0">
        <w:rPr>
          <w:snapToGrid w:val="0"/>
          <w:kern w:val="22"/>
          <w:szCs w:val="22"/>
          <w:lang w:val="es-ES"/>
        </w:rPr>
        <w:t>La información para la revisión se extraerá de diversas fuentes, incluidas las siguientes</w:t>
      </w:r>
      <w:r w:rsidRPr="009B1084">
        <w:rPr>
          <w:snapToGrid w:val="0"/>
          <w:kern w:val="22"/>
          <w:szCs w:val="22"/>
          <w:lang w:val="es-ES"/>
        </w:rPr>
        <w:t>:</w:t>
      </w:r>
    </w:p>
    <w:p w:rsidR="009E044D" w:rsidRPr="009B1084" w:rsidRDefault="009B1084" w:rsidP="000C6220">
      <w:pPr>
        <w:suppressLineNumbers/>
        <w:suppressAutoHyphens/>
        <w:kinsoku w:val="0"/>
        <w:overflowPunct w:val="0"/>
        <w:autoSpaceDE w:val="0"/>
        <w:autoSpaceDN w:val="0"/>
        <w:snapToGrid w:val="0"/>
        <w:spacing w:before="120" w:line="240" w:lineRule="auto"/>
        <w:ind w:firstLine="720"/>
        <w:rPr>
          <w:kern w:val="22"/>
          <w:szCs w:val="22"/>
          <w:lang w:val="es-ES"/>
        </w:rPr>
      </w:pPr>
      <w:r w:rsidRPr="00C5131C">
        <w:rPr>
          <w:kern w:val="22"/>
          <w:szCs w:val="22"/>
          <w:lang w:val="es-ES"/>
        </w:rPr>
        <w:t xml:space="preserve"> </w:t>
      </w:r>
      <w:r w:rsidR="009E044D" w:rsidRPr="009B1084">
        <w:rPr>
          <w:kern w:val="22"/>
          <w:szCs w:val="22"/>
          <w:lang w:val="es-ES"/>
        </w:rPr>
        <w:t>a)</w:t>
      </w:r>
      <w:r w:rsidR="009E044D" w:rsidRPr="009B1084">
        <w:rPr>
          <w:kern w:val="22"/>
          <w:szCs w:val="22"/>
          <w:lang w:val="es-ES"/>
        </w:rPr>
        <w:tab/>
      </w:r>
      <w:r w:rsidRPr="00F31CC0">
        <w:rPr>
          <w:snapToGrid w:val="0"/>
          <w:kern w:val="22"/>
          <w:szCs w:val="22"/>
          <w:lang w:val="es-ES"/>
        </w:rPr>
        <w:t>La evaluación y revisión de la eficacia del Protocolo de Nagoya y decisiones relacionadas de la Conferencia de las Partes que actúa como reunión de las Partes en el Protocolo</w:t>
      </w:r>
      <w:r w:rsidR="009E044D" w:rsidRPr="009B1084">
        <w:rPr>
          <w:kern w:val="22"/>
          <w:szCs w:val="22"/>
          <w:lang w:val="es-ES"/>
        </w:rPr>
        <w:t>;</w:t>
      </w:r>
    </w:p>
    <w:p w:rsidR="009E044D" w:rsidRPr="009B1084" w:rsidRDefault="009B1084" w:rsidP="000C6220">
      <w:pPr>
        <w:suppressLineNumbers/>
        <w:suppressAutoHyphens/>
        <w:kinsoku w:val="0"/>
        <w:overflowPunct w:val="0"/>
        <w:autoSpaceDE w:val="0"/>
        <w:autoSpaceDN w:val="0"/>
        <w:snapToGrid w:val="0"/>
        <w:spacing w:before="120" w:line="240" w:lineRule="auto"/>
        <w:ind w:firstLine="720"/>
        <w:rPr>
          <w:kern w:val="22"/>
          <w:szCs w:val="22"/>
          <w:lang w:val="es-ES"/>
        </w:rPr>
      </w:pPr>
      <w:r w:rsidRPr="009B1084">
        <w:rPr>
          <w:kern w:val="22"/>
          <w:szCs w:val="22"/>
          <w:lang w:val="es-ES"/>
        </w:rPr>
        <w:t xml:space="preserve"> </w:t>
      </w:r>
      <w:r w:rsidR="009E044D" w:rsidRPr="009B1084">
        <w:rPr>
          <w:kern w:val="22"/>
          <w:szCs w:val="22"/>
          <w:lang w:val="es-ES"/>
        </w:rPr>
        <w:t>b)</w:t>
      </w:r>
      <w:r w:rsidR="009E044D" w:rsidRPr="009B1084">
        <w:rPr>
          <w:kern w:val="22"/>
          <w:szCs w:val="22"/>
          <w:lang w:val="es-ES"/>
        </w:rPr>
        <w:tab/>
      </w:r>
      <w:r w:rsidRPr="00F31CC0">
        <w:rPr>
          <w:snapToGrid w:val="0"/>
          <w:kern w:val="22"/>
          <w:szCs w:val="22"/>
          <w:lang w:val="es-ES"/>
        </w:rPr>
        <w:t>Información publicada en los informes nacionales provisionales</w:t>
      </w:r>
      <w:r w:rsidR="009E044D" w:rsidRPr="009B1084">
        <w:rPr>
          <w:kern w:val="22"/>
          <w:szCs w:val="22"/>
          <w:lang w:val="es-ES"/>
        </w:rPr>
        <w:t>;</w:t>
      </w:r>
    </w:p>
    <w:p w:rsidR="009E044D" w:rsidRPr="009B1084" w:rsidRDefault="009B1084" w:rsidP="000C6220">
      <w:pPr>
        <w:suppressLineNumbers/>
        <w:suppressAutoHyphens/>
        <w:kinsoku w:val="0"/>
        <w:overflowPunct w:val="0"/>
        <w:autoSpaceDE w:val="0"/>
        <w:autoSpaceDN w:val="0"/>
        <w:snapToGrid w:val="0"/>
        <w:spacing w:before="120" w:line="240" w:lineRule="auto"/>
        <w:ind w:firstLine="720"/>
        <w:rPr>
          <w:kern w:val="22"/>
          <w:szCs w:val="22"/>
          <w:lang w:val="es-ES"/>
        </w:rPr>
      </w:pPr>
      <w:r w:rsidRPr="009B1084">
        <w:rPr>
          <w:kern w:val="22"/>
          <w:szCs w:val="22"/>
          <w:lang w:val="es-ES"/>
        </w:rPr>
        <w:t xml:space="preserve"> </w:t>
      </w:r>
      <w:r w:rsidR="009E044D" w:rsidRPr="009B1084">
        <w:rPr>
          <w:kern w:val="22"/>
          <w:szCs w:val="22"/>
          <w:lang w:val="es-ES"/>
        </w:rPr>
        <w:t>c)</w:t>
      </w:r>
      <w:r w:rsidR="009E044D" w:rsidRPr="009B1084">
        <w:rPr>
          <w:kern w:val="22"/>
          <w:szCs w:val="22"/>
          <w:lang w:val="es-ES"/>
        </w:rPr>
        <w:tab/>
        <w:t>Informa</w:t>
      </w:r>
      <w:r w:rsidRPr="009B1084">
        <w:rPr>
          <w:kern w:val="22"/>
          <w:szCs w:val="22"/>
          <w:lang w:val="es-ES"/>
        </w:rPr>
        <w:t xml:space="preserve">ción </w:t>
      </w:r>
      <w:r w:rsidRPr="00233406">
        <w:rPr>
          <w:kern w:val="22"/>
          <w:szCs w:val="22"/>
          <w:lang w:val="es-ES"/>
        </w:rPr>
        <w:t>publicada en el Centro de Intercambio de Información sobre APB</w:t>
      </w:r>
      <w:r w:rsidR="009E044D" w:rsidRPr="009B1084">
        <w:rPr>
          <w:kern w:val="22"/>
          <w:szCs w:val="22"/>
          <w:lang w:val="es-ES"/>
        </w:rPr>
        <w:t>;</w:t>
      </w:r>
    </w:p>
    <w:p w:rsidR="009E044D" w:rsidRPr="009B1084" w:rsidRDefault="009B1084" w:rsidP="000C6220">
      <w:pPr>
        <w:suppressLineNumbers/>
        <w:suppressAutoHyphens/>
        <w:kinsoku w:val="0"/>
        <w:overflowPunct w:val="0"/>
        <w:autoSpaceDE w:val="0"/>
        <w:autoSpaceDN w:val="0"/>
        <w:snapToGrid w:val="0"/>
        <w:spacing w:before="120" w:line="240" w:lineRule="auto"/>
        <w:ind w:firstLine="720"/>
        <w:rPr>
          <w:kern w:val="22"/>
          <w:szCs w:val="22"/>
          <w:lang w:val="es-ES"/>
        </w:rPr>
      </w:pPr>
      <w:r w:rsidRPr="009B1084">
        <w:rPr>
          <w:kern w:val="22"/>
          <w:szCs w:val="22"/>
          <w:lang w:val="es-ES"/>
        </w:rPr>
        <w:t xml:space="preserve"> </w:t>
      </w:r>
      <w:r w:rsidR="009E044D" w:rsidRPr="009B1084">
        <w:rPr>
          <w:kern w:val="22"/>
          <w:szCs w:val="22"/>
          <w:lang w:val="es-ES"/>
        </w:rPr>
        <w:t>d)</w:t>
      </w:r>
      <w:r w:rsidR="009E044D" w:rsidRPr="009B1084">
        <w:rPr>
          <w:kern w:val="22"/>
          <w:szCs w:val="22"/>
          <w:lang w:val="es-ES"/>
        </w:rPr>
        <w:tab/>
      </w:r>
      <w:r w:rsidRPr="00233406">
        <w:rPr>
          <w:kern w:val="22"/>
          <w:szCs w:val="22"/>
          <w:lang w:val="es-ES"/>
        </w:rPr>
        <w:t>Informes sobre los progresos en las iniciativas de creación y desarrollo de capacidad en apoyo a</w:t>
      </w:r>
      <w:r>
        <w:rPr>
          <w:kern w:val="22"/>
          <w:szCs w:val="22"/>
          <w:lang w:val="es-ES"/>
        </w:rPr>
        <w:t xml:space="preserve"> </w:t>
      </w:r>
      <w:r w:rsidRPr="00233406">
        <w:rPr>
          <w:kern w:val="22"/>
          <w:szCs w:val="22"/>
          <w:lang w:val="es-ES"/>
        </w:rPr>
        <w:t>l</w:t>
      </w:r>
      <w:r>
        <w:rPr>
          <w:kern w:val="22"/>
          <w:szCs w:val="22"/>
          <w:lang w:val="es-ES"/>
        </w:rPr>
        <w:t>a aplicación del</w:t>
      </w:r>
      <w:r w:rsidRPr="00233406">
        <w:rPr>
          <w:kern w:val="22"/>
          <w:szCs w:val="22"/>
          <w:lang w:val="es-ES"/>
        </w:rPr>
        <w:t xml:space="preserve"> Protocolo de Nagoya preparados por la Secretaría</w:t>
      </w:r>
      <w:r w:rsidR="009E044D" w:rsidRPr="009B1084">
        <w:rPr>
          <w:kern w:val="22"/>
          <w:szCs w:val="22"/>
          <w:lang w:val="es-ES"/>
        </w:rPr>
        <w:t>;</w:t>
      </w:r>
    </w:p>
    <w:p w:rsidR="009E044D" w:rsidRPr="009B1084" w:rsidRDefault="009B1084" w:rsidP="000C6220">
      <w:pPr>
        <w:suppressLineNumbers/>
        <w:suppressAutoHyphens/>
        <w:kinsoku w:val="0"/>
        <w:overflowPunct w:val="0"/>
        <w:autoSpaceDE w:val="0"/>
        <w:autoSpaceDN w:val="0"/>
        <w:snapToGrid w:val="0"/>
        <w:spacing w:before="120" w:line="240" w:lineRule="auto"/>
        <w:ind w:firstLine="720"/>
        <w:rPr>
          <w:kern w:val="22"/>
          <w:szCs w:val="22"/>
          <w:lang w:val="es-ES"/>
        </w:rPr>
      </w:pPr>
      <w:r w:rsidRPr="009B1084">
        <w:rPr>
          <w:kern w:val="22"/>
          <w:szCs w:val="22"/>
          <w:lang w:val="es-ES"/>
        </w:rPr>
        <w:t xml:space="preserve"> </w:t>
      </w:r>
      <w:r w:rsidR="009E044D" w:rsidRPr="009B1084">
        <w:rPr>
          <w:kern w:val="22"/>
          <w:szCs w:val="22"/>
          <w:lang w:val="es-ES"/>
        </w:rPr>
        <w:t>e)</w:t>
      </w:r>
      <w:r w:rsidR="009E044D" w:rsidRPr="009B1084">
        <w:rPr>
          <w:kern w:val="22"/>
          <w:szCs w:val="22"/>
          <w:lang w:val="es-ES"/>
        </w:rPr>
        <w:tab/>
      </w:r>
      <w:r w:rsidRPr="00233406">
        <w:rPr>
          <w:kern w:val="22"/>
          <w:szCs w:val="22"/>
          <w:lang w:val="es-ES"/>
        </w:rPr>
        <w:t>Informes del Comité Asesor Oficioso</w:t>
      </w:r>
      <w:r w:rsidR="009E044D" w:rsidRPr="009B1084">
        <w:rPr>
          <w:kern w:val="22"/>
          <w:szCs w:val="22"/>
          <w:lang w:val="es-ES"/>
        </w:rPr>
        <w:t>;</w:t>
      </w:r>
    </w:p>
    <w:p w:rsidR="009E044D" w:rsidRPr="009B1084" w:rsidRDefault="009B1084" w:rsidP="000C6220">
      <w:pPr>
        <w:suppressLineNumbers/>
        <w:suppressAutoHyphens/>
        <w:kinsoku w:val="0"/>
        <w:overflowPunct w:val="0"/>
        <w:autoSpaceDE w:val="0"/>
        <w:autoSpaceDN w:val="0"/>
        <w:snapToGrid w:val="0"/>
        <w:spacing w:before="120" w:line="240" w:lineRule="auto"/>
        <w:ind w:firstLine="720"/>
        <w:rPr>
          <w:kern w:val="22"/>
          <w:szCs w:val="22"/>
          <w:lang w:val="es-ES"/>
        </w:rPr>
      </w:pPr>
      <w:r w:rsidRPr="009B1084">
        <w:rPr>
          <w:kern w:val="22"/>
          <w:szCs w:val="22"/>
          <w:lang w:val="es-ES"/>
        </w:rPr>
        <w:t xml:space="preserve"> </w:t>
      </w:r>
      <w:r w:rsidR="009E044D" w:rsidRPr="009B1084">
        <w:rPr>
          <w:kern w:val="22"/>
          <w:szCs w:val="22"/>
          <w:lang w:val="es-ES"/>
        </w:rPr>
        <w:t>f)</w:t>
      </w:r>
      <w:r w:rsidR="009E044D" w:rsidRPr="009B1084">
        <w:rPr>
          <w:kern w:val="22"/>
          <w:szCs w:val="22"/>
          <w:lang w:val="es-ES"/>
        </w:rPr>
        <w:tab/>
      </w:r>
      <w:r w:rsidRPr="00186C60">
        <w:rPr>
          <w:kern w:val="22"/>
          <w:szCs w:val="22"/>
          <w:lang w:val="es-ES"/>
        </w:rPr>
        <w:t>Informes de proyectos, evaluaciones y presentaciones del Fondo para el Medio Ambiente Mundial y sus organismos de ejecución, así como de otras organizaciones clave que se dedican a la creación de capacidad (por e</w:t>
      </w:r>
      <w:r>
        <w:rPr>
          <w:kern w:val="22"/>
          <w:szCs w:val="22"/>
          <w:lang w:val="es-ES"/>
        </w:rPr>
        <w:t>jemplo</w:t>
      </w:r>
      <w:r w:rsidRPr="00186C60">
        <w:rPr>
          <w:kern w:val="22"/>
          <w:szCs w:val="22"/>
          <w:lang w:val="es-ES"/>
        </w:rPr>
        <w:t xml:space="preserve">, </w:t>
      </w:r>
      <w:r w:rsidRPr="0055517A">
        <w:rPr>
          <w:kern w:val="22"/>
          <w:szCs w:val="22"/>
          <w:lang w:val="es-ES"/>
        </w:rPr>
        <w:t>ABS Capacity Development Initiative</w:t>
      </w:r>
      <w:r w:rsidR="009E044D" w:rsidRPr="009B1084">
        <w:rPr>
          <w:kern w:val="22"/>
          <w:szCs w:val="22"/>
          <w:lang w:val="es-ES"/>
        </w:rPr>
        <w:t>);</w:t>
      </w:r>
    </w:p>
    <w:p w:rsidR="009E044D" w:rsidRPr="009B1084" w:rsidRDefault="009B1084" w:rsidP="000C6220">
      <w:pPr>
        <w:suppressLineNumbers/>
        <w:suppressAutoHyphens/>
        <w:kinsoku w:val="0"/>
        <w:overflowPunct w:val="0"/>
        <w:autoSpaceDE w:val="0"/>
        <w:autoSpaceDN w:val="0"/>
        <w:snapToGrid w:val="0"/>
        <w:spacing w:before="120" w:line="240" w:lineRule="auto"/>
        <w:ind w:firstLine="720"/>
        <w:rPr>
          <w:kern w:val="22"/>
          <w:szCs w:val="22"/>
          <w:lang w:val="es-ES"/>
        </w:rPr>
      </w:pPr>
      <w:r w:rsidRPr="009B1084">
        <w:rPr>
          <w:kern w:val="22"/>
          <w:szCs w:val="22"/>
          <w:lang w:val="es-ES"/>
        </w:rPr>
        <w:t xml:space="preserve"> </w:t>
      </w:r>
      <w:r w:rsidR="009E044D" w:rsidRPr="009B1084">
        <w:rPr>
          <w:kern w:val="22"/>
          <w:szCs w:val="22"/>
          <w:lang w:val="es-ES"/>
        </w:rPr>
        <w:t>g)</w:t>
      </w:r>
      <w:r w:rsidR="009E044D" w:rsidRPr="009B1084">
        <w:rPr>
          <w:kern w:val="22"/>
          <w:szCs w:val="22"/>
          <w:lang w:val="es-ES"/>
        </w:rPr>
        <w:tab/>
      </w:r>
      <w:r w:rsidRPr="00186C60">
        <w:rPr>
          <w:kern w:val="22"/>
          <w:szCs w:val="22"/>
          <w:lang w:val="es-ES"/>
        </w:rPr>
        <w:t>Evaluaciones de necesidades realizadas por las Partes y organizaciones internacionales</w:t>
      </w:r>
      <w:r w:rsidR="009E044D" w:rsidRPr="009B1084">
        <w:rPr>
          <w:kern w:val="22"/>
          <w:szCs w:val="22"/>
          <w:lang w:val="es-ES"/>
        </w:rPr>
        <w:t>;</w:t>
      </w:r>
    </w:p>
    <w:p w:rsidR="009E044D" w:rsidRPr="009B1084" w:rsidRDefault="009B1084" w:rsidP="000C6220">
      <w:pPr>
        <w:suppressLineNumbers/>
        <w:suppressAutoHyphens/>
        <w:kinsoku w:val="0"/>
        <w:overflowPunct w:val="0"/>
        <w:autoSpaceDE w:val="0"/>
        <w:autoSpaceDN w:val="0"/>
        <w:snapToGrid w:val="0"/>
        <w:spacing w:before="120" w:line="240" w:lineRule="auto"/>
        <w:ind w:firstLine="720"/>
        <w:rPr>
          <w:kern w:val="22"/>
          <w:szCs w:val="22"/>
          <w:lang w:val="es-ES"/>
        </w:rPr>
      </w:pPr>
      <w:r w:rsidRPr="009B1084">
        <w:rPr>
          <w:kern w:val="22"/>
          <w:szCs w:val="22"/>
          <w:lang w:val="es-ES"/>
        </w:rPr>
        <w:t xml:space="preserve"> </w:t>
      </w:r>
      <w:r w:rsidR="009E044D" w:rsidRPr="009B1084">
        <w:rPr>
          <w:kern w:val="22"/>
          <w:szCs w:val="22"/>
          <w:lang w:val="es-ES"/>
        </w:rPr>
        <w:t>h)</w:t>
      </w:r>
      <w:r w:rsidR="009E044D" w:rsidRPr="009B1084">
        <w:rPr>
          <w:kern w:val="22"/>
          <w:szCs w:val="22"/>
          <w:lang w:val="es-ES"/>
        </w:rPr>
        <w:tab/>
      </w:r>
      <w:r>
        <w:rPr>
          <w:kern w:val="22"/>
          <w:szCs w:val="22"/>
          <w:lang w:val="es-ES"/>
        </w:rPr>
        <w:t>I</w:t>
      </w:r>
      <w:r w:rsidRPr="009B20EB">
        <w:rPr>
          <w:kern w:val="22"/>
          <w:szCs w:val="22"/>
          <w:lang w:val="es-ES"/>
        </w:rPr>
        <w:t>nformación recabada en una encuesta en línea y en entrevistas dirigidas a interesados directos clave</w:t>
      </w:r>
      <w:r w:rsidR="009E044D" w:rsidRPr="009B1084">
        <w:rPr>
          <w:kern w:val="22"/>
          <w:szCs w:val="22"/>
          <w:lang w:val="es-ES"/>
        </w:rPr>
        <w:t>.</w:t>
      </w:r>
    </w:p>
    <w:p w:rsidR="009E044D" w:rsidRPr="009B1084" w:rsidRDefault="009E044D" w:rsidP="000C6220">
      <w:pPr>
        <w:keepNext/>
        <w:suppressLineNumbers/>
        <w:tabs>
          <w:tab w:val="left" w:pos="426"/>
        </w:tabs>
        <w:suppressAutoHyphens/>
        <w:kinsoku w:val="0"/>
        <w:overflowPunct w:val="0"/>
        <w:autoSpaceDE w:val="0"/>
        <w:autoSpaceDN w:val="0"/>
        <w:snapToGrid w:val="0"/>
        <w:spacing w:before="120" w:line="240" w:lineRule="auto"/>
        <w:jc w:val="center"/>
        <w:rPr>
          <w:b/>
          <w:kern w:val="22"/>
          <w:szCs w:val="22"/>
          <w:lang w:val="es-ES"/>
        </w:rPr>
      </w:pPr>
      <w:r w:rsidRPr="009B1084">
        <w:rPr>
          <w:b/>
          <w:kern w:val="22"/>
          <w:szCs w:val="22"/>
          <w:lang w:val="es-ES"/>
        </w:rPr>
        <w:t>C.</w:t>
      </w:r>
      <w:r w:rsidRPr="009B1084">
        <w:rPr>
          <w:b/>
          <w:kern w:val="22"/>
          <w:szCs w:val="22"/>
          <w:lang w:val="es-ES"/>
        </w:rPr>
        <w:tab/>
      </w:r>
      <w:r w:rsidR="009B1084" w:rsidRPr="009B20EB">
        <w:rPr>
          <w:b/>
          <w:kern w:val="22"/>
          <w:szCs w:val="22"/>
          <w:lang w:val="es-ES"/>
        </w:rPr>
        <w:t>Productos y resultados esperados</w:t>
      </w:r>
    </w:p>
    <w:p w:rsidR="009E044D" w:rsidRPr="009B1084" w:rsidRDefault="009E044D" w:rsidP="000C6220">
      <w:pPr>
        <w:suppressLineNumbers/>
        <w:suppressAutoHyphens/>
        <w:kinsoku w:val="0"/>
        <w:overflowPunct w:val="0"/>
        <w:autoSpaceDE w:val="0"/>
        <w:autoSpaceDN w:val="0"/>
        <w:snapToGrid w:val="0"/>
        <w:spacing w:before="120" w:line="240" w:lineRule="auto"/>
        <w:rPr>
          <w:kern w:val="22"/>
          <w:szCs w:val="22"/>
          <w:lang w:val="es-ES"/>
        </w:rPr>
      </w:pPr>
      <w:r w:rsidRPr="009B1084">
        <w:rPr>
          <w:snapToGrid w:val="0"/>
          <w:kern w:val="22"/>
          <w:szCs w:val="22"/>
          <w:lang w:val="es-ES"/>
        </w:rPr>
        <w:t>6.</w:t>
      </w:r>
      <w:r w:rsidRPr="009B1084">
        <w:rPr>
          <w:snapToGrid w:val="0"/>
          <w:kern w:val="22"/>
          <w:szCs w:val="22"/>
          <w:lang w:val="es-ES"/>
        </w:rPr>
        <w:tab/>
      </w:r>
      <w:r w:rsidR="009B1084" w:rsidRPr="009B20EB">
        <w:rPr>
          <w:snapToGrid w:val="0"/>
          <w:kern w:val="22"/>
          <w:szCs w:val="22"/>
          <w:lang w:val="es-ES"/>
        </w:rPr>
        <w:t xml:space="preserve">El marco estratégico es un documento flexible y en evolución. Desde </w:t>
      </w:r>
      <w:r w:rsidR="009B1084">
        <w:rPr>
          <w:snapToGrid w:val="0"/>
          <w:kern w:val="22"/>
          <w:szCs w:val="22"/>
          <w:lang w:val="es-ES"/>
        </w:rPr>
        <w:t>un</w:t>
      </w:r>
      <w:r w:rsidR="009B1084" w:rsidRPr="009B20EB">
        <w:rPr>
          <w:snapToGrid w:val="0"/>
          <w:kern w:val="22"/>
          <w:szCs w:val="22"/>
          <w:lang w:val="es-ES"/>
        </w:rPr>
        <w:t xml:space="preserve"> principio estuvo pensado para que se utilizara, adaptara y actualizara en función de las experiencias que surgieran y </w:t>
      </w:r>
      <w:r w:rsidR="009B1084">
        <w:rPr>
          <w:snapToGrid w:val="0"/>
          <w:kern w:val="22"/>
          <w:szCs w:val="22"/>
          <w:lang w:val="es-ES"/>
        </w:rPr>
        <w:t xml:space="preserve">de </w:t>
      </w:r>
      <w:r w:rsidR="009B1084" w:rsidRPr="009B20EB">
        <w:rPr>
          <w:snapToGrid w:val="0"/>
          <w:kern w:val="22"/>
          <w:szCs w:val="22"/>
          <w:lang w:val="es-ES"/>
        </w:rPr>
        <w:t>las lecciones que se aprendieran. Conforme al párrafo 44 del marco estratégico, el producto principal de la revisión será un informe que utilizará la Conferencia de las Partes que actúa como reunión de las Partes en el Protocolo para examinar y, según corresponda, revisar el marco estratégico para la creación y el desarrollo de capacidad en conjunto con el examen y la adopción del marco mundial de la diversidad biológica posterior a 2020</w:t>
      </w:r>
      <w:r w:rsidRPr="009B1084">
        <w:rPr>
          <w:snapToGrid w:val="0"/>
          <w:kern w:val="22"/>
          <w:szCs w:val="22"/>
          <w:lang w:val="es-ES"/>
        </w:rPr>
        <w:t>.</w:t>
      </w:r>
    </w:p>
    <w:p w:rsidR="009F5D7B" w:rsidRPr="009B1084" w:rsidRDefault="009F5D7B" w:rsidP="000C6220">
      <w:pPr>
        <w:spacing w:before="120" w:line="240" w:lineRule="auto"/>
        <w:jc w:val="left"/>
        <w:rPr>
          <w:b/>
          <w:bCs/>
          <w:caps/>
          <w:snapToGrid w:val="0"/>
          <w:kern w:val="22"/>
          <w:szCs w:val="22"/>
          <w:lang w:val="es-ES"/>
        </w:rPr>
      </w:pPr>
      <w:r w:rsidRPr="009B1084">
        <w:rPr>
          <w:szCs w:val="22"/>
          <w:lang w:val="es-ES"/>
        </w:rPr>
        <w:br w:type="page"/>
      </w:r>
    </w:p>
    <w:p w:rsidR="001E4E65" w:rsidRPr="00D77B73" w:rsidRDefault="001E4E65" w:rsidP="000C6220">
      <w:pPr>
        <w:pStyle w:val="recommendationheader"/>
        <w:spacing w:line="240" w:lineRule="auto"/>
        <w:rPr>
          <w:lang w:val="es-ES"/>
        </w:rPr>
      </w:pPr>
      <w:bookmarkStart w:id="7" w:name="_Toc256206"/>
      <w:r w:rsidRPr="00C5131C">
        <w:rPr>
          <w:lang w:val="es-ES"/>
        </w:rPr>
        <w:lastRenderedPageBreak/>
        <w:t>3/6.</w:t>
      </w:r>
      <w:r w:rsidRPr="00C5131C">
        <w:rPr>
          <w:lang w:val="es-ES"/>
        </w:rPr>
        <w:tab/>
      </w:r>
      <w:r w:rsidRPr="00D77B73">
        <w:rPr>
          <w:lang w:val="es-ES"/>
        </w:rPr>
        <w:t>Me</w:t>
      </w:r>
      <w:r w:rsidR="00D77B73" w:rsidRPr="00D77B73">
        <w:rPr>
          <w:lang w:val="es-ES"/>
        </w:rPr>
        <w:t xml:space="preserve">didas </w:t>
      </w:r>
      <w:r w:rsidR="00D77B73" w:rsidRPr="00535D5F">
        <w:rPr>
          <w:lang w:val="es-ES_tradnl"/>
        </w:rPr>
        <w:t>para</w:t>
      </w:r>
      <w:r w:rsidR="00D77B73">
        <w:rPr>
          <w:lang w:val="es-ES_tradnl"/>
        </w:rPr>
        <w:t xml:space="preserve"> aumentar la concienciación acerca de la importancia de los recursos genéticos y conocimientos tradicionales asociados </w:t>
      </w:r>
      <w:r w:rsidRPr="00D77B73">
        <w:rPr>
          <w:lang w:val="es-ES"/>
        </w:rPr>
        <w:t>(</w:t>
      </w:r>
      <w:r w:rsidR="00D77B73">
        <w:rPr>
          <w:lang w:val="es-ES"/>
        </w:rPr>
        <w:t>a</w:t>
      </w:r>
      <w:r w:rsidRPr="00D77B73">
        <w:rPr>
          <w:lang w:val="es-ES"/>
        </w:rPr>
        <w:t>rt</w:t>
      </w:r>
      <w:r w:rsidR="00D77B73">
        <w:rPr>
          <w:lang w:val="es-ES"/>
        </w:rPr>
        <w:t>ículo</w:t>
      </w:r>
      <w:r w:rsidRPr="00D77B73">
        <w:rPr>
          <w:lang w:val="es-ES"/>
        </w:rPr>
        <w:t xml:space="preserve"> 21)</w:t>
      </w:r>
      <w:bookmarkEnd w:id="7"/>
    </w:p>
    <w:p w:rsidR="001E4E65" w:rsidRPr="00D77B73" w:rsidRDefault="00D77B73" w:rsidP="000C6220">
      <w:pPr>
        <w:pStyle w:val="Para1"/>
        <w:numPr>
          <w:ilvl w:val="0"/>
          <w:numId w:val="0"/>
        </w:numPr>
        <w:suppressLineNumbers/>
        <w:shd w:val="clear" w:color="auto" w:fill="FFFFFF" w:themeFill="background1"/>
        <w:suppressAutoHyphens/>
        <w:spacing w:line="240" w:lineRule="auto"/>
        <w:ind w:firstLine="720"/>
        <w:rPr>
          <w:i/>
          <w:kern w:val="22"/>
          <w:szCs w:val="22"/>
          <w:lang w:val="es-ES"/>
        </w:rPr>
      </w:pPr>
      <w:r w:rsidRPr="00302A13">
        <w:rPr>
          <w:i/>
          <w:szCs w:val="22"/>
          <w:lang w:val="es-ES_tradnl"/>
        </w:rPr>
        <w:t>La Conferencia de las Partes que actúa como reunión de las Partes en el Protocolo de Nagoya</w:t>
      </w:r>
      <w:r w:rsidRPr="00535D5F">
        <w:rPr>
          <w:i/>
          <w:kern w:val="22"/>
          <w:szCs w:val="22"/>
          <w:lang w:val="es-ES"/>
        </w:rPr>
        <w:t xml:space="preserve"> </w:t>
      </w:r>
      <w:r>
        <w:rPr>
          <w:i/>
          <w:kern w:val="22"/>
          <w:szCs w:val="22"/>
          <w:lang w:val="es-ES"/>
        </w:rPr>
        <w:t>sobre Acceso y Participación en los Beneficios</w:t>
      </w:r>
    </w:p>
    <w:p w:rsidR="001E4E65" w:rsidRPr="00D77B73" w:rsidRDefault="00D77B73" w:rsidP="000C6220">
      <w:pPr>
        <w:pStyle w:val="Para1"/>
        <w:numPr>
          <w:ilvl w:val="0"/>
          <w:numId w:val="63"/>
        </w:numPr>
        <w:suppressLineNumbers/>
        <w:shd w:val="clear" w:color="auto" w:fill="FFFFFF" w:themeFill="background1"/>
        <w:tabs>
          <w:tab w:val="clear" w:pos="360"/>
          <w:tab w:val="clear" w:pos="567"/>
          <w:tab w:val="clear" w:pos="2912"/>
          <w:tab w:val="num" w:pos="1276"/>
        </w:tabs>
        <w:suppressAutoHyphens/>
        <w:spacing w:line="240" w:lineRule="auto"/>
        <w:ind w:firstLine="709"/>
        <w:rPr>
          <w:kern w:val="22"/>
          <w:szCs w:val="22"/>
          <w:lang w:val="es-ES"/>
        </w:rPr>
      </w:pPr>
      <w:r w:rsidRPr="00302A13">
        <w:rPr>
          <w:i/>
          <w:lang w:val="es-ES_tradnl"/>
        </w:rPr>
        <w:t>Toma nota</w:t>
      </w:r>
      <w:r w:rsidRPr="00302A13">
        <w:rPr>
          <w:lang w:val="es-ES_tradnl"/>
        </w:rPr>
        <w:t xml:space="preserve"> del progreso realizado en la aplicación de la estrategia de aumento de la concienciación para el Protocolo de Nagoya sobre Acceso y Participación en los Beneficios</w:t>
      </w:r>
      <w:r w:rsidR="001E4E65" w:rsidRPr="00EE0850">
        <w:rPr>
          <w:rStyle w:val="Refdenotaalpie"/>
          <w:kern w:val="18"/>
          <w:sz w:val="22"/>
          <w:szCs w:val="22"/>
          <w:u w:val="none"/>
          <w:vertAlign w:val="superscript"/>
        </w:rPr>
        <w:footnoteReference w:id="17"/>
      </w:r>
      <w:r w:rsidRPr="00D77B73">
        <w:rPr>
          <w:kern w:val="22"/>
          <w:szCs w:val="22"/>
          <w:lang w:val="es-ES"/>
        </w:rPr>
        <w:t>;</w:t>
      </w:r>
    </w:p>
    <w:p w:rsidR="001E4E65" w:rsidRPr="00D77B73" w:rsidRDefault="00D77B73" w:rsidP="000C6220">
      <w:pPr>
        <w:pStyle w:val="Para1"/>
        <w:numPr>
          <w:ilvl w:val="0"/>
          <w:numId w:val="63"/>
        </w:numPr>
        <w:suppressLineNumbers/>
        <w:shd w:val="clear" w:color="auto" w:fill="FFFFFF" w:themeFill="background1"/>
        <w:tabs>
          <w:tab w:val="clear" w:pos="360"/>
          <w:tab w:val="clear" w:pos="567"/>
          <w:tab w:val="clear" w:pos="2912"/>
          <w:tab w:val="num" w:pos="1276"/>
        </w:tabs>
        <w:suppressAutoHyphens/>
        <w:spacing w:line="240" w:lineRule="auto"/>
        <w:ind w:firstLine="720"/>
        <w:rPr>
          <w:kern w:val="22"/>
          <w:szCs w:val="22"/>
          <w:lang w:val="es-ES"/>
        </w:rPr>
      </w:pPr>
      <w:r w:rsidRPr="00302A13">
        <w:rPr>
          <w:i/>
          <w:szCs w:val="22"/>
          <w:lang w:val="es-ES_tradnl"/>
        </w:rPr>
        <w:t>Acoge con beneplácito</w:t>
      </w:r>
      <w:r w:rsidRPr="00302A13">
        <w:rPr>
          <w:lang w:val="es-ES_tradnl"/>
        </w:rPr>
        <w:t xml:space="preserve"> el paquete de herramientas de aumento de la concienciación para el acceso y la participación en los beneficios elaborado por la Secretaría con el objetivo de apoyar la aplicación de la estrategia de aumento de la concienciación</w:t>
      </w:r>
      <w:r w:rsidR="001E4E65" w:rsidRPr="00D77B73">
        <w:rPr>
          <w:kern w:val="22"/>
          <w:szCs w:val="22"/>
          <w:lang w:val="es-ES"/>
        </w:rPr>
        <w:t>;</w:t>
      </w:r>
    </w:p>
    <w:p w:rsidR="001E4E65" w:rsidRPr="00D77B73" w:rsidRDefault="00D77B73" w:rsidP="000C6220">
      <w:pPr>
        <w:pStyle w:val="Para1"/>
        <w:numPr>
          <w:ilvl w:val="0"/>
          <w:numId w:val="63"/>
        </w:numPr>
        <w:suppressLineNumbers/>
        <w:shd w:val="clear" w:color="auto" w:fill="FFFFFF" w:themeFill="background1"/>
        <w:tabs>
          <w:tab w:val="clear" w:pos="360"/>
          <w:tab w:val="clear" w:pos="567"/>
          <w:tab w:val="clear" w:pos="2912"/>
          <w:tab w:val="num" w:pos="1276"/>
        </w:tabs>
        <w:suppressAutoHyphens/>
        <w:spacing w:line="240" w:lineRule="auto"/>
        <w:ind w:firstLine="720"/>
        <w:rPr>
          <w:kern w:val="22"/>
          <w:szCs w:val="22"/>
          <w:lang w:val="es-ES"/>
        </w:rPr>
      </w:pPr>
      <w:r w:rsidRPr="00302A13">
        <w:rPr>
          <w:i/>
          <w:szCs w:val="22"/>
          <w:lang w:val="es-ES_tradnl"/>
        </w:rPr>
        <w:t>Alienta</w:t>
      </w:r>
      <w:r w:rsidRPr="00302A13">
        <w:rPr>
          <w:lang w:val="es-ES_tradnl"/>
        </w:rPr>
        <w:t xml:space="preserve"> a las Partes, Estados que no son Partes, organismos pertinentes y otros actores a emplear el paquete de herramientas de aumento de la concienciación sobre acceso y participación en los beneficios elaborado por la Secretaría como parte de sus actividades de creación de capacidad y aumento de la concienciación, y a proporcionar comentarios sobre su uso a la Secretaría</w:t>
      </w:r>
      <w:r w:rsidR="001E4E65" w:rsidRPr="00D77B73">
        <w:rPr>
          <w:kern w:val="22"/>
          <w:szCs w:val="22"/>
          <w:lang w:val="es-ES"/>
        </w:rPr>
        <w:t>;</w:t>
      </w:r>
    </w:p>
    <w:p w:rsidR="001E4E65" w:rsidRPr="00D77B73" w:rsidRDefault="00D77B73" w:rsidP="000C6220">
      <w:pPr>
        <w:pStyle w:val="Para1"/>
        <w:numPr>
          <w:ilvl w:val="0"/>
          <w:numId w:val="63"/>
        </w:numPr>
        <w:suppressLineNumbers/>
        <w:shd w:val="clear" w:color="auto" w:fill="FFFFFF" w:themeFill="background1"/>
        <w:tabs>
          <w:tab w:val="clear" w:pos="360"/>
          <w:tab w:val="clear" w:pos="567"/>
          <w:tab w:val="clear" w:pos="2912"/>
          <w:tab w:val="num" w:pos="1276"/>
        </w:tabs>
        <w:suppressAutoHyphens/>
        <w:spacing w:line="240" w:lineRule="auto"/>
        <w:ind w:firstLine="720"/>
        <w:rPr>
          <w:kern w:val="22"/>
          <w:szCs w:val="22"/>
          <w:lang w:val="es-ES"/>
        </w:rPr>
      </w:pPr>
      <w:r w:rsidRPr="00302A13">
        <w:rPr>
          <w:i/>
          <w:szCs w:val="22"/>
          <w:lang w:val="es-ES_tradnl"/>
        </w:rPr>
        <w:t>Alienta además</w:t>
      </w:r>
      <w:r w:rsidRPr="00302A13">
        <w:rPr>
          <w:lang w:val="es-ES_tradnl"/>
        </w:rPr>
        <w:t xml:space="preserve"> a las Partes, Estados que no son Partes, organismos pertinentes y otros actores a continuar llevando a cabo actividades de aumento de la concienciación y a proporcionar información sobre estrategias y recursos de aumento de la concienciación a través del Centro de Intercambio de Información sobre Acceso y Participación en los Beneficios</w:t>
      </w:r>
      <w:r w:rsidR="001E4E65" w:rsidRPr="00D77B73">
        <w:rPr>
          <w:kern w:val="22"/>
          <w:szCs w:val="22"/>
          <w:lang w:val="es-ES"/>
        </w:rPr>
        <w:t>;</w:t>
      </w:r>
    </w:p>
    <w:p w:rsidR="001E4E65" w:rsidRPr="00D77B73" w:rsidRDefault="00D77B73" w:rsidP="000C6220">
      <w:pPr>
        <w:pStyle w:val="Para1"/>
        <w:numPr>
          <w:ilvl w:val="0"/>
          <w:numId w:val="63"/>
        </w:numPr>
        <w:suppressLineNumbers/>
        <w:shd w:val="clear" w:color="auto" w:fill="FFFFFF" w:themeFill="background1"/>
        <w:tabs>
          <w:tab w:val="clear" w:pos="360"/>
          <w:tab w:val="clear" w:pos="567"/>
          <w:tab w:val="clear" w:pos="2912"/>
          <w:tab w:val="num" w:pos="1276"/>
        </w:tabs>
        <w:suppressAutoHyphens/>
        <w:spacing w:line="240" w:lineRule="auto"/>
        <w:ind w:firstLine="720"/>
        <w:rPr>
          <w:kern w:val="22"/>
          <w:szCs w:val="22"/>
          <w:lang w:val="es-ES"/>
        </w:rPr>
      </w:pPr>
      <w:r w:rsidRPr="00D77B73">
        <w:rPr>
          <w:i/>
          <w:szCs w:val="22"/>
          <w:lang w:val="es-ES"/>
        </w:rPr>
        <w:t>Pide</w:t>
      </w:r>
      <w:r w:rsidRPr="00D77B73">
        <w:rPr>
          <w:lang w:val="es-ES"/>
        </w:rPr>
        <w:t xml:space="preserve"> a la Secretaria Ejecutiva que continúe apoyando la aplicación de la estrategia de aumento de la concienciación</w:t>
      </w:r>
      <w:r w:rsidRPr="00D77B73">
        <w:rPr>
          <w:rStyle w:val="Refdenotaalpie"/>
          <w:kern w:val="18"/>
          <w:sz w:val="22"/>
          <w:szCs w:val="22"/>
          <w:u w:val="none"/>
          <w:vertAlign w:val="superscript"/>
          <w:lang w:val="es-ES"/>
        </w:rPr>
        <w:t xml:space="preserve"> </w:t>
      </w:r>
      <w:r w:rsidR="001E4E65" w:rsidRPr="00EE0850">
        <w:rPr>
          <w:rStyle w:val="Refdenotaalpie"/>
          <w:kern w:val="18"/>
          <w:sz w:val="22"/>
          <w:szCs w:val="22"/>
          <w:u w:val="none"/>
          <w:vertAlign w:val="superscript"/>
        </w:rPr>
        <w:footnoteReference w:id="18"/>
      </w:r>
      <w:r w:rsidR="001E4E65" w:rsidRPr="00D77B73">
        <w:rPr>
          <w:kern w:val="22"/>
          <w:szCs w:val="22"/>
          <w:lang w:val="es-ES"/>
        </w:rPr>
        <w:t xml:space="preserve"> </w:t>
      </w:r>
      <w:r w:rsidRPr="00302A13">
        <w:rPr>
          <w:lang w:val="es-ES_tradnl"/>
        </w:rPr>
        <w:t>por medio de sus actividades de creación de capacidad y fomentando el uso del paquete de herramientas en proyectos de creación de capacidad y aumento de la concienciación sobre acceso y participación en los beneficios realizados por las Partes, Estados que no son Partes y organismos pertinentes</w:t>
      </w:r>
      <w:r w:rsidR="001E4E65" w:rsidRPr="00D77B73">
        <w:rPr>
          <w:kern w:val="22"/>
          <w:szCs w:val="22"/>
          <w:lang w:val="es-ES"/>
        </w:rPr>
        <w:t>;</w:t>
      </w:r>
    </w:p>
    <w:p w:rsidR="001E4E65" w:rsidRPr="00D77B73" w:rsidRDefault="00D77B73" w:rsidP="000C6220">
      <w:pPr>
        <w:pStyle w:val="Para1"/>
        <w:numPr>
          <w:ilvl w:val="0"/>
          <w:numId w:val="63"/>
        </w:numPr>
        <w:suppressLineNumbers/>
        <w:shd w:val="clear" w:color="auto" w:fill="FFFFFF" w:themeFill="background1"/>
        <w:tabs>
          <w:tab w:val="clear" w:pos="360"/>
          <w:tab w:val="clear" w:pos="567"/>
          <w:tab w:val="clear" w:pos="2912"/>
          <w:tab w:val="num" w:pos="1276"/>
        </w:tabs>
        <w:suppressAutoHyphens/>
        <w:spacing w:line="240" w:lineRule="auto"/>
        <w:ind w:firstLine="720"/>
        <w:rPr>
          <w:kern w:val="22"/>
          <w:szCs w:val="22"/>
          <w:lang w:val="es-ES"/>
        </w:rPr>
      </w:pPr>
      <w:r w:rsidRPr="00302A13">
        <w:rPr>
          <w:i/>
          <w:szCs w:val="22"/>
          <w:lang w:val="es-ES_tradnl"/>
        </w:rPr>
        <w:t>Pide asimismo</w:t>
      </w:r>
      <w:r w:rsidRPr="00302A13">
        <w:rPr>
          <w:lang w:val="es-ES_tradnl"/>
        </w:rPr>
        <w:t xml:space="preserve"> a la Secretaria Ejecutiva que recabe comentarios de las Partes, Estados que no son Partes y otros actores pertinentes con respecto al paquete de herramientas de aumento de la concienciación sobre acceso y participación en los beneficios, y que proporcione información actualizada sobre los progresos realizados en la aplicación de la estrategia de aumento de la concienciación para su consideración por la Conferencia de las Partes que actúa como reunión de las Partes en el Protocolo de Nagoya en su cuarta reunión</w:t>
      </w:r>
      <w:r w:rsidR="001E4E65" w:rsidRPr="00D77B73">
        <w:rPr>
          <w:kern w:val="22"/>
          <w:szCs w:val="22"/>
          <w:lang w:val="es-ES"/>
        </w:rPr>
        <w:t>.</w:t>
      </w:r>
    </w:p>
    <w:p w:rsidR="00C33A7A" w:rsidRPr="00D77B73" w:rsidRDefault="00C33A7A" w:rsidP="000C6220">
      <w:pPr>
        <w:spacing w:before="120" w:line="240" w:lineRule="auto"/>
        <w:jc w:val="left"/>
        <w:rPr>
          <w:rFonts w:ascii="Times New Roman Bold" w:hAnsi="Times New Roman Bold" w:cs="Times New Roman Bold" w:hint="eastAsia"/>
          <w:b/>
          <w:bCs/>
          <w:caps/>
          <w:snapToGrid w:val="0"/>
          <w:kern w:val="22"/>
          <w:szCs w:val="22"/>
          <w:lang w:val="es-ES"/>
        </w:rPr>
      </w:pPr>
      <w:r w:rsidRPr="00D77B73">
        <w:rPr>
          <w:lang w:val="es-ES"/>
        </w:rPr>
        <w:br w:type="page"/>
      </w:r>
    </w:p>
    <w:p w:rsidR="001E4E65" w:rsidRPr="007F5DF3" w:rsidRDefault="001E4E65" w:rsidP="000C6220">
      <w:pPr>
        <w:pStyle w:val="recommendationheader"/>
        <w:spacing w:line="240" w:lineRule="auto"/>
        <w:rPr>
          <w:lang w:val="es-ES"/>
        </w:rPr>
      </w:pPr>
      <w:bookmarkStart w:id="8" w:name="_Toc256207"/>
      <w:r w:rsidRPr="00C5131C">
        <w:rPr>
          <w:lang w:val="es-ES"/>
        </w:rPr>
        <w:lastRenderedPageBreak/>
        <w:t>3/7.</w:t>
      </w:r>
      <w:r w:rsidRPr="00C5131C">
        <w:rPr>
          <w:lang w:val="es-ES"/>
        </w:rPr>
        <w:tab/>
      </w:r>
      <w:r w:rsidRPr="007F5DF3">
        <w:rPr>
          <w:lang w:val="es-ES"/>
        </w:rPr>
        <w:t>Coopera</w:t>
      </w:r>
      <w:r w:rsidR="007F5DF3" w:rsidRPr="007F5DF3">
        <w:rPr>
          <w:lang w:val="es-ES"/>
        </w:rPr>
        <w:t xml:space="preserve">ción con otros convenios, organizaciones e iniciativas internacionales </w:t>
      </w:r>
      <w:bookmarkEnd w:id="8"/>
    </w:p>
    <w:p w:rsidR="001E4E65" w:rsidRPr="007F5DF3" w:rsidRDefault="007F5DF3" w:rsidP="000C6220">
      <w:pPr>
        <w:pStyle w:val="Para1"/>
        <w:numPr>
          <w:ilvl w:val="0"/>
          <w:numId w:val="0"/>
        </w:numPr>
        <w:spacing w:line="240" w:lineRule="auto"/>
        <w:ind w:firstLine="720"/>
        <w:rPr>
          <w:kern w:val="22"/>
          <w:lang w:val="es-ES"/>
        </w:rPr>
      </w:pPr>
      <w:r w:rsidRPr="002B7EA9">
        <w:rPr>
          <w:i/>
          <w:iCs/>
          <w:kern w:val="22"/>
          <w:lang w:val="es-ES"/>
        </w:rPr>
        <w:t>La Conferencia de las Partes que actúa como reunión de las Partes en el Protocolo de Nagoya</w:t>
      </w:r>
      <w:r w:rsidRPr="006332B9">
        <w:rPr>
          <w:i/>
          <w:kern w:val="22"/>
          <w:lang w:val="es-ES"/>
        </w:rPr>
        <w:t xml:space="preserve"> </w:t>
      </w:r>
      <w:r>
        <w:rPr>
          <w:i/>
          <w:kern w:val="22"/>
          <w:lang w:val="es-ES"/>
        </w:rPr>
        <w:t>sobre Acceso y Participación en los Beneficios</w:t>
      </w:r>
      <w:r w:rsidR="001E4E65" w:rsidRPr="007F5DF3">
        <w:rPr>
          <w:kern w:val="22"/>
          <w:lang w:val="es-ES"/>
        </w:rPr>
        <w:t>,</w:t>
      </w:r>
    </w:p>
    <w:p w:rsidR="001E4E65" w:rsidRPr="007F5DF3" w:rsidRDefault="007F5DF3" w:rsidP="000C6220">
      <w:pPr>
        <w:pStyle w:val="Para1"/>
        <w:numPr>
          <w:ilvl w:val="0"/>
          <w:numId w:val="0"/>
        </w:numPr>
        <w:spacing w:line="240" w:lineRule="auto"/>
        <w:ind w:firstLine="720"/>
        <w:rPr>
          <w:kern w:val="22"/>
          <w:lang w:val="es-ES"/>
        </w:rPr>
      </w:pPr>
      <w:r w:rsidRPr="00292E45">
        <w:rPr>
          <w:i/>
          <w:lang w:val="es-ES"/>
        </w:rPr>
        <w:t>Reconociendo</w:t>
      </w:r>
      <w:r w:rsidRPr="00292E45">
        <w:rPr>
          <w:lang w:val="es-ES"/>
        </w:rPr>
        <w:t xml:space="preserve"> la importancia de la cooperación con otras organizaciones, convenios e iniciativas en cuestiones relacionadas con el acceso y la participación en los beneficios, </w:t>
      </w:r>
      <w:r>
        <w:rPr>
          <w:lang w:val="es-ES"/>
        </w:rPr>
        <w:t>y</w:t>
      </w:r>
      <w:r w:rsidRPr="00292E45">
        <w:rPr>
          <w:lang w:val="es-ES"/>
        </w:rPr>
        <w:t xml:space="preserve"> </w:t>
      </w:r>
      <w:r>
        <w:rPr>
          <w:i/>
          <w:lang w:val="es-ES"/>
        </w:rPr>
        <w:t xml:space="preserve">acogiendo con beneplácito </w:t>
      </w:r>
      <w:r>
        <w:rPr>
          <w:lang w:val="es-ES"/>
        </w:rPr>
        <w:t>las actividades de cooperación emprendidas por la Secretaria Ejecutiva</w:t>
      </w:r>
      <w:r w:rsidR="001E4E65" w:rsidRPr="007F5DF3">
        <w:rPr>
          <w:kern w:val="22"/>
          <w:lang w:val="es-ES"/>
        </w:rPr>
        <w:t>,</w:t>
      </w:r>
    </w:p>
    <w:p w:rsidR="001E4E65" w:rsidRPr="007F5DF3" w:rsidRDefault="007F5DF3" w:rsidP="000C6220">
      <w:pPr>
        <w:pStyle w:val="Para1"/>
        <w:numPr>
          <w:ilvl w:val="0"/>
          <w:numId w:val="0"/>
        </w:numPr>
        <w:spacing w:line="240" w:lineRule="auto"/>
        <w:ind w:firstLine="720"/>
        <w:rPr>
          <w:i/>
          <w:kern w:val="22"/>
          <w:lang w:val="es-ES"/>
        </w:rPr>
      </w:pPr>
      <w:r w:rsidRPr="00292E45">
        <w:rPr>
          <w:i/>
          <w:lang w:val="es-ES"/>
        </w:rPr>
        <w:t xml:space="preserve">Recordando </w:t>
      </w:r>
      <w:r w:rsidRPr="00292E45">
        <w:rPr>
          <w:lang w:val="es-ES"/>
        </w:rPr>
        <w:t>el preámbulo del Protocolo de Nagoya, en el que las Partes en el Protocolo reconocen que los instrumentos internacionales relacionados con el acceso y la participaci</w:t>
      </w:r>
      <w:r>
        <w:rPr>
          <w:lang w:val="es-ES"/>
        </w:rPr>
        <w:t>ón en los beneficios deberían apoyarse mutuamente con el fin de lograr los objetivos del Convenio</w:t>
      </w:r>
      <w:r w:rsidR="001E4E65" w:rsidRPr="007F5DF3">
        <w:rPr>
          <w:kern w:val="22"/>
          <w:lang w:val="es-ES"/>
        </w:rPr>
        <w:t>,</w:t>
      </w:r>
    </w:p>
    <w:p w:rsidR="001E4E65" w:rsidRPr="007F5DF3" w:rsidRDefault="007F5DF3" w:rsidP="000C6220">
      <w:pPr>
        <w:pStyle w:val="Para1"/>
        <w:numPr>
          <w:ilvl w:val="0"/>
          <w:numId w:val="0"/>
        </w:numPr>
        <w:spacing w:line="240" w:lineRule="auto"/>
        <w:ind w:firstLine="720"/>
        <w:rPr>
          <w:kern w:val="22"/>
          <w:lang w:val="es-ES"/>
        </w:rPr>
      </w:pPr>
      <w:r w:rsidRPr="000378C9">
        <w:rPr>
          <w:i/>
          <w:lang w:val="es-ES"/>
        </w:rPr>
        <w:t xml:space="preserve">Recordando asimismo </w:t>
      </w:r>
      <w:r w:rsidRPr="000378C9">
        <w:rPr>
          <w:lang w:val="es-ES"/>
        </w:rPr>
        <w:t xml:space="preserve">que el preámbulo del Protocolo de Nagoya hace referencia al Tratado Internacional sobre </w:t>
      </w:r>
      <w:r>
        <w:rPr>
          <w:lang w:val="es-ES"/>
        </w:rPr>
        <w:t xml:space="preserve">los </w:t>
      </w:r>
      <w:r w:rsidRPr="000378C9">
        <w:rPr>
          <w:lang w:val="es-ES"/>
        </w:rPr>
        <w:t xml:space="preserve">Recursos </w:t>
      </w:r>
      <w:r>
        <w:rPr>
          <w:lang w:val="es-ES"/>
        </w:rPr>
        <w:t>F</w:t>
      </w:r>
      <w:r w:rsidRPr="000378C9">
        <w:rPr>
          <w:lang w:val="es-ES"/>
        </w:rPr>
        <w:t xml:space="preserve">itogenéticos para la Alimentación y la Agricultura, la Comisión </w:t>
      </w:r>
      <w:r>
        <w:rPr>
          <w:lang w:val="es-ES"/>
        </w:rPr>
        <w:t xml:space="preserve">de </w:t>
      </w:r>
      <w:r w:rsidRPr="000378C9">
        <w:rPr>
          <w:lang w:val="es-ES"/>
        </w:rPr>
        <w:t>Recursos Gen</w:t>
      </w:r>
      <w:r>
        <w:rPr>
          <w:lang w:val="es-ES"/>
        </w:rPr>
        <w:t>éticos para la Alimentación y la Agricultura</w:t>
      </w:r>
      <w:r w:rsidRPr="000378C9">
        <w:rPr>
          <w:lang w:val="es-ES"/>
        </w:rPr>
        <w:t xml:space="preserve"> </w:t>
      </w:r>
      <w:r>
        <w:rPr>
          <w:lang w:val="es-ES"/>
        </w:rPr>
        <w:t>de la Organización de las Naciones Unidas para la Alimentación y la Agricultura</w:t>
      </w:r>
      <w:r w:rsidRPr="000378C9">
        <w:rPr>
          <w:lang w:val="es-ES"/>
        </w:rPr>
        <w:t xml:space="preserve">, </w:t>
      </w:r>
      <w:r>
        <w:rPr>
          <w:lang w:val="es-ES"/>
        </w:rPr>
        <w:t>y la Organización Mundial de la Salud</w:t>
      </w:r>
      <w:r w:rsidR="001E4E65" w:rsidRPr="007F5DF3">
        <w:rPr>
          <w:kern w:val="22"/>
          <w:lang w:val="es-ES"/>
        </w:rPr>
        <w:t>,</w:t>
      </w:r>
    </w:p>
    <w:p w:rsidR="001E4E65" w:rsidRPr="007F5DF3" w:rsidRDefault="007F5DF3" w:rsidP="000C6220">
      <w:pPr>
        <w:pStyle w:val="Para1"/>
        <w:numPr>
          <w:ilvl w:val="0"/>
          <w:numId w:val="81"/>
        </w:numPr>
        <w:tabs>
          <w:tab w:val="clear" w:pos="567"/>
          <w:tab w:val="clear" w:pos="2912"/>
          <w:tab w:val="left" w:pos="1418"/>
        </w:tabs>
        <w:spacing w:line="240" w:lineRule="auto"/>
        <w:ind w:firstLine="709"/>
        <w:rPr>
          <w:kern w:val="22"/>
          <w:lang w:val="es-ES"/>
        </w:rPr>
      </w:pPr>
      <w:r w:rsidRPr="00D73131">
        <w:rPr>
          <w:i/>
          <w:lang w:val="es-ES"/>
        </w:rPr>
        <w:t>Toma</w:t>
      </w:r>
      <w:r w:rsidRPr="00D73131">
        <w:rPr>
          <w:lang w:val="es-ES"/>
        </w:rPr>
        <w:t xml:space="preserve"> nota de las actividades de cooperación sobre acceso y participación en los beneficios llevadas a cabo por la Secretaria Ejecutiva</w:t>
      </w:r>
      <w:r w:rsidR="001E4E65" w:rsidRPr="00EE0850">
        <w:rPr>
          <w:rStyle w:val="Refdenotaalpie"/>
          <w:kern w:val="18"/>
          <w:sz w:val="22"/>
          <w:szCs w:val="22"/>
          <w:u w:val="none"/>
          <w:vertAlign w:val="superscript"/>
        </w:rPr>
        <w:footnoteReference w:id="19"/>
      </w:r>
      <w:r w:rsidRPr="007F5DF3">
        <w:rPr>
          <w:kern w:val="22"/>
          <w:lang w:val="es-ES"/>
        </w:rPr>
        <w:t>;</w:t>
      </w:r>
    </w:p>
    <w:p w:rsidR="001E4E65" w:rsidRPr="007F5DF3" w:rsidRDefault="007F5DF3" w:rsidP="000C6220">
      <w:pPr>
        <w:pStyle w:val="Para1"/>
        <w:numPr>
          <w:ilvl w:val="0"/>
          <w:numId w:val="81"/>
        </w:numPr>
        <w:tabs>
          <w:tab w:val="clear" w:pos="567"/>
          <w:tab w:val="clear" w:pos="2912"/>
          <w:tab w:val="left" w:pos="1418"/>
        </w:tabs>
        <w:spacing w:line="240" w:lineRule="auto"/>
        <w:ind w:firstLine="720"/>
        <w:rPr>
          <w:kern w:val="22"/>
          <w:lang w:val="es-ES"/>
        </w:rPr>
      </w:pPr>
      <w:r w:rsidRPr="00D73131">
        <w:rPr>
          <w:i/>
          <w:lang w:val="es-ES"/>
        </w:rPr>
        <w:t>Pide</w:t>
      </w:r>
      <w:r w:rsidRPr="00D73131">
        <w:rPr>
          <w:lang w:val="es-ES"/>
        </w:rPr>
        <w:t xml:space="preserve"> a la Secretaria Ejecutiva que siga colaborando en los procesos y debates sobre políticas pertinentes en curso, y que establezca enlaces con otros convenios, organizaciones e iniciativas internacionales, según proceda, </w:t>
      </w:r>
      <w:r>
        <w:rPr>
          <w:lang w:val="es-ES"/>
        </w:rPr>
        <w:t>para suministrar y</w:t>
      </w:r>
      <w:r w:rsidRPr="00D73131">
        <w:rPr>
          <w:lang w:val="es-ES"/>
        </w:rPr>
        <w:t xml:space="preserve"> recopilar información </w:t>
      </w:r>
      <w:r>
        <w:rPr>
          <w:lang w:val="es-ES"/>
        </w:rPr>
        <w:t>de</w:t>
      </w:r>
      <w:r w:rsidRPr="00D73131">
        <w:rPr>
          <w:lang w:val="es-ES"/>
        </w:rPr>
        <w:t xml:space="preserve"> los debates actuales sobre cuestiones relacionadas con el acceso y la participaci</w:t>
      </w:r>
      <w:r>
        <w:rPr>
          <w:lang w:val="es-ES"/>
        </w:rPr>
        <w:t>ón en los beneficios</w:t>
      </w:r>
      <w:r w:rsidRPr="00D73131">
        <w:rPr>
          <w:lang w:val="es-ES"/>
        </w:rPr>
        <w:t xml:space="preserve">, </w:t>
      </w:r>
      <w:r>
        <w:rPr>
          <w:lang w:val="es-ES"/>
        </w:rPr>
        <w:t>y en particular, sobre cuestiones de salud pública</w:t>
      </w:r>
      <w:r w:rsidR="001E4E65" w:rsidRPr="007F5DF3">
        <w:rPr>
          <w:kern w:val="22"/>
          <w:lang w:val="es-ES"/>
        </w:rPr>
        <w:t>;</w:t>
      </w:r>
    </w:p>
    <w:p w:rsidR="001E4E65" w:rsidRPr="007F5DF3" w:rsidRDefault="007F5DF3" w:rsidP="000C6220">
      <w:pPr>
        <w:pStyle w:val="Para1"/>
        <w:numPr>
          <w:ilvl w:val="0"/>
          <w:numId w:val="81"/>
        </w:numPr>
        <w:tabs>
          <w:tab w:val="clear" w:pos="567"/>
          <w:tab w:val="clear" w:pos="2912"/>
          <w:tab w:val="left" w:pos="1418"/>
        </w:tabs>
        <w:spacing w:line="240" w:lineRule="auto"/>
        <w:ind w:firstLine="720"/>
        <w:rPr>
          <w:kern w:val="22"/>
          <w:lang w:val="es-ES"/>
        </w:rPr>
      </w:pPr>
      <w:r w:rsidRPr="00324B34">
        <w:rPr>
          <w:i/>
          <w:lang w:val="es-ES"/>
        </w:rPr>
        <w:t>Pide también</w:t>
      </w:r>
      <w:r w:rsidRPr="00324B34">
        <w:rPr>
          <w:lang w:val="es-ES"/>
        </w:rPr>
        <w:t xml:space="preserve"> a la Secretaria Ejecutiva que prepare un informe de las actividades realizadas con arreglo al párrafo 2 </w:t>
      </w:r>
      <w:r w:rsidRPr="00324B34">
        <w:rPr>
          <w:i/>
          <w:lang w:val="es-ES"/>
        </w:rPr>
        <w:t>supra</w:t>
      </w:r>
      <w:r w:rsidRPr="00324B34">
        <w:rPr>
          <w:lang w:val="es-ES"/>
        </w:rPr>
        <w:t>, que incluya las principales novedades con arreglo a los acuerdos e instrumentos internacionales de importancia para la aplicación del Protocolo de Nagoya para someterlo al examen de la Conferencia de las Partes que actúa como reunión de las Partes en su cuarta reunión</w:t>
      </w:r>
      <w:r w:rsidR="001E4E65" w:rsidRPr="007F5DF3">
        <w:rPr>
          <w:kern w:val="22"/>
          <w:lang w:val="es-ES"/>
        </w:rPr>
        <w:t>;</w:t>
      </w:r>
    </w:p>
    <w:p w:rsidR="001E4E65" w:rsidRPr="007F5DF3" w:rsidRDefault="007F5DF3" w:rsidP="000C6220">
      <w:pPr>
        <w:pStyle w:val="Para1"/>
        <w:numPr>
          <w:ilvl w:val="0"/>
          <w:numId w:val="81"/>
        </w:numPr>
        <w:tabs>
          <w:tab w:val="clear" w:pos="567"/>
          <w:tab w:val="clear" w:pos="2912"/>
          <w:tab w:val="left" w:pos="1418"/>
        </w:tabs>
        <w:spacing w:line="240" w:lineRule="auto"/>
        <w:ind w:firstLine="720"/>
        <w:rPr>
          <w:kern w:val="22"/>
          <w:lang w:val="es-ES"/>
        </w:rPr>
      </w:pPr>
      <w:r w:rsidRPr="0099382B">
        <w:rPr>
          <w:i/>
          <w:lang w:val="es-ES"/>
        </w:rPr>
        <w:t>Pide asimismo</w:t>
      </w:r>
      <w:r w:rsidRPr="0099382B">
        <w:rPr>
          <w:lang w:val="es-ES"/>
        </w:rPr>
        <w:t xml:space="preserve"> a la Secretaria Ejecutiva que siga participando en actividades de cooperación y en proyectos que apoyen mutuamente la aplicaci</w:t>
      </w:r>
      <w:r>
        <w:rPr>
          <w:lang w:val="es-ES"/>
        </w:rPr>
        <w:t xml:space="preserve">ón del Protocolo de </w:t>
      </w:r>
      <w:r w:rsidRPr="0099382B">
        <w:rPr>
          <w:lang w:val="es-ES"/>
        </w:rPr>
        <w:t xml:space="preserve">Nagoya </w:t>
      </w:r>
      <w:r>
        <w:rPr>
          <w:lang w:val="es-ES"/>
        </w:rPr>
        <w:t>y el Tratado Internacional sobre los Recursos Fitogenéticos para la Alimentación y la Agricultura</w:t>
      </w:r>
      <w:r w:rsidR="001E4E65" w:rsidRPr="007F5DF3">
        <w:rPr>
          <w:kern w:val="22"/>
          <w:lang w:val="es-ES"/>
        </w:rPr>
        <w:t>;</w:t>
      </w:r>
    </w:p>
    <w:p w:rsidR="001E4E65" w:rsidRPr="007F5DF3" w:rsidRDefault="007F5DF3" w:rsidP="000C6220">
      <w:pPr>
        <w:pStyle w:val="Para1"/>
        <w:keepLines/>
        <w:numPr>
          <w:ilvl w:val="0"/>
          <w:numId w:val="81"/>
        </w:numPr>
        <w:tabs>
          <w:tab w:val="clear" w:pos="567"/>
          <w:tab w:val="clear" w:pos="2912"/>
          <w:tab w:val="left" w:pos="1418"/>
        </w:tabs>
        <w:spacing w:line="240" w:lineRule="auto"/>
        <w:ind w:firstLine="720"/>
        <w:rPr>
          <w:kern w:val="22"/>
          <w:lang w:val="es-ES"/>
        </w:rPr>
      </w:pPr>
      <w:bookmarkStart w:id="9" w:name="_Hlk530975177"/>
      <w:r w:rsidRPr="006332B9">
        <w:rPr>
          <w:i/>
          <w:kern w:val="22"/>
          <w:lang w:val="es-ES"/>
        </w:rPr>
        <w:t>Pide</w:t>
      </w:r>
      <w:r>
        <w:rPr>
          <w:i/>
          <w:kern w:val="22"/>
          <w:lang w:val="es-ES"/>
        </w:rPr>
        <w:t xml:space="preserve"> </w:t>
      </w:r>
      <w:r w:rsidRPr="006332B9">
        <w:rPr>
          <w:lang w:val="es-ES"/>
        </w:rPr>
        <w:t xml:space="preserve">a la Secretaria Ejecutiva que comparta la decisión </w:t>
      </w:r>
      <w:r w:rsidRPr="006332B9">
        <w:rPr>
          <w:kern w:val="22"/>
          <w:lang w:val="es-ES"/>
        </w:rPr>
        <w:t xml:space="preserve">NP-3/14 </w:t>
      </w:r>
      <w:r w:rsidRPr="00324B34">
        <w:rPr>
          <w:lang w:val="es-ES"/>
        </w:rPr>
        <w:t xml:space="preserve">con la Organización Mundial de la Salud, el Tratado Internacional sobre los Recursos Fitogenéticos para la Alimentación y la Agricultura, la Comisión en </w:t>
      </w:r>
      <w:r>
        <w:rPr>
          <w:lang w:val="es-ES"/>
        </w:rPr>
        <w:t>R</w:t>
      </w:r>
      <w:r w:rsidRPr="00324B34">
        <w:rPr>
          <w:lang w:val="es-ES"/>
        </w:rPr>
        <w:t xml:space="preserve">ecursos </w:t>
      </w:r>
      <w:r>
        <w:rPr>
          <w:lang w:val="es-ES"/>
        </w:rPr>
        <w:t>G</w:t>
      </w:r>
      <w:r w:rsidRPr="00324B34">
        <w:rPr>
          <w:lang w:val="es-ES"/>
        </w:rPr>
        <w:t xml:space="preserve">enéticos para la </w:t>
      </w:r>
      <w:r>
        <w:rPr>
          <w:lang w:val="es-ES"/>
        </w:rPr>
        <w:t xml:space="preserve">Alimentación </w:t>
      </w:r>
      <w:r w:rsidRPr="00324B34">
        <w:rPr>
          <w:lang w:val="es-ES"/>
        </w:rPr>
        <w:t xml:space="preserve">y </w:t>
      </w:r>
      <w:r>
        <w:rPr>
          <w:lang w:val="es-ES"/>
        </w:rPr>
        <w:t>la A</w:t>
      </w:r>
      <w:r w:rsidRPr="00324B34">
        <w:rPr>
          <w:lang w:val="es-ES"/>
        </w:rPr>
        <w:t>gricultura de</w:t>
      </w:r>
      <w:r>
        <w:rPr>
          <w:lang w:val="es-ES"/>
        </w:rPr>
        <w:t xml:space="preserve"> </w:t>
      </w:r>
      <w:r w:rsidRPr="00324B34">
        <w:rPr>
          <w:lang w:val="es-ES"/>
        </w:rPr>
        <w:t xml:space="preserve">la Organización de las Naciones Unidas para la Agricultura y la Alimentación y otros convenios y </w:t>
      </w:r>
      <w:r>
        <w:rPr>
          <w:lang w:val="es-ES"/>
        </w:rPr>
        <w:t>órganos pertinentes</w:t>
      </w:r>
      <w:r w:rsidR="001E4E65" w:rsidRPr="007F5DF3">
        <w:rPr>
          <w:kern w:val="22"/>
          <w:lang w:val="es-ES"/>
        </w:rPr>
        <w:t>.</w:t>
      </w:r>
      <w:bookmarkEnd w:id="9"/>
    </w:p>
    <w:p w:rsidR="001E4E65" w:rsidRPr="007F5DF3" w:rsidRDefault="001E4E65" w:rsidP="000C6220">
      <w:pPr>
        <w:spacing w:before="120" w:line="240" w:lineRule="auto"/>
        <w:jc w:val="left"/>
        <w:rPr>
          <w:rFonts w:ascii="Times New Roman Bold" w:hAnsi="Times New Roman Bold" w:cs="Times New Roman Bold" w:hint="eastAsia"/>
          <w:b/>
          <w:bCs/>
          <w:caps/>
          <w:snapToGrid w:val="0"/>
          <w:kern w:val="22"/>
          <w:szCs w:val="22"/>
          <w:lang w:val="es-ES"/>
        </w:rPr>
      </w:pPr>
      <w:r w:rsidRPr="007F5DF3">
        <w:rPr>
          <w:lang w:val="es-ES"/>
        </w:rPr>
        <w:br w:type="page"/>
      </w:r>
    </w:p>
    <w:p w:rsidR="001E4E65" w:rsidRPr="00B05591" w:rsidRDefault="001E4E65" w:rsidP="000C6220">
      <w:pPr>
        <w:pStyle w:val="recommendationheader"/>
        <w:spacing w:line="240" w:lineRule="auto"/>
        <w:rPr>
          <w:lang w:val="es-ES"/>
        </w:rPr>
      </w:pPr>
      <w:bookmarkStart w:id="10" w:name="_Toc256208"/>
      <w:r w:rsidRPr="00C5131C">
        <w:rPr>
          <w:lang w:val="es-ES"/>
        </w:rPr>
        <w:lastRenderedPageBreak/>
        <w:t>3/8.</w:t>
      </w:r>
      <w:r w:rsidRPr="00C5131C">
        <w:rPr>
          <w:lang w:val="es-ES"/>
        </w:rPr>
        <w:tab/>
      </w:r>
      <w:r w:rsidR="007F5DF3" w:rsidRPr="00B05591">
        <w:rPr>
          <w:lang w:val="es-ES"/>
        </w:rPr>
        <w:t>Mecanismo financiero</w:t>
      </w:r>
      <w:bookmarkEnd w:id="10"/>
    </w:p>
    <w:p w:rsidR="001E4E65" w:rsidRPr="00B05591" w:rsidRDefault="00B05591" w:rsidP="000C6220">
      <w:pPr>
        <w:suppressLineNumbers/>
        <w:shd w:val="clear" w:color="auto" w:fill="FFFFFF" w:themeFill="background1"/>
        <w:suppressAutoHyphens/>
        <w:kinsoku w:val="0"/>
        <w:overflowPunct w:val="0"/>
        <w:autoSpaceDE w:val="0"/>
        <w:autoSpaceDN w:val="0"/>
        <w:snapToGrid w:val="0"/>
        <w:spacing w:before="120" w:line="240" w:lineRule="auto"/>
        <w:ind w:firstLine="720"/>
        <w:rPr>
          <w:i/>
          <w:kern w:val="22"/>
          <w:szCs w:val="22"/>
          <w:lang w:val="es-ES"/>
        </w:rPr>
      </w:pPr>
      <w:r w:rsidRPr="00E92C1D">
        <w:rPr>
          <w:i/>
          <w:iCs/>
          <w:kern w:val="22"/>
          <w:lang w:val="es-ES"/>
        </w:rPr>
        <w:t>La Conferencia de las Partes que actúa como reunión de las Partes en el Protocolo de Nagoy</w:t>
      </w:r>
      <w:r>
        <w:rPr>
          <w:i/>
          <w:iCs/>
          <w:kern w:val="22"/>
          <w:lang w:val="es-ES"/>
        </w:rPr>
        <w:t>a</w:t>
      </w:r>
      <w:r w:rsidRPr="003348DA">
        <w:rPr>
          <w:i/>
          <w:kern w:val="22"/>
          <w:szCs w:val="22"/>
          <w:lang w:val="es-ES"/>
        </w:rPr>
        <w:t xml:space="preserve"> </w:t>
      </w:r>
      <w:r>
        <w:rPr>
          <w:i/>
          <w:kern w:val="22"/>
          <w:szCs w:val="22"/>
          <w:lang w:val="es-ES"/>
        </w:rPr>
        <w:t>sobre Acceso y Participación en los Beneficios</w:t>
      </w:r>
    </w:p>
    <w:p w:rsidR="001E4E65" w:rsidRPr="00B05591" w:rsidRDefault="00B05591" w:rsidP="000C6220">
      <w:pPr>
        <w:numPr>
          <w:ilvl w:val="0"/>
          <w:numId w:val="64"/>
        </w:numPr>
        <w:suppressLineNumbers/>
        <w:shd w:val="clear" w:color="auto" w:fill="FFFFFF" w:themeFill="background1"/>
        <w:tabs>
          <w:tab w:val="clear" w:pos="900"/>
        </w:tabs>
        <w:suppressAutoHyphens/>
        <w:spacing w:before="120" w:line="240" w:lineRule="auto"/>
        <w:ind w:left="0" w:firstLine="720"/>
        <w:rPr>
          <w:kern w:val="22"/>
          <w:szCs w:val="22"/>
          <w:lang w:val="es-ES"/>
        </w:rPr>
      </w:pPr>
      <w:r w:rsidRPr="002B7EA9">
        <w:rPr>
          <w:i/>
          <w:iCs/>
          <w:kern w:val="22"/>
          <w:lang w:val="es-ES"/>
        </w:rPr>
        <w:t xml:space="preserve">Acoge con beneplácito </w:t>
      </w:r>
      <w:r w:rsidRPr="002B7EA9">
        <w:rPr>
          <w:kern w:val="22"/>
          <w:lang w:val="es-ES"/>
        </w:rPr>
        <w:t xml:space="preserve">la séptima reposición del Fondo Fiduciario del Fondo para el Medio Ambiente Mundial, y </w:t>
      </w:r>
      <w:r w:rsidRPr="00BC3D61">
        <w:rPr>
          <w:i/>
          <w:kern w:val="22"/>
          <w:lang w:val="es-ES"/>
        </w:rPr>
        <w:t>expresa su agradecimiento</w:t>
      </w:r>
      <w:r w:rsidRPr="002B7EA9">
        <w:rPr>
          <w:kern w:val="22"/>
          <w:lang w:val="es-ES"/>
        </w:rPr>
        <w:t xml:space="preserve"> a los países que aportaron a la séptima reposición</w:t>
      </w:r>
      <w:r w:rsidR="001E4E65" w:rsidRPr="00EE0850">
        <w:rPr>
          <w:rStyle w:val="Refdenotaalpie"/>
          <w:kern w:val="22"/>
          <w:sz w:val="22"/>
          <w:szCs w:val="22"/>
          <w:u w:val="none"/>
          <w:vertAlign w:val="superscript"/>
        </w:rPr>
        <w:footnoteReference w:id="20"/>
      </w:r>
      <w:r w:rsidRPr="00B05591">
        <w:rPr>
          <w:kern w:val="22"/>
          <w:szCs w:val="22"/>
          <w:lang w:val="es-ES"/>
        </w:rPr>
        <w:t>;</w:t>
      </w:r>
    </w:p>
    <w:p w:rsidR="001E4E65" w:rsidRPr="00B05591" w:rsidRDefault="00B05591" w:rsidP="000C6220">
      <w:pPr>
        <w:numPr>
          <w:ilvl w:val="0"/>
          <w:numId w:val="64"/>
        </w:numPr>
        <w:suppressLineNumbers/>
        <w:shd w:val="clear" w:color="auto" w:fill="FFFFFF" w:themeFill="background1"/>
        <w:tabs>
          <w:tab w:val="clear" w:pos="900"/>
        </w:tabs>
        <w:suppressAutoHyphens/>
        <w:spacing w:before="120" w:line="240" w:lineRule="auto"/>
        <w:ind w:left="0" w:firstLine="720"/>
        <w:rPr>
          <w:kern w:val="22"/>
          <w:szCs w:val="22"/>
          <w:lang w:val="es-ES"/>
        </w:rPr>
      </w:pPr>
      <w:r w:rsidRPr="00BC3D61">
        <w:rPr>
          <w:i/>
          <w:kern w:val="22"/>
          <w:szCs w:val="22"/>
          <w:lang w:val="es-ES"/>
        </w:rPr>
        <w:t>A</w:t>
      </w:r>
      <w:r w:rsidRPr="002B7EA9">
        <w:rPr>
          <w:i/>
          <w:iCs/>
          <w:kern w:val="22"/>
          <w:lang w:val="es-ES"/>
        </w:rPr>
        <w:t xml:space="preserve">coge asimismo con beneplácito </w:t>
      </w:r>
      <w:r w:rsidRPr="002B7EA9">
        <w:rPr>
          <w:kern w:val="22"/>
          <w:lang w:val="es-ES"/>
        </w:rPr>
        <w:t xml:space="preserve">la Estrategia para la esfera de actividad de la diversidad biológica, que incluye un programa para aplicar el Protocolo de Nagoya, y </w:t>
      </w:r>
      <w:r w:rsidRPr="00BC3D61">
        <w:rPr>
          <w:i/>
          <w:kern w:val="22"/>
          <w:lang w:val="es-ES"/>
        </w:rPr>
        <w:t>toma nota</w:t>
      </w:r>
      <w:r w:rsidRPr="002B7EA9">
        <w:rPr>
          <w:kern w:val="22"/>
          <w:lang w:val="es-ES"/>
        </w:rPr>
        <w:t xml:space="preserve"> de las metas programáticas de asignación teórica para los distintos objetivos y programas de la esfera de actividad de la diversidad biológica que figuran en el informe sobre la séptima reposició</w:t>
      </w:r>
      <w:r>
        <w:rPr>
          <w:kern w:val="22"/>
          <w:lang w:val="es-ES"/>
        </w:rPr>
        <w:t>n</w:t>
      </w:r>
      <w:r w:rsidR="001E4E65" w:rsidRPr="00EE0850">
        <w:rPr>
          <w:kern w:val="22"/>
          <w:szCs w:val="22"/>
          <w:vertAlign w:val="superscript"/>
        </w:rPr>
        <w:footnoteReference w:id="21"/>
      </w:r>
      <w:r w:rsidRPr="00B05591">
        <w:rPr>
          <w:kern w:val="22"/>
          <w:szCs w:val="22"/>
          <w:lang w:val="es-ES"/>
        </w:rPr>
        <w:t>;</w:t>
      </w:r>
    </w:p>
    <w:p w:rsidR="001E4E65" w:rsidRPr="00B05591" w:rsidRDefault="00B05591" w:rsidP="000C6220">
      <w:pPr>
        <w:numPr>
          <w:ilvl w:val="0"/>
          <w:numId w:val="64"/>
        </w:numPr>
        <w:suppressLineNumbers/>
        <w:shd w:val="clear" w:color="auto" w:fill="FFFFFF" w:themeFill="background1"/>
        <w:tabs>
          <w:tab w:val="clear" w:pos="900"/>
        </w:tabs>
        <w:suppressAutoHyphens/>
        <w:spacing w:before="120" w:line="240" w:lineRule="auto"/>
        <w:ind w:left="0" w:firstLine="720"/>
        <w:rPr>
          <w:kern w:val="22"/>
          <w:szCs w:val="22"/>
          <w:lang w:val="es-ES"/>
        </w:rPr>
      </w:pPr>
      <w:r w:rsidRPr="002B7EA9">
        <w:rPr>
          <w:i/>
          <w:iCs/>
          <w:kern w:val="22"/>
          <w:lang w:val="es-ES"/>
        </w:rPr>
        <w:t xml:space="preserve">Alienta </w:t>
      </w:r>
      <w:r w:rsidRPr="002B7EA9">
        <w:rPr>
          <w:kern w:val="22"/>
          <w:lang w:val="es-ES"/>
        </w:rPr>
        <w:t>a las Partes que reúnen las condiciones a dar prioridad a los proyectos de acceso y participación en los beneficios durante la programación de sus asignaciones nacionales para la séptima reposición en el marco del Sistema para la Asignación Transparente de Recursos (STAR</w:t>
      </w:r>
      <w:r w:rsidRPr="007E49A9">
        <w:rPr>
          <w:kern w:val="22"/>
          <w:szCs w:val="22"/>
          <w:lang w:val="es-ES"/>
        </w:rPr>
        <w:t>)</w:t>
      </w:r>
      <w:r w:rsidR="001E4E65" w:rsidRPr="00B05591">
        <w:rPr>
          <w:kern w:val="22"/>
          <w:szCs w:val="22"/>
          <w:lang w:val="es-ES"/>
        </w:rPr>
        <w:t>;</w:t>
      </w:r>
    </w:p>
    <w:p w:rsidR="001E4E65" w:rsidRPr="00B05591" w:rsidRDefault="00B05591" w:rsidP="000C6220">
      <w:pPr>
        <w:numPr>
          <w:ilvl w:val="0"/>
          <w:numId w:val="64"/>
        </w:numPr>
        <w:suppressLineNumbers/>
        <w:shd w:val="clear" w:color="auto" w:fill="FFFFFF" w:themeFill="background1"/>
        <w:tabs>
          <w:tab w:val="clear" w:pos="900"/>
        </w:tabs>
        <w:suppressAutoHyphens/>
        <w:spacing w:before="120" w:line="240" w:lineRule="auto"/>
        <w:ind w:left="0" w:firstLine="720"/>
        <w:rPr>
          <w:kern w:val="22"/>
          <w:szCs w:val="22"/>
          <w:lang w:val="es-ES"/>
        </w:rPr>
      </w:pPr>
      <w:r w:rsidRPr="002B7EA9">
        <w:rPr>
          <w:i/>
          <w:iCs/>
          <w:kern w:val="22"/>
          <w:lang w:val="es-ES"/>
        </w:rPr>
        <w:t xml:space="preserve">Alienta </w:t>
      </w:r>
      <w:r w:rsidRPr="002B7EA9">
        <w:rPr>
          <w:kern w:val="22"/>
          <w:lang w:val="es-ES"/>
        </w:rPr>
        <w:t>a las Partes a incorporar actividades de acceso y participación en los beneficios en proyectos elaborados en el marco de otros programas de</w:t>
      </w:r>
      <w:r>
        <w:rPr>
          <w:kern w:val="22"/>
          <w:lang w:val="es-ES"/>
        </w:rPr>
        <w:t>l</w:t>
      </w:r>
      <w:r w:rsidRPr="007E49A9">
        <w:rPr>
          <w:kern w:val="22"/>
          <w:szCs w:val="22"/>
          <w:lang w:val="es-ES"/>
        </w:rPr>
        <w:t xml:space="preserve"> </w:t>
      </w:r>
      <w:r>
        <w:rPr>
          <w:kern w:val="22"/>
          <w:szCs w:val="22"/>
          <w:lang w:val="es-ES"/>
        </w:rPr>
        <w:t>Fondo para el Medio Ambiente Mundial, según proceda</w:t>
      </w:r>
      <w:r w:rsidR="001E4E65" w:rsidRPr="00B05591">
        <w:rPr>
          <w:kern w:val="22"/>
          <w:szCs w:val="22"/>
          <w:lang w:val="es-ES"/>
        </w:rPr>
        <w:t>;</w:t>
      </w:r>
    </w:p>
    <w:p w:rsidR="001E4E65" w:rsidRPr="00B05591" w:rsidRDefault="00B05591" w:rsidP="000C6220">
      <w:pPr>
        <w:numPr>
          <w:ilvl w:val="0"/>
          <w:numId w:val="64"/>
        </w:numPr>
        <w:suppressLineNumbers/>
        <w:shd w:val="clear" w:color="auto" w:fill="FFFFFF" w:themeFill="background1"/>
        <w:tabs>
          <w:tab w:val="clear" w:pos="900"/>
        </w:tabs>
        <w:suppressAutoHyphens/>
        <w:spacing w:before="120" w:line="240" w:lineRule="auto"/>
        <w:ind w:left="0" w:firstLine="720"/>
        <w:rPr>
          <w:kern w:val="22"/>
          <w:lang w:val="es-ES"/>
        </w:rPr>
      </w:pPr>
      <w:r w:rsidRPr="00BC3D61">
        <w:rPr>
          <w:i/>
          <w:iCs/>
          <w:kern w:val="22"/>
          <w:lang w:val="es-ES"/>
        </w:rPr>
        <w:t xml:space="preserve">Alienta </w:t>
      </w:r>
      <w:r w:rsidRPr="00BC3D61">
        <w:rPr>
          <w:i/>
          <w:kern w:val="22"/>
          <w:lang w:val="es-ES"/>
        </w:rPr>
        <w:t>también</w:t>
      </w:r>
      <w:r w:rsidRPr="002B7EA9">
        <w:rPr>
          <w:kern w:val="22"/>
          <w:lang w:val="es-ES"/>
        </w:rPr>
        <w:t xml:space="preserve"> a las Partes a cooperar a nivel regional y subregional, y a pedir apoyo al Fondo para el Medio Ambiente Mundial para proyectos conjuntos a fin de aumentar al máximo las sinergias y oportunidades para compartir recursos, información, experiencias y conocimientos de manera eficaz en función de los cost</w:t>
      </w:r>
      <w:r>
        <w:rPr>
          <w:kern w:val="22"/>
          <w:lang w:val="es-ES"/>
        </w:rPr>
        <w:t>os</w:t>
      </w:r>
      <w:r w:rsidR="001E4E65" w:rsidRPr="00B05591">
        <w:rPr>
          <w:kern w:val="22"/>
          <w:szCs w:val="22"/>
          <w:lang w:val="es-ES"/>
        </w:rPr>
        <w:t>.</w:t>
      </w:r>
    </w:p>
    <w:p w:rsidR="001E4E65" w:rsidRPr="00B05591" w:rsidRDefault="001E4E65" w:rsidP="000C6220">
      <w:pPr>
        <w:spacing w:before="120" w:line="240" w:lineRule="auto"/>
        <w:jc w:val="left"/>
        <w:rPr>
          <w:rFonts w:ascii="Times New Roman Bold" w:hAnsi="Times New Roman Bold" w:cs="Times New Roman Bold" w:hint="eastAsia"/>
          <w:b/>
          <w:bCs/>
          <w:caps/>
          <w:snapToGrid w:val="0"/>
          <w:kern w:val="22"/>
          <w:szCs w:val="22"/>
          <w:lang w:val="es-ES"/>
        </w:rPr>
      </w:pPr>
      <w:r w:rsidRPr="00B05591">
        <w:rPr>
          <w:lang w:val="es-ES"/>
        </w:rPr>
        <w:br w:type="page"/>
      </w:r>
    </w:p>
    <w:p w:rsidR="001E4E65" w:rsidRPr="00980464" w:rsidRDefault="001E4E65" w:rsidP="000C6220">
      <w:pPr>
        <w:pStyle w:val="recommendationheader"/>
        <w:spacing w:line="240" w:lineRule="auto"/>
        <w:ind w:left="1560" w:hanging="709"/>
        <w:jc w:val="left"/>
        <w:rPr>
          <w:szCs w:val="22"/>
          <w:lang w:val="es-ES"/>
        </w:rPr>
      </w:pPr>
      <w:bookmarkStart w:id="11" w:name="_Toc256209"/>
      <w:r w:rsidRPr="00C5131C">
        <w:rPr>
          <w:szCs w:val="22"/>
          <w:lang w:val="es-ES"/>
        </w:rPr>
        <w:lastRenderedPageBreak/>
        <w:t>3/9.</w:t>
      </w:r>
      <w:r w:rsidRPr="00C5131C">
        <w:rPr>
          <w:szCs w:val="22"/>
          <w:lang w:val="es-ES"/>
        </w:rPr>
        <w:tab/>
      </w:r>
      <w:r w:rsidR="00980464" w:rsidRPr="00980464">
        <w:rPr>
          <w:szCs w:val="22"/>
          <w:lang w:val="es-ES"/>
        </w:rPr>
        <w:t xml:space="preserve">Mayor integración en el marco del Convenio y sus Protocolos con respecto a disposiciones relacionadas con el acceso y la participación en los beneficios </w:t>
      </w:r>
      <w:bookmarkEnd w:id="11"/>
    </w:p>
    <w:p w:rsidR="001E4E65" w:rsidRPr="00980464" w:rsidRDefault="00980464" w:rsidP="000C6220">
      <w:pPr>
        <w:pStyle w:val="Para1"/>
        <w:numPr>
          <w:ilvl w:val="0"/>
          <w:numId w:val="0"/>
        </w:numPr>
        <w:spacing w:line="240" w:lineRule="auto"/>
        <w:ind w:firstLine="720"/>
        <w:rPr>
          <w:kern w:val="22"/>
          <w:szCs w:val="22"/>
          <w:lang w:val="es-ES"/>
        </w:rPr>
      </w:pPr>
      <w:r w:rsidRPr="00F70294">
        <w:rPr>
          <w:i/>
          <w:kern w:val="22"/>
          <w:szCs w:val="22"/>
          <w:lang w:val="es-ES"/>
        </w:rPr>
        <w:t>La Conferencia de las Partes que actúa como reunión de las Partes en el Protocolo de Nagoya</w:t>
      </w:r>
      <w:r w:rsidRPr="00692385">
        <w:rPr>
          <w:i/>
          <w:kern w:val="22"/>
          <w:szCs w:val="22"/>
          <w:lang w:val="es-ES"/>
        </w:rPr>
        <w:t xml:space="preserve"> </w:t>
      </w:r>
      <w:r>
        <w:rPr>
          <w:i/>
          <w:kern w:val="22"/>
          <w:szCs w:val="22"/>
          <w:lang w:val="es-ES"/>
        </w:rPr>
        <w:t>sobre Acceso y Participación en los Beneficios</w:t>
      </w:r>
      <w:r w:rsidR="001E4E65" w:rsidRPr="00980464">
        <w:rPr>
          <w:kern w:val="22"/>
          <w:szCs w:val="22"/>
          <w:lang w:val="es-ES"/>
        </w:rPr>
        <w:t>,</w:t>
      </w:r>
    </w:p>
    <w:p w:rsidR="001E4E65" w:rsidRPr="00980464" w:rsidRDefault="001E4E65" w:rsidP="000C6220">
      <w:pPr>
        <w:pStyle w:val="Para1"/>
        <w:numPr>
          <w:ilvl w:val="0"/>
          <w:numId w:val="0"/>
        </w:numPr>
        <w:spacing w:line="240" w:lineRule="auto"/>
        <w:ind w:firstLine="720"/>
        <w:rPr>
          <w:kern w:val="22"/>
          <w:szCs w:val="22"/>
          <w:lang w:val="es-ES"/>
        </w:rPr>
      </w:pPr>
      <w:r w:rsidRPr="00980464">
        <w:rPr>
          <w:i/>
          <w:kern w:val="22"/>
          <w:szCs w:val="22"/>
          <w:lang w:val="es-ES"/>
        </w:rPr>
        <w:t>R</w:t>
      </w:r>
      <w:r w:rsidR="00980464" w:rsidRPr="00980464">
        <w:rPr>
          <w:i/>
          <w:kern w:val="22"/>
          <w:szCs w:val="22"/>
          <w:lang w:val="es-ES"/>
        </w:rPr>
        <w:t>ecordando</w:t>
      </w:r>
      <w:r w:rsidRPr="00980464">
        <w:rPr>
          <w:i/>
          <w:kern w:val="22"/>
          <w:szCs w:val="22"/>
          <w:lang w:val="es-ES"/>
        </w:rPr>
        <w:t xml:space="preserve"> </w:t>
      </w:r>
      <w:r w:rsidR="00980464" w:rsidRPr="00980464">
        <w:rPr>
          <w:kern w:val="22"/>
          <w:szCs w:val="22"/>
          <w:lang w:val="es-ES"/>
        </w:rPr>
        <w:t>la decisión</w:t>
      </w:r>
      <w:r w:rsidRPr="00980464">
        <w:rPr>
          <w:i/>
          <w:kern w:val="22"/>
          <w:szCs w:val="22"/>
          <w:lang w:val="es-ES"/>
        </w:rPr>
        <w:t xml:space="preserve"> </w:t>
      </w:r>
      <w:hyperlink r:id="rId18" w:history="1">
        <w:r w:rsidRPr="00980464">
          <w:rPr>
            <w:rStyle w:val="Hipervnculo"/>
            <w:kern w:val="22"/>
            <w:sz w:val="22"/>
            <w:szCs w:val="22"/>
            <w:lang w:val="es-ES"/>
          </w:rPr>
          <w:t>XII/13</w:t>
        </w:r>
      </w:hyperlink>
      <w:r w:rsidR="00980464" w:rsidRPr="00980464">
        <w:rPr>
          <w:kern w:val="22"/>
          <w:szCs w:val="22"/>
          <w:lang w:val="es-ES"/>
        </w:rPr>
        <w:t xml:space="preserve"> de </w:t>
      </w:r>
      <w:r w:rsidR="00980464" w:rsidRPr="00F70294">
        <w:rPr>
          <w:kern w:val="22"/>
          <w:szCs w:val="22"/>
          <w:lang w:val="es-ES"/>
        </w:rPr>
        <w:t>la Conferencia de las Partes sobre posibles formas y medios de promover enfoques integrados para aquellas cuestiones que estén en la intersección de las disposiciones del Convenio relacionadas con el acceso y la participación en los beneficios y las disposiciones del Protocolo de Nagoya sobre Acceso a los Recursos Genéticos y Participación Justa y Equitativa en los Beneficios que se deriven de su Utilización</w:t>
      </w:r>
      <w:r w:rsidRPr="00980464">
        <w:rPr>
          <w:kern w:val="22"/>
          <w:szCs w:val="22"/>
          <w:lang w:val="es-ES"/>
        </w:rPr>
        <w:t>,</w:t>
      </w:r>
    </w:p>
    <w:p w:rsidR="001E4E65" w:rsidRPr="00980464" w:rsidRDefault="00980464" w:rsidP="000C6220">
      <w:pPr>
        <w:pStyle w:val="Para1"/>
        <w:numPr>
          <w:ilvl w:val="0"/>
          <w:numId w:val="0"/>
        </w:numPr>
        <w:spacing w:line="240" w:lineRule="auto"/>
        <w:ind w:firstLine="720"/>
        <w:rPr>
          <w:szCs w:val="22"/>
          <w:lang w:val="es-ES"/>
        </w:rPr>
      </w:pPr>
      <w:r w:rsidRPr="00F70294">
        <w:rPr>
          <w:i/>
          <w:kern w:val="22"/>
          <w:szCs w:val="22"/>
          <w:lang w:val="es-ES"/>
        </w:rPr>
        <w:t>Toma nota</w:t>
      </w:r>
      <w:r w:rsidRPr="00F70294">
        <w:rPr>
          <w:kern w:val="22"/>
          <w:szCs w:val="22"/>
          <w:lang w:val="es-ES"/>
        </w:rPr>
        <w:t xml:space="preserve"> de la propuesta de formas y medios para lograr una mayor integració</w:t>
      </w:r>
      <w:r>
        <w:rPr>
          <w:kern w:val="22"/>
          <w:szCs w:val="22"/>
          <w:lang w:val="es-ES"/>
        </w:rPr>
        <w:t>n</w:t>
      </w:r>
      <w:r w:rsidR="001E4E65" w:rsidRPr="00EE0850">
        <w:rPr>
          <w:rStyle w:val="Refdenotaalpie"/>
          <w:kern w:val="18"/>
          <w:sz w:val="22"/>
          <w:szCs w:val="22"/>
          <w:u w:val="none"/>
          <w:vertAlign w:val="superscript"/>
        </w:rPr>
        <w:footnoteReference w:id="22"/>
      </w:r>
      <w:r w:rsidRPr="00980464">
        <w:rPr>
          <w:kern w:val="22"/>
          <w:szCs w:val="22"/>
          <w:lang w:val="es-ES"/>
        </w:rPr>
        <w:t>,</w:t>
      </w:r>
      <w:r w:rsidR="001E4E65" w:rsidRPr="00980464">
        <w:rPr>
          <w:kern w:val="22"/>
          <w:szCs w:val="22"/>
          <w:lang w:val="es-ES"/>
        </w:rPr>
        <w:t xml:space="preserve"> </w:t>
      </w:r>
      <w:r w:rsidRPr="00F70294">
        <w:rPr>
          <w:kern w:val="22"/>
          <w:szCs w:val="22"/>
          <w:lang w:val="es-ES"/>
        </w:rPr>
        <w:t xml:space="preserve">y </w:t>
      </w:r>
      <w:r w:rsidRPr="00F70294">
        <w:rPr>
          <w:i/>
          <w:kern w:val="22"/>
          <w:szCs w:val="22"/>
          <w:lang w:val="es-ES"/>
        </w:rPr>
        <w:t>acoge con satisfacción</w:t>
      </w:r>
      <w:r w:rsidRPr="00F70294">
        <w:rPr>
          <w:kern w:val="22"/>
          <w:szCs w:val="22"/>
          <w:lang w:val="es-ES"/>
        </w:rPr>
        <w:t xml:space="preserve"> la decisión</w:t>
      </w:r>
      <w:r w:rsidRPr="00692385">
        <w:rPr>
          <w:kern w:val="22"/>
          <w:szCs w:val="22"/>
          <w:lang w:val="es-ES"/>
        </w:rPr>
        <w:t xml:space="preserve"> 14/31 </w:t>
      </w:r>
      <w:r w:rsidRPr="00F70294">
        <w:rPr>
          <w:kern w:val="22"/>
          <w:szCs w:val="22"/>
          <w:lang w:val="es-ES"/>
        </w:rPr>
        <w:t>de la Conferencia de las Partes</w:t>
      </w:r>
      <w:r w:rsidR="001E4E65" w:rsidRPr="00980464">
        <w:rPr>
          <w:kern w:val="22"/>
          <w:szCs w:val="22"/>
          <w:lang w:val="es-ES"/>
        </w:rPr>
        <w:t>.</w:t>
      </w:r>
    </w:p>
    <w:p w:rsidR="001E4E65" w:rsidRPr="00980464" w:rsidRDefault="001E4E65" w:rsidP="000C6220">
      <w:pPr>
        <w:spacing w:before="120" w:line="240" w:lineRule="auto"/>
        <w:jc w:val="left"/>
        <w:rPr>
          <w:rFonts w:ascii="Times New Roman Bold" w:hAnsi="Times New Roman Bold" w:cs="Times New Roman Bold" w:hint="eastAsia"/>
          <w:b/>
          <w:bCs/>
          <w:caps/>
          <w:snapToGrid w:val="0"/>
          <w:kern w:val="22"/>
          <w:szCs w:val="22"/>
          <w:lang w:val="es-ES"/>
        </w:rPr>
      </w:pPr>
      <w:r w:rsidRPr="00980464">
        <w:rPr>
          <w:rFonts w:hint="eastAsia"/>
          <w:lang w:val="es-ES"/>
        </w:rPr>
        <w:br w:type="page"/>
      </w:r>
    </w:p>
    <w:p w:rsidR="00127617" w:rsidRPr="00980464" w:rsidRDefault="00980464" w:rsidP="000C6220">
      <w:pPr>
        <w:pStyle w:val="recommendationheader"/>
        <w:spacing w:line="240" w:lineRule="auto"/>
        <w:ind w:left="1560" w:hanging="851"/>
        <w:jc w:val="left"/>
        <w:rPr>
          <w:szCs w:val="22"/>
          <w:lang w:val="es-ES"/>
        </w:rPr>
      </w:pPr>
      <w:bookmarkStart w:id="12" w:name="_Toc256210"/>
      <w:r w:rsidRPr="00C5131C">
        <w:rPr>
          <w:szCs w:val="22"/>
          <w:lang w:val="es-ES"/>
        </w:rPr>
        <w:lastRenderedPageBreak/>
        <w:t>3/10.</w:t>
      </w:r>
      <w:r w:rsidRPr="00C5131C">
        <w:rPr>
          <w:szCs w:val="22"/>
          <w:lang w:val="es-ES"/>
        </w:rPr>
        <w:tab/>
      </w:r>
      <w:r w:rsidRPr="00980464">
        <w:rPr>
          <w:szCs w:val="22"/>
          <w:lang w:val="es-ES"/>
        </w:rPr>
        <w:t>Examen de la experiencia en la celebraci</w:t>
      </w:r>
      <w:r>
        <w:rPr>
          <w:szCs w:val="22"/>
          <w:lang w:val="es-ES"/>
        </w:rPr>
        <w:t xml:space="preserve">ón de reuniones concurrentes de la Conferencia de las Partes en el Convenio, la Conferencia de las Partes que actúa como reunión de las Partes en el Protocolo de Cartagena y la Conferencia de las Partes que actúa como reunión de las Partes en el Protocolo de </w:t>
      </w:r>
      <w:r w:rsidR="00127617" w:rsidRPr="00980464">
        <w:rPr>
          <w:szCs w:val="22"/>
          <w:lang w:val="es-ES"/>
        </w:rPr>
        <w:t>Nagoya</w:t>
      </w:r>
      <w:bookmarkEnd w:id="12"/>
    </w:p>
    <w:p w:rsidR="00127617" w:rsidRPr="00C5131C" w:rsidRDefault="00C5131C" w:rsidP="000C6220">
      <w:pPr>
        <w:suppressLineNumbers/>
        <w:shd w:val="clear" w:color="auto" w:fill="FFFFFF"/>
        <w:suppressAutoHyphens/>
        <w:kinsoku w:val="0"/>
        <w:overflowPunct w:val="0"/>
        <w:autoSpaceDE w:val="0"/>
        <w:autoSpaceDN w:val="0"/>
        <w:adjustRightInd w:val="0"/>
        <w:snapToGrid w:val="0"/>
        <w:spacing w:before="120" w:line="240" w:lineRule="auto"/>
        <w:ind w:firstLine="720"/>
        <w:rPr>
          <w:i/>
          <w:kern w:val="22"/>
          <w:szCs w:val="22"/>
          <w:lang w:val="es-ES"/>
        </w:rPr>
      </w:pPr>
      <w:r w:rsidRPr="00632F8E">
        <w:rPr>
          <w:i/>
          <w:iCs/>
          <w:kern w:val="22"/>
          <w:lang w:val="es-ES"/>
        </w:rPr>
        <w:t>La Conferencia de las Partes que actúa como reunión de las Partes en el Protocolo de Nagoya sobre Acceso y Participación en los Beneficios</w:t>
      </w:r>
      <w:r w:rsidR="00127617" w:rsidRPr="00C5131C">
        <w:rPr>
          <w:i/>
          <w:kern w:val="22"/>
          <w:szCs w:val="22"/>
          <w:lang w:val="es-ES"/>
        </w:rPr>
        <w:t>,</w:t>
      </w:r>
    </w:p>
    <w:p w:rsidR="00127617" w:rsidRPr="008E1631" w:rsidRDefault="00127617" w:rsidP="000C6220">
      <w:pPr>
        <w:suppressLineNumbers/>
        <w:shd w:val="clear" w:color="auto" w:fill="FFFFFF"/>
        <w:suppressAutoHyphens/>
        <w:kinsoku w:val="0"/>
        <w:overflowPunct w:val="0"/>
        <w:autoSpaceDE w:val="0"/>
        <w:autoSpaceDN w:val="0"/>
        <w:adjustRightInd w:val="0"/>
        <w:snapToGrid w:val="0"/>
        <w:spacing w:before="120" w:line="240" w:lineRule="auto"/>
        <w:ind w:firstLine="720"/>
        <w:rPr>
          <w:kern w:val="22"/>
          <w:szCs w:val="22"/>
          <w:lang w:val="es-ES"/>
        </w:rPr>
      </w:pPr>
      <w:r w:rsidRPr="008E1631">
        <w:rPr>
          <w:i/>
          <w:iCs/>
          <w:kern w:val="22"/>
          <w:szCs w:val="22"/>
          <w:lang w:val="es-ES"/>
        </w:rPr>
        <w:t>Rec</w:t>
      </w:r>
      <w:r w:rsidR="008E1631" w:rsidRPr="008E1631">
        <w:rPr>
          <w:i/>
          <w:iCs/>
          <w:kern w:val="22"/>
          <w:szCs w:val="22"/>
          <w:lang w:val="es-ES"/>
        </w:rPr>
        <w:t>ordando</w:t>
      </w:r>
      <w:r w:rsidR="008E1631" w:rsidRPr="008E1631">
        <w:rPr>
          <w:kern w:val="22"/>
          <w:szCs w:val="22"/>
          <w:lang w:val="es-ES"/>
        </w:rPr>
        <w:t xml:space="preserve"> las decisiones</w:t>
      </w:r>
      <w:r w:rsidRPr="008E1631">
        <w:rPr>
          <w:kern w:val="22"/>
          <w:szCs w:val="22"/>
          <w:lang w:val="es-ES"/>
        </w:rPr>
        <w:t xml:space="preserve"> </w:t>
      </w:r>
      <w:hyperlink r:id="rId19" w:history="1">
        <w:r w:rsidRPr="008E1631">
          <w:rPr>
            <w:color w:val="0000FF"/>
            <w:kern w:val="22"/>
            <w:szCs w:val="22"/>
            <w:u w:val="single"/>
            <w:lang w:val="es-ES"/>
          </w:rPr>
          <w:t>NP-1/12</w:t>
        </w:r>
      </w:hyperlink>
      <w:r w:rsidR="008E1631" w:rsidRPr="008E1631">
        <w:rPr>
          <w:kern w:val="22"/>
          <w:szCs w:val="22"/>
          <w:lang w:val="es-ES"/>
        </w:rPr>
        <w:t xml:space="preserve"> y</w:t>
      </w:r>
      <w:r w:rsidRPr="008E1631">
        <w:rPr>
          <w:kern w:val="22"/>
          <w:szCs w:val="22"/>
          <w:lang w:val="es-ES"/>
        </w:rPr>
        <w:t xml:space="preserve"> </w:t>
      </w:r>
      <w:hyperlink r:id="rId20" w:history="1">
        <w:r w:rsidRPr="008E1631">
          <w:rPr>
            <w:color w:val="0000FF"/>
            <w:kern w:val="22"/>
            <w:szCs w:val="22"/>
            <w:u w:val="single"/>
            <w:lang w:val="es-ES"/>
          </w:rPr>
          <w:t>NP-2/12</w:t>
        </w:r>
      </w:hyperlink>
      <w:r w:rsidRPr="008E1631">
        <w:rPr>
          <w:kern w:val="22"/>
          <w:szCs w:val="22"/>
          <w:lang w:val="es-ES"/>
        </w:rPr>
        <w:t>,</w:t>
      </w:r>
    </w:p>
    <w:p w:rsidR="00127617" w:rsidRPr="008E1631" w:rsidRDefault="008E1631" w:rsidP="000C6220">
      <w:pPr>
        <w:suppressLineNumbers/>
        <w:shd w:val="clear" w:color="auto" w:fill="FFFFFF"/>
        <w:suppressAutoHyphens/>
        <w:kinsoku w:val="0"/>
        <w:overflowPunct w:val="0"/>
        <w:autoSpaceDE w:val="0"/>
        <w:autoSpaceDN w:val="0"/>
        <w:adjustRightInd w:val="0"/>
        <w:snapToGrid w:val="0"/>
        <w:spacing w:before="120" w:line="240" w:lineRule="auto"/>
        <w:ind w:firstLine="720"/>
        <w:rPr>
          <w:kern w:val="22"/>
          <w:szCs w:val="22"/>
          <w:lang w:val="es-ES"/>
        </w:rPr>
      </w:pPr>
      <w:r w:rsidRPr="00632F8E">
        <w:rPr>
          <w:i/>
          <w:iCs/>
          <w:kern w:val="22"/>
          <w:lang w:val="es-ES"/>
        </w:rPr>
        <w:t>Habiendo examinado</w:t>
      </w:r>
      <w:r w:rsidRPr="00632F8E">
        <w:rPr>
          <w:kern w:val="22"/>
          <w:lang w:val="es-ES"/>
        </w:rPr>
        <w:t xml:space="preserve"> la experiencia en la celebración de reuniones concurrentes de la Conferencia de las Partes, la Conferencia de las Partes que actúa como reunión de las Partes en el Protocolo de Cartagena y la Conferencia de las Partes que actúa como reunión de las Partes en el Protocolo de Nagoya, aplicando los criterios establecidos en la decisi</w:t>
      </w:r>
      <w:r>
        <w:rPr>
          <w:kern w:val="22"/>
          <w:lang w:val="es-ES"/>
        </w:rPr>
        <w:t>ón</w:t>
      </w:r>
      <w:r w:rsidRPr="00632F8E">
        <w:rPr>
          <w:kern w:val="22"/>
          <w:lang w:val="es-ES"/>
        </w:rPr>
        <w:t xml:space="preserve"> NP-2/12</w:t>
      </w:r>
      <w:r>
        <w:rPr>
          <w:kern w:val="22"/>
          <w:lang w:val="es-ES"/>
        </w:rPr>
        <w:t xml:space="preserve"> y</w:t>
      </w:r>
      <w:r w:rsidRPr="00632F8E">
        <w:rPr>
          <w:kern w:val="22"/>
          <w:lang w:val="es-ES"/>
        </w:rPr>
        <w:t xml:space="preserve">, </w:t>
      </w:r>
      <w:r w:rsidRPr="00632F8E">
        <w:rPr>
          <w:i/>
          <w:iCs/>
          <w:kern w:val="22"/>
          <w:lang w:val="es-ES"/>
        </w:rPr>
        <w:t>teniendo en cuenta</w:t>
      </w:r>
      <w:r w:rsidRPr="00632F8E">
        <w:rPr>
          <w:kern w:val="22"/>
          <w:lang w:val="es-ES"/>
        </w:rPr>
        <w:t xml:space="preserve"> las opiniones de las Partes, los observadores y los participantes que asistieron a la 13ª reunión de la Conferencia de las Partes en el Convenio, la octava reunión de la Conferencia de las Partes que actúa como reunión de las Partes en el Protocolo de Cartagena y la segunda reunión de la Conferencia de las Partes que actúa como reunión de las Partes en el Protocolo de Nagoya, y las opiniones recabadas a través de las encuestas realizadas después de las reuniones</w:t>
      </w:r>
      <w:r w:rsidR="00127617" w:rsidRPr="008E1631">
        <w:rPr>
          <w:kern w:val="22"/>
          <w:szCs w:val="22"/>
          <w:lang w:val="es-ES"/>
        </w:rPr>
        <w:t>,</w:t>
      </w:r>
    </w:p>
    <w:p w:rsidR="00127617" w:rsidRPr="008E1631" w:rsidRDefault="008E1631" w:rsidP="000C6220">
      <w:pPr>
        <w:suppressLineNumbers/>
        <w:shd w:val="clear" w:color="auto" w:fill="FFFFFF"/>
        <w:suppressAutoHyphens/>
        <w:kinsoku w:val="0"/>
        <w:overflowPunct w:val="0"/>
        <w:autoSpaceDE w:val="0"/>
        <w:autoSpaceDN w:val="0"/>
        <w:adjustRightInd w:val="0"/>
        <w:snapToGrid w:val="0"/>
        <w:spacing w:before="120" w:line="240" w:lineRule="auto"/>
        <w:ind w:firstLine="720"/>
        <w:rPr>
          <w:kern w:val="22"/>
          <w:szCs w:val="22"/>
          <w:lang w:val="es-ES"/>
        </w:rPr>
      </w:pPr>
      <w:r w:rsidRPr="00632F8E">
        <w:rPr>
          <w:i/>
          <w:iCs/>
          <w:kern w:val="22"/>
          <w:lang w:val="es-ES"/>
        </w:rPr>
        <w:t>Reconociendo</w:t>
      </w:r>
      <w:r w:rsidRPr="00632F8E">
        <w:rPr>
          <w:kern w:val="22"/>
          <w:lang w:val="es-ES"/>
        </w:rPr>
        <w:t xml:space="preserve"> que se realizará un nuevo examen en la 15ª reunión de la Conferencia de las Partes en el Convenio, la décima reunión de la Conferencia de las Partes que actúa como reunión de las Partes en el Protocolo de Cartagena y la cuarta reunión de la Conferencia de las Partes que actúa como reunión de las Partes en el Protocolo de Nagoya</w:t>
      </w:r>
      <w:r w:rsidR="00127617" w:rsidRPr="008E1631">
        <w:rPr>
          <w:kern w:val="22"/>
          <w:szCs w:val="22"/>
          <w:lang w:val="es-ES"/>
        </w:rPr>
        <w:t>,</w:t>
      </w:r>
    </w:p>
    <w:p w:rsidR="00127617" w:rsidRPr="008E1631" w:rsidRDefault="00127617" w:rsidP="000C6220">
      <w:pPr>
        <w:suppressLineNumbers/>
        <w:shd w:val="clear" w:color="auto" w:fill="FFFFFF"/>
        <w:suppressAutoHyphens/>
        <w:kinsoku w:val="0"/>
        <w:overflowPunct w:val="0"/>
        <w:autoSpaceDE w:val="0"/>
        <w:autoSpaceDN w:val="0"/>
        <w:adjustRightInd w:val="0"/>
        <w:snapToGrid w:val="0"/>
        <w:spacing w:before="120" w:line="240" w:lineRule="auto"/>
        <w:ind w:firstLine="720"/>
        <w:rPr>
          <w:kern w:val="22"/>
          <w:szCs w:val="22"/>
          <w:lang w:val="es-ES"/>
        </w:rPr>
      </w:pPr>
      <w:r w:rsidRPr="008E1631">
        <w:rPr>
          <w:kern w:val="22"/>
          <w:szCs w:val="22"/>
          <w:lang w:val="es-ES"/>
        </w:rPr>
        <w:t>1.</w:t>
      </w:r>
      <w:r w:rsidRPr="008E1631">
        <w:rPr>
          <w:kern w:val="22"/>
          <w:szCs w:val="22"/>
          <w:lang w:val="es-ES"/>
        </w:rPr>
        <w:tab/>
      </w:r>
      <w:r w:rsidR="008E1631" w:rsidRPr="00632F8E">
        <w:rPr>
          <w:i/>
          <w:iCs/>
          <w:kern w:val="22"/>
          <w:lang w:val="es-ES"/>
        </w:rPr>
        <w:t>Observa con satisfacción</w:t>
      </w:r>
      <w:r w:rsidR="008E1631" w:rsidRPr="00632F8E">
        <w:rPr>
          <w:kern w:val="22"/>
          <w:lang w:val="es-ES"/>
        </w:rPr>
        <w:t xml:space="preserve"> que las reuniones concurrentes han permitido una mayor integración entre el Convenio y sus Protocolos y han mejorado las consultas, la coordinación y las sinergias entre los respectivos puntos focales nacionales</w:t>
      </w:r>
      <w:r w:rsidRPr="008E1631">
        <w:rPr>
          <w:kern w:val="22"/>
          <w:szCs w:val="22"/>
          <w:lang w:val="es-ES"/>
        </w:rPr>
        <w:t>;</w:t>
      </w:r>
    </w:p>
    <w:p w:rsidR="00127617" w:rsidRPr="008E1631" w:rsidRDefault="00127617" w:rsidP="000C6220">
      <w:pPr>
        <w:suppressLineNumbers/>
        <w:shd w:val="clear" w:color="auto" w:fill="FFFFFF"/>
        <w:suppressAutoHyphens/>
        <w:kinsoku w:val="0"/>
        <w:overflowPunct w:val="0"/>
        <w:autoSpaceDE w:val="0"/>
        <w:autoSpaceDN w:val="0"/>
        <w:adjustRightInd w:val="0"/>
        <w:snapToGrid w:val="0"/>
        <w:spacing w:before="120" w:line="240" w:lineRule="auto"/>
        <w:ind w:firstLine="720"/>
        <w:rPr>
          <w:kern w:val="22"/>
          <w:szCs w:val="22"/>
          <w:lang w:val="es-ES"/>
        </w:rPr>
      </w:pPr>
      <w:r w:rsidRPr="008E1631">
        <w:rPr>
          <w:kern w:val="22"/>
          <w:szCs w:val="22"/>
          <w:lang w:val="es-ES"/>
        </w:rPr>
        <w:t>2.</w:t>
      </w:r>
      <w:r w:rsidRPr="008E1631">
        <w:rPr>
          <w:kern w:val="22"/>
          <w:szCs w:val="22"/>
          <w:lang w:val="es-ES"/>
        </w:rPr>
        <w:tab/>
      </w:r>
      <w:r w:rsidR="008E1631" w:rsidRPr="00632F8E">
        <w:rPr>
          <w:i/>
          <w:iCs/>
          <w:spacing w:val="-2"/>
          <w:kern w:val="22"/>
          <w:lang w:val="es-ES"/>
        </w:rPr>
        <w:t>Observa</w:t>
      </w:r>
      <w:r w:rsidR="008E1631" w:rsidRPr="00632F8E">
        <w:rPr>
          <w:spacing w:val="-2"/>
          <w:kern w:val="22"/>
          <w:lang w:val="es-ES"/>
        </w:rPr>
        <w:t xml:space="preserve"> que se consideró que la mayoría de los criterios se habían cumplido total o parcialmente y que sería conveniente seguir mejorando el funcionamiento de las reuniones concurrentes, en particular para lograr mejores resultados y una mayor eficacia en las reuniones de las Partes en los Protocolo</w:t>
      </w:r>
      <w:r w:rsidR="008E1631">
        <w:rPr>
          <w:spacing w:val="-2"/>
          <w:kern w:val="22"/>
          <w:lang w:val="es-ES"/>
        </w:rPr>
        <w:t>s</w:t>
      </w:r>
      <w:r w:rsidRPr="008E1631">
        <w:rPr>
          <w:kern w:val="22"/>
          <w:szCs w:val="22"/>
          <w:lang w:val="es-ES"/>
        </w:rPr>
        <w:t>;</w:t>
      </w:r>
    </w:p>
    <w:p w:rsidR="00127617" w:rsidRPr="008E1631" w:rsidRDefault="00127617" w:rsidP="000C6220">
      <w:pPr>
        <w:suppressLineNumbers/>
        <w:shd w:val="clear" w:color="auto" w:fill="FFFFFF"/>
        <w:suppressAutoHyphens/>
        <w:kinsoku w:val="0"/>
        <w:overflowPunct w:val="0"/>
        <w:autoSpaceDE w:val="0"/>
        <w:autoSpaceDN w:val="0"/>
        <w:adjustRightInd w:val="0"/>
        <w:snapToGrid w:val="0"/>
        <w:spacing w:before="120" w:line="240" w:lineRule="auto"/>
        <w:ind w:firstLine="720"/>
        <w:rPr>
          <w:kern w:val="22"/>
          <w:szCs w:val="22"/>
          <w:lang w:val="es-ES"/>
        </w:rPr>
      </w:pPr>
      <w:r w:rsidRPr="008E1631">
        <w:rPr>
          <w:kern w:val="22"/>
          <w:szCs w:val="22"/>
          <w:lang w:val="es-ES"/>
        </w:rPr>
        <w:t>3.</w:t>
      </w:r>
      <w:r w:rsidRPr="008E1631">
        <w:rPr>
          <w:kern w:val="22"/>
          <w:szCs w:val="22"/>
          <w:lang w:val="es-ES"/>
        </w:rPr>
        <w:tab/>
      </w:r>
      <w:r w:rsidR="008E1631" w:rsidRPr="00632F8E">
        <w:rPr>
          <w:i/>
          <w:iCs/>
          <w:kern w:val="22"/>
          <w:lang w:val="es-ES"/>
        </w:rPr>
        <w:t>Reitera</w:t>
      </w:r>
      <w:r w:rsidR="008E1631" w:rsidRPr="00632F8E">
        <w:rPr>
          <w:kern w:val="22"/>
          <w:lang w:val="es-ES"/>
        </w:rPr>
        <w:t xml:space="preserve"> la importancia de garantizar la participación plena y efectiva de representantes de las Partes que son países en desarrollo, en particular los países menos adelantados y los pequeños Estados insulares en desarrollo entre ellos, y los países con economías en transición, en las reuniones concurrentes y </w:t>
      </w:r>
      <w:r w:rsidR="008E1631" w:rsidRPr="00632F8E">
        <w:rPr>
          <w:i/>
          <w:iCs/>
          <w:kern w:val="22"/>
          <w:lang w:val="es-ES"/>
        </w:rPr>
        <w:t>resalta</w:t>
      </w:r>
      <w:r w:rsidR="008E1631" w:rsidRPr="00632F8E">
        <w:rPr>
          <w:kern w:val="22"/>
          <w:lang w:val="es-ES"/>
        </w:rPr>
        <w:t>, al respecto, la importancia, en particular, de garantizar una participación adecuada de representantes en las reuniones de los Protocolos mediante la facilitación de fondos para esa participación, inclu</w:t>
      </w:r>
      <w:r w:rsidR="008E1631">
        <w:rPr>
          <w:kern w:val="22"/>
          <w:lang w:val="es-ES"/>
        </w:rPr>
        <w:t>s</w:t>
      </w:r>
      <w:r w:rsidR="008E1631" w:rsidRPr="00632F8E">
        <w:rPr>
          <w:kern w:val="22"/>
          <w:lang w:val="es-ES"/>
        </w:rPr>
        <w:t>o en las reuniones entre períodos de sesiones</w:t>
      </w:r>
      <w:r w:rsidRPr="008E1631">
        <w:rPr>
          <w:kern w:val="22"/>
          <w:szCs w:val="22"/>
          <w:lang w:val="es-ES"/>
        </w:rPr>
        <w:t>;</w:t>
      </w:r>
    </w:p>
    <w:p w:rsidR="00127617" w:rsidRPr="008E1631" w:rsidRDefault="00127617" w:rsidP="000C6220">
      <w:pPr>
        <w:suppressLineNumbers/>
        <w:suppressAutoHyphens/>
        <w:kinsoku w:val="0"/>
        <w:overflowPunct w:val="0"/>
        <w:autoSpaceDE w:val="0"/>
        <w:autoSpaceDN w:val="0"/>
        <w:adjustRightInd w:val="0"/>
        <w:snapToGrid w:val="0"/>
        <w:spacing w:before="120" w:line="240" w:lineRule="auto"/>
        <w:ind w:firstLine="720"/>
        <w:rPr>
          <w:kern w:val="22"/>
          <w:szCs w:val="22"/>
          <w:lang w:val="es-ES" w:eastAsia="en-CA"/>
        </w:rPr>
      </w:pPr>
      <w:r w:rsidRPr="008E1631">
        <w:rPr>
          <w:kern w:val="22"/>
          <w:szCs w:val="22"/>
          <w:lang w:val="es-ES"/>
        </w:rPr>
        <w:t>4.</w:t>
      </w:r>
      <w:r w:rsidRPr="008E1631">
        <w:rPr>
          <w:kern w:val="22"/>
          <w:szCs w:val="22"/>
          <w:lang w:val="es-ES"/>
        </w:rPr>
        <w:tab/>
      </w:r>
      <w:r w:rsidR="008E1631">
        <w:rPr>
          <w:i/>
          <w:iCs/>
          <w:lang w:val="es-UY"/>
        </w:rPr>
        <w:t>Pide</w:t>
      </w:r>
      <w:r w:rsidR="008E1631">
        <w:rPr>
          <w:lang w:val="es-UY"/>
        </w:rPr>
        <w:t xml:space="preserve"> a la Secretaria Ejecutiva que continúe desarrollando el examen preliminar de la experiencia en la celebración de reuniones concurrentes, utilizando los criterios que se mencionan en la decisión 2/12, sobre la base de la experiencia adquirida en la 14ª reunión de la Conferencia de las Partes, la novena reunión de la Conferencia de las Partes que actúa como reunión de las Partes en el Protocolo de Cartagena y la tercera reunión de la Conferencia de las Partes que actúa como reunión de las Partes en el Protocolo de Nagoya, para su consideración por el Órgano Subsidiario sobre la Aplicación en su tercera reunión</w:t>
      </w:r>
      <w:r w:rsidRPr="008E1631">
        <w:rPr>
          <w:kern w:val="22"/>
          <w:szCs w:val="22"/>
          <w:lang w:val="es-ES"/>
        </w:rPr>
        <w:t>;</w:t>
      </w:r>
    </w:p>
    <w:p w:rsidR="00127617" w:rsidRPr="008E1631" w:rsidRDefault="00127617" w:rsidP="000C6220">
      <w:pPr>
        <w:suppressLineNumbers/>
        <w:shd w:val="clear" w:color="auto" w:fill="FFFFFF"/>
        <w:suppressAutoHyphens/>
        <w:kinsoku w:val="0"/>
        <w:overflowPunct w:val="0"/>
        <w:autoSpaceDE w:val="0"/>
        <w:autoSpaceDN w:val="0"/>
        <w:adjustRightInd w:val="0"/>
        <w:snapToGrid w:val="0"/>
        <w:spacing w:before="120" w:line="240" w:lineRule="auto"/>
        <w:ind w:firstLine="720"/>
        <w:rPr>
          <w:kern w:val="22"/>
          <w:lang w:val="es-ES"/>
        </w:rPr>
      </w:pPr>
      <w:r w:rsidRPr="008E1631">
        <w:rPr>
          <w:kern w:val="22"/>
          <w:szCs w:val="22"/>
          <w:lang w:val="es-ES"/>
        </w:rPr>
        <w:t>5.</w:t>
      </w:r>
      <w:r w:rsidRPr="008E1631">
        <w:rPr>
          <w:kern w:val="22"/>
          <w:szCs w:val="22"/>
          <w:lang w:val="es-ES"/>
        </w:rPr>
        <w:tab/>
      </w:r>
      <w:r w:rsidR="008E1631" w:rsidRPr="005663E4">
        <w:rPr>
          <w:i/>
          <w:iCs/>
          <w:kern w:val="22"/>
          <w:lang w:val="es-ES"/>
        </w:rPr>
        <w:t>Pide</w:t>
      </w:r>
      <w:r w:rsidR="008E1631" w:rsidRPr="005663E4">
        <w:rPr>
          <w:kern w:val="22"/>
          <w:lang w:val="es-ES"/>
        </w:rPr>
        <w:t xml:space="preserve"> a la Mesa y a la Secretaria Ejecutiva que, al terminar de preparar la propuesta de organización de los trabajos para la 15ª reunión de la Conferencia de las Partes en el Convenio, la décima reunión de la Conferencia de las Partes que actúa como reunión de las Partes en el Protocolo de Cartagena y la cuarta reunión de la Conferencia de las Partes que actúa como reunión de las Partes en el Protocolo de Nagoya, tengan en cuenta la presente decisión, la información que figura en las notas de la Secretaria Ejecutiva</w:t>
      </w:r>
      <w:r w:rsidRPr="00EE0850">
        <w:rPr>
          <w:kern w:val="22"/>
          <w:szCs w:val="22"/>
          <w:vertAlign w:val="superscript"/>
        </w:rPr>
        <w:footnoteReference w:id="23"/>
      </w:r>
      <w:r w:rsidR="008E1631">
        <w:rPr>
          <w:kern w:val="22"/>
          <w:szCs w:val="22"/>
          <w:lang w:val="es-ES"/>
        </w:rPr>
        <w:t xml:space="preserve"> y</w:t>
      </w:r>
      <w:r w:rsidRPr="008E1631">
        <w:rPr>
          <w:kern w:val="22"/>
          <w:szCs w:val="22"/>
          <w:lang w:val="es-ES"/>
        </w:rPr>
        <w:t xml:space="preserve"> </w:t>
      </w:r>
      <w:r w:rsidR="008E1631">
        <w:rPr>
          <w:kern w:val="22"/>
          <w:szCs w:val="22"/>
          <w:lang w:val="es-ES"/>
        </w:rPr>
        <w:t>la</w:t>
      </w:r>
      <w:r w:rsidR="008E1631">
        <w:rPr>
          <w:lang w:val="es-UY"/>
        </w:rPr>
        <w:t xml:space="preserve"> experiencia adquirida en la 14ª reunión de la Conferencia de las Partes, la novena reunión de la Conferencia de las Partes que actúa como reunión de las Partes en el Protocolo de Cartagena y la tercera reunión de la Conferencia de las Partes que actúa como reunión de las Partes en el Protocolo de Nagoya</w:t>
      </w:r>
      <w:r w:rsidRPr="008E1631">
        <w:rPr>
          <w:kern w:val="22"/>
          <w:szCs w:val="22"/>
          <w:lang w:val="es-ES"/>
        </w:rPr>
        <w:t>.</w:t>
      </w:r>
    </w:p>
    <w:p w:rsidR="00C01027" w:rsidRPr="008E1631" w:rsidRDefault="00C01027" w:rsidP="000C6220">
      <w:pPr>
        <w:pStyle w:val="recommendationheader"/>
        <w:spacing w:line="240" w:lineRule="auto"/>
        <w:rPr>
          <w:lang w:val="es-ES"/>
        </w:rPr>
      </w:pPr>
      <w:bookmarkStart w:id="13" w:name="_Toc256211"/>
      <w:r w:rsidRPr="008E1631">
        <w:rPr>
          <w:lang w:val="es-ES"/>
        </w:rPr>
        <w:lastRenderedPageBreak/>
        <w:t>3/11.</w:t>
      </w:r>
      <w:r w:rsidRPr="008E1631">
        <w:rPr>
          <w:lang w:val="es-ES"/>
        </w:rPr>
        <w:tab/>
        <w:t>Proced</w:t>
      </w:r>
      <w:r w:rsidR="008E1631" w:rsidRPr="008E1631">
        <w:rPr>
          <w:lang w:val="es-ES"/>
        </w:rPr>
        <w:t xml:space="preserve">imiento para </w:t>
      </w:r>
      <w:r w:rsidR="008E1631" w:rsidRPr="003414DA">
        <w:rPr>
          <w:rFonts w:eastAsia="Malgun Gothic"/>
          <w:kern w:val="22"/>
          <w:szCs w:val="22"/>
          <w:lang w:val="es-ES"/>
        </w:rPr>
        <w:t>evitar o tratar conflictos de interes</w:t>
      </w:r>
      <w:r w:rsidR="008E1631">
        <w:rPr>
          <w:rFonts w:eastAsia="Malgun Gothic"/>
          <w:kern w:val="22"/>
          <w:szCs w:val="22"/>
          <w:lang w:val="es-ES"/>
        </w:rPr>
        <w:t>es en los grupos de expertos</w:t>
      </w:r>
      <w:r w:rsidR="008E1631" w:rsidRPr="008E1631">
        <w:rPr>
          <w:lang w:val="es-ES"/>
        </w:rPr>
        <w:t xml:space="preserve"> </w:t>
      </w:r>
      <w:bookmarkEnd w:id="13"/>
    </w:p>
    <w:p w:rsidR="00C01027" w:rsidRPr="008E1631" w:rsidRDefault="008E1631" w:rsidP="000C6220">
      <w:pPr>
        <w:suppressLineNumbers/>
        <w:shd w:val="clear" w:color="auto" w:fill="FFFFFF"/>
        <w:suppressAutoHyphens/>
        <w:kinsoku w:val="0"/>
        <w:overflowPunct w:val="0"/>
        <w:autoSpaceDE w:val="0"/>
        <w:autoSpaceDN w:val="0"/>
        <w:adjustRightInd w:val="0"/>
        <w:snapToGrid w:val="0"/>
        <w:spacing w:before="120" w:line="240" w:lineRule="auto"/>
        <w:ind w:firstLine="720"/>
        <w:rPr>
          <w:i/>
          <w:kern w:val="22"/>
          <w:szCs w:val="22"/>
          <w:lang w:val="es-ES"/>
        </w:rPr>
      </w:pPr>
      <w:r w:rsidRPr="003414DA">
        <w:rPr>
          <w:i/>
          <w:iCs/>
          <w:kern w:val="22"/>
          <w:lang w:val="es-ES"/>
        </w:rPr>
        <w:t>La Conferencia de las Partes que actúa como reunión de las Partes en el Protocolo de Nagoya sobre Acceso y Participación en los Beneficios</w:t>
      </w:r>
      <w:r w:rsidR="00C01027" w:rsidRPr="008E1631">
        <w:rPr>
          <w:i/>
          <w:kern w:val="22"/>
          <w:szCs w:val="22"/>
          <w:lang w:val="es-ES"/>
        </w:rPr>
        <w:t>,</w:t>
      </w:r>
    </w:p>
    <w:p w:rsidR="00C01027" w:rsidRPr="008E1631" w:rsidRDefault="008E1631" w:rsidP="000C6220">
      <w:pPr>
        <w:suppressLineNumbers/>
        <w:shd w:val="clear" w:color="auto" w:fill="FFFFFF"/>
        <w:suppressAutoHyphens/>
        <w:kinsoku w:val="0"/>
        <w:overflowPunct w:val="0"/>
        <w:autoSpaceDE w:val="0"/>
        <w:autoSpaceDN w:val="0"/>
        <w:adjustRightInd w:val="0"/>
        <w:snapToGrid w:val="0"/>
        <w:spacing w:before="120" w:line="240" w:lineRule="auto"/>
        <w:ind w:firstLine="720"/>
        <w:rPr>
          <w:kern w:val="22"/>
          <w:szCs w:val="22"/>
          <w:lang w:val="es-ES"/>
        </w:rPr>
      </w:pPr>
      <w:r w:rsidRPr="003414DA">
        <w:rPr>
          <w:i/>
          <w:iCs/>
          <w:kern w:val="22"/>
          <w:lang w:val="es-ES"/>
        </w:rPr>
        <w:t>Reconociendo</w:t>
      </w:r>
      <w:r w:rsidRPr="003414DA">
        <w:rPr>
          <w:kern w:val="22"/>
          <w:lang w:val="es-ES"/>
        </w:rPr>
        <w:t xml:space="preserve"> la importancia fundamental de adoptar decisiones basadas en el mejor asesoramiento especializado disponible</w:t>
      </w:r>
      <w:r w:rsidR="00C01027" w:rsidRPr="008E1631">
        <w:rPr>
          <w:kern w:val="22"/>
          <w:szCs w:val="22"/>
          <w:lang w:val="es-ES"/>
        </w:rPr>
        <w:t>,</w:t>
      </w:r>
    </w:p>
    <w:p w:rsidR="00C01027" w:rsidRPr="008E1631" w:rsidRDefault="008E1631" w:rsidP="000C6220">
      <w:pPr>
        <w:suppressLineNumbers/>
        <w:shd w:val="clear" w:color="auto" w:fill="FFFFFF"/>
        <w:suppressAutoHyphens/>
        <w:kinsoku w:val="0"/>
        <w:overflowPunct w:val="0"/>
        <w:autoSpaceDE w:val="0"/>
        <w:autoSpaceDN w:val="0"/>
        <w:adjustRightInd w:val="0"/>
        <w:snapToGrid w:val="0"/>
        <w:spacing w:before="120" w:line="240" w:lineRule="auto"/>
        <w:ind w:firstLine="720"/>
        <w:rPr>
          <w:kern w:val="22"/>
          <w:szCs w:val="22"/>
          <w:lang w:val="es-ES"/>
        </w:rPr>
      </w:pPr>
      <w:r w:rsidRPr="003414DA">
        <w:rPr>
          <w:i/>
          <w:iCs/>
          <w:kern w:val="22"/>
          <w:lang w:val="es-ES"/>
        </w:rPr>
        <w:t>Reconociendo también</w:t>
      </w:r>
      <w:r w:rsidRPr="003414DA">
        <w:rPr>
          <w:kern w:val="22"/>
          <w:lang w:val="es-ES"/>
        </w:rPr>
        <w:t xml:space="preserve"> la necesidad de evitar o tratar con transparencia los conflictos de intereses de los miembros de los grupos de expertos que se establecen cada tanto para formular recomendaciones</w:t>
      </w:r>
      <w:r w:rsidR="00C01027" w:rsidRPr="008E1631">
        <w:rPr>
          <w:kern w:val="22"/>
          <w:szCs w:val="22"/>
          <w:lang w:val="es-ES"/>
        </w:rPr>
        <w:t>,</w:t>
      </w:r>
    </w:p>
    <w:p w:rsidR="008E1631" w:rsidRPr="003414DA" w:rsidRDefault="00C01027" w:rsidP="008E1631">
      <w:pPr>
        <w:suppressLineNumbers/>
        <w:shd w:val="clear" w:color="auto" w:fill="FFFFFF"/>
        <w:suppressAutoHyphens/>
        <w:kinsoku w:val="0"/>
        <w:overflowPunct w:val="0"/>
        <w:autoSpaceDE w:val="0"/>
        <w:autoSpaceDN w:val="0"/>
        <w:adjustRightInd w:val="0"/>
        <w:snapToGrid w:val="0"/>
        <w:spacing w:before="120"/>
        <w:ind w:firstLine="720"/>
        <w:rPr>
          <w:kern w:val="22"/>
          <w:szCs w:val="22"/>
          <w:lang w:val="es-ES"/>
        </w:rPr>
      </w:pPr>
      <w:r w:rsidRPr="008E1631">
        <w:rPr>
          <w:kern w:val="22"/>
          <w:szCs w:val="22"/>
          <w:lang w:val="es-ES"/>
        </w:rPr>
        <w:t>1.</w:t>
      </w:r>
      <w:r w:rsidRPr="008E1631">
        <w:rPr>
          <w:kern w:val="22"/>
          <w:szCs w:val="22"/>
          <w:lang w:val="es-ES"/>
        </w:rPr>
        <w:tab/>
      </w:r>
      <w:r w:rsidR="008E1631" w:rsidRPr="003414DA">
        <w:rPr>
          <w:i/>
          <w:iCs/>
          <w:kern w:val="22"/>
          <w:lang w:val="es-ES"/>
        </w:rPr>
        <w:t>Aprueba</w:t>
      </w:r>
      <w:r w:rsidR="008E1631" w:rsidRPr="003414DA">
        <w:rPr>
          <w:kern w:val="22"/>
          <w:lang w:val="es-ES"/>
        </w:rPr>
        <w:t xml:space="preserve"> el Procedimiento para Evitar o Tratar Conflictos de Intereses en los Grupos de Expertos que figura en el anexo a la decisión </w:t>
      </w:r>
      <w:r w:rsidR="008E1631" w:rsidRPr="003414DA">
        <w:rPr>
          <w:kern w:val="22"/>
          <w:szCs w:val="22"/>
          <w:lang w:val="es-ES"/>
        </w:rPr>
        <w:t xml:space="preserve">14/33 </w:t>
      </w:r>
      <w:r w:rsidR="008E1631">
        <w:rPr>
          <w:kern w:val="22"/>
          <w:szCs w:val="22"/>
          <w:lang w:val="es-ES"/>
        </w:rPr>
        <w:t>de la Conferencia de las Partes en el Convenio</w:t>
      </w:r>
      <w:r w:rsidR="008E1631" w:rsidRPr="003414DA">
        <w:rPr>
          <w:kern w:val="22"/>
          <w:szCs w:val="22"/>
          <w:lang w:val="es-ES"/>
        </w:rPr>
        <w:t>;</w:t>
      </w:r>
    </w:p>
    <w:p w:rsidR="008E1631" w:rsidRPr="003414DA" w:rsidRDefault="008E1631" w:rsidP="008E1631">
      <w:pPr>
        <w:suppressLineNumbers/>
        <w:shd w:val="clear" w:color="auto" w:fill="FFFFFF"/>
        <w:suppressAutoHyphens/>
        <w:kinsoku w:val="0"/>
        <w:overflowPunct w:val="0"/>
        <w:autoSpaceDE w:val="0"/>
        <w:autoSpaceDN w:val="0"/>
        <w:adjustRightInd w:val="0"/>
        <w:snapToGrid w:val="0"/>
        <w:spacing w:before="120"/>
        <w:ind w:firstLine="720"/>
        <w:rPr>
          <w:kern w:val="22"/>
          <w:szCs w:val="22"/>
          <w:lang w:val="es-ES"/>
        </w:rPr>
      </w:pPr>
      <w:r w:rsidRPr="003414DA">
        <w:rPr>
          <w:kern w:val="22"/>
          <w:szCs w:val="22"/>
          <w:lang w:val="es-ES"/>
        </w:rPr>
        <w:t>2.</w:t>
      </w:r>
      <w:r w:rsidRPr="003414DA">
        <w:rPr>
          <w:kern w:val="22"/>
          <w:szCs w:val="22"/>
          <w:lang w:val="es-ES"/>
        </w:rPr>
        <w:tab/>
      </w:r>
      <w:r w:rsidRPr="003414DA">
        <w:rPr>
          <w:i/>
          <w:iCs/>
          <w:kern w:val="22"/>
          <w:lang w:val="es-ES"/>
        </w:rPr>
        <w:t>Pide</w:t>
      </w:r>
      <w:r w:rsidRPr="003414DA">
        <w:rPr>
          <w:kern w:val="22"/>
          <w:lang w:val="es-ES"/>
        </w:rPr>
        <w:t xml:space="preserve"> a la Secretaria Ejecutiva que vele por la puesta en práctica, </w:t>
      </w:r>
      <w:r w:rsidRPr="003414DA">
        <w:rPr>
          <w:i/>
          <w:kern w:val="22"/>
          <w:lang w:val="es-ES"/>
        </w:rPr>
        <w:t>mutatis mutandis</w:t>
      </w:r>
      <w:r w:rsidRPr="003414DA">
        <w:rPr>
          <w:kern w:val="22"/>
          <w:lang w:val="es-ES"/>
        </w:rPr>
        <w:t>, del Procedimiento para Evitar o Tratar Conflictos de Intereses en los Grupos de Expertos en virtud del Protocolo de Nagoya sobre Acceso a los Recursos Genéticos y Participación Justa y Equitativa en los Beneficios que se Deriven de su Utilización, en consulta con la Mesa del Órgano Subsidiario de Asesoramiento Científico, Técnico y Tecnológico o la Mesa de la Conferencia de las Partes al ejercer como Mesa de la Conferencia de las Partes que actúa como reunión de las Partes en el Protocolo de Nagoya, según proceda</w:t>
      </w:r>
      <w:r w:rsidRPr="003414DA">
        <w:rPr>
          <w:kern w:val="22"/>
          <w:szCs w:val="22"/>
          <w:lang w:val="es-ES"/>
        </w:rPr>
        <w:t>;</w:t>
      </w:r>
    </w:p>
    <w:p w:rsidR="008E1631" w:rsidRPr="003414DA" w:rsidRDefault="008E1631" w:rsidP="008E1631">
      <w:pPr>
        <w:suppressLineNumbers/>
        <w:shd w:val="clear" w:color="auto" w:fill="FFFFFF" w:themeFill="background1"/>
        <w:suppressAutoHyphens/>
        <w:kinsoku w:val="0"/>
        <w:overflowPunct w:val="0"/>
        <w:autoSpaceDE w:val="0"/>
        <w:autoSpaceDN w:val="0"/>
        <w:adjustRightInd w:val="0"/>
        <w:snapToGrid w:val="0"/>
        <w:spacing w:before="120"/>
        <w:ind w:firstLine="720"/>
        <w:rPr>
          <w:kern w:val="22"/>
          <w:szCs w:val="22"/>
          <w:lang w:val="es-ES"/>
        </w:rPr>
      </w:pPr>
      <w:r w:rsidRPr="003414DA">
        <w:rPr>
          <w:kern w:val="22"/>
          <w:szCs w:val="22"/>
          <w:lang w:val="es-ES"/>
        </w:rPr>
        <w:t>3.</w:t>
      </w:r>
      <w:r w:rsidRPr="003414DA">
        <w:rPr>
          <w:kern w:val="22"/>
          <w:szCs w:val="22"/>
          <w:lang w:val="es-ES"/>
        </w:rPr>
        <w:tab/>
      </w:r>
      <w:r w:rsidRPr="00603232">
        <w:rPr>
          <w:i/>
          <w:color w:val="000000" w:themeColor="text1"/>
          <w:szCs w:val="22"/>
          <w:lang w:val="es-ES_tradnl"/>
        </w:rPr>
        <w:t>Pide también</w:t>
      </w:r>
      <w:r w:rsidRPr="00603232">
        <w:rPr>
          <w:color w:val="000000" w:themeColor="text1"/>
          <w:szCs w:val="22"/>
          <w:lang w:val="es-ES_tradnl"/>
        </w:rPr>
        <w:t xml:space="preserve"> a la Secretaria Ejecutiva</w:t>
      </w:r>
      <w:r>
        <w:rPr>
          <w:color w:val="000000" w:themeColor="text1"/>
          <w:szCs w:val="22"/>
          <w:lang w:val="es-ES_tradnl"/>
        </w:rPr>
        <w:t xml:space="preserve"> que elabore un informe sobre a) la aplicación del Procedimiento; y b) los acontecimientos pertinentes respecto de </w:t>
      </w:r>
      <w:r w:rsidRPr="00603232">
        <w:rPr>
          <w:color w:val="000000" w:themeColor="text1"/>
          <w:szCs w:val="22"/>
          <w:lang w:val="es-ES_tradnl"/>
        </w:rPr>
        <w:t xml:space="preserve">evitar o </w:t>
      </w:r>
      <w:r>
        <w:rPr>
          <w:color w:val="000000" w:themeColor="text1"/>
          <w:szCs w:val="22"/>
          <w:lang w:val="es-ES_tradnl"/>
        </w:rPr>
        <w:t xml:space="preserve">tratar </w:t>
      </w:r>
      <w:r w:rsidRPr="00603232">
        <w:rPr>
          <w:color w:val="000000" w:themeColor="text1"/>
          <w:szCs w:val="22"/>
          <w:lang w:val="es-ES_tradnl"/>
        </w:rPr>
        <w:t>conflict</w:t>
      </w:r>
      <w:r>
        <w:rPr>
          <w:color w:val="000000" w:themeColor="text1"/>
          <w:szCs w:val="22"/>
          <w:lang w:val="es-ES_tradnl"/>
        </w:rPr>
        <w:t>o</w:t>
      </w:r>
      <w:r w:rsidRPr="00603232">
        <w:rPr>
          <w:color w:val="000000" w:themeColor="text1"/>
          <w:szCs w:val="22"/>
          <w:lang w:val="es-ES_tradnl"/>
        </w:rPr>
        <w:t xml:space="preserve">s </w:t>
      </w:r>
      <w:r>
        <w:rPr>
          <w:color w:val="000000" w:themeColor="text1"/>
          <w:szCs w:val="22"/>
          <w:lang w:val="es-ES_tradnl"/>
        </w:rPr>
        <w:t>de intereses en ot</w:t>
      </w:r>
      <w:r w:rsidRPr="00603232">
        <w:rPr>
          <w:color w:val="000000" w:themeColor="text1"/>
          <w:szCs w:val="22"/>
          <w:lang w:val="es-ES_tradnl"/>
        </w:rPr>
        <w:t>r</w:t>
      </w:r>
      <w:r>
        <w:rPr>
          <w:color w:val="000000" w:themeColor="text1"/>
          <w:szCs w:val="22"/>
          <w:lang w:val="es-ES_tradnl"/>
        </w:rPr>
        <w:t>os acuerdos multilaterales sobre medio ambiente</w:t>
      </w:r>
      <w:r w:rsidRPr="00603232">
        <w:rPr>
          <w:color w:val="000000" w:themeColor="text1"/>
          <w:szCs w:val="22"/>
          <w:lang w:val="es-ES_tradnl"/>
        </w:rPr>
        <w:t xml:space="preserve">, </w:t>
      </w:r>
      <w:r>
        <w:rPr>
          <w:color w:val="000000" w:themeColor="text1"/>
          <w:szCs w:val="22"/>
          <w:lang w:val="es-ES_tradnl"/>
        </w:rPr>
        <w:t>iniciativas intergubernamentales y organizaciones, y, cuando proceda</w:t>
      </w:r>
      <w:r w:rsidRPr="00603232">
        <w:rPr>
          <w:color w:val="000000" w:themeColor="text1"/>
          <w:szCs w:val="22"/>
          <w:lang w:val="es-ES_tradnl"/>
        </w:rPr>
        <w:t>, propo</w:t>
      </w:r>
      <w:r>
        <w:rPr>
          <w:color w:val="000000" w:themeColor="text1"/>
          <w:szCs w:val="22"/>
          <w:lang w:val="es-ES_tradnl"/>
        </w:rPr>
        <w:t>nga actualizaciones o enmiendas al Procedimiento vigente, para someter a consideración del Órgano Subsidiario sobre la Aplicación, en una reunión celebrada antes de la quinta reunión de la Conferencia de las Partes</w:t>
      </w:r>
      <w:r w:rsidRPr="003414DA">
        <w:rPr>
          <w:kern w:val="22"/>
          <w:szCs w:val="22"/>
          <w:lang w:val="es-ES"/>
        </w:rPr>
        <w:t xml:space="preserve"> </w:t>
      </w:r>
      <w:r>
        <w:rPr>
          <w:kern w:val="22"/>
          <w:szCs w:val="22"/>
          <w:lang w:val="es-ES"/>
        </w:rPr>
        <w:t xml:space="preserve">que actúa como reunión de las Partes en el Protocolo de </w:t>
      </w:r>
      <w:r w:rsidRPr="003414DA">
        <w:rPr>
          <w:kern w:val="22"/>
          <w:szCs w:val="22"/>
          <w:lang w:val="es-ES"/>
        </w:rPr>
        <w:t>Nagoya;</w:t>
      </w:r>
    </w:p>
    <w:p w:rsidR="00C01027" w:rsidRPr="008E1631" w:rsidRDefault="008E1631" w:rsidP="008E1631">
      <w:pPr>
        <w:suppressLineNumbers/>
        <w:shd w:val="clear" w:color="auto" w:fill="FFFFFF"/>
        <w:suppressAutoHyphens/>
        <w:kinsoku w:val="0"/>
        <w:overflowPunct w:val="0"/>
        <w:autoSpaceDE w:val="0"/>
        <w:autoSpaceDN w:val="0"/>
        <w:adjustRightInd w:val="0"/>
        <w:snapToGrid w:val="0"/>
        <w:spacing w:before="120" w:line="240" w:lineRule="auto"/>
        <w:ind w:firstLine="720"/>
        <w:rPr>
          <w:lang w:val="es-ES"/>
        </w:rPr>
      </w:pPr>
      <w:r w:rsidRPr="003414DA">
        <w:rPr>
          <w:kern w:val="22"/>
          <w:szCs w:val="22"/>
          <w:lang w:val="es-ES"/>
        </w:rPr>
        <w:t>4.</w:t>
      </w:r>
      <w:r w:rsidRPr="003414DA">
        <w:rPr>
          <w:kern w:val="22"/>
          <w:szCs w:val="22"/>
          <w:lang w:val="es-ES"/>
        </w:rPr>
        <w:tab/>
      </w:r>
      <w:r w:rsidRPr="003414DA">
        <w:rPr>
          <w:i/>
          <w:kern w:val="22"/>
          <w:szCs w:val="22"/>
          <w:lang w:val="es-ES"/>
        </w:rPr>
        <w:t>Pide</w:t>
      </w:r>
      <w:r w:rsidRPr="003414DA">
        <w:rPr>
          <w:kern w:val="22"/>
          <w:szCs w:val="22"/>
          <w:lang w:val="es-ES"/>
        </w:rPr>
        <w:t xml:space="preserve"> al Órgano Subsidiario sobre la Aplicación  que examine el informe al que alude el párrafo 3 anterior y presente recomendaciones, si procede, para someter a consideración de la Conferencia de las Partes </w:t>
      </w:r>
      <w:r>
        <w:rPr>
          <w:kern w:val="22"/>
          <w:szCs w:val="22"/>
          <w:lang w:val="es-ES"/>
        </w:rPr>
        <w:t>que actúa como reunión de las Partes en el Protocolo de Nagoya</w:t>
      </w:r>
      <w:r w:rsidRPr="003414DA">
        <w:rPr>
          <w:kern w:val="22"/>
          <w:szCs w:val="22"/>
          <w:lang w:val="es-ES"/>
        </w:rPr>
        <w:t xml:space="preserve">, en su </w:t>
      </w:r>
      <w:r>
        <w:rPr>
          <w:kern w:val="22"/>
          <w:szCs w:val="22"/>
          <w:lang w:val="es-ES"/>
        </w:rPr>
        <w:t>quinta</w:t>
      </w:r>
      <w:r w:rsidRPr="003414DA">
        <w:rPr>
          <w:kern w:val="22"/>
          <w:szCs w:val="22"/>
          <w:lang w:val="es-ES"/>
        </w:rPr>
        <w:t xml:space="preserve"> reunión</w:t>
      </w:r>
      <w:r w:rsidR="00C01027" w:rsidRPr="008E1631">
        <w:rPr>
          <w:lang w:val="es-ES"/>
        </w:rPr>
        <w:t>.</w:t>
      </w:r>
    </w:p>
    <w:p w:rsidR="00C01027" w:rsidRPr="008E1631" w:rsidRDefault="00C01027" w:rsidP="000C6220">
      <w:pPr>
        <w:spacing w:before="120" w:line="240" w:lineRule="auto"/>
        <w:jc w:val="left"/>
        <w:rPr>
          <w:rFonts w:ascii="Times New Roman Bold" w:hAnsi="Times New Roman Bold" w:cs="Times New Roman Bold" w:hint="eastAsia"/>
          <w:b/>
          <w:bCs/>
          <w:caps/>
          <w:snapToGrid w:val="0"/>
          <w:kern w:val="22"/>
          <w:szCs w:val="22"/>
          <w:lang w:val="es-ES"/>
        </w:rPr>
      </w:pPr>
      <w:r w:rsidRPr="008E1631">
        <w:rPr>
          <w:lang w:val="es-ES"/>
        </w:rPr>
        <w:br w:type="page"/>
      </w:r>
    </w:p>
    <w:p w:rsidR="00682B7B" w:rsidRPr="008E1631" w:rsidRDefault="00682B7B" w:rsidP="000C6220">
      <w:pPr>
        <w:pStyle w:val="recommendationheader"/>
        <w:spacing w:line="240" w:lineRule="auto"/>
        <w:rPr>
          <w:lang w:val="es-ES"/>
        </w:rPr>
      </w:pPr>
      <w:bookmarkStart w:id="14" w:name="_Toc256212"/>
      <w:r w:rsidRPr="007E294E">
        <w:rPr>
          <w:lang w:val="es-ES"/>
        </w:rPr>
        <w:lastRenderedPageBreak/>
        <w:t>3/12.</w:t>
      </w:r>
      <w:r w:rsidRPr="007E294E">
        <w:rPr>
          <w:lang w:val="es-ES"/>
        </w:rPr>
        <w:tab/>
      </w:r>
      <w:r w:rsidR="008E1631" w:rsidRPr="008E1631">
        <w:rPr>
          <w:lang w:val="es-ES"/>
        </w:rPr>
        <w:t>Información d</w:t>
      </w:r>
      <w:r w:rsidRPr="008E1631">
        <w:rPr>
          <w:lang w:val="es-ES"/>
        </w:rPr>
        <w:t>igital s</w:t>
      </w:r>
      <w:r w:rsidR="008E1631" w:rsidRPr="008E1631">
        <w:rPr>
          <w:lang w:val="es-ES"/>
        </w:rPr>
        <w:t>obre</w:t>
      </w:r>
      <w:r w:rsidR="008E1631">
        <w:rPr>
          <w:lang w:val="es-ES"/>
        </w:rPr>
        <w:t xml:space="preserve"> secuencias de recursos genéticos</w:t>
      </w:r>
      <w:bookmarkEnd w:id="14"/>
    </w:p>
    <w:p w:rsidR="00682B7B" w:rsidRPr="008E1631" w:rsidRDefault="008E1631" w:rsidP="000C6220">
      <w:pPr>
        <w:suppressLineNumbers/>
        <w:suppressAutoHyphens/>
        <w:spacing w:before="120" w:line="240" w:lineRule="auto"/>
        <w:ind w:firstLine="720"/>
        <w:rPr>
          <w:i/>
          <w:kern w:val="22"/>
          <w:szCs w:val="22"/>
          <w:lang w:val="es-ES"/>
        </w:rPr>
      </w:pPr>
      <w:r w:rsidRPr="002B7EA9">
        <w:rPr>
          <w:rFonts w:eastAsia="MS Mincho"/>
          <w:i/>
          <w:iCs/>
          <w:kern w:val="22"/>
          <w:lang w:val="es-ES"/>
        </w:rPr>
        <w:t>La Conferencia de las Partes que actúa como reunión de las Partes en el Protocolo de Nagoya</w:t>
      </w:r>
      <w:r w:rsidRPr="00CD7099">
        <w:rPr>
          <w:i/>
          <w:kern w:val="22"/>
          <w:szCs w:val="22"/>
          <w:lang w:val="es-ES"/>
        </w:rPr>
        <w:t xml:space="preserve"> </w:t>
      </w:r>
      <w:r>
        <w:rPr>
          <w:i/>
          <w:kern w:val="22"/>
          <w:szCs w:val="22"/>
          <w:lang w:val="es-ES"/>
        </w:rPr>
        <w:t>sobre Acceso y Participación en los Beneficios</w:t>
      </w:r>
      <w:r w:rsidR="00682B7B" w:rsidRPr="008E1631">
        <w:rPr>
          <w:i/>
          <w:kern w:val="22"/>
          <w:szCs w:val="22"/>
          <w:lang w:val="es-ES"/>
        </w:rPr>
        <w:t>,</w:t>
      </w:r>
    </w:p>
    <w:p w:rsidR="00682B7B" w:rsidRPr="008E1631" w:rsidRDefault="008E1631" w:rsidP="000C6220">
      <w:pPr>
        <w:suppressLineNumbers/>
        <w:suppressAutoHyphens/>
        <w:spacing w:before="120" w:line="240" w:lineRule="auto"/>
        <w:ind w:firstLine="720"/>
        <w:rPr>
          <w:kern w:val="22"/>
          <w:szCs w:val="22"/>
          <w:lang w:val="es-ES"/>
        </w:rPr>
      </w:pPr>
      <w:r w:rsidRPr="002B7EA9">
        <w:rPr>
          <w:rFonts w:eastAsia="MS Mincho"/>
          <w:i/>
          <w:iCs/>
          <w:kern w:val="22"/>
          <w:lang w:val="es-ES"/>
        </w:rPr>
        <w:t>Consciente</w:t>
      </w:r>
      <w:r w:rsidRPr="002B7EA9">
        <w:rPr>
          <w:rFonts w:eastAsia="MS Mincho"/>
          <w:kern w:val="22"/>
          <w:lang w:val="es-ES"/>
        </w:rPr>
        <w:t xml:space="preserve"> del objetivo del Protocolo de Nagoya</w:t>
      </w:r>
      <w:r w:rsidR="00682B7B" w:rsidRPr="008E1631">
        <w:rPr>
          <w:kern w:val="22"/>
          <w:szCs w:val="22"/>
          <w:lang w:val="es-ES"/>
        </w:rPr>
        <w:t>,</w:t>
      </w:r>
    </w:p>
    <w:p w:rsidR="00682B7B" w:rsidRPr="008E1631" w:rsidRDefault="008E1631" w:rsidP="000C6220">
      <w:pPr>
        <w:suppressLineNumbers/>
        <w:suppressAutoHyphens/>
        <w:spacing w:before="120" w:line="240" w:lineRule="auto"/>
        <w:ind w:firstLine="720"/>
        <w:rPr>
          <w:kern w:val="22"/>
          <w:szCs w:val="22"/>
          <w:lang w:val="es-ES"/>
        </w:rPr>
      </w:pPr>
      <w:r w:rsidRPr="00CD7099">
        <w:rPr>
          <w:i/>
          <w:kern w:val="22"/>
          <w:szCs w:val="22"/>
          <w:lang w:val="es-ES"/>
        </w:rPr>
        <w:t>Recordando</w:t>
      </w:r>
      <w:r w:rsidRPr="00CD7099">
        <w:rPr>
          <w:kern w:val="22"/>
          <w:szCs w:val="22"/>
          <w:lang w:val="es-ES"/>
        </w:rPr>
        <w:t xml:space="preserve"> los artículos 5.1, 8, 20, 22</w:t>
      </w:r>
      <w:r>
        <w:rPr>
          <w:kern w:val="22"/>
          <w:szCs w:val="22"/>
          <w:lang w:val="es-ES"/>
        </w:rPr>
        <w:t xml:space="preserve"> y</w:t>
      </w:r>
      <w:r w:rsidRPr="00CD7099">
        <w:rPr>
          <w:kern w:val="22"/>
          <w:szCs w:val="22"/>
          <w:lang w:val="es-ES"/>
        </w:rPr>
        <w:t xml:space="preserve"> 23 del Protocolo de Nagoya</w:t>
      </w:r>
      <w:r w:rsidR="00682B7B" w:rsidRPr="008E1631">
        <w:rPr>
          <w:kern w:val="22"/>
          <w:szCs w:val="22"/>
          <w:lang w:val="es-ES"/>
        </w:rPr>
        <w:t>,</w:t>
      </w:r>
    </w:p>
    <w:p w:rsidR="003D416F" w:rsidRPr="00CD7099" w:rsidRDefault="00682B7B" w:rsidP="003D416F">
      <w:pPr>
        <w:suppressLineNumbers/>
        <w:suppressAutoHyphens/>
        <w:spacing w:before="120"/>
        <w:ind w:firstLine="720"/>
        <w:rPr>
          <w:kern w:val="22"/>
          <w:szCs w:val="22"/>
          <w:lang w:val="es-ES"/>
        </w:rPr>
      </w:pPr>
      <w:r w:rsidRPr="003D416F">
        <w:rPr>
          <w:kern w:val="22"/>
          <w:szCs w:val="22"/>
          <w:lang w:val="es-ES"/>
        </w:rPr>
        <w:t>1.</w:t>
      </w:r>
      <w:r w:rsidRPr="003D416F">
        <w:rPr>
          <w:kern w:val="22"/>
          <w:szCs w:val="22"/>
          <w:lang w:val="es-ES"/>
        </w:rPr>
        <w:tab/>
      </w:r>
      <w:r w:rsidR="003D416F" w:rsidRPr="00CD7099">
        <w:rPr>
          <w:i/>
          <w:kern w:val="22"/>
          <w:szCs w:val="22"/>
          <w:lang w:val="es-ES"/>
        </w:rPr>
        <w:t>Acoge con beneplácito</w:t>
      </w:r>
      <w:r w:rsidR="003D416F" w:rsidRPr="00CD7099">
        <w:rPr>
          <w:kern w:val="22"/>
          <w:szCs w:val="22"/>
          <w:lang w:val="es-ES"/>
        </w:rPr>
        <w:t xml:space="preserve"> las decisi</w:t>
      </w:r>
      <w:r w:rsidR="003D416F">
        <w:rPr>
          <w:kern w:val="22"/>
          <w:szCs w:val="22"/>
          <w:lang w:val="es-ES"/>
        </w:rPr>
        <w:t>ones</w:t>
      </w:r>
      <w:r w:rsidR="003D416F" w:rsidRPr="00CD7099">
        <w:rPr>
          <w:kern w:val="22"/>
          <w:szCs w:val="22"/>
          <w:lang w:val="es-ES"/>
        </w:rPr>
        <w:t xml:space="preserve"> 14/34 y 14/20 de la Conferencia de las Partes en el Convenio;</w:t>
      </w:r>
    </w:p>
    <w:p w:rsidR="003D416F" w:rsidRPr="00A8263C" w:rsidRDefault="003D416F" w:rsidP="003D416F">
      <w:pPr>
        <w:suppressLineNumbers/>
        <w:suppressAutoHyphens/>
        <w:spacing w:before="120"/>
        <w:ind w:firstLine="720"/>
        <w:rPr>
          <w:kern w:val="22"/>
          <w:szCs w:val="22"/>
          <w:lang w:val="es-ES"/>
        </w:rPr>
      </w:pPr>
      <w:r w:rsidRPr="00A8263C">
        <w:rPr>
          <w:kern w:val="22"/>
          <w:szCs w:val="22"/>
          <w:lang w:val="es-ES"/>
        </w:rPr>
        <w:t>2.</w:t>
      </w:r>
      <w:r w:rsidRPr="00A8263C">
        <w:rPr>
          <w:kern w:val="22"/>
          <w:szCs w:val="22"/>
          <w:lang w:val="es-ES"/>
        </w:rPr>
        <w:tab/>
      </w:r>
      <w:r w:rsidRPr="00A8263C">
        <w:rPr>
          <w:i/>
          <w:kern w:val="22"/>
          <w:szCs w:val="22"/>
          <w:lang w:val="es-ES"/>
        </w:rPr>
        <w:t>Reconoce</w:t>
      </w:r>
      <w:r w:rsidRPr="00A8263C">
        <w:rPr>
          <w:kern w:val="22"/>
          <w:szCs w:val="22"/>
          <w:lang w:val="es-ES"/>
        </w:rPr>
        <w:t xml:space="preserve"> que el </w:t>
      </w:r>
      <w:r>
        <w:rPr>
          <w:kern w:val="22"/>
          <w:szCs w:val="22"/>
          <w:lang w:val="es-ES"/>
        </w:rPr>
        <w:t>G</w:t>
      </w:r>
      <w:r w:rsidRPr="00A8263C">
        <w:rPr>
          <w:kern w:val="22"/>
          <w:szCs w:val="22"/>
          <w:lang w:val="es-ES"/>
        </w:rPr>
        <w:t xml:space="preserve">rupo de trabajo de composición abierta entre periodos de sesiones sobre el marco mundial de la diversidad biológica posterior a 2020 </w:t>
      </w:r>
      <w:r>
        <w:rPr>
          <w:kern w:val="22"/>
          <w:szCs w:val="22"/>
          <w:lang w:val="es-ES"/>
        </w:rPr>
        <w:t xml:space="preserve">tendrá en cuenta los resultados de las deliberaciones del grupo especial de expertos técnicos al que se hace referencia en el párrafo 11 de la decisión </w:t>
      </w:r>
      <w:r w:rsidRPr="00A8263C">
        <w:rPr>
          <w:kern w:val="22"/>
          <w:szCs w:val="22"/>
          <w:lang w:val="es-ES"/>
        </w:rPr>
        <w:t xml:space="preserve">14/20 </w:t>
      </w:r>
      <w:r>
        <w:rPr>
          <w:kern w:val="22"/>
          <w:szCs w:val="22"/>
          <w:lang w:val="es-ES"/>
        </w:rPr>
        <w:t>de la Conferencia de las Partes</w:t>
      </w:r>
      <w:r w:rsidRPr="00A8263C">
        <w:rPr>
          <w:kern w:val="22"/>
          <w:szCs w:val="22"/>
          <w:lang w:val="es-ES"/>
        </w:rPr>
        <w:t>;</w:t>
      </w:r>
    </w:p>
    <w:p w:rsidR="00682B7B" w:rsidRPr="003D416F" w:rsidRDefault="003D416F" w:rsidP="003D416F">
      <w:pPr>
        <w:suppressLineNumbers/>
        <w:suppressAutoHyphens/>
        <w:spacing w:before="120" w:line="240" w:lineRule="auto"/>
        <w:ind w:firstLine="720"/>
        <w:rPr>
          <w:kern w:val="22"/>
          <w:szCs w:val="22"/>
          <w:lang w:val="es-ES"/>
        </w:rPr>
      </w:pPr>
      <w:r w:rsidRPr="00A762CC">
        <w:rPr>
          <w:kern w:val="22"/>
          <w:szCs w:val="22"/>
          <w:lang w:val="es-ES"/>
        </w:rPr>
        <w:t>3.</w:t>
      </w:r>
      <w:r w:rsidRPr="00A762CC">
        <w:rPr>
          <w:i/>
          <w:kern w:val="22"/>
          <w:szCs w:val="22"/>
          <w:lang w:val="es-ES"/>
        </w:rPr>
        <w:tab/>
        <w:t>Pide</w:t>
      </w:r>
      <w:r w:rsidRPr="00A762CC">
        <w:rPr>
          <w:kern w:val="22"/>
          <w:szCs w:val="22"/>
          <w:lang w:val="es-ES"/>
        </w:rPr>
        <w:t xml:space="preserve"> al grupo de trabajo de composición abierta que presente el resultado de sus deliberaciones a la Conferencia de las Partes que act</w:t>
      </w:r>
      <w:r>
        <w:rPr>
          <w:kern w:val="22"/>
          <w:szCs w:val="22"/>
          <w:lang w:val="es-ES"/>
        </w:rPr>
        <w:t>úa como reunión de las Partes en el Protocolo de Nagoya para su examen en su cuarta reunión</w:t>
      </w:r>
      <w:r w:rsidR="00682B7B" w:rsidRPr="003D416F">
        <w:rPr>
          <w:snapToGrid w:val="0"/>
          <w:kern w:val="22"/>
          <w:szCs w:val="22"/>
          <w:lang w:val="es-ES"/>
        </w:rPr>
        <w:t>.</w:t>
      </w:r>
    </w:p>
    <w:p w:rsidR="002D1A3A" w:rsidRPr="003D416F" w:rsidRDefault="002D1A3A" w:rsidP="000C6220">
      <w:pPr>
        <w:spacing w:before="120" w:line="240" w:lineRule="auto"/>
        <w:jc w:val="left"/>
        <w:rPr>
          <w:rFonts w:ascii="Times New Roman Bold" w:hAnsi="Times New Roman Bold" w:cs="Times New Roman Bold" w:hint="eastAsia"/>
          <w:b/>
          <w:bCs/>
          <w:caps/>
          <w:snapToGrid w:val="0"/>
          <w:kern w:val="22"/>
          <w:szCs w:val="22"/>
          <w:lang w:val="es-ES"/>
        </w:rPr>
      </w:pPr>
      <w:r w:rsidRPr="003D416F">
        <w:rPr>
          <w:lang w:val="es-ES"/>
        </w:rPr>
        <w:br w:type="page"/>
      </w:r>
    </w:p>
    <w:p w:rsidR="00682B7B" w:rsidRPr="00303DCE" w:rsidRDefault="00303DCE" w:rsidP="000C6220">
      <w:pPr>
        <w:pStyle w:val="recommendationheader"/>
        <w:spacing w:line="240" w:lineRule="auto"/>
        <w:rPr>
          <w:lang w:val="es-ES"/>
        </w:rPr>
      </w:pPr>
      <w:bookmarkStart w:id="15" w:name="_Toc256213"/>
      <w:r w:rsidRPr="007E294E">
        <w:rPr>
          <w:lang w:val="es-ES"/>
        </w:rPr>
        <w:lastRenderedPageBreak/>
        <w:t>3/13.</w:t>
      </w:r>
      <w:r w:rsidRPr="007E294E">
        <w:rPr>
          <w:lang w:val="es-ES"/>
        </w:rPr>
        <w:tab/>
      </w:r>
      <w:r w:rsidRPr="00303DCE">
        <w:rPr>
          <w:lang w:val="es-ES"/>
        </w:rPr>
        <w:t>M</w:t>
      </w:r>
      <w:r w:rsidRPr="000D2037">
        <w:rPr>
          <w:snapToGrid w:val="0"/>
          <w:kern w:val="22"/>
          <w:lang w:val="es-ES"/>
        </w:rPr>
        <w:t>ecanismo mundial multilateral de participación en los beneficios (artículo</w:t>
      </w:r>
      <w:r w:rsidR="00682B7B" w:rsidRPr="00303DCE">
        <w:rPr>
          <w:lang w:val="es-ES"/>
        </w:rPr>
        <w:t xml:space="preserve"> 10)</w:t>
      </w:r>
      <w:bookmarkEnd w:id="15"/>
    </w:p>
    <w:p w:rsidR="00682B7B" w:rsidRPr="00303DCE" w:rsidRDefault="00303DCE" w:rsidP="000C6220">
      <w:pPr>
        <w:suppressLineNumbers/>
        <w:suppressAutoHyphens/>
        <w:kinsoku w:val="0"/>
        <w:overflowPunct w:val="0"/>
        <w:autoSpaceDE w:val="0"/>
        <w:autoSpaceDN w:val="0"/>
        <w:spacing w:before="120" w:line="223" w:lineRule="auto"/>
        <w:ind w:firstLine="720"/>
        <w:rPr>
          <w:i/>
          <w:spacing w:val="-1"/>
          <w:kern w:val="22"/>
          <w:lang w:val="es-ES"/>
        </w:rPr>
      </w:pPr>
      <w:r w:rsidRPr="00AA3E13">
        <w:rPr>
          <w:i/>
          <w:iCs/>
          <w:spacing w:val="-1"/>
          <w:kern w:val="22"/>
          <w:lang w:val="es-AR"/>
        </w:rPr>
        <w:t>La Conferencia de las Partes que actúa como reunión de las Partes en el Protocolo de Nagoya</w:t>
      </w:r>
      <w:r w:rsidRPr="000D2037">
        <w:rPr>
          <w:i/>
          <w:spacing w:val="-1"/>
          <w:kern w:val="22"/>
          <w:lang w:val="es-ES"/>
        </w:rPr>
        <w:t xml:space="preserve"> </w:t>
      </w:r>
      <w:r>
        <w:rPr>
          <w:i/>
          <w:spacing w:val="-1"/>
          <w:kern w:val="22"/>
          <w:lang w:val="es-ES"/>
        </w:rPr>
        <w:t>sobre Acceso y Participación en los Beneficios</w:t>
      </w:r>
      <w:r w:rsidR="00682B7B" w:rsidRPr="00303DCE">
        <w:rPr>
          <w:i/>
          <w:spacing w:val="-1"/>
          <w:kern w:val="22"/>
          <w:lang w:val="es-ES"/>
        </w:rPr>
        <w:t>,</w:t>
      </w:r>
    </w:p>
    <w:p w:rsidR="00682B7B" w:rsidRPr="00303DCE" w:rsidRDefault="00303DCE" w:rsidP="000C6220">
      <w:pPr>
        <w:suppressLineNumbers/>
        <w:suppressAutoHyphens/>
        <w:kinsoku w:val="0"/>
        <w:overflowPunct w:val="0"/>
        <w:autoSpaceDE w:val="0"/>
        <w:autoSpaceDN w:val="0"/>
        <w:spacing w:before="120" w:line="223" w:lineRule="auto"/>
        <w:ind w:firstLine="720"/>
        <w:rPr>
          <w:kern w:val="22"/>
          <w:lang w:val="es-ES"/>
        </w:rPr>
      </w:pPr>
      <w:r w:rsidRPr="00AA3E13">
        <w:rPr>
          <w:i/>
          <w:iCs/>
          <w:kern w:val="22"/>
          <w:lang w:val="es-AR"/>
        </w:rPr>
        <w:t>Teniendo presente</w:t>
      </w:r>
      <w:r w:rsidRPr="00AA3E13">
        <w:rPr>
          <w:kern w:val="22"/>
          <w:lang w:val="es-AR"/>
        </w:rPr>
        <w:t xml:space="preserve"> el objetivo del Protocolo de Nagoya</w:t>
      </w:r>
      <w:r w:rsidR="00682B7B" w:rsidRPr="00303DCE">
        <w:rPr>
          <w:kern w:val="22"/>
          <w:lang w:val="es-ES"/>
        </w:rPr>
        <w:t>,</w:t>
      </w:r>
    </w:p>
    <w:p w:rsidR="00682B7B" w:rsidRPr="00303DCE" w:rsidRDefault="00303DCE" w:rsidP="000C6220">
      <w:pPr>
        <w:suppressLineNumbers/>
        <w:suppressAutoHyphens/>
        <w:kinsoku w:val="0"/>
        <w:overflowPunct w:val="0"/>
        <w:autoSpaceDE w:val="0"/>
        <w:autoSpaceDN w:val="0"/>
        <w:spacing w:before="120" w:line="223" w:lineRule="auto"/>
        <w:ind w:firstLine="720"/>
        <w:rPr>
          <w:kern w:val="22"/>
          <w:lang w:val="es-ES"/>
        </w:rPr>
      </w:pPr>
      <w:r w:rsidRPr="00AA3E13">
        <w:rPr>
          <w:i/>
          <w:iCs/>
          <w:kern w:val="22"/>
          <w:lang w:val="es-AR"/>
        </w:rPr>
        <w:t>Recordando</w:t>
      </w:r>
      <w:r w:rsidRPr="00AA3E13">
        <w:rPr>
          <w:kern w:val="22"/>
          <w:lang w:val="es-AR"/>
        </w:rPr>
        <w:t xml:space="preserve"> los derechos soberanos de los Estados sobre sus recursos genéticos</w:t>
      </w:r>
      <w:r w:rsidR="00682B7B" w:rsidRPr="00303DCE">
        <w:rPr>
          <w:kern w:val="22"/>
          <w:lang w:val="es-ES"/>
        </w:rPr>
        <w:t>,</w:t>
      </w:r>
    </w:p>
    <w:p w:rsidR="00682B7B" w:rsidRPr="00303DCE" w:rsidRDefault="00303DCE" w:rsidP="000C6220">
      <w:pPr>
        <w:suppressLineNumbers/>
        <w:suppressAutoHyphens/>
        <w:kinsoku w:val="0"/>
        <w:overflowPunct w:val="0"/>
        <w:autoSpaceDE w:val="0"/>
        <w:autoSpaceDN w:val="0"/>
        <w:spacing w:before="120" w:line="223" w:lineRule="auto"/>
        <w:ind w:firstLine="720"/>
        <w:rPr>
          <w:kern w:val="22"/>
          <w:lang w:val="es-ES"/>
        </w:rPr>
      </w:pPr>
      <w:r w:rsidRPr="00AA3E13">
        <w:rPr>
          <w:i/>
          <w:iCs/>
          <w:kern w:val="22"/>
          <w:lang w:val="es-AR"/>
        </w:rPr>
        <w:t>Recordando</w:t>
      </w:r>
      <w:r w:rsidRPr="00AA3E13">
        <w:rPr>
          <w:kern w:val="22"/>
          <w:lang w:val="es-AR"/>
        </w:rPr>
        <w:t xml:space="preserve"> </w:t>
      </w:r>
      <w:r w:rsidRPr="00AA3E13">
        <w:rPr>
          <w:i/>
          <w:iCs/>
          <w:kern w:val="22"/>
          <w:lang w:val="es-AR"/>
        </w:rPr>
        <w:t>también</w:t>
      </w:r>
      <w:r w:rsidRPr="00AA3E13">
        <w:rPr>
          <w:kern w:val="22"/>
          <w:lang w:val="es-AR"/>
        </w:rPr>
        <w:t xml:space="preserve"> el artículo 10 del Protocolo de Nagoya</w:t>
      </w:r>
      <w:r w:rsidR="00682B7B" w:rsidRPr="00303DCE">
        <w:rPr>
          <w:kern w:val="22"/>
          <w:lang w:val="es-ES"/>
        </w:rPr>
        <w:t>,</w:t>
      </w:r>
    </w:p>
    <w:p w:rsidR="00682B7B" w:rsidRPr="00303DCE" w:rsidRDefault="00303DCE" w:rsidP="000C6220">
      <w:pPr>
        <w:suppressLineNumbers/>
        <w:suppressAutoHyphens/>
        <w:kinsoku w:val="0"/>
        <w:overflowPunct w:val="0"/>
        <w:autoSpaceDE w:val="0"/>
        <w:autoSpaceDN w:val="0"/>
        <w:spacing w:before="120" w:line="223" w:lineRule="auto"/>
        <w:ind w:firstLine="720"/>
        <w:rPr>
          <w:kern w:val="22"/>
          <w:szCs w:val="22"/>
          <w:lang w:val="es-ES"/>
        </w:rPr>
      </w:pPr>
      <w:r w:rsidRPr="00AA3E13">
        <w:rPr>
          <w:i/>
          <w:iCs/>
          <w:kern w:val="22"/>
          <w:lang w:val="es-AR"/>
        </w:rPr>
        <w:t xml:space="preserve">Recordando además </w:t>
      </w:r>
      <w:r w:rsidRPr="00AA3E13">
        <w:rPr>
          <w:kern w:val="22"/>
          <w:lang w:val="es-AR"/>
        </w:rPr>
        <w:t>los artículos 9, 11 y 22 del Protocolo de Nagoya</w:t>
      </w:r>
      <w:r w:rsidR="00682B7B" w:rsidRPr="00303DCE">
        <w:rPr>
          <w:kern w:val="22"/>
          <w:szCs w:val="22"/>
          <w:lang w:val="es-ES"/>
        </w:rPr>
        <w:t>,</w:t>
      </w:r>
    </w:p>
    <w:p w:rsidR="00682B7B" w:rsidRPr="00303DCE" w:rsidRDefault="00303DCE" w:rsidP="000C6220">
      <w:pPr>
        <w:suppressLineNumbers/>
        <w:suppressAutoHyphens/>
        <w:spacing w:before="120" w:line="223" w:lineRule="auto"/>
        <w:ind w:firstLine="720"/>
        <w:rPr>
          <w:kern w:val="22"/>
          <w:szCs w:val="22"/>
          <w:lang w:val="es-ES"/>
        </w:rPr>
      </w:pPr>
      <w:r w:rsidRPr="000D2037">
        <w:rPr>
          <w:i/>
          <w:szCs w:val="22"/>
          <w:lang w:val="es-ES"/>
        </w:rPr>
        <w:t>Recordando</w:t>
      </w:r>
      <w:r w:rsidRPr="000D2037">
        <w:rPr>
          <w:szCs w:val="22"/>
          <w:lang w:val="es-ES"/>
        </w:rPr>
        <w:t xml:space="preserve"> las decisiones </w:t>
      </w:r>
      <w:r w:rsidRPr="000D2037">
        <w:rPr>
          <w:kern w:val="22"/>
          <w:szCs w:val="22"/>
          <w:lang w:val="es-ES"/>
        </w:rPr>
        <w:t>XI/1 B, NP-1/10 y NP-2/10 y</w:t>
      </w:r>
      <w:r w:rsidRPr="000D2037">
        <w:rPr>
          <w:i/>
          <w:szCs w:val="22"/>
          <w:lang w:val="es-AR"/>
        </w:rPr>
        <w:t xml:space="preserve"> </w:t>
      </w:r>
      <w:r w:rsidRPr="00AA3E13">
        <w:rPr>
          <w:i/>
          <w:szCs w:val="22"/>
          <w:lang w:val="es-AR"/>
        </w:rPr>
        <w:t>basándose</w:t>
      </w:r>
      <w:r w:rsidRPr="00AA3E13">
        <w:rPr>
          <w:szCs w:val="22"/>
          <w:lang w:val="es-AR"/>
        </w:rPr>
        <w:t xml:space="preserve"> en la labor emprendida en respuesta a esas decisiones</w:t>
      </w:r>
      <w:r w:rsidR="00682B7B" w:rsidRPr="00303DCE">
        <w:rPr>
          <w:kern w:val="22"/>
          <w:szCs w:val="22"/>
          <w:lang w:val="es-ES"/>
        </w:rPr>
        <w:t>,</w:t>
      </w:r>
    </w:p>
    <w:p w:rsidR="00682B7B" w:rsidRPr="00303DCE" w:rsidRDefault="00303DCE" w:rsidP="000C6220">
      <w:pPr>
        <w:suppressLineNumbers/>
        <w:suppressAutoHyphens/>
        <w:spacing w:before="120" w:line="223" w:lineRule="auto"/>
        <w:ind w:firstLine="720"/>
        <w:rPr>
          <w:kern w:val="22"/>
          <w:szCs w:val="22"/>
          <w:lang w:val="es-ES"/>
        </w:rPr>
      </w:pPr>
      <w:r w:rsidRPr="00AA3E13">
        <w:rPr>
          <w:i/>
          <w:szCs w:val="22"/>
          <w:lang w:val="es-AR"/>
        </w:rPr>
        <w:t>Reconociendo</w:t>
      </w:r>
      <w:r w:rsidRPr="00AA3E13">
        <w:rPr>
          <w:szCs w:val="22"/>
          <w:lang w:val="es-AR"/>
        </w:rPr>
        <w:t xml:space="preserve"> la experiencia adquirida en la aplicación del Protocolo de Nagoya desde su entrada en vigor y </w:t>
      </w:r>
      <w:r w:rsidRPr="00AA3E13">
        <w:rPr>
          <w:i/>
          <w:szCs w:val="22"/>
          <w:lang w:val="es-AR"/>
        </w:rPr>
        <w:t>siendo consciente</w:t>
      </w:r>
      <w:r w:rsidRPr="00AA3E13">
        <w:rPr>
          <w:szCs w:val="22"/>
          <w:lang w:val="es-AR"/>
        </w:rPr>
        <w:t xml:space="preserve"> a la vez de que muchas Partes aún están estableciendo medidas legislativas, administrativas y de políticas y arreglos institucionales en materia de acceso y participación en los beneficios</w:t>
      </w:r>
      <w:r w:rsidR="00682B7B" w:rsidRPr="00303DCE">
        <w:rPr>
          <w:kern w:val="22"/>
          <w:szCs w:val="22"/>
          <w:lang w:val="es-ES"/>
        </w:rPr>
        <w:t>,</w:t>
      </w:r>
    </w:p>
    <w:p w:rsidR="00682B7B" w:rsidRPr="00303DCE" w:rsidRDefault="00303DCE" w:rsidP="000C6220">
      <w:pPr>
        <w:suppressLineNumbers/>
        <w:suppressAutoHyphens/>
        <w:kinsoku w:val="0"/>
        <w:overflowPunct w:val="0"/>
        <w:autoSpaceDE w:val="0"/>
        <w:autoSpaceDN w:val="0"/>
        <w:spacing w:before="120" w:line="223" w:lineRule="auto"/>
        <w:ind w:firstLine="720"/>
        <w:rPr>
          <w:kern w:val="22"/>
          <w:lang w:val="es-ES"/>
        </w:rPr>
      </w:pPr>
      <w:r w:rsidRPr="00AA3E13">
        <w:rPr>
          <w:i/>
          <w:kern w:val="22"/>
          <w:lang w:val="es-AR"/>
        </w:rPr>
        <w:t>Reconociendo también</w:t>
      </w:r>
      <w:r w:rsidRPr="00AA3E13">
        <w:rPr>
          <w:kern w:val="22"/>
          <w:lang w:val="es-AR"/>
        </w:rPr>
        <w:t xml:space="preserve"> la persistente necesidad de creación de capacidad para apoyar a las Partes y a los pueblos indígenas y las comunidades locales en la elaboración y aplicación de medidas legislativas, administrativas y de política sobre acceso y participación en los beneficios</w:t>
      </w:r>
      <w:r w:rsidR="00682B7B" w:rsidRPr="00303DCE">
        <w:rPr>
          <w:kern w:val="22"/>
          <w:lang w:val="es-ES"/>
        </w:rPr>
        <w:t>,</w:t>
      </w:r>
    </w:p>
    <w:p w:rsidR="00682B7B" w:rsidRPr="00303DCE" w:rsidRDefault="00682B7B" w:rsidP="000C6220">
      <w:pPr>
        <w:suppressLineNumbers/>
        <w:suppressAutoHyphens/>
        <w:kinsoku w:val="0"/>
        <w:overflowPunct w:val="0"/>
        <w:autoSpaceDE w:val="0"/>
        <w:autoSpaceDN w:val="0"/>
        <w:spacing w:before="120" w:line="223" w:lineRule="auto"/>
        <w:ind w:firstLine="720"/>
        <w:rPr>
          <w:kern w:val="22"/>
          <w:lang w:val="es-ES"/>
        </w:rPr>
      </w:pPr>
      <w:r w:rsidRPr="00303DCE">
        <w:rPr>
          <w:kern w:val="22"/>
          <w:lang w:val="es-ES"/>
        </w:rPr>
        <w:t>1.</w:t>
      </w:r>
      <w:r w:rsidRPr="00303DCE">
        <w:rPr>
          <w:kern w:val="22"/>
          <w:lang w:val="es-ES"/>
        </w:rPr>
        <w:tab/>
      </w:r>
      <w:r w:rsidR="00303DCE" w:rsidRPr="00AA3E13">
        <w:rPr>
          <w:i/>
          <w:kern w:val="22"/>
          <w:lang w:val="es-AR"/>
        </w:rPr>
        <w:t xml:space="preserve">Acoge con satisfacción </w:t>
      </w:r>
      <w:r w:rsidR="00303DCE" w:rsidRPr="00AA3E13">
        <w:rPr>
          <w:kern w:val="22"/>
          <w:lang w:val="es-AR"/>
        </w:rPr>
        <w:t>la información pertinente para el artículo 10 sintetizada por la Secretaria Ejecutiva a través de los informes nacionales provisionales y el Centro de Intercambio de Información sobre Acceso y Participación en los Beneficios</w:t>
      </w:r>
      <w:r w:rsidRPr="00303DCE">
        <w:rPr>
          <w:kern w:val="22"/>
          <w:lang w:val="es-ES"/>
        </w:rPr>
        <w:t>;</w:t>
      </w:r>
    </w:p>
    <w:p w:rsidR="00682B7B" w:rsidRPr="00303DCE" w:rsidRDefault="00682B7B" w:rsidP="000C6220">
      <w:pPr>
        <w:suppressLineNumbers/>
        <w:suppressAutoHyphens/>
        <w:kinsoku w:val="0"/>
        <w:overflowPunct w:val="0"/>
        <w:autoSpaceDE w:val="0"/>
        <w:autoSpaceDN w:val="0"/>
        <w:spacing w:before="120" w:line="223" w:lineRule="auto"/>
        <w:ind w:firstLine="720"/>
        <w:rPr>
          <w:kern w:val="22"/>
          <w:lang w:val="es-ES"/>
        </w:rPr>
      </w:pPr>
      <w:r w:rsidRPr="00303DCE">
        <w:rPr>
          <w:kern w:val="22"/>
          <w:lang w:val="es-ES"/>
        </w:rPr>
        <w:t>2.</w:t>
      </w:r>
      <w:r w:rsidRPr="00303DCE">
        <w:rPr>
          <w:kern w:val="22"/>
          <w:lang w:val="es-ES"/>
        </w:rPr>
        <w:tab/>
      </w:r>
      <w:r w:rsidR="00303DCE" w:rsidRPr="00AA3E13">
        <w:rPr>
          <w:i/>
          <w:iCs/>
          <w:kern w:val="22"/>
          <w:lang w:val="es-AR"/>
        </w:rPr>
        <w:t>Toma nota</w:t>
      </w:r>
      <w:r w:rsidR="00303DCE" w:rsidRPr="00AA3E13">
        <w:rPr>
          <w:kern w:val="22"/>
          <w:lang w:val="es-AR"/>
        </w:rPr>
        <w:t xml:space="preserve"> de la información sobre los adelantos en procesos y organizaciones internacionales pertinentes</w:t>
      </w:r>
      <w:r w:rsidRPr="00EE0850">
        <w:rPr>
          <w:rStyle w:val="Refdenotaalpie"/>
          <w:kern w:val="18"/>
          <w:sz w:val="22"/>
          <w:szCs w:val="22"/>
          <w:u w:val="none"/>
          <w:vertAlign w:val="superscript"/>
        </w:rPr>
        <w:footnoteReference w:id="24"/>
      </w:r>
      <w:r w:rsidR="00303DCE" w:rsidRPr="00303DCE">
        <w:rPr>
          <w:kern w:val="22"/>
          <w:lang w:val="es-ES"/>
        </w:rPr>
        <w:t>;</w:t>
      </w:r>
    </w:p>
    <w:p w:rsidR="00682B7B" w:rsidRPr="00303DCE" w:rsidRDefault="00682B7B" w:rsidP="000C6220">
      <w:pPr>
        <w:suppressLineNumbers/>
        <w:suppressAutoHyphens/>
        <w:kinsoku w:val="0"/>
        <w:overflowPunct w:val="0"/>
        <w:autoSpaceDE w:val="0"/>
        <w:autoSpaceDN w:val="0"/>
        <w:spacing w:before="120" w:line="223" w:lineRule="auto"/>
        <w:ind w:firstLine="720"/>
        <w:rPr>
          <w:kern w:val="22"/>
          <w:lang w:val="es-ES"/>
        </w:rPr>
      </w:pPr>
      <w:r w:rsidRPr="00303DCE">
        <w:rPr>
          <w:kern w:val="22"/>
          <w:lang w:val="es-ES"/>
        </w:rPr>
        <w:t>3.</w:t>
      </w:r>
      <w:r w:rsidRPr="00303DCE">
        <w:rPr>
          <w:kern w:val="22"/>
          <w:lang w:val="es-ES"/>
        </w:rPr>
        <w:tab/>
      </w:r>
      <w:r w:rsidR="00303DCE" w:rsidRPr="00AA3E13">
        <w:rPr>
          <w:i/>
          <w:lang w:val="es-AR"/>
        </w:rPr>
        <w:t>Considera</w:t>
      </w:r>
      <w:r w:rsidR="00303DCE" w:rsidRPr="00AA3E13">
        <w:rPr>
          <w:lang w:val="es-AR"/>
        </w:rPr>
        <w:t xml:space="preserve"> que contar con más información sobre casos específicos de recursos genéticos y conocimientos tradicionales asociados a recursos genéticos que se presentan en situaciones transfronterizas o para los que no es posible otorgar u obtener consentimiento fundamentado previo, acompañada de una explicación sobre por qué en tales casos no se puede aplicar el enfoque bilateral del</w:t>
      </w:r>
      <w:r w:rsidR="00303DCE" w:rsidRPr="00AA3E13">
        <w:rPr>
          <w:kern w:val="22"/>
          <w:lang w:val="es-AR"/>
        </w:rPr>
        <w:t xml:space="preserve"> Protocolo</w:t>
      </w:r>
      <w:r w:rsidR="00303DCE" w:rsidRPr="00AA3E13">
        <w:rPr>
          <w:lang w:val="es-AR"/>
        </w:rPr>
        <w:t xml:space="preserve"> d</w:t>
      </w:r>
      <w:r w:rsidR="00303DCE" w:rsidRPr="00AA3E13">
        <w:rPr>
          <w:kern w:val="22"/>
          <w:lang w:val="es-AR"/>
        </w:rPr>
        <w:t>e Nagoya, así como opciones para tratar esos casos, incluido a través de un de mecanismo mundial multilateral de participación en los beneficios, resultaría útil para la consideración del artículo 10</w:t>
      </w:r>
      <w:r w:rsidRPr="00303DCE">
        <w:rPr>
          <w:kern w:val="22"/>
          <w:lang w:val="es-ES"/>
        </w:rPr>
        <w:t>;</w:t>
      </w:r>
    </w:p>
    <w:p w:rsidR="00682B7B" w:rsidRPr="00303DCE" w:rsidRDefault="00682B7B" w:rsidP="000C6220">
      <w:pPr>
        <w:suppressLineNumbers/>
        <w:suppressAutoHyphens/>
        <w:kinsoku w:val="0"/>
        <w:overflowPunct w:val="0"/>
        <w:autoSpaceDE w:val="0"/>
        <w:autoSpaceDN w:val="0"/>
        <w:spacing w:before="120" w:line="223" w:lineRule="auto"/>
        <w:ind w:firstLine="720"/>
        <w:rPr>
          <w:kern w:val="22"/>
          <w:lang w:val="es-ES"/>
        </w:rPr>
      </w:pPr>
      <w:r w:rsidRPr="00303DCE">
        <w:rPr>
          <w:kern w:val="22"/>
          <w:lang w:val="es-ES"/>
        </w:rPr>
        <w:t>4.</w:t>
      </w:r>
      <w:r w:rsidRPr="00303DCE">
        <w:rPr>
          <w:kern w:val="22"/>
          <w:lang w:val="es-ES"/>
        </w:rPr>
        <w:tab/>
      </w:r>
      <w:r w:rsidR="00303DCE" w:rsidRPr="00AA3E13">
        <w:rPr>
          <w:i/>
          <w:kern w:val="22"/>
          <w:lang w:val="es-AR"/>
        </w:rPr>
        <w:t>Invita</w:t>
      </w:r>
      <w:r w:rsidR="00303DCE" w:rsidRPr="00AA3E13">
        <w:rPr>
          <w:kern w:val="22"/>
          <w:lang w:val="es-AR"/>
        </w:rPr>
        <w:t xml:space="preserve"> a las Partes, otros Gobiernos, pueblos indígenas y comunidades locales e interesados directos y organizaciones pertinentes a presentar a la Secretaria Ejecutiva</w:t>
      </w:r>
      <w:r w:rsidRPr="00303DCE">
        <w:rPr>
          <w:kern w:val="22"/>
          <w:lang w:val="es-ES"/>
        </w:rPr>
        <w:t>:</w:t>
      </w:r>
    </w:p>
    <w:p w:rsidR="00682B7B" w:rsidRPr="00303DCE" w:rsidRDefault="00303DCE" w:rsidP="000C6220">
      <w:pPr>
        <w:pStyle w:val="Prrafodelista"/>
        <w:numPr>
          <w:ilvl w:val="0"/>
          <w:numId w:val="66"/>
        </w:numPr>
        <w:suppressLineNumbers/>
        <w:suppressAutoHyphens/>
        <w:spacing w:before="120" w:line="223" w:lineRule="auto"/>
        <w:ind w:left="0" w:firstLine="720"/>
        <w:contextualSpacing w:val="0"/>
        <w:rPr>
          <w:rFonts w:eastAsiaTheme="minorHAnsi"/>
          <w:kern w:val="22"/>
          <w:szCs w:val="22"/>
          <w:lang w:val="es-ES"/>
        </w:rPr>
      </w:pPr>
      <w:r w:rsidRPr="00AA3E13">
        <w:rPr>
          <w:rFonts w:eastAsiaTheme="minorHAnsi"/>
          <w:szCs w:val="22"/>
          <w:lang w:val="es-AR"/>
        </w:rPr>
        <w:t xml:space="preserve">Información sobre casos específicos que ameritarían la </w:t>
      </w:r>
      <w:r w:rsidRPr="00AA3E13">
        <w:rPr>
          <w:rFonts w:eastAsiaTheme="minorHAnsi"/>
          <w:lang w:val="es-AR"/>
        </w:rPr>
        <w:t xml:space="preserve">necesidad de un mecanismo mundial multilateral de participación en los beneficios al no estar cubiertos por el enfoque </w:t>
      </w:r>
      <w:r w:rsidRPr="00AA3E13">
        <w:rPr>
          <w:rFonts w:eastAsiaTheme="minorHAnsi"/>
          <w:szCs w:val="22"/>
          <w:lang w:val="es-AR"/>
        </w:rPr>
        <w:t>bilateral, acompañada de una explicación sobre por qué tales casos no pueden abordarse con el enfoque bilateral establecido en el Protocolo de Nagoya</w:t>
      </w:r>
      <w:r w:rsidR="00682B7B" w:rsidRPr="00303DCE">
        <w:rPr>
          <w:rFonts w:eastAsiaTheme="minorHAnsi"/>
          <w:kern w:val="22"/>
          <w:szCs w:val="22"/>
          <w:lang w:val="es-ES"/>
        </w:rPr>
        <w:t>;</w:t>
      </w:r>
    </w:p>
    <w:p w:rsidR="00682B7B" w:rsidRPr="00303DCE" w:rsidRDefault="00303DCE" w:rsidP="000C6220">
      <w:pPr>
        <w:pStyle w:val="Prrafodelista"/>
        <w:numPr>
          <w:ilvl w:val="0"/>
          <w:numId w:val="66"/>
        </w:numPr>
        <w:suppressLineNumbers/>
        <w:suppressAutoHyphens/>
        <w:spacing w:before="120" w:line="223" w:lineRule="auto"/>
        <w:ind w:left="0" w:firstLine="720"/>
        <w:contextualSpacing w:val="0"/>
        <w:rPr>
          <w:kern w:val="22"/>
          <w:lang w:val="es-ES"/>
        </w:rPr>
      </w:pPr>
      <w:r w:rsidRPr="00AA3E13">
        <w:rPr>
          <w:lang w:val="es-AR"/>
        </w:rPr>
        <w:t>Opciones de posibles modalidades para abordar esos casos, incluido a través de un mecanismo mundial multilateral de participación en los beneficios</w:t>
      </w:r>
      <w:r w:rsidR="00682B7B" w:rsidRPr="00303DCE">
        <w:rPr>
          <w:kern w:val="22"/>
          <w:lang w:val="es-ES"/>
        </w:rPr>
        <w:t>;</w:t>
      </w:r>
    </w:p>
    <w:p w:rsidR="00682B7B" w:rsidRPr="00303DCE" w:rsidRDefault="00682B7B" w:rsidP="000C6220">
      <w:pPr>
        <w:suppressLineNumbers/>
        <w:suppressAutoHyphens/>
        <w:spacing w:before="120" w:line="223" w:lineRule="auto"/>
        <w:ind w:firstLine="720"/>
        <w:rPr>
          <w:kern w:val="22"/>
          <w:lang w:val="es-ES"/>
        </w:rPr>
      </w:pPr>
      <w:r w:rsidRPr="00303DCE">
        <w:rPr>
          <w:kern w:val="22"/>
          <w:lang w:val="es-ES"/>
        </w:rPr>
        <w:t>5.</w:t>
      </w:r>
      <w:r w:rsidRPr="00303DCE">
        <w:rPr>
          <w:kern w:val="22"/>
          <w:lang w:val="es-ES"/>
        </w:rPr>
        <w:tab/>
      </w:r>
      <w:r w:rsidR="00303DCE" w:rsidRPr="00303DCE">
        <w:rPr>
          <w:i/>
          <w:kern w:val="22"/>
          <w:lang w:val="es-ES"/>
        </w:rPr>
        <w:t>Pide</w:t>
      </w:r>
      <w:r w:rsidRPr="00303DCE">
        <w:rPr>
          <w:kern w:val="22"/>
          <w:lang w:val="es-ES"/>
        </w:rPr>
        <w:t xml:space="preserve"> </w:t>
      </w:r>
      <w:r w:rsidR="00303DCE" w:rsidRPr="00AA3E13">
        <w:rPr>
          <w:kern w:val="22"/>
          <w:lang w:val="es-AR"/>
        </w:rPr>
        <w:t>a la Secretaria Ejecutiva que</w:t>
      </w:r>
      <w:r w:rsidRPr="00303DCE">
        <w:rPr>
          <w:kern w:val="22"/>
          <w:lang w:val="es-ES"/>
        </w:rPr>
        <w:t>:</w:t>
      </w:r>
    </w:p>
    <w:p w:rsidR="00682B7B" w:rsidRPr="00303DCE" w:rsidRDefault="00303DCE" w:rsidP="000C6220">
      <w:pPr>
        <w:pStyle w:val="Prrafodelista"/>
        <w:numPr>
          <w:ilvl w:val="0"/>
          <w:numId w:val="67"/>
        </w:numPr>
        <w:suppressLineNumbers/>
        <w:suppressAutoHyphens/>
        <w:spacing w:before="120" w:line="223" w:lineRule="auto"/>
        <w:ind w:left="0" w:firstLine="720"/>
        <w:contextualSpacing w:val="0"/>
        <w:rPr>
          <w:rFonts w:eastAsiaTheme="minorHAnsi"/>
          <w:kern w:val="22"/>
          <w:lang w:val="es-ES"/>
        </w:rPr>
      </w:pPr>
      <w:r w:rsidRPr="00AA3E13">
        <w:rPr>
          <w:rFonts w:eastAsiaTheme="minorHAnsi"/>
          <w:szCs w:val="22"/>
          <w:lang w:val="es-AR"/>
        </w:rPr>
        <w:t xml:space="preserve">Encargue, con sujeción a la disponibilidad de recursos, un estudio revisado por pares dirigido a detectar </w:t>
      </w:r>
      <w:r w:rsidRPr="00AA3E13">
        <w:rPr>
          <w:lang w:val="es-AR"/>
        </w:rPr>
        <w:t>casos específic</w:t>
      </w:r>
      <w:r w:rsidRPr="00AA3E13">
        <w:rPr>
          <w:rFonts w:eastAsiaTheme="minorHAnsi"/>
          <w:szCs w:val="22"/>
          <w:lang w:val="es-AR"/>
        </w:rPr>
        <w:t xml:space="preserve">os de recursos genéticos y conocimientos tradicionales asociados a recursos genéticos que se producen en situaciones transfronterizas o para los que no es </w:t>
      </w:r>
      <w:r w:rsidRPr="00AA3E13">
        <w:rPr>
          <w:lang w:val="es-AR"/>
        </w:rPr>
        <w:t xml:space="preserve">posible </w:t>
      </w:r>
      <w:r w:rsidRPr="00AA3E13">
        <w:rPr>
          <w:rFonts w:eastAsiaTheme="minorHAnsi"/>
          <w:szCs w:val="22"/>
          <w:lang w:val="es-AR"/>
        </w:rPr>
        <w:t>otorgar u obtener consentimiento fundamentado previo</w:t>
      </w:r>
      <w:r w:rsidR="00682B7B" w:rsidRPr="00303DCE">
        <w:rPr>
          <w:rFonts w:eastAsiaTheme="minorHAnsi"/>
          <w:kern w:val="22"/>
          <w:szCs w:val="22"/>
          <w:lang w:val="es-ES"/>
        </w:rPr>
        <w:t>;</w:t>
      </w:r>
    </w:p>
    <w:p w:rsidR="00682B7B" w:rsidRPr="00303DCE" w:rsidRDefault="00303DCE" w:rsidP="000C6220">
      <w:pPr>
        <w:pStyle w:val="Prrafodelista"/>
        <w:numPr>
          <w:ilvl w:val="0"/>
          <w:numId w:val="67"/>
        </w:numPr>
        <w:suppressLineNumbers/>
        <w:suppressAutoHyphens/>
        <w:spacing w:before="120" w:line="223" w:lineRule="auto"/>
        <w:ind w:left="0" w:firstLine="720"/>
        <w:contextualSpacing w:val="0"/>
        <w:rPr>
          <w:rFonts w:eastAsiaTheme="minorHAnsi"/>
          <w:kern w:val="22"/>
          <w:szCs w:val="22"/>
          <w:lang w:val="es-ES"/>
        </w:rPr>
      </w:pPr>
      <w:r w:rsidRPr="00AA3E13">
        <w:rPr>
          <w:rFonts w:eastAsiaTheme="minorHAnsi"/>
          <w:lang w:val="es-AR"/>
        </w:rPr>
        <w:t>Re</w:t>
      </w:r>
      <w:r w:rsidRPr="00AA3E13">
        <w:rPr>
          <w:rFonts w:eastAsiaTheme="minorHAnsi"/>
          <w:szCs w:val="22"/>
          <w:lang w:val="es-AR"/>
        </w:rPr>
        <w:t>copile y sintetice</w:t>
      </w:r>
      <w:r w:rsidRPr="00AA3E13">
        <w:rPr>
          <w:rFonts w:eastAsiaTheme="minorHAnsi"/>
          <w:lang w:val="es-AR"/>
        </w:rPr>
        <w:t xml:space="preserve"> la información </w:t>
      </w:r>
      <w:r w:rsidRPr="00AA3E13">
        <w:rPr>
          <w:rFonts w:eastAsiaTheme="minorHAnsi"/>
          <w:szCs w:val="22"/>
          <w:lang w:val="es-AR"/>
        </w:rPr>
        <w:t>presentada en respuesta a los párrafos 4 a) y b)</w:t>
      </w:r>
      <w:r w:rsidR="00682B7B" w:rsidRPr="00303DCE">
        <w:rPr>
          <w:rFonts w:eastAsiaTheme="minorHAnsi"/>
          <w:kern w:val="22"/>
          <w:szCs w:val="22"/>
          <w:lang w:val="es-ES"/>
        </w:rPr>
        <w:t>;</w:t>
      </w:r>
    </w:p>
    <w:p w:rsidR="00682B7B" w:rsidRPr="00303DCE" w:rsidRDefault="00303DCE" w:rsidP="000C6220">
      <w:pPr>
        <w:pStyle w:val="Prrafodelista"/>
        <w:numPr>
          <w:ilvl w:val="0"/>
          <w:numId w:val="67"/>
        </w:numPr>
        <w:suppressLineNumbers/>
        <w:suppressAutoHyphens/>
        <w:spacing w:before="120" w:line="223" w:lineRule="auto"/>
        <w:ind w:left="0" w:firstLine="720"/>
        <w:contextualSpacing w:val="0"/>
        <w:rPr>
          <w:kern w:val="22"/>
          <w:lang w:val="es-ES"/>
        </w:rPr>
      </w:pPr>
      <w:r w:rsidRPr="00303DCE">
        <w:rPr>
          <w:rFonts w:eastAsiaTheme="minorHAnsi"/>
          <w:kern w:val="22"/>
          <w:szCs w:val="22"/>
          <w:lang w:val="es-ES"/>
        </w:rPr>
        <w:t xml:space="preserve">Presente </w:t>
      </w:r>
      <w:r w:rsidRPr="00AA3E13">
        <w:rPr>
          <w:rFonts w:eastAsiaTheme="minorHAnsi"/>
          <w:szCs w:val="22"/>
          <w:lang w:val="es-AR"/>
        </w:rPr>
        <w:t xml:space="preserve">el estudio y la síntesis al Órgano Subsidiario sobre la Aplicación para su </w:t>
      </w:r>
      <w:r w:rsidRPr="00AA3E13">
        <w:rPr>
          <w:rFonts w:eastAsiaTheme="minorHAnsi"/>
          <w:lang w:val="es-AR"/>
        </w:rPr>
        <w:t>examen</w:t>
      </w:r>
      <w:r w:rsidR="00682B7B" w:rsidRPr="00303DCE">
        <w:rPr>
          <w:kern w:val="22"/>
          <w:lang w:val="es-ES"/>
        </w:rPr>
        <w:t>;</w:t>
      </w:r>
    </w:p>
    <w:p w:rsidR="00682B7B" w:rsidRPr="00303DCE" w:rsidRDefault="00682B7B" w:rsidP="000C6220">
      <w:pPr>
        <w:suppressLineNumbers/>
        <w:suppressAutoHyphens/>
        <w:spacing w:before="120" w:line="223" w:lineRule="auto"/>
        <w:ind w:firstLine="720"/>
        <w:rPr>
          <w:kern w:val="22"/>
          <w:lang w:val="es-ES"/>
        </w:rPr>
      </w:pPr>
      <w:r w:rsidRPr="00303DCE">
        <w:rPr>
          <w:kern w:val="22"/>
          <w:lang w:val="es-ES"/>
        </w:rPr>
        <w:t>6.</w:t>
      </w:r>
      <w:r w:rsidRPr="00303DCE">
        <w:rPr>
          <w:kern w:val="22"/>
          <w:lang w:val="es-ES"/>
        </w:rPr>
        <w:tab/>
      </w:r>
      <w:r w:rsidR="00303DCE" w:rsidRPr="00AA3E13">
        <w:rPr>
          <w:i/>
          <w:lang w:val="es-AR"/>
        </w:rPr>
        <w:t>Pide</w:t>
      </w:r>
      <w:r w:rsidR="00303DCE" w:rsidRPr="00AA3E13">
        <w:rPr>
          <w:lang w:val="es-AR"/>
        </w:rPr>
        <w:t xml:space="preserve"> al Órgano Subsidiario sobre la Aplicación que examine el estudio y la síntesis con miras a detectar: a) casos específicos, si hubiera, que no pueden abordarse a través del enfoque bilateral; y b) si se las ha identificado, opciones para tratar esos casos, incluido un posible mecanismo mundial multilateral de </w:t>
      </w:r>
      <w:r w:rsidR="00303DCE" w:rsidRPr="00AA3E13">
        <w:rPr>
          <w:lang w:val="es-AR"/>
        </w:rPr>
        <w:lastRenderedPageBreak/>
        <w:t>participación en los beneficios, y que formule una recomendación a la Conferencia de las Partes que actúa como reunión de las Partes en el Protocolo de Nagoya</w:t>
      </w:r>
      <w:r w:rsidR="00303DCE">
        <w:rPr>
          <w:lang w:val="es-AR"/>
        </w:rPr>
        <w:t xml:space="preserve"> en su cuarta reunión</w:t>
      </w:r>
      <w:r w:rsidRPr="00303DCE">
        <w:rPr>
          <w:kern w:val="22"/>
          <w:lang w:val="es-ES"/>
        </w:rPr>
        <w:t>.</w:t>
      </w:r>
    </w:p>
    <w:p w:rsidR="00682B7B" w:rsidRPr="00303DCE" w:rsidRDefault="00682B7B" w:rsidP="000C6220">
      <w:pPr>
        <w:spacing w:before="120" w:line="240" w:lineRule="auto"/>
        <w:jc w:val="left"/>
        <w:rPr>
          <w:rFonts w:ascii="Times New Roman Bold" w:hAnsi="Times New Roman Bold" w:cs="Times New Roman Bold" w:hint="eastAsia"/>
          <w:b/>
          <w:bCs/>
          <w:caps/>
          <w:snapToGrid w:val="0"/>
          <w:kern w:val="22"/>
          <w:szCs w:val="22"/>
          <w:lang w:val="es-ES"/>
        </w:rPr>
      </w:pPr>
      <w:r w:rsidRPr="00303DCE">
        <w:rPr>
          <w:rFonts w:hint="eastAsia"/>
          <w:lang w:val="es-ES"/>
        </w:rPr>
        <w:br w:type="page"/>
      </w:r>
    </w:p>
    <w:p w:rsidR="00682B7B" w:rsidRPr="00303DCE" w:rsidRDefault="00682B7B" w:rsidP="000C6220">
      <w:pPr>
        <w:pStyle w:val="recommendationheader"/>
        <w:spacing w:line="240" w:lineRule="auto"/>
        <w:ind w:left="1418" w:right="327" w:hanging="709"/>
        <w:jc w:val="left"/>
        <w:rPr>
          <w:lang w:val="es-ES"/>
        </w:rPr>
      </w:pPr>
      <w:bookmarkStart w:id="16" w:name="_Toc256214"/>
      <w:r w:rsidRPr="007E294E">
        <w:rPr>
          <w:lang w:val="es-ES"/>
        </w:rPr>
        <w:lastRenderedPageBreak/>
        <w:t>3/14.</w:t>
      </w:r>
      <w:r w:rsidRPr="007E294E">
        <w:rPr>
          <w:lang w:val="es-ES"/>
        </w:rPr>
        <w:tab/>
      </w:r>
      <w:r w:rsidR="00303DCE" w:rsidRPr="00303DCE">
        <w:rPr>
          <w:lang w:val="es-ES"/>
        </w:rPr>
        <w:t xml:space="preserve">Instrumentos </w:t>
      </w:r>
      <w:r w:rsidR="00303DCE" w:rsidRPr="00EA4E9A">
        <w:rPr>
          <w:snapToGrid w:val="0"/>
          <w:lang w:val="es-ES"/>
        </w:rPr>
        <w:t>internacionales especializados de acceso y participación en los beneficios dentro del contexto del art</w:t>
      </w:r>
      <w:r w:rsidR="00303DCE">
        <w:rPr>
          <w:snapToGrid w:val="0"/>
          <w:lang w:val="es-ES"/>
        </w:rPr>
        <w:t xml:space="preserve">ículo </w:t>
      </w:r>
      <w:r w:rsidR="00303DCE" w:rsidRPr="00EA4E9A">
        <w:rPr>
          <w:snapToGrid w:val="0"/>
          <w:lang w:val="es-ES"/>
        </w:rPr>
        <w:t xml:space="preserve">4, </w:t>
      </w:r>
      <w:r w:rsidR="00303DCE">
        <w:rPr>
          <w:snapToGrid w:val="0"/>
          <w:lang w:val="es-ES"/>
        </w:rPr>
        <w:t xml:space="preserve">párrafo </w:t>
      </w:r>
      <w:r w:rsidR="00303DCE" w:rsidRPr="00EA4E9A">
        <w:rPr>
          <w:snapToGrid w:val="0"/>
          <w:lang w:val="es-ES"/>
        </w:rPr>
        <w:t>4</w:t>
      </w:r>
      <w:r w:rsidR="00303DCE">
        <w:rPr>
          <w:snapToGrid w:val="0"/>
          <w:lang w:val="es-ES"/>
        </w:rPr>
        <w:t xml:space="preserve">, del Protocolo de </w:t>
      </w:r>
      <w:r w:rsidR="00303DCE" w:rsidRPr="00EA4E9A">
        <w:rPr>
          <w:snapToGrid w:val="0"/>
          <w:lang w:val="es-ES"/>
        </w:rPr>
        <w:t>Nagoya</w:t>
      </w:r>
      <w:r w:rsidR="00303DCE" w:rsidRPr="00303DCE">
        <w:rPr>
          <w:lang w:val="es-ES"/>
        </w:rPr>
        <w:t xml:space="preserve"> </w:t>
      </w:r>
      <w:bookmarkEnd w:id="16"/>
    </w:p>
    <w:p w:rsidR="00682B7B" w:rsidRPr="00303DCE" w:rsidRDefault="00303DCE" w:rsidP="000C6220">
      <w:pPr>
        <w:suppressLineNumbers/>
        <w:suppressAutoHyphens/>
        <w:kinsoku w:val="0"/>
        <w:overflowPunct w:val="0"/>
        <w:autoSpaceDE w:val="0"/>
        <w:autoSpaceDN w:val="0"/>
        <w:adjustRightInd w:val="0"/>
        <w:snapToGrid w:val="0"/>
        <w:spacing w:before="120" w:line="240" w:lineRule="auto"/>
        <w:ind w:firstLine="720"/>
        <w:rPr>
          <w:i/>
          <w:kern w:val="22"/>
          <w:szCs w:val="22"/>
          <w:lang w:val="es-ES"/>
        </w:rPr>
      </w:pPr>
      <w:r w:rsidRPr="00DD1FE8">
        <w:rPr>
          <w:i/>
          <w:iCs/>
          <w:kern w:val="22"/>
          <w:lang w:val="es-ES_tradnl"/>
        </w:rPr>
        <w:t>La Conferencia de las Partes que actúa como reunión de las Partes en el Protocolo de Nagoya</w:t>
      </w:r>
      <w:r w:rsidRPr="00EA4E9A">
        <w:rPr>
          <w:i/>
          <w:kern w:val="22"/>
          <w:szCs w:val="22"/>
          <w:lang w:val="es-ES"/>
        </w:rPr>
        <w:t xml:space="preserve"> </w:t>
      </w:r>
      <w:r>
        <w:rPr>
          <w:i/>
          <w:kern w:val="22"/>
          <w:szCs w:val="22"/>
          <w:lang w:val="es-ES"/>
        </w:rPr>
        <w:t>sobre Acceso y Participación en los Beneficios</w:t>
      </w:r>
      <w:r w:rsidR="00682B7B" w:rsidRPr="00303DCE">
        <w:rPr>
          <w:i/>
          <w:kern w:val="22"/>
          <w:szCs w:val="22"/>
          <w:lang w:val="es-ES"/>
        </w:rPr>
        <w:t>,</w:t>
      </w:r>
    </w:p>
    <w:p w:rsidR="00682B7B" w:rsidRPr="00303DCE" w:rsidRDefault="00303DCE" w:rsidP="000C6220">
      <w:pPr>
        <w:suppressLineNumbers/>
        <w:suppressAutoHyphens/>
        <w:kinsoku w:val="0"/>
        <w:overflowPunct w:val="0"/>
        <w:autoSpaceDE w:val="0"/>
        <w:autoSpaceDN w:val="0"/>
        <w:adjustRightInd w:val="0"/>
        <w:snapToGrid w:val="0"/>
        <w:spacing w:before="120" w:line="240" w:lineRule="auto"/>
        <w:ind w:firstLine="720"/>
        <w:rPr>
          <w:kern w:val="22"/>
          <w:szCs w:val="22"/>
          <w:lang w:val="es-ES"/>
        </w:rPr>
      </w:pPr>
      <w:r w:rsidRPr="00DD1FE8">
        <w:rPr>
          <w:i/>
          <w:iCs/>
          <w:kern w:val="22"/>
          <w:lang w:val="es-ES_tradnl"/>
        </w:rPr>
        <w:t>Reconociendo</w:t>
      </w:r>
      <w:r w:rsidRPr="00DD1FE8">
        <w:rPr>
          <w:kern w:val="22"/>
          <w:lang w:val="es-ES_tradnl"/>
        </w:rPr>
        <w:t xml:space="preserve"> la necesidad de fortalecer la coordinación y el apoyo mutuo entre los instrumentos internacionales sobre acceso y participación en los beneficios</w:t>
      </w:r>
      <w:r w:rsidR="00682B7B" w:rsidRPr="00303DCE">
        <w:rPr>
          <w:kern w:val="22"/>
          <w:szCs w:val="22"/>
          <w:lang w:val="es-ES"/>
        </w:rPr>
        <w:t>,</w:t>
      </w:r>
    </w:p>
    <w:p w:rsidR="00682B7B" w:rsidRPr="00303DCE" w:rsidRDefault="00303DCE" w:rsidP="000C6220">
      <w:pPr>
        <w:suppressLineNumbers/>
        <w:suppressAutoHyphens/>
        <w:kinsoku w:val="0"/>
        <w:overflowPunct w:val="0"/>
        <w:autoSpaceDE w:val="0"/>
        <w:autoSpaceDN w:val="0"/>
        <w:adjustRightInd w:val="0"/>
        <w:snapToGrid w:val="0"/>
        <w:spacing w:before="120" w:line="240" w:lineRule="auto"/>
        <w:ind w:firstLine="720"/>
        <w:rPr>
          <w:kern w:val="22"/>
          <w:szCs w:val="22"/>
          <w:lang w:val="es-ES"/>
        </w:rPr>
      </w:pPr>
      <w:r w:rsidRPr="00DD1FE8">
        <w:rPr>
          <w:i/>
          <w:iCs/>
          <w:kern w:val="22"/>
          <w:lang w:val="es-ES_tradnl"/>
        </w:rPr>
        <w:t>Reconociendo</w:t>
      </w:r>
      <w:r w:rsidRPr="00DD1FE8">
        <w:rPr>
          <w:kern w:val="22"/>
          <w:lang w:val="es-ES_tradnl"/>
        </w:rPr>
        <w:t xml:space="preserve"> que la intención de los criterios para determinar un instrumento internacional especializado de acceso y participación en los beneficios y los procesos para el reconocimiento de dicho instrumento no es crear una jerarquía entre el Protocolo de Nagoya y otros instrumentos internacionales</w:t>
      </w:r>
      <w:r w:rsidR="00682B7B" w:rsidRPr="00303DCE">
        <w:rPr>
          <w:kern w:val="22"/>
          <w:szCs w:val="22"/>
          <w:lang w:val="es-ES"/>
        </w:rPr>
        <w:t>,</w:t>
      </w:r>
    </w:p>
    <w:p w:rsidR="00682B7B" w:rsidRPr="00303DCE" w:rsidRDefault="00682B7B" w:rsidP="000C6220">
      <w:pPr>
        <w:suppressLineNumbers/>
        <w:suppressAutoHyphens/>
        <w:kinsoku w:val="0"/>
        <w:overflowPunct w:val="0"/>
        <w:autoSpaceDE w:val="0"/>
        <w:autoSpaceDN w:val="0"/>
        <w:adjustRightInd w:val="0"/>
        <w:snapToGrid w:val="0"/>
        <w:spacing w:before="120" w:line="240" w:lineRule="auto"/>
        <w:ind w:firstLine="720"/>
        <w:rPr>
          <w:kern w:val="22"/>
          <w:szCs w:val="22"/>
          <w:lang w:val="es-ES"/>
        </w:rPr>
      </w:pPr>
      <w:r w:rsidRPr="00303DCE">
        <w:rPr>
          <w:kern w:val="22"/>
          <w:szCs w:val="22"/>
          <w:lang w:val="es-ES"/>
        </w:rPr>
        <w:t>1.</w:t>
      </w:r>
      <w:r w:rsidRPr="00303DCE">
        <w:rPr>
          <w:kern w:val="22"/>
          <w:szCs w:val="22"/>
          <w:lang w:val="es-ES"/>
        </w:rPr>
        <w:tab/>
      </w:r>
      <w:r w:rsidR="00303DCE" w:rsidRPr="00303DCE">
        <w:rPr>
          <w:i/>
          <w:kern w:val="22"/>
          <w:szCs w:val="22"/>
          <w:lang w:val="es-ES"/>
        </w:rPr>
        <w:t>Toma nota</w:t>
      </w:r>
      <w:r w:rsidR="00303DCE" w:rsidRPr="00303DCE">
        <w:rPr>
          <w:kern w:val="22"/>
          <w:szCs w:val="22"/>
          <w:lang w:val="es-ES"/>
        </w:rPr>
        <w:t xml:space="preserve"> del estudio</w:t>
      </w:r>
      <w:r w:rsidRPr="00EE0850">
        <w:rPr>
          <w:rStyle w:val="Refdenotaalpie"/>
          <w:kern w:val="18"/>
          <w:sz w:val="22"/>
          <w:szCs w:val="22"/>
          <w:u w:val="none"/>
          <w:vertAlign w:val="superscript"/>
        </w:rPr>
        <w:footnoteReference w:id="25"/>
      </w:r>
      <w:r w:rsidR="00303DCE" w:rsidRPr="00303DCE">
        <w:rPr>
          <w:kern w:val="22"/>
          <w:szCs w:val="22"/>
          <w:lang w:val="es-ES"/>
        </w:rPr>
        <w:t xml:space="preserve"> y</w:t>
      </w:r>
      <w:r w:rsidRPr="00303DCE">
        <w:rPr>
          <w:kern w:val="22"/>
          <w:szCs w:val="22"/>
          <w:lang w:val="es-ES"/>
        </w:rPr>
        <w:t xml:space="preserve"> </w:t>
      </w:r>
      <w:r w:rsidR="00303DCE" w:rsidRPr="00DD1FE8">
        <w:rPr>
          <w:kern w:val="22"/>
          <w:lang w:val="es-ES_tradnl"/>
        </w:rPr>
        <w:t xml:space="preserve">los posibles criterios para un instrumento internacional especializado de acceso y participación en los beneficios en el contexto del artículo 4, párrafo 4, del Protocolo de Nagoya, que se resumen en el anexo de la presente decisión, y </w:t>
      </w:r>
      <w:r w:rsidR="00303DCE" w:rsidRPr="00DD1FE8">
        <w:rPr>
          <w:i/>
          <w:iCs/>
          <w:kern w:val="22"/>
          <w:lang w:val="es-ES_tradnl"/>
        </w:rPr>
        <w:t>conviene</w:t>
      </w:r>
      <w:r w:rsidR="00303DCE" w:rsidRPr="00DD1FE8">
        <w:rPr>
          <w:kern w:val="22"/>
          <w:lang w:val="es-ES_tradnl"/>
        </w:rPr>
        <w:t xml:space="preserve"> en volver a examinar esos posibles criterios en su cuarta reunión</w:t>
      </w:r>
      <w:r w:rsidRPr="00303DCE">
        <w:rPr>
          <w:kern w:val="22"/>
          <w:szCs w:val="22"/>
          <w:lang w:val="es-ES"/>
        </w:rPr>
        <w:t>;</w:t>
      </w:r>
    </w:p>
    <w:p w:rsidR="00682B7B" w:rsidRPr="00303DCE" w:rsidRDefault="00682B7B" w:rsidP="000C6220">
      <w:pPr>
        <w:suppressLineNumbers/>
        <w:suppressAutoHyphens/>
        <w:kinsoku w:val="0"/>
        <w:overflowPunct w:val="0"/>
        <w:autoSpaceDE w:val="0"/>
        <w:autoSpaceDN w:val="0"/>
        <w:adjustRightInd w:val="0"/>
        <w:snapToGrid w:val="0"/>
        <w:spacing w:before="120" w:line="240" w:lineRule="auto"/>
        <w:ind w:firstLine="720"/>
        <w:rPr>
          <w:kern w:val="22"/>
          <w:szCs w:val="22"/>
          <w:lang w:val="es-ES"/>
        </w:rPr>
      </w:pPr>
      <w:r w:rsidRPr="00303DCE">
        <w:rPr>
          <w:kern w:val="22"/>
          <w:szCs w:val="22"/>
          <w:lang w:val="es-ES"/>
        </w:rPr>
        <w:t>2.</w:t>
      </w:r>
      <w:r w:rsidRPr="00303DCE">
        <w:rPr>
          <w:kern w:val="22"/>
          <w:szCs w:val="22"/>
          <w:lang w:val="es-ES"/>
        </w:rPr>
        <w:tab/>
      </w:r>
      <w:r w:rsidR="00303DCE" w:rsidRPr="00EA4E9A">
        <w:rPr>
          <w:i/>
          <w:kern w:val="22"/>
          <w:szCs w:val="22"/>
          <w:lang w:val="es-ES"/>
        </w:rPr>
        <w:t xml:space="preserve">Invita </w:t>
      </w:r>
      <w:r w:rsidR="00303DCE" w:rsidRPr="00DD1FE8">
        <w:rPr>
          <w:kern w:val="22"/>
          <w:lang w:val="es-ES_tradnl"/>
        </w:rPr>
        <w:t>a las Partes y otros Gobiernos a presentar</w:t>
      </w:r>
      <w:r w:rsidRPr="00303DCE">
        <w:rPr>
          <w:kern w:val="22"/>
          <w:szCs w:val="22"/>
          <w:lang w:val="es-ES"/>
        </w:rPr>
        <w:t>:</w:t>
      </w:r>
    </w:p>
    <w:p w:rsidR="00682B7B" w:rsidRPr="00303DCE" w:rsidRDefault="00303DCE" w:rsidP="000C6220">
      <w:pPr>
        <w:suppressLineNumbers/>
        <w:suppressAutoHyphens/>
        <w:kinsoku w:val="0"/>
        <w:overflowPunct w:val="0"/>
        <w:autoSpaceDE w:val="0"/>
        <w:autoSpaceDN w:val="0"/>
        <w:adjustRightInd w:val="0"/>
        <w:snapToGrid w:val="0"/>
        <w:spacing w:before="120" w:line="240" w:lineRule="auto"/>
        <w:ind w:firstLine="720"/>
        <w:rPr>
          <w:kern w:val="22"/>
          <w:szCs w:val="22"/>
          <w:lang w:val="es-ES"/>
        </w:rPr>
      </w:pPr>
      <w:r w:rsidRPr="007E294E">
        <w:rPr>
          <w:kern w:val="22"/>
          <w:szCs w:val="22"/>
          <w:lang w:val="es-ES"/>
        </w:rPr>
        <w:t xml:space="preserve"> </w:t>
      </w:r>
      <w:r w:rsidR="00682B7B" w:rsidRPr="00303DCE">
        <w:rPr>
          <w:kern w:val="22"/>
          <w:szCs w:val="22"/>
          <w:lang w:val="es-ES"/>
        </w:rPr>
        <w:t>a)</w:t>
      </w:r>
      <w:r w:rsidR="00682B7B" w:rsidRPr="00303DCE">
        <w:rPr>
          <w:kern w:val="22"/>
          <w:szCs w:val="22"/>
          <w:lang w:val="es-ES"/>
        </w:rPr>
        <w:tab/>
      </w:r>
      <w:r>
        <w:rPr>
          <w:kern w:val="22"/>
          <w:lang w:val="es-ES"/>
        </w:rPr>
        <w:t>I</w:t>
      </w:r>
      <w:r w:rsidRPr="00DD1FE8">
        <w:rPr>
          <w:kern w:val="22"/>
          <w:lang w:val="es-ES_tradnl"/>
        </w:rPr>
        <w:t>nformación sobre cómo se abordan los instrumentos internacionales especializados de acceso y participación en los beneficios en sus medidas internas</w:t>
      </w:r>
      <w:r w:rsidR="00682B7B" w:rsidRPr="00303DCE">
        <w:rPr>
          <w:kern w:val="22"/>
          <w:szCs w:val="22"/>
          <w:lang w:val="es-ES"/>
        </w:rPr>
        <w:t>;</w:t>
      </w:r>
    </w:p>
    <w:p w:rsidR="00682B7B" w:rsidRPr="00303DCE" w:rsidRDefault="00303DCE" w:rsidP="000C6220">
      <w:pPr>
        <w:suppressLineNumbers/>
        <w:suppressAutoHyphens/>
        <w:kinsoku w:val="0"/>
        <w:overflowPunct w:val="0"/>
        <w:autoSpaceDE w:val="0"/>
        <w:autoSpaceDN w:val="0"/>
        <w:adjustRightInd w:val="0"/>
        <w:snapToGrid w:val="0"/>
        <w:spacing w:before="120" w:line="240" w:lineRule="auto"/>
        <w:ind w:firstLine="720"/>
        <w:rPr>
          <w:kern w:val="22"/>
          <w:szCs w:val="22"/>
          <w:lang w:val="es-ES"/>
        </w:rPr>
      </w:pPr>
      <w:r w:rsidRPr="00303DCE">
        <w:rPr>
          <w:kern w:val="22"/>
          <w:szCs w:val="22"/>
          <w:lang w:val="es-ES"/>
        </w:rPr>
        <w:t xml:space="preserve"> </w:t>
      </w:r>
      <w:r w:rsidR="00682B7B" w:rsidRPr="00303DCE">
        <w:rPr>
          <w:kern w:val="22"/>
          <w:szCs w:val="22"/>
          <w:lang w:val="es-ES"/>
        </w:rPr>
        <w:t>b)</w:t>
      </w:r>
      <w:r w:rsidR="00682B7B" w:rsidRPr="00303DCE">
        <w:rPr>
          <w:kern w:val="22"/>
          <w:szCs w:val="22"/>
          <w:lang w:val="es-ES"/>
        </w:rPr>
        <w:tab/>
      </w:r>
      <w:r>
        <w:rPr>
          <w:kern w:val="22"/>
          <w:szCs w:val="22"/>
          <w:lang w:val="es-ES"/>
        </w:rPr>
        <w:t>O</w:t>
      </w:r>
      <w:r w:rsidRPr="00DD1FE8">
        <w:rPr>
          <w:kern w:val="22"/>
          <w:lang w:val="es-ES_tradnl"/>
        </w:rPr>
        <w:t>piniones sobre los posibles criterios incluidos en el estudio, tomando en consideración los párrafos 1 a 3 del artículo 4 del Protocolo</w:t>
      </w:r>
      <w:r w:rsidR="00682B7B" w:rsidRPr="00303DCE">
        <w:rPr>
          <w:kern w:val="22"/>
          <w:szCs w:val="22"/>
          <w:lang w:val="es-ES"/>
        </w:rPr>
        <w:t>;</w:t>
      </w:r>
    </w:p>
    <w:p w:rsidR="00682B7B" w:rsidRPr="00303DCE" w:rsidRDefault="00682B7B" w:rsidP="000C6220">
      <w:pPr>
        <w:suppressLineNumbers/>
        <w:suppressAutoHyphens/>
        <w:kinsoku w:val="0"/>
        <w:overflowPunct w:val="0"/>
        <w:autoSpaceDE w:val="0"/>
        <w:autoSpaceDN w:val="0"/>
        <w:adjustRightInd w:val="0"/>
        <w:snapToGrid w:val="0"/>
        <w:spacing w:before="120" w:line="240" w:lineRule="auto"/>
        <w:ind w:firstLine="720"/>
        <w:rPr>
          <w:kern w:val="22"/>
          <w:szCs w:val="22"/>
          <w:lang w:val="es-ES"/>
        </w:rPr>
      </w:pPr>
      <w:r w:rsidRPr="00303DCE">
        <w:rPr>
          <w:kern w:val="22"/>
          <w:szCs w:val="22"/>
          <w:lang w:val="es-ES"/>
        </w:rPr>
        <w:t>3.</w:t>
      </w:r>
      <w:r w:rsidRPr="00303DCE">
        <w:rPr>
          <w:kern w:val="22"/>
          <w:szCs w:val="22"/>
          <w:lang w:val="es-ES"/>
        </w:rPr>
        <w:tab/>
      </w:r>
      <w:r w:rsidR="00303DCE" w:rsidRPr="00DD1FE8">
        <w:rPr>
          <w:i/>
          <w:iCs/>
          <w:kern w:val="22"/>
          <w:lang w:val="es-ES_tradnl"/>
        </w:rPr>
        <w:t>Pide</w:t>
      </w:r>
      <w:r w:rsidR="00303DCE" w:rsidRPr="00DD1FE8">
        <w:rPr>
          <w:kern w:val="22"/>
          <w:lang w:val="es-ES_tradnl"/>
        </w:rPr>
        <w:t xml:space="preserve"> a la Secretaria Ejecutiva que continúe con el seguimiento de los adelantos en foros internacionales pertinentes</w:t>
      </w:r>
      <w:r w:rsidRPr="00303DCE">
        <w:rPr>
          <w:kern w:val="22"/>
          <w:szCs w:val="22"/>
          <w:lang w:val="es-ES"/>
        </w:rPr>
        <w:t>;</w:t>
      </w:r>
    </w:p>
    <w:p w:rsidR="00682B7B" w:rsidRPr="00303DCE" w:rsidRDefault="00682B7B" w:rsidP="000C6220">
      <w:pPr>
        <w:suppressLineNumbers/>
        <w:suppressAutoHyphens/>
        <w:kinsoku w:val="0"/>
        <w:overflowPunct w:val="0"/>
        <w:autoSpaceDE w:val="0"/>
        <w:autoSpaceDN w:val="0"/>
        <w:adjustRightInd w:val="0"/>
        <w:snapToGrid w:val="0"/>
        <w:spacing w:before="120" w:line="240" w:lineRule="auto"/>
        <w:ind w:firstLine="720"/>
        <w:rPr>
          <w:kern w:val="22"/>
          <w:szCs w:val="22"/>
          <w:lang w:val="es-ES"/>
        </w:rPr>
      </w:pPr>
      <w:r w:rsidRPr="00303DCE">
        <w:rPr>
          <w:kern w:val="22"/>
          <w:szCs w:val="22"/>
          <w:lang w:val="es-ES"/>
        </w:rPr>
        <w:t>4.</w:t>
      </w:r>
      <w:r w:rsidRPr="00303DCE">
        <w:rPr>
          <w:kern w:val="22"/>
          <w:szCs w:val="22"/>
          <w:lang w:val="es-ES"/>
        </w:rPr>
        <w:tab/>
      </w:r>
      <w:r w:rsidR="00303DCE" w:rsidRPr="00DD1FE8">
        <w:rPr>
          <w:i/>
          <w:iCs/>
          <w:kern w:val="22"/>
          <w:lang w:val="es-ES_tradnl"/>
        </w:rPr>
        <w:t>Pide también</w:t>
      </w:r>
      <w:r w:rsidR="00303DCE" w:rsidRPr="00DD1FE8">
        <w:rPr>
          <w:kern w:val="22"/>
          <w:lang w:val="es-ES_tradnl"/>
        </w:rPr>
        <w:t xml:space="preserve"> a la Secretaria Ejecutiva que haga una síntesis de la información y las opiniones recibidas, incluida la información sobre los adelantos en foros internacionales pertinentes, y la ponga a disposición del Órgano Subsidiario sobre la Aplicación para que la considere en su tercera reunión</w:t>
      </w:r>
      <w:r w:rsidRPr="00303DCE">
        <w:rPr>
          <w:kern w:val="22"/>
          <w:szCs w:val="22"/>
          <w:lang w:val="es-ES"/>
        </w:rPr>
        <w:t>;</w:t>
      </w:r>
    </w:p>
    <w:p w:rsidR="00682B7B" w:rsidRPr="00303DCE" w:rsidRDefault="00682B7B" w:rsidP="000C6220">
      <w:pPr>
        <w:suppressLineNumbers/>
        <w:suppressAutoHyphens/>
        <w:kinsoku w:val="0"/>
        <w:overflowPunct w:val="0"/>
        <w:autoSpaceDE w:val="0"/>
        <w:autoSpaceDN w:val="0"/>
        <w:adjustRightInd w:val="0"/>
        <w:snapToGrid w:val="0"/>
        <w:spacing w:before="120" w:line="240" w:lineRule="auto"/>
        <w:ind w:firstLine="720"/>
        <w:rPr>
          <w:kern w:val="22"/>
          <w:szCs w:val="22"/>
          <w:lang w:val="es-ES"/>
        </w:rPr>
      </w:pPr>
      <w:r w:rsidRPr="00303DCE">
        <w:rPr>
          <w:kern w:val="22"/>
          <w:szCs w:val="22"/>
          <w:lang w:val="es-ES"/>
        </w:rPr>
        <w:t>5.</w:t>
      </w:r>
      <w:r w:rsidRPr="00303DCE">
        <w:rPr>
          <w:kern w:val="22"/>
          <w:szCs w:val="22"/>
          <w:lang w:val="es-ES"/>
        </w:rPr>
        <w:tab/>
      </w:r>
      <w:r w:rsidR="00303DCE" w:rsidRPr="00DD1FE8">
        <w:rPr>
          <w:i/>
          <w:iCs/>
          <w:kern w:val="22"/>
          <w:lang w:val="es-ES_tradnl"/>
        </w:rPr>
        <w:t>Pide</w:t>
      </w:r>
      <w:r w:rsidR="00303DCE" w:rsidRPr="00DD1FE8">
        <w:rPr>
          <w:kern w:val="22"/>
          <w:lang w:val="es-ES_tradnl"/>
        </w:rPr>
        <w:t xml:space="preserve"> al Órgano Subsidiario sobre la Aplicación que en su tercera reunión considere la síntesis indicada en el párrafo 4 anterior y formule una recomendación a la Conferencia de las Partes que actúa como reunión de las Partes en el Protocolo de Nagoya en su cuarta reunión</w:t>
      </w:r>
      <w:r w:rsidRPr="00303DCE">
        <w:rPr>
          <w:kern w:val="22"/>
          <w:szCs w:val="22"/>
          <w:lang w:val="es-ES"/>
        </w:rPr>
        <w:t>;</w:t>
      </w:r>
    </w:p>
    <w:p w:rsidR="00682B7B" w:rsidRPr="00303DCE" w:rsidRDefault="00682B7B" w:rsidP="000C6220">
      <w:pPr>
        <w:suppressLineNumbers/>
        <w:suppressAutoHyphens/>
        <w:kinsoku w:val="0"/>
        <w:overflowPunct w:val="0"/>
        <w:autoSpaceDE w:val="0"/>
        <w:autoSpaceDN w:val="0"/>
        <w:adjustRightInd w:val="0"/>
        <w:snapToGrid w:val="0"/>
        <w:spacing w:before="120" w:line="240" w:lineRule="auto"/>
        <w:ind w:firstLine="720"/>
        <w:rPr>
          <w:kern w:val="22"/>
          <w:szCs w:val="22"/>
          <w:lang w:val="es-ES"/>
        </w:rPr>
      </w:pPr>
      <w:r w:rsidRPr="00303DCE">
        <w:rPr>
          <w:kern w:val="22"/>
          <w:szCs w:val="22"/>
          <w:lang w:val="es-ES"/>
        </w:rPr>
        <w:t>6.</w:t>
      </w:r>
      <w:r w:rsidRPr="00303DCE">
        <w:rPr>
          <w:kern w:val="22"/>
          <w:szCs w:val="22"/>
          <w:lang w:val="es-ES"/>
        </w:rPr>
        <w:tab/>
      </w:r>
      <w:r w:rsidR="00303DCE" w:rsidRPr="00DD1FE8">
        <w:rPr>
          <w:i/>
          <w:iCs/>
          <w:kern w:val="22"/>
          <w:lang w:val="es-ES_tradnl"/>
        </w:rPr>
        <w:t>Decide</w:t>
      </w:r>
      <w:r w:rsidR="00303DCE" w:rsidRPr="00DD1FE8">
        <w:rPr>
          <w:kern w:val="22"/>
          <w:lang w:val="es-ES_tradnl"/>
        </w:rPr>
        <w:t xml:space="preserve"> incluir la “cooperación con otras organizaciones internacionales” como tema permanente en el programa de sus futuras reuniones con el fin de evaluar los adelantos en foros internacionales pertinentes, incluida cualquier información sobre instrumentos internacionales especializados de acceso y participación en los beneficios reconocidos por otro órgano intergubernamental o por una Parte o un grupo de Partes, con miras a reforzar el apoyo mutuo entre el Protocolo y los instrumentos internacionales especializados de acceso y participación en los beneficios</w:t>
      </w:r>
      <w:r w:rsidRPr="00303DCE">
        <w:rPr>
          <w:kern w:val="22"/>
          <w:szCs w:val="22"/>
          <w:lang w:val="es-ES"/>
        </w:rPr>
        <w:t>;</w:t>
      </w:r>
    </w:p>
    <w:p w:rsidR="00682B7B" w:rsidRPr="00303DCE" w:rsidRDefault="00682B7B" w:rsidP="000C6220">
      <w:pPr>
        <w:suppressLineNumbers/>
        <w:suppressAutoHyphens/>
        <w:kinsoku w:val="0"/>
        <w:overflowPunct w:val="0"/>
        <w:autoSpaceDE w:val="0"/>
        <w:autoSpaceDN w:val="0"/>
        <w:adjustRightInd w:val="0"/>
        <w:snapToGrid w:val="0"/>
        <w:spacing w:before="120" w:line="240" w:lineRule="auto"/>
        <w:ind w:firstLine="720"/>
        <w:rPr>
          <w:kern w:val="22"/>
          <w:szCs w:val="22"/>
          <w:lang w:val="es-ES"/>
        </w:rPr>
      </w:pPr>
      <w:r w:rsidRPr="00303DCE">
        <w:rPr>
          <w:kern w:val="22"/>
          <w:szCs w:val="22"/>
          <w:lang w:val="es-ES"/>
        </w:rPr>
        <w:t>7.</w:t>
      </w:r>
      <w:r w:rsidRPr="00303DCE">
        <w:rPr>
          <w:kern w:val="22"/>
          <w:szCs w:val="22"/>
          <w:lang w:val="es-ES"/>
        </w:rPr>
        <w:tab/>
      </w:r>
      <w:r w:rsidR="00303DCE" w:rsidRPr="00DD1FE8">
        <w:rPr>
          <w:i/>
          <w:iCs/>
          <w:kern w:val="22"/>
          <w:lang w:val="es-ES_tradnl"/>
        </w:rPr>
        <w:t>Invita</w:t>
      </w:r>
      <w:r w:rsidR="00303DCE" w:rsidRPr="00DD1FE8">
        <w:rPr>
          <w:kern w:val="22"/>
          <w:lang w:val="es-ES_tradnl"/>
        </w:rPr>
        <w:t xml:space="preserve"> a las Partes y otros Gobiernos a coordinar a nivel nacional con respecto a cuestiones de acceso y participación en los beneficios abordadas en distintos foros internacionales, según proceda, a fin de apoyar un sistema internacional coherente de acceso y participación en los beneficios</w:t>
      </w:r>
      <w:r w:rsidRPr="00303DCE">
        <w:rPr>
          <w:kern w:val="22"/>
          <w:szCs w:val="22"/>
          <w:lang w:val="es-ES"/>
        </w:rPr>
        <w:t>;</w:t>
      </w:r>
    </w:p>
    <w:p w:rsidR="00682B7B" w:rsidRPr="00303DCE" w:rsidRDefault="00682B7B" w:rsidP="000C6220">
      <w:pPr>
        <w:suppressLineNumbers/>
        <w:suppressAutoHyphens/>
        <w:kinsoku w:val="0"/>
        <w:overflowPunct w:val="0"/>
        <w:autoSpaceDE w:val="0"/>
        <w:autoSpaceDN w:val="0"/>
        <w:adjustRightInd w:val="0"/>
        <w:snapToGrid w:val="0"/>
        <w:spacing w:before="120" w:line="240" w:lineRule="auto"/>
        <w:ind w:firstLine="720"/>
        <w:rPr>
          <w:bCs/>
          <w:kern w:val="22"/>
          <w:szCs w:val="22"/>
          <w:lang w:val="es-ES"/>
        </w:rPr>
      </w:pPr>
      <w:r w:rsidRPr="00303DCE">
        <w:rPr>
          <w:kern w:val="22"/>
          <w:szCs w:val="22"/>
          <w:lang w:val="es-ES"/>
        </w:rPr>
        <w:t>8.</w:t>
      </w:r>
      <w:r w:rsidRPr="00303DCE">
        <w:rPr>
          <w:kern w:val="22"/>
          <w:szCs w:val="22"/>
          <w:lang w:val="es-ES"/>
        </w:rPr>
        <w:tab/>
      </w:r>
      <w:r w:rsidR="00303DCE" w:rsidRPr="00DD1FE8">
        <w:rPr>
          <w:i/>
          <w:iCs/>
          <w:kern w:val="22"/>
          <w:lang w:val="es-ES_tradnl"/>
        </w:rPr>
        <w:t>Invita</w:t>
      </w:r>
      <w:r w:rsidR="00303DCE" w:rsidRPr="00DD1FE8">
        <w:rPr>
          <w:kern w:val="22"/>
          <w:lang w:val="es-ES_tradnl"/>
        </w:rPr>
        <w:t xml:space="preserve"> a las Partes y otros Gobiernos que sean o puedan llegar a ser Partes en el Protocolo de Nagoya y en un instrumento internacional especializado de acceso y participación en los beneficios, según proceda, a adoptar medidas para aplicar ambos instrumentos de manera que se apoyen mutuamente, incluido con la participación de los pueblos indígenas y las comunidades locales, cuando proceda o corresponda, conforme a las circunstancias nacionales</w:t>
      </w:r>
      <w:r w:rsidRPr="00303DCE">
        <w:rPr>
          <w:kern w:val="22"/>
          <w:szCs w:val="22"/>
          <w:lang w:val="es-ES"/>
        </w:rPr>
        <w:t>.</w:t>
      </w:r>
    </w:p>
    <w:p w:rsidR="00682B7B" w:rsidRPr="00303DCE" w:rsidRDefault="00682B7B" w:rsidP="000C6220">
      <w:pPr>
        <w:keepNext/>
        <w:keepLines/>
        <w:suppressLineNumbers/>
        <w:suppressAutoHyphens/>
        <w:kinsoku w:val="0"/>
        <w:overflowPunct w:val="0"/>
        <w:autoSpaceDE w:val="0"/>
        <w:autoSpaceDN w:val="0"/>
        <w:adjustRightInd w:val="0"/>
        <w:snapToGrid w:val="0"/>
        <w:spacing w:before="120" w:line="240" w:lineRule="auto"/>
        <w:jc w:val="center"/>
        <w:outlineLvl w:val="2"/>
        <w:rPr>
          <w:i/>
          <w:kern w:val="22"/>
          <w:szCs w:val="22"/>
          <w:lang w:val="es-ES"/>
        </w:rPr>
      </w:pPr>
      <w:r w:rsidRPr="00303DCE">
        <w:rPr>
          <w:i/>
          <w:kern w:val="22"/>
          <w:szCs w:val="22"/>
          <w:lang w:val="es-ES"/>
        </w:rPr>
        <w:lastRenderedPageBreak/>
        <w:t>An</w:t>
      </w:r>
      <w:r w:rsidR="00303DCE" w:rsidRPr="00303DCE">
        <w:rPr>
          <w:i/>
          <w:kern w:val="22"/>
          <w:szCs w:val="22"/>
          <w:lang w:val="es-ES"/>
        </w:rPr>
        <w:t>exo</w:t>
      </w:r>
    </w:p>
    <w:p w:rsidR="00682B7B" w:rsidRPr="00303DCE" w:rsidRDefault="00303DCE" w:rsidP="00303DCE">
      <w:pPr>
        <w:keepNext/>
        <w:keepLines/>
        <w:spacing w:before="120" w:line="240" w:lineRule="auto"/>
        <w:ind w:right="360"/>
        <w:jc w:val="center"/>
        <w:rPr>
          <w:rFonts w:eastAsia="Calibri"/>
          <w:b/>
          <w:color w:val="000000"/>
          <w:kern w:val="22"/>
          <w:szCs w:val="22"/>
          <w:u w:color="000000"/>
          <w:lang w:val="es-ES"/>
        </w:rPr>
      </w:pPr>
      <w:r w:rsidRPr="00EA4E9A">
        <w:rPr>
          <w:rFonts w:eastAsia="Calibri"/>
          <w:b/>
          <w:color w:val="000000"/>
          <w:kern w:val="22"/>
          <w:szCs w:val="22"/>
          <w:u w:color="000000"/>
          <w:lang w:val="es-ES"/>
        </w:rPr>
        <w:t>Posibles criterios para un instrumento internacional especializado de acceso y participación en los beneficios en el marco del artículo 4, párrafo 4 , del Protocolo de Nagoya sobre Acceso a los Recursos Genéticos y Participación Justa y Equitativa en los Beneficios que se Deriven de su Utilizació</w:t>
      </w:r>
      <w:r w:rsidR="00682B7B" w:rsidRPr="00303DCE">
        <w:rPr>
          <w:rFonts w:eastAsia="Calibri"/>
          <w:b/>
          <w:color w:val="000000"/>
          <w:kern w:val="22"/>
          <w:szCs w:val="22"/>
          <w:u w:color="000000"/>
          <w:lang w:val="es-ES"/>
        </w:rPr>
        <w:t>n</w:t>
      </w:r>
    </w:p>
    <w:p w:rsidR="00682B7B" w:rsidRPr="00C25EFA" w:rsidRDefault="00C25EFA" w:rsidP="000C6220">
      <w:pPr>
        <w:pStyle w:val="Textonotapie"/>
        <w:spacing w:before="120" w:after="120" w:line="240" w:lineRule="auto"/>
        <w:rPr>
          <w:sz w:val="22"/>
          <w:szCs w:val="22"/>
          <w:lang w:val="es-ES"/>
        </w:rPr>
      </w:pPr>
      <w:r w:rsidRPr="004E6848">
        <w:rPr>
          <w:kern w:val="22"/>
          <w:sz w:val="22"/>
          <w:szCs w:val="22"/>
          <w:lang w:val="es-ES"/>
        </w:rPr>
        <w:t>A continuación se resumen los posibles criterios para los instrumentos internacionales especializados en materia de acceso y participación en los beneficios en el marco del artículo 4, párrafo 4, del Protocolo de Nagoya sobre Acceso a los Recursos Genéticos y Participación Justa y Equitativa en los Beneficios que se Deriven de su Utilización, según se describe en el estudio que figura en el documento CBD/SBI/2/INF/17. Los posibles criterios se están debatiendo y no han sido acordados por las Partes en el Protocolo</w:t>
      </w:r>
      <w:r w:rsidR="00682B7B" w:rsidRPr="00C25EFA">
        <w:rPr>
          <w:bCs/>
          <w:kern w:val="22"/>
          <w:sz w:val="22"/>
          <w:szCs w:val="22"/>
          <w:lang w:val="es-ES"/>
        </w:rPr>
        <w:t>.</w:t>
      </w:r>
    </w:p>
    <w:p w:rsidR="00682B7B" w:rsidRPr="00C25EFA" w:rsidRDefault="00682B7B" w:rsidP="000C6220">
      <w:pPr>
        <w:pStyle w:val="Prrafodelista"/>
        <w:suppressLineNumbers/>
        <w:suppressAutoHyphens/>
        <w:kinsoku w:val="0"/>
        <w:overflowPunct w:val="0"/>
        <w:autoSpaceDE w:val="0"/>
        <w:autoSpaceDN w:val="0"/>
        <w:adjustRightInd w:val="0"/>
        <w:snapToGrid w:val="0"/>
        <w:spacing w:before="120" w:line="240" w:lineRule="auto"/>
        <w:ind w:left="0" w:firstLine="720"/>
        <w:contextualSpacing w:val="0"/>
        <w:rPr>
          <w:kern w:val="22"/>
          <w:szCs w:val="22"/>
          <w:lang w:val="es-ES"/>
        </w:rPr>
      </w:pPr>
      <w:r w:rsidRPr="00C25EFA">
        <w:rPr>
          <w:bCs/>
          <w:kern w:val="22"/>
          <w:szCs w:val="22"/>
          <w:lang w:val="es-ES"/>
        </w:rPr>
        <w:t>1.</w:t>
      </w:r>
      <w:r w:rsidRPr="00C25EFA">
        <w:rPr>
          <w:bCs/>
          <w:kern w:val="22"/>
          <w:szCs w:val="22"/>
          <w:lang w:val="es-ES"/>
        </w:rPr>
        <w:tab/>
      </w:r>
      <w:r w:rsidR="00C25EFA" w:rsidRPr="00BC28C6">
        <w:rPr>
          <w:i/>
          <w:iCs/>
          <w:kern w:val="22"/>
          <w:szCs w:val="22"/>
          <w:lang w:val="es-ES_tradnl"/>
        </w:rPr>
        <w:t>Acordado intergubernamentalmente</w:t>
      </w:r>
      <w:r w:rsidR="00C25EFA" w:rsidRPr="00BC28C6">
        <w:rPr>
          <w:kern w:val="22"/>
          <w:szCs w:val="22"/>
          <w:lang w:val="es-ES_tradnl"/>
        </w:rPr>
        <w:t xml:space="preserve"> —</w:t>
      </w:r>
      <w:r w:rsidR="00C25EFA">
        <w:rPr>
          <w:kern w:val="22"/>
          <w:szCs w:val="22"/>
          <w:lang w:val="es-ES_tradnl"/>
        </w:rPr>
        <w:t xml:space="preserve"> </w:t>
      </w:r>
      <w:r w:rsidR="00C25EFA" w:rsidRPr="00BC28C6">
        <w:rPr>
          <w:kern w:val="22"/>
          <w:szCs w:val="22"/>
          <w:lang w:val="es-ES_tradnl"/>
        </w:rPr>
        <w:t>El instrumento sería creado y acordado mediante un proceso intergubernamental y podría ser o no vinculante</w:t>
      </w:r>
      <w:r w:rsidRPr="00C25EFA">
        <w:rPr>
          <w:kern w:val="22"/>
          <w:szCs w:val="22"/>
          <w:lang w:val="es-ES"/>
        </w:rPr>
        <w:t>.</w:t>
      </w:r>
    </w:p>
    <w:p w:rsidR="00682B7B" w:rsidRPr="00C25EFA" w:rsidRDefault="00682B7B" w:rsidP="000C6220">
      <w:pPr>
        <w:pStyle w:val="Prrafodelista"/>
        <w:suppressLineNumbers/>
        <w:suppressAutoHyphens/>
        <w:kinsoku w:val="0"/>
        <w:overflowPunct w:val="0"/>
        <w:autoSpaceDE w:val="0"/>
        <w:autoSpaceDN w:val="0"/>
        <w:adjustRightInd w:val="0"/>
        <w:snapToGrid w:val="0"/>
        <w:spacing w:before="120" w:line="240" w:lineRule="auto"/>
        <w:ind w:left="0" w:firstLine="720"/>
        <w:contextualSpacing w:val="0"/>
        <w:rPr>
          <w:b/>
          <w:kern w:val="22"/>
          <w:szCs w:val="22"/>
          <w:lang w:val="es-ES"/>
        </w:rPr>
      </w:pPr>
      <w:r w:rsidRPr="00C25EFA">
        <w:rPr>
          <w:bCs/>
          <w:kern w:val="22"/>
          <w:szCs w:val="22"/>
          <w:lang w:val="es-ES"/>
        </w:rPr>
        <w:t>2.</w:t>
      </w:r>
      <w:r w:rsidRPr="00C25EFA">
        <w:rPr>
          <w:bCs/>
          <w:kern w:val="22"/>
          <w:szCs w:val="22"/>
          <w:lang w:val="es-ES"/>
        </w:rPr>
        <w:tab/>
      </w:r>
      <w:r w:rsidR="00C25EFA" w:rsidRPr="00BC28C6">
        <w:rPr>
          <w:i/>
          <w:iCs/>
          <w:kern w:val="22"/>
          <w:szCs w:val="22"/>
          <w:lang w:val="es-ES_tradnl"/>
        </w:rPr>
        <w:t>Especializado</w:t>
      </w:r>
      <w:r w:rsidR="00C25EFA" w:rsidRPr="00BC28C6">
        <w:rPr>
          <w:kern w:val="22"/>
          <w:szCs w:val="22"/>
          <w:lang w:val="es-ES_tradnl"/>
        </w:rPr>
        <w:t xml:space="preserve"> — El instrumento se aplicaría a</w:t>
      </w:r>
      <w:r w:rsidRPr="00C25EFA">
        <w:rPr>
          <w:kern w:val="22"/>
          <w:szCs w:val="22"/>
          <w:lang w:val="es-ES"/>
        </w:rPr>
        <w:t>:</w:t>
      </w:r>
    </w:p>
    <w:p w:rsidR="00682B7B" w:rsidRPr="00C25EFA" w:rsidRDefault="00C25EFA" w:rsidP="000C6220">
      <w:pPr>
        <w:suppressLineNumbers/>
        <w:suppressAutoHyphens/>
        <w:kinsoku w:val="0"/>
        <w:overflowPunct w:val="0"/>
        <w:autoSpaceDE w:val="0"/>
        <w:autoSpaceDN w:val="0"/>
        <w:adjustRightInd w:val="0"/>
        <w:snapToGrid w:val="0"/>
        <w:spacing w:before="120" w:line="240" w:lineRule="auto"/>
        <w:ind w:firstLine="720"/>
        <w:rPr>
          <w:kern w:val="22"/>
          <w:szCs w:val="22"/>
          <w:lang w:val="es-ES"/>
        </w:rPr>
      </w:pPr>
      <w:r w:rsidRPr="007E294E">
        <w:rPr>
          <w:kern w:val="22"/>
          <w:szCs w:val="22"/>
          <w:lang w:val="es-ES"/>
        </w:rPr>
        <w:t xml:space="preserve"> </w:t>
      </w:r>
      <w:r w:rsidR="00682B7B" w:rsidRPr="00C25EFA">
        <w:rPr>
          <w:kern w:val="22"/>
          <w:szCs w:val="22"/>
          <w:lang w:val="es-ES"/>
        </w:rPr>
        <w:t>a)</w:t>
      </w:r>
      <w:r w:rsidR="00682B7B" w:rsidRPr="00C25EFA">
        <w:rPr>
          <w:kern w:val="22"/>
          <w:szCs w:val="22"/>
          <w:lang w:val="es-ES"/>
        </w:rPr>
        <w:tab/>
      </w:r>
      <w:r>
        <w:rPr>
          <w:kern w:val="22"/>
          <w:szCs w:val="22"/>
          <w:lang w:val="es-ES"/>
        </w:rPr>
        <w:t>U</w:t>
      </w:r>
      <w:r w:rsidRPr="00BC28C6">
        <w:rPr>
          <w:kern w:val="22"/>
          <w:szCs w:val="22"/>
          <w:lang w:val="es-ES_tradnl"/>
        </w:rPr>
        <w:t>n conjunto específico de recursos genéticos o conocimientos tradicionales asociados a recursos genéticos que de otra manera quedarían comprendidos en el ámbito de aplicación del Protocolo de Nagoya</w:t>
      </w:r>
      <w:r w:rsidR="00682B7B" w:rsidRPr="00C25EFA">
        <w:rPr>
          <w:kern w:val="22"/>
          <w:szCs w:val="22"/>
          <w:lang w:val="es-ES"/>
        </w:rPr>
        <w:t>;</w:t>
      </w:r>
    </w:p>
    <w:p w:rsidR="00682B7B" w:rsidRPr="00C25EFA" w:rsidRDefault="00C25EFA" w:rsidP="000C6220">
      <w:pPr>
        <w:suppressLineNumbers/>
        <w:suppressAutoHyphens/>
        <w:kinsoku w:val="0"/>
        <w:overflowPunct w:val="0"/>
        <w:autoSpaceDE w:val="0"/>
        <w:autoSpaceDN w:val="0"/>
        <w:adjustRightInd w:val="0"/>
        <w:snapToGrid w:val="0"/>
        <w:spacing w:before="120" w:line="240" w:lineRule="auto"/>
        <w:ind w:firstLine="720"/>
        <w:rPr>
          <w:kern w:val="22"/>
          <w:szCs w:val="22"/>
          <w:lang w:val="es-ES"/>
        </w:rPr>
      </w:pPr>
      <w:r w:rsidRPr="00C25EFA">
        <w:rPr>
          <w:kern w:val="22"/>
          <w:szCs w:val="22"/>
          <w:lang w:val="es-ES"/>
        </w:rPr>
        <w:t xml:space="preserve"> </w:t>
      </w:r>
      <w:r w:rsidR="00682B7B" w:rsidRPr="00C25EFA">
        <w:rPr>
          <w:kern w:val="22"/>
          <w:szCs w:val="22"/>
          <w:lang w:val="es-ES"/>
        </w:rPr>
        <w:t>b)</w:t>
      </w:r>
      <w:r w:rsidR="00682B7B" w:rsidRPr="00C25EFA">
        <w:rPr>
          <w:kern w:val="22"/>
          <w:szCs w:val="22"/>
          <w:lang w:val="es-ES"/>
        </w:rPr>
        <w:tab/>
      </w:r>
      <w:r>
        <w:rPr>
          <w:kern w:val="22"/>
          <w:szCs w:val="22"/>
          <w:lang w:val="es-ES"/>
        </w:rPr>
        <w:t>U</w:t>
      </w:r>
      <w:r w:rsidRPr="00BC28C6">
        <w:rPr>
          <w:kern w:val="22"/>
          <w:szCs w:val="22"/>
          <w:lang w:val="es-ES_tradnl"/>
        </w:rPr>
        <w:t>sos específicos de recursos genéticos o conocimientos tradicionales asociados a recursos genéticos que requieren un enfoque diferente y, por lo tanto, especializado</w:t>
      </w:r>
      <w:r w:rsidR="00682B7B" w:rsidRPr="00C25EFA">
        <w:rPr>
          <w:kern w:val="22"/>
          <w:szCs w:val="22"/>
          <w:lang w:val="es-ES"/>
        </w:rPr>
        <w:t>.</w:t>
      </w:r>
    </w:p>
    <w:p w:rsidR="00682B7B" w:rsidRPr="00C25EFA" w:rsidRDefault="00682B7B" w:rsidP="000C6220">
      <w:pPr>
        <w:suppressLineNumbers/>
        <w:suppressAutoHyphens/>
        <w:kinsoku w:val="0"/>
        <w:overflowPunct w:val="0"/>
        <w:autoSpaceDE w:val="0"/>
        <w:autoSpaceDN w:val="0"/>
        <w:adjustRightInd w:val="0"/>
        <w:snapToGrid w:val="0"/>
        <w:spacing w:before="120" w:line="240" w:lineRule="auto"/>
        <w:ind w:firstLine="720"/>
        <w:rPr>
          <w:b/>
          <w:kern w:val="22"/>
          <w:szCs w:val="22"/>
          <w:lang w:val="es-ES"/>
        </w:rPr>
      </w:pPr>
      <w:r w:rsidRPr="00C25EFA">
        <w:rPr>
          <w:bCs/>
          <w:kern w:val="22"/>
          <w:szCs w:val="22"/>
          <w:lang w:val="es-ES"/>
        </w:rPr>
        <w:t>3.</w:t>
      </w:r>
      <w:r w:rsidRPr="00C25EFA">
        <w:rPr>
          <w:bCs/>
          <w:kern w:val="22"/>
          <w:szCs w:val="22"/>
          <w:lang w:val="es-ES"/>
        </w:rPr>
        <w:tab/>
      </w:r>
      <w:r w:rsidR="00C25EFA" w:rsidRPr="00BC28C6">
        <w:rPr>
          <w:i/>
          <w:iCs/>
          <w:kern w:val="22"/>
          <w:szCs w:val="22"/>
          <w:lang w:val="es-ES_tradnl"/>
        </w:rPr>
        <w:t>Apoyo mutuo</w:t>
      </w:r>
      <w:r w:rsidR="00C25EFA" w:rsidRPr="00BC28C6">
        <w:rPr>
          <w:kern w:val="22"/>
          <w:szCs w:val="22"/>
          <w:lang w:val="es-ES_tradnl"/>
        </w:rPr>
        <w:t xml:space="preserve"> — El instrumento estaría en consonancia con los objetivos del Convenio sobre la Diversidad Biológica y el Protocolo de Nagoya y no se opondrían a ellos, sino que los apoyaría, incluido en lo que tiene que ver con</w:t>
      </w:r>
      <w:r w:rsidRPr="00C25EFA">
        <w:rPr>
          <w:kern w:val="22"/>
          <w:szCs w:val="22"/>
          <w:lang w:val="es-ES"/>
        </w:rPr>
        <w:t>:</w:t>
      </w:r>
    </w:p>
    <w:p w:rsidR="00682B7B" w:rsidRPr="00C25EFA" w:rsidRDefault="00C25EFA" w:rsidP="000C6220">
      <w:pPr>
        <w:suppressLineNumbers/>
        <w:suppressAutoHyphens/>
        <w:kinsoku w:val="0"/>
        <w:overflowPunct w:val="0"/>
        <w:autoSpaceDE w:val="0"/>
        <w:autoSpaceDN w:val="0"/>
        <w:adjustRightInd w:val="0"/>
        <w:snapToGrid w:val="0"/>
        <w:spacing w:before="120" w:line="240" w:lineRule="auto"/>
        <w:ind w:firstLine="720"/>
        <w:rPr>
          <w:kern w:val="22"/>
          <w:szCs w:val="22"/>
          <w:lang w:val="es-ES"/>
        </w:rPr>
      </w:pPr>
      <w:r w:rsidRPr="007E294E">
        <w:rPr>
          <w:kern w:val="22"/>
          <w:szCs w:val="22"/>
          <w:lang w:val="es-ES"/>
        </w:rPr>
        <w:t xml:space="preserve"> </w:t>
      </w:r>
      <w:r w:rsidRPr="00C25EFA">
        <w:rPr>
          <w:kern w:val="22"/>
          <w:szCs w:val="22"/>
          <w:lang w:val="es-ES"/>
        </w:rPr>
        <w:t>a)</w:t>
      </w:r>
      <w:r w:rsidRPr="00C25EFA">
        <w:rPr>
          <w:kern w:val="22"/>
          <w:szCs w:val="22"/>
          <w:lang w:val="es-ES"/>
        </w:rPr>
        <w:tab/>
      </w:r>
      <w:r w:rsidRPr="00BC28C6">
        <w:rPr>
          <w:kern w:val="22"/>
          <w:szCs w:val="22"/>
          <w:lang w:val="es-ES"/>
        </w:rPr>
        <w:t>L</w:t>
      </w:r>
      <w:r w:rsidRPr="00BC28C6">
        <w:rPr>
          <w:kern w:val="22"/>
          <w:szCs w:val="22"/>
          <w:lang w:val="es-ES_tradnl"/>
        </w:rPr>
        <w:t>a coherencia con los objetivos de conservación y utilización sostenible de la diversidad biológica</w:t>
      </w:r>
      <w:r w:rsidR="00682B7B" w:rsidRPr="00C25EFA">
        <w:rPr>
          <w:kern w:val="22"/>
          <w:szCs w:val="22"/>
          <w:lang w:val="es-ES"/>
        </w:rPr>
        <w:t>;</w:t>
      </w:r>
    </w:p>
    <w:p w:rsidR="00682B7B" w:rsidRPr="00C25EFA" w:rsidRDefault="00C25EFA" w:rsidP="000C6220">
      <w:pPr>
        <w:suppressLineNumbers/>
        <w:suppressAutoHyphens/>
        <w:kinsoku w:val="0"/>
        <w:overflowPunct w:val="0"/>
        <w:autoSpaceDE w:val="0"/>
        <w:autoSpaceDN w:val="0"/>
        <w:adjustRightInd w:val="0"/>
        <w:snapToGrid w:val="0"/>
        <w:spacing w:before="120" w:line="240" w:lineRule="auto"/>
        <w:ind w:firstLine="720"/>
        <w:rPr>
          <w:kern w:val="22"/>
          <w:szCs w:val="22"/>
          <w:lang w:val="es-ES"/>
        </w:rPr>
      </w:pPr>
      <w:r w:rsidRPr="00C25EFA">
        <w:rPr>
          <w:kern w:val="22"/>
          <w:szCs w:val="22"/>
          <w:lang w:val="es-ES"/>
        </w:rPr>
        <w:t xml:space="preserve"> </w:t>
      </w:r>
      <w:r w:rsidR="00682B7B" w:rsidRPr="00C25EFA">
        <w:rPr>
          <w:kern w:val="22"/>
          <w:szCs w:val="22"/>
          <w:lang w:val="es-ES"/>
        </w:rPr>
        <w:t>b)</w:t>
      </w:r>
      <w:r w:rsidR="00682B7B" w:rsidRPr="00C25EFA">
        <w:rPr>
          <w:kern w:val="22"/>
          <w:szCs w:val="22"/>
          <w:lang w:val="es-ES"/>
        </w:rPr>
        <w:tab/>
      </w:r>
      <w:r w:rsidRPr="00BC28C6">
        <w:rPr>
          <w:kern w:val="22"/>
          <w:szCs w:val="22"/>
          <w:lang w:val="es-ES"/>
        </w:rPr>
        <w:t>L</w:t>
      </w:r>
      <w:r w:rsidRPr="00BC28C6">
        <w:rPr>
          <w:kern w:val="22"/>
          <w:szCs w:val="22"/>
          <w:lang w:val="es-ES_tradnl"/>
        </w:rPr>
        <w:t>a justicia y equidad en la participación en los beneficios</w:t>
      </w:r>
      <w:r w:rsidR="00682B7B" w:rsidRPr="00C25EFA">
        <w:rPr>
          <w:kern w:val="22"/>
          <w:szCs w:val="22"/>
          <w:lang w:val="es-ES"/>
        </w:rPr>
        <w:t>;</w:t>
      </w:r>
    </w:p>
    <w:p w:rsidR="00682B7B" w:rsidRPr="00C25EFA" w:rsidRDefault="00C25EFA" w:rsidP="000C6220">
      <w:pPr>
        <w:suppressLineNumbers/>
        <w:suppressAutoHyphens/>
        <w:kinsoku w:val="0"/>
        <w:overflowPunct w:val="0"/>
        <w:autoSpaceDE w:val="0"/>
        <w:autoSpaceDN w:val="0"/>
        <w:adjustRightInd w:val="0"/>
        <w:snapToGrid w:val="0"/>
        <w:spacing w:before="120" w:line="240" w:lineRule="auto"/>
        <w:ind w:firstLine="720"/>
        <w:rPr>
          <w:kern w:val="22"/>
          <w:szCs w:val="22"/>
          <w:lang w:val="es-ES"/>
        </w:rPr>
      </w:pPr>
      <w:r w:rsidRPr="00C25EFA">
        <w:rPr>
          <w:kern w:val="22"/>
          <w:szCs w:val="22"/>
          <w:lang w:val="es-ES"/>
        </w:rPr>
        <w:t xml:space="preserve"> </w:t>
      </w:r>
      <w:r w:rsidR="00682B7B" w:rsidRPr="00C25EFA">
        <w:rPr>
          <w:kern w:val="22"/>
          <w:szCs w:val="22"/>
          <w:lang w:val="es-ES"/>
        </w:rPr>
        <w:t>c)</w:t>
      </w:r>
      <w:r w:rsidR="00682B7B" w:rsidRPr="00C25EFA">
        <w:rPr>
          <w:kern w:val="22"/>
          <w:szCs w:val="22"/>
          <w:lang w:val="es-ES"/>
        </w:rPr>
        <w:tab/>
      </w:r>
      <w:r w:rsidRPr="00BC28C6">
        <w:rPr>
          <w:kern w:val="22"/>
          <w:szCs w:val="22"/>
          <w:lang w:val="es-ES"/>
        </w:rPr>
        <w:t>L</w:t>
      </w:r>
      <w:r w:rsidRPr="00BC28C6">
        <w:rPr>
          <w:kern w:val="22"/>
          <w:szCs w:val="22"/>
          <w:lang w:val="es-ES_tradnl"/>
        </w:rPr>
        <w:t>a seguridad jurídica con respecto al acceso a los recursos genéticos o los conocimientos</w:t>
      </w:r>
      <w:r>
        <w:rPr>
          <w:kern w:val="22"/>
          <w:szCs w:val="22"/>
          <w:lang w:val="es-ES_tradnl"/>
        </w:rPr>
        <w:t xml:space="preserve"> </w:t>
      </w:r>
      <w:r w:rsidRPr="00BC28C6">
        <w:rPr>
          <w:kern w:val="22"/>
          <w:szCs w:val="22"/>
          <w:lang w:val="es-ES_tradnl"/>
        </w:rPr>
        <w:t>tradicionales asociados con recursos genéticos y la participación en los beneficios</w:t>
      </w:r>
      <w:r w:rsidR="00682B7B" w:rsidRPr="00C25EFA">
        <w:rPr>
          <w:kern w:val="22"/>
          <w:szCs w:val="22"/>
          <w:lang w:val="es-ES"/>
        </w:rPr>
        <w:t>;</w:t>
      </w:r>
    </w:p>
    <w:p w:rsidR="00682B7B" w:rsidRPr="00C25EFA" w:rsidRDefault="00C25EFA" w:rsidP="000C6220">
      <w:pPr>
        <w:suppressLineNumbers/>
        <w:suppressAutoHyphens/>
        <w:kinsoku w:val="0"/>
        <w:overflowPunct w:val="0"/>
        <w:autoSpaceDE w:val="0"/>
        <w:autoSpaceDN w:val="0"/>
        <w:adjustRightInd w:val="0"/>
        <w:snapToGrid w:val="0"/>
        <w:spacing w:before="120" w:line="240" w:lineRule="auto"/>
        <w:ind w:firstLine="720"/>
        <w:rPr>
          <w:kern w:val="22"/>
          <w:szCs w:val="22"/>
          <w:lang w:val="es-ES"/>
        </w:rPr>
      </w:pPr>
      <w:r w:rsidRPr="00C25EFA">
        <w:rPr>
          <w:kern w:val="22"/>
          <w:szCs w:val="22"/>
          <w:lang w:val="es-ES"/>
        </w:rPr>
        <w:t xml:space="preserve"> </w:t>
      </w:r>
      <w:r w:rsidR="00682B7B" w:rsidRPr="00C25EFA">
        <w:rPr>
          <w:kern w:val="22"/>
          <w:szCs w:val="22"/>
          <w:lang w:val="es-ES"/>
        </w:rPr>
        <w:t>d)</w:t>
      </w:r>
      <w:r w:rsidR="00682B7B" w:rsidRPr="00C25EFA">
        <w:rPr>
          <w:kern w:val="22"/>
          <w:szCs w:val="22"/>
          <w:lang w:val="es-ES"/>
        </w:rPr>
        <w:tab/>
      </w:r>
      <w:r w:rsidRPr="00BC28C6">
        <w:rPr>
          <w:spacing w:val="-3"/>
          <w:kern w:val="22"/>
          <w:szCs w:val="22"/>
          <w:lang w:val="es-ES"/>
        </w:rPr>
        <w:t>L</w:t>
      </w:r>
      <w:r w:rsidRPr="00BC28C6">
        <w:rPr>
          <w:spacing w:val="-3"/>
          <w:kern w:val="22"/>
          <w:szCs w:val="22"/>
          <w:lang w:val="es-ES_tradnl"/>
        </w:rPr>
        <w:t>a contribución al desarrollo sostenible, tal como se refleja en objetivos acordados internacionalmente</w:t>
      </w:r>
      <w:r w:rsidR="00682B7B" w:rsidRPr="00C25EFA">
        <w:rPr>
          <w:kern w:val="22"/>
          <w:szCs w:val="22"/>
          <w:lang w:val="es-ES"/>
        </w:rPr>
        <w:t>;</w:t>
      </w:r>
    </w:p>
    <w:p w:rsidR="00682B7B" w:rsidRPr="00C25EFA" w:rsidRDefault="00C25EFA" w:rsidP="000C6220">
      <w:pPr>
        <w:suppressLineNumbers/>
        <w:suppressAutoHyphens/>
        <w:kinsoku w:val="0"/>
        <w:overflowPunct w:val="0"/>
        <w:autoSpaceDE w:val="0"/>
        <w:autoSpaceDN w:val="0"/>
        <w:adjustRightInd w:val="0"/>
        <w:snapToGrid w:val="0"/>
        <w:spacing w:before="120" w:line="240" w:lineRule="auto"/>
        <w:ind w:firstLine="720"/>
        <w:rPr>
          <w:szCs w:val="22"/>
          <w:lang w:val="es-ES"/>
        </w:rPr>
      </w:pPr>
      <w:r w:rsidRPr="00C25EFA">
        <w:rPr>
          <w:kern w:val="22"/>
          <w:szCs w:val="22"/>
          <w:lang w:val="es-ES"/>
        </w:rPr>
        <w:t xml:space="preserve"> </w:t>
      </w:r>
      <w:r w:rsidR="00682B7B" w:rsidRPr="00C25EFA">
        <w:rPr>
          <w:kern w:val="22"/>
          <w:szCs w:val="22"/>
          <w:lang w:val="es-ES"/>
        </w:rPr>
        <w:t>e)</w:t>
      </w:r>
      <w:r w:rsidR="00682B7B" w:rsidRPr="00C25EFA">
        <w:rPr>
          <w:kern w:val="22"/>
          <w:szCs w:val="22"/>
          <w:lang w:val="es-ES"/>
        </w:rPr>
        <w:tab/>
      </w:r>
      <w:r w:rsidRPr="00BC28C6">
        <w:rPr>
          <w:kern w:val="22"/>
          <w:szCs w:val="22"/>
          <w:lang w:val="es-ES"/>
        </w:rPr>
        <w:t>O</w:t>
      </w:r>
      <w:r w:rsidRPr="00BC28C6">
        <w:rPr>
          <w:kern w:val="22"/>
          <w:szCs w:val="22"/>
          <w:lang w:val="es-ES_tradnl"/>
        </w:rPr>
        <w:t>tros</w:t>
      </w:r>
      <w:r>
        <w:rPr>
          <w:kern w:val="22"/>
          <w:szCs w:val="22"/>
          <w:lang w:val="es-ES_tradnl"/>
        </w:rPr>
        <w:t xml:space="preserve"> </w:t>
      </w:r>
      <w:r w:rsidRPr="00BC28C6">
        <w:rPr>
          <w:kern w:val="22"/>
          <w:szCs w:val="22"/>
          <w:lang w:val="es-ES_tradnl"/>
        </w:rPr>
        <w:t>principios generales del derecho, entre ellos los principios de buena fe, eficacia y confianza legítima</w:t>
      </w:r>
      <w:r w:rsidR="00682B7B" w:rsidRPr="00C25EFA">
        <w:rPr>
          <w:kern w:val="22"/>
          <w:szCs w:val="22"/>
          <w:lang w:val="es-ES"/>
        </w:rPr>
        <w:t>.</w:t>
      </w:r>
    </w:p>
    <w:p w:rsidR="00682B7B" w:rsidRPr="00C25EFA" w:rsidRDefault="00682B7B" w:rsidP="000C6220">
      <w:pPr>
        <w:spacing w:before="120" w:line="240" w:lineRule="auto"/>
        <w:jc w:val="left"/>
        <w:rPr>
          <w:rFonts w:ascii="Times New Roman Bold" w:hAnsi="Times New Roman Bold" w:cs="Times New Roman Bold" w:hint="eastAsia"/>
          <w:b/>
          <w:bCs/>
          <w:caps/>
          <w:snapToGrid w:val="0"/>
          <w:kern w:val="22"/>
          <w:szCs w:val="22"/>
          <w:lang w:val="es-ES"/>
        </w:rPr>
      </w:pPr>
      <w:r w:rsidRPr="00C25EFA">
        <w:rPr>
          <w:rFonts w:hint="eastAsia"/>
          <w:lang w:val="es-ES"/>
        </w:rPr>
        <w:br w:type="page"/>
      </w:r>
    </w:p>
    <w:p w:rsidR="00682B7B" w:rsidRPr="001211D7" w:rsidRDefault="00682B7B" w:rsidP="000C6220">
      <w:pPr>
        <w:pStyle w:val="recommendationheader"/>
        <w:spacing w:line="240" w:lineRule="auto"/>
        <w:rPr>
          <w:snapToGrid w:val="0"/>
          <w:lang w:val="es-ES"/>
        </w:rPr>
      </w:pPr>
      <w:bookmarkStart w:id="17" w:name="_Toc256215"/>
      <w:r w:rsidRPr="007E294E">
        <w:rPr>
          <w:snapToGrid w:val="0"/>
          <w:lang w:val="es-ES"/>
        </w:rPr>
        <w:lastRenderedPageBreak/>
        <w:t>3/15.</w:t>
      </w:r>
      <w:r w:rsidRPr="007E294E">
        <w:rPr>
          <w:snapToGrid w:val="0"/>
          <w:lang w:val="es-ES"/>
        </w:rPr>
        <w:tab/>
      </w:r>
      <w:r w:rsidRPr="001211D7">
        <w:rPr>
          <w:snapToGrid w:val="0"/>
          <w:lang w:val="es-ES"/>
        </w:rPr>
        <w:t>Prepara</w:t>
      </w:r>
      <w:r w:rsidR="001211D7" w:rsidRPr="001211D7">
        <w:rPr>
          <w:snapToGrid w:val="0"/>
          <w:lang w:val="es-ES"/>
        </w:rPr>
        <w:t>ción</w:t>
      </w:r>
      <w:r w:rsidR="001211D7">
        <w:rPr>
          <w:snapToGrid w:val="0"/>
          <w:lang w:val="es-ES"/>
        </w:rPr>
        <w:t xml:space="preserve"> para el seguimiento del Plan Estratégico para la Diversidad Biológica</w:t>
      </w:r>
      <w:r w:rsidRPr="001211D7">
        <w:rPr>
          <w:snapToGrid w:val="0"/>
          <w:lang w:val="es-ES"/>
        </w:rPr>
        <w:t xml:space="preserve"> 2011-2020</w:t>
      </w:r>
      <w:bookmarkEnd w:id="17"/>
    </w:p>
    <w:p w:rsidR="00682B7B" w:rsidRPr="001211D7" w:rsidRDefault="001211D7" w:rsidP="000C6220">
      <w:pPr>
        <w:suppressLineNumbers/>
        <w:suppressAutoHyphens/>
        <w:kinsoku w:val="0"/>
        <w:overflowPunct w:val="0"/>
        <w:autoSpaceDE w:val="0"/>
        <w:autoSpaceDN w:val="0"/>
        <w:adjustRightInd w:val="0"/>
        <w:snapToGrid w:val="0"/>
        <w:spacing w:before="120" w:line="240" w:lineRule="auto"/>
        <w:ind w:firstLine="720"/>
        <w:rPr>
          <w:i/>
          <w:snapToGrid w:val="0"/>
          <w:color w:val="000000" w:themeColor="text1"/>
          <w:kern w:val="22"/>
          <w:szCs w:val="22"/>
          <w:lang w:val="es-ES"/>
        </w:rPr>
      </w:pPr>
      <w:r w:rsidRPr="00F70294">
        <w:rPr>
          <w:i/>
          <w:kern w:val="22"/>
          <w:szCs w:val="22"/>
          <w:lang w:val="es-ES"/>
        </w:rPr>
        <w:t>La Conferencia de las Partes que actúa como reunión de las Partes en el Protocolo de</w:t>
      </w:r>
      <w:r>
        <w:rPr>
          <w:i/>
          <w:kern w:val="22"/>
          <w:szCs w:val="22"/>
          <w:lang w:val="es-ES"/>
        </w:rPr>
        <w:t xml:space="preserve"> </w:t>
      </w:r>
      <w:r w:rsidRPr="00F70294">
        <w:rPr>
          <w:i/>
          <w:kern w:val="22"/>
          <w:szCs w:val="22"/>
          <w:lang w:val="es-ES"/>
        </w:rPr>
        <w:t>Nagoya</w:t>
      </w:r>
      <w:r>
        <w:rPr>
          <w:i/>
          <w:kern w:val="22"/>
          <w:szCs w:val="22"/>
          <w:lang w:val="es-ES"/>
        </w:rPr>
        <w:t xml:space="preserve"> sobre Acceso y Participación en los Beneficios</w:t>
      </w:r>
    </w:p>
    <w:p w:rsidR="00682B7B" w:rsidRPr="001211D7" w:rsidRDefault="00682B7B" w:rsidP="000C6220">
      <w:pPr>
        <w:suppressLineNumbers/>
        <w:suppressAutoHyphens/>
        <w:kinsoku w:val="0"/>
        <w:overflowPunct w:val="0"/>
        <w:autoSpaceDE w:val="0"/>
        <w:autoSpaceDN w:val="0"/>
        <w:adjustRightInd w:val="0"/>
        <w:snapToGrid w:val="0"/>
        <w:spacing w:before="120" w:line="240" w:lineRule="auto"/>
        <w:ind w:firstLine="720"/>
        <w:rPr>
          <w:snapToGrid w:val="0"/>
          <w:color w:val="000000" w:themeColor="text1"/>
          <w:kern w:val="22"/>
          <w:szCs w:val="22"/>
          <w:lang w:val="es-ES"/>
        </w:rPr>
      </w:pPr>
      <w:r w:rsidRPr="001211D7">
        <w:rPr>
          <w:snapToGrid w:val="0"/>
          <w:color w:val="000000" w:themeColor="text1"/>
          <w:kern w:val="22"/>
          <w:szCs w:val="22"/>
          <w:lang w:val="es-ES"/>
        </w:rPr>
        <w:t>1.</w:t>
      </w:r>
      <w:r w:rsidRPr="001211D7">
        <w:rPr>
          <w:snapToGrid w:val="0"/>
          <w:color w:val="000000" w:themeColor="text1"/>
          <w:kern w:val="22"/>
          <w:szCs w:val="22"/>
          <w:lang w:val="es-ES"/>
        </w:rPr>
        <w:tab/>
      </w:r>
      <w:r w:rsidR="001211D7" w:rsidRPr="00AE4964">
        <w:rPr>
          <w:i/>
          <w:iCs/>
          <w:snapToGrid w:val="0"/>
          <w:kern w:val="22"/>
          <w:szCs w:val="22"/>
          <w:lang w:val="es-ES"/>
        </w:rPr>
        <w:t>Toma nota</w:t>
      </w:r>
      <w:r w:rsidR="001211D7" w:rsidRPr="00AE4964">
        <w:rPr>
          <w:iCs/>
          <w:snapToGrid w:val="0"/>
          <w:kern w:val="22"/>
          <w:szCs w:val="22"/>
          <w:lang w:val="es-ES"/>
        </w:rPr>
        <w:t xml:space="preserve"> del proceso preparatorio propuesto para el marco mundial de la diversidad biológica posterior a 2020 como instrumento que sucederá al Plan Estratégico para la Diversidad Biológica 2011-2020, y </w:t>
      </w:r>
      <w:r w:rsidR="001211D7" w:rsidRPr="00AE4964">
        <w:rPr>
          <w:i/>
          <w:iCs/>
          <w:snapToGrid w:val="0"/>
          <w:kern w:val="22"/>
          <w:szCs w:val="22"/>
          <w:lang w:val="es-ES"/>
        </w:rPr>
        <w:t>acoge con satisfacción</w:t>
      </w:r>
      <w:r w:rsidR="001211D7" w:rsidRPr="00AE4964">
        <w:rPr>
          <w:iCs/>
          <w:snapToGrid w:val="0"/>
          <w:kern w:val="22"/>
          <w:szCs w:val="22"/>
          <w:lang w:val="es-ES"/>
        </w:rPr>
        <w:t xml:space="preserve"> la decisión</w:t>
      </w:r>
      <w:r w:rsidR="001211D7">
        <w:rPr>
          <w:iCs/>
          <w:snapToGrid w:val="0"/>
          <w:kern w:val="22"/>
          <w:szCs w:val="22"/>
          <w:lang w:val="es-ES"/>
        </w:rPr>
        <w:t xml:space="preserve"> </w:t>
      </w:r>
      <w:r w:rsidR="001211D7" w:rsidRPr="00C715EA">
        <w:rPr>
          <w:snapToGrid w:val="0"/>
          <w:color w:val="000000" w:themeColor="text1"/>
          <w:kern w:val="22"/>
          <w:szCs w:val="22"/>
          <w:lang w:val="es-ES"/>
        </w:rPr>
        <w:t xml:space="preserve">14/34 </w:t>
      </w:r>
      <w:r w:rsidR="001211D7">
        <w:rPr>
          <w:snapToGrid w:val="0"/>
          <w:color w:val="000000" w:themeColor="text1"/>
          <w:kern w:val="22"/>
          <w:szCs w:val="22"/>
          <w:lang w:val="es-ES"/>
        </w:rPr>
        <w:t>de la Conferencia de las Partes</w:t>
      </w:r>
      <w:r w:rsidRPr="001211D7">
        <w:rPr>
          <w:snapToGrid w:val="0"/>
          <w:color w:val="000000" w:themeColor="text1"/>
          <w:kern w:val="22"/>
          <w:szCs w:val="22"/>
          <w:lang w:val="es-ES"/>
        </w:rPr>
        <w:t>;</w:t>
      </w:r>
    </w:p>
    <w:p w:rsidR="00682B7B" w:rsidRPr="001211D7" w:rsidRDefault="00682B7B" w:rsidP="000C6220">
      <w:pPr>
        <w:suppressLineNumbers/>
        <w:suppressAutoHyphens/>
        <w:kinsoku w:val="0"/>
        <w:overflowPunct w:val="0"/>
        <w:autoSpaceDE w:val="0"/>
        <w:autoSpaceDN w:val="0"/>
        <w:adjustRightInd w:val="0"/>
        <w:snapToGrid w:val="0"/>
        <w:spacing w:before="120" w:line="240" w:lineRule="auto"/>
        <w:ind w:firstLine="709"/>
        <w:rPr>
          <w:snapToGrid w:val="0"/>
          <w:color w:val="000000" w:themeColor="text1"/>
          <w:kern w:val="22"/>
          <w:sz w:val="24"/>
          <w:lang w:val="es-ES"/>
        </w:rPr>
      </w:pPr>
      <w:r w:rsidRPr="001211D7">
        <w:rPr>
          <w:snapToGrid w:val="0"/>
          <w:color w:val="000000" w:themeColor="text1"/>
          <w:kern w:val="22"/>
          <w:szCs w:val="22"/>
          <w:lang w:val="es-ES"/>
        </w:rPr>
        <w:t>2.</w:t>
      </w:r>
      <w:r w:rsidRPr="001211D7">
        <w:rPr>
          <w:snapToGrid w:val="0"/>
          <w:color w:val="000000" w:themeColor="text1"/>
          <w:kern w:val="22"/>
          <w:szCs w:val="22"/>
          <w:lang w:val="es-ES"/>
        </w:rPr>
        <w:tab/>
      </w:r>
      <w:r w:rsidR="001211D7" w:rsidRPr="00C715EA">
        <w:rPr>
          <w:i/>
          <w:szCs w:val="22"/>
          <w:lang w:val="es-ES"/>
        </w:rPr>
        <w:t>Alienta</w:t>
      </w:r>
      <w:r w:rsidR="001211D7" w:rsidRPr="00C715EA">
        <w:rPr>
          <w:szCs w:val="22"/>
          <w:lang w:val="es-ES"/>
        </w:rPr>
        <w:t xml:space="preserve"> a las Partes a adoptar medidas para mejorar la aplicación del Protocolo de Nagoya sobre Acceso y Participaci</w:t>
      </w:r>
      <w:r w:rsidR="001211D7">
        <w:rPr>
          <w:szCs w:val="22"/>
          <w:lang w:val="es-ES"/>
        </w:rPr>
        <w:t>ón en los Beneficios</w:t>
      </w:r>
      <w:r w:rsidR="001211D7" w:rsidRPr="00C715EA">
        <w:rPr>
          <w:szCs w:val="22"/>
          <w:lang w:val="es-ES"/>
        </w:rPr>
        <w:t xml:space="preserve">, </w:t>
      </w:r>
      <w:r w:rsidR="001211D7">
        <w:rPr>
          <w:szCs w:val="22"/>
          <w:lang w:val="es-ES"/>
        </w:rPr>
        <w:t xml:space="preserve">en el contexto del marco mundial de la diversidad biológica posterior a </w:t>
      </w:r>
      <w:r w:rsidR="001211D7" w:rsidRPr="00C715EA">
        <w:rPr>
          <w:szCs w:val="22"/>
          <w:lang w:val="es-ES"/>
        </w:rPr>
        <w:t>2020</w:t>
      </w:r>
      <w:r w:rsidRPr="001211D7">
        <w:rPr>
          <w:szCs w:val="22"/>
          <w:lang w:val="es-ES"/>
        </w:rPr>
        <w:t>;</w:t>
      </w:r>
    </w:p>
    <w:p w:rsidR="00682B7B" w:rsidRPr="001211D7" w:rsidRDefault="00682B7B" w:rsidP="000C6220">
      <w:pPr>
        <w:suppressLineNumbers/>
        <w:suppressAutoHyphens/>
        <w:kinsoku w:val="0"/>
        <w:overflowPunct w:val="0"/>
        <w:autoSpaceDE w:val="0"/>
        <w:autoSpaceDN w:val="0"/>
        <w:adjustRightInd w:val="0"/>
        <w:snapToGrid w:val="0"/>
        <w:spacing w:before="120" w:line="240" w:lineRule="auto"/>
        <w:ind w:firstLine="720"/>
        <w:rPr>
          <w:snapToGrid w:val="0"/>
          <w:color w:val="000000" w:themeColor="text1"/>
          <w:kern w:val="22"/>
          <w:szCs w:val="22"/>
          <w:lang w:val="es-ES"/>
        </w:rPr>
      </w:pPr>
      <w:r w:rsidRPr="001211D7">
        <w:rPr>
          <w:snapToGrid w:val="0"/>
          <w:color w:val="000000" w:themeColor="text1"/>
          <w:kern w:val="22"/>
          <w:szCs w:val="22"/>
          <w:lang w:val="es-ES"/>
        </w:rPr>
        <w:t>3.</w:t>
      </w:r>
      <w:r w:rsidRPr="001211D7">
        <w:rPr>
          <w:snapToGrid w:val="0"/>
          <w:color w:val="000000" w:themeColor="text1"/>
          <w:kern w:val="22"/>
          <w:szCs w:val="22"/>
          <w:lang w:val="es-ES"/>
        </w:rPr>
        <w:tab/>
      </w:r>
      <w:r w:rsidR="001211D7">
        <w:rPr>
          <w:i/>
          <w:iCs/>
          <w:snapToGrid w:val="0"/>
          <w:kern w:val="22"/>
          <w:szCs w:val="22"/>
          <w:lang w:val="es-ES"/>
        </w:rPr>
        <w:t>Invita</w:t>
      </w:r>
      <w:r w:rsidR="001211D7" w:rsidRPr="00DC4B04">
        <w:rPr>
          <w:snapToGrid w:val="0"/>
          <w:kern w:val="22"/>
          <w:szCs w:val="22"/>
          <w:lang w:val="es-ES"/>
        </w:rPr>
        <w:t xml:space="preserve"> </w:t>
      </w:r>
      <w:r w:rsidR="001211D7" w:rsidRPr="00AE4964">
        <w:rPr>
          <w:snapToGrid w:val="0"/>
          <w:kern w:val="22"/>
          <w:szCs w:val="22"/>
          <w:lang w:val="es-ES"/>
        </w:rPr>
        <w:t>a las Partes a participar en el proceso de elaboración del marco mundial de la diversidad biológica posterior a 2020</w:t>
      </w:r>
      <w:r w:rsidRPr="001211D7">
        <w:rPr>
          <w:snapToGrid w:val="0"/>
          <w:color w:val="000000" w:themeColor="text1"/>
          <w:kern w:val="22"/>
          <w:szCs w:val="22"/>
          <w:lang w:val="es-ES"/>
        </w:rPr>
        <w:t>;</w:t>
      </w:r>
    </w:p>
    <w:p w:rsidR="00682B7B" w:rsidRPr="001211D7" w:rsidRDefault="00682B7B" w:rsidP="000C6220">
      <w:pPr>
        <w:suppressLineNumbers/>
        <w:shd w:val="clear" w:color="auto" w:fill="FFFFFF" w:themeFill="background1"/>
        <w:suppressAutoHyphens/>
        <w:kinsoku w:val="0"/>
        <w:overflowPunct w:val="0"/>
        <w:autoSpaceDE w:val="0"/>
        <w:autoSpaceDN w:val="0"/>
        <w:adjustRightInd w:val="0"/>
        <w:snapToGrid w:val="0"/>
        <w:spacing w:before="120" w:line="240" w:lineRule="auto"/>
        <w:ind w:firstLine="720"/>
        <w:rPr>
          <w:i/>
          <w:snapToGrid w:val="0"/>
          <w:color w:val="000000" w:themeColor="text1"/>
          <w:kern w:val="22"/>
          <w:szCs w:val="22"/>
          <w:lang w:val="es-ES"/>
        </w:rPr>
      </w:pPr>
      <w:r w:rsidRPr="001211D7">
        <w:rPr>
          <w:snapToGrid w:val="0"/>
          <w:color w:val="000000" w:themeColor="text1"/>
          <w:kern w:val="22"/>
          <w:szCs w:val="22"/>
          <w:lang w:val="es-ES"/>
        </w:rPr>
        <w:t>4.</w:t>
      </w:r>
      <w:r w:rsidRPr="001211D7">
        <w:rPr>
          <w:i/>
          <w:snapToGrid w:val="0"/>
          <w:color w:val="000000" w:themeColor="text1"/>
          <w:kern w:val="22"/>
          <w:szCs w:val="22"/>
          <w:lang w:val="es-ES"/>
        </w:rPr>
        <w:tab/>
      </w:r>
      <w:r w:rsidR="001211D7" w:rsidRPr="001211D7">
        <w:rPr>
          <w:i/>
          <w:snapToGrid w:val="0"/>
          <w:color w:val="000000" w:themeColor="text1"/>
          <w:kern w:val="22"/>
          <w:szCs w:val="22"/>
          <w:lang w:val="es-ES"/>
        </w:rPr>
        <w:t xml:space="preserve">Recomienda </w:t>
      </w:r>
      <w:r w:rsidR="001211D7" w:rsidRPr="001211D7">
        <w:rPr>
          <w:kern w:val="22"/>
          <w:lang w:val="es-ES"/>
        </w:rPr>
        <w:t>que las conclusiones sobre cuestiones generales relativas al cumplimiento</w:t>
      </w:r>
      <w:r w:rsidRPr="00EE0850">
        <w:rPr>
          <w:rStyle w:val="Refdenotaalpie"/>
          <w:rFonts w:eastAsiaTheme="majorEastAsia"/>
          <w:snapToGrid w:val="0"/>
          <w:color w:val="000000" w:themeColor="text1"/>
          <w:kern w:val="22"/>
          <w:sz w:val="22"/>
          <w:szCs w:val="22"/>
          <w:u w:val="none"/>
          <w:vertAlign w:val="superscript"/>
        </w:rPr>
        <w:footnoteReference w:id="26"/>
      </w:r>
      <w:r w:rsidRPr="001211D7">
        <w:rPr>
          <w:snapToGrid w:val="0"/>
          <w:color w:val="000000" w:themeColor="text1"/>
          <w:kern w:val="22"/>
          <w:szCs w:val="22"/>
          <w:lang w:val="es-ES"/>
        </w:rPr>
        <w:t xml:space="preserve"> </w:t>
      </w:r>
      <w:r w:rsidR="001211D7" w:rsidRPr="001211D7">
        <w:rPr>
          <w:color w:val="000000" w:themeColor="text1"/>
          <w:kern w:val="22"/>
          <w:szCs w:val="22"/>
          <w:lang w:val="es-ES" w:eastAsia="es-MX"/>
        </w:rPr>
        <w:t>y</w:t>
      </w:r>
      <w:r w:rsidRPr="001211D7">
        <w:rPr>
          <w:color w:val="000000" w:themeColor="text1"/>
          <w:kern w:val="22"/>
          <w:szCs w:val="22"/>
          <w:lang w:val="es-ES" w:eastAsia="es-MX"/>
        </w:rPr>
        <w:t xml:space="preserve"> </w:t>
      </w:r>
      <w:r w:rsidR="001211D7">
        <w:rPr>
          <w:snapToGrid w:val="0"/>
          <w:kern w:val="22"/>
          <w:lang w:val="es-ES"/>
        </w:rPr>
        <w:t xml:space="preserve">los resultados de la primera evaluación y examen de la eficacia del Protocolo, tal como figura en la decisión </w:t>
      </w:r>
      <w:r w:rsidR="001211D7" w:rsidRPr="00C715EA">
        <w:rPr>
          <w:color w:val="000000" w:themeColor="text1"/>
          <w:kern w:val="22"/>
          <w:szCs w:val="22"/>
          <w:lang w:val="es-ES" w:eastAsia="es-MX"/>
        </w:rPr>
        <w:t xml:space="preserve">NP-3/1, </w:t>
      </w:r>
      <w:r w:rsidR="001211D7" w:rsidRPr="002B7EA9">
        <w:rPr>
          <w:kern w:val="22"/>
          <w:lang w:val="es-ES"/>
        </w:rPr>
        <w:t xml:space="preserve">se consideren en la elaboración del </w:t>
      </w:r>
      <w:r w:rsidR="001211D7" w:rsidRPr="002B7EA9">
        <w:rPr>
          <w:lang w:val="es-ES"/>
        </w:rPr>
        <w:t xml:space="preserve">marco mundial </w:t>
      </w:r>
      <w:r w:rsidR="001211D7">
        <w:rPr>
          <w:lang w:val="es-ES"/>
        </w:rPr>
        <w:t>de</w:t>
      </w:r>
      <w:r w:rsidR="001211D7" w:rsidRPr="002B7EA9">
        <w:rPr>
          <w:lang w:val="es-ES"/>
        </w:rPr>
        <w:t xml:space="preserve"> la diversidad biológica posterior a 2020</w:t>
      </w:r>
      <w:r w:rsidRPr="001211D7">
        <w:rPr>
          <w:snapToGrid w:val="0"/>
          <w:color w:val="000000" w:themeColor="text1"/>
          <w:kern w:val="22"/>
          <w:szCs w:val="22"/>
          <w:lang w:val="es-ES"/>
        </w:rPr>
        <w:t>;</w:t>
      </w:r>
    </w:p>
    <w:p w:rsidR="00682B7B" w:rsidRPr="001211D7" w:rsidRDefault="00682B7B" w:rsidP="000C6220">
      <w:pPr>
        <w:suppressLineNumbers/>
        <w:suppressAutoHyphens/>
        <w:kinsoku w:val="0"/>
        <w:overflowPunct w:val="0"/>
        <w:autoSpaceDE w:val="0"/>
        <w:autoSpaceDN w:val="0"/>
        <w:adjustRightInd w:val="0"/>
        <w:snapToGrid w:val="0"/>
        <w:spacing w:before="120" w:line="240" w:lineRule="auto"/>
        <w:ind w:firstLine="720"/>
        <w:rPr>
          <w:color w:val="000000" w:themeColor="text1"/>
          <w:kern w:val="22"/>
          <w:lang w:val="es-ES"/>
        </w:rPr>
      </w:pPr>
      <w:r w:rsidRPr="001211D7">
        <w:rPr>
          <w:snapToGrid w:val="0"/>
          <w:color w:val="000000" w:themeColor="text1"/>
          <w:kern w:val="22"/>
          <w:szCs w:val="22"/>
          <w:lang w:val="es-ES"/>
        </w:rPr>
        <w:t>5.</w:t>
      </w:r>
      <w:r w:rsidRPr="001211D7">
        <w:rPr>
          <w:i/>
          <w:snapToGrid w:val="0"/>
          <w:color w:val="000000" w:themeColor="text1"/>
          <w:kern w:val="22"/>
          <w:szCs w:val="22"/>
          <w:lang w:val="es-ES"/>
        </w:rPr>
        <w:tab/>
      </w:r>
      <w:r w:rsidR="001211D7">
        <w:rPr>
          <w:i/>
          <w:snapToGrid w:val="0"/>
          <w:kern w:val="22"/>
          <w:szCs w:val="22"/>
          <w:lang w:val="es-ES"/>
        </w:rPr>
        <w:t>Pide</w:t>
      </w:r>
      <w:r w:rsidR="001211D7" w:rsidRPr="00DC4B04">
        <w:rPr>
          <w:snapToGrid w:val="0"/>
          <w:kern w:val="22"/>
          <w:szCs w:val="22"/>
          <w:lang w:val="es-ES"/>
        </w:rPr>
        <w:t xml:space="preserve"> </w:t>
      </w:r>
      <w:r w:rsidR="001211D7" w:rsidRPr="00AE4964">
        <w:rPr>
          <w:snapToGrid w:val="0"/>
          <w:kern w:val="22"/>
          <w:szCs w:val="22"/>
          <w:lang w:val="es-ES"/>
        </w:rPr>
        <w:t xml:space="preserve">que el Comité de Cumplimiento considere en su próxima reunión la forma de apoyar y promover el cumplimiento del Protocolo de Nagoya dentro del marco mundial </w:t>
      </w:r>
      <w:r w:rsidR="001211D7">
        <w:rPr>
          <w:snapToGrid w:val="0"/>
          <w:kern w:val="22"/>
          <w:szCs w:val="22"/>
          <w:lang w:val="es-ES"/>
        </w:rPr>
        <w:t>de</w:t>
      </w:r>
      <w:r w:rsidR="001211D7" w:rsidRPr="00AE4964">
        <w:rPr>
          <w:snapToGrid w:val="0"/>
          <w:kern w:val="22"/>
          <w:szCs w:val="22"/>
          <w:lang w:val="es-ES"/>
        </w:rPr>
        <w:t xml:space="preserve"> la diversidad biológica posterior a 2020</w:t>
      </w:r>
      <w:r w:rsidRPr="001211D7">
        <w:rPr>
          <w:snapToGrid w:val="0"/>
          <w:color w:val="000000" w:themeColor="text1"/>
          <w:kern w:val="22"/>
          <w:szCs w:val="22"/>
          <w:lang w:val="es-ES"/>
        </w:rPr>
        <w:t>.</w:t>
      </w:r>
    </w:p>
    <w:p w:rsidR="00682B7B" w:rsidRPr="001211D7" w:rsidRDefault="00682B7B" w:rsidP="000C6220">
      <w:pPr>
        <w:spacing w:before="120" w:line="240" w:lineRule="auto"/>
        <w:jc w:val="left"/>
        <w:rPr>
          <w:rFonts w:ascii="Times New Roman Bold" w:hAnsi="Times New Roman Bold" w:cs="Times New Roman Bold" w:hint="eastAsia"/>
          <w:b/>
          <w:bCs/>
          <w:caps/>
          <w:snapToGrid w:val="0"/>
          <w:kern w:val="22"/>
          <w:szCs w:val="22"/>
          <w:lang w:val="es-ES"/>
        </w:rPr>
      </w:pPr>
      <w:r w:rsidRPr="001211D7">
        <w:rPr>
          <w:rFonts w:hint="eastAsia"/>
          <w:lang w:val="es-ES"/>
        </w:rPr>
        <w:br w:type="page"/>
      </w:r>
    </w:p>
    <w:p w:rsidR="00682B7B" w:rsidRPr="007E294E" w:rsidRDefault="00682B7B" w:rsidP="000C6220">
      <w:pPr>
        <w:pStyle w:val="recommendationheader"/>
        <w:spacing w:line="240" w:lineRule="auto"/>
        <w:rPr>
          <w:szCs w:val="22"/>
          <w:lang w:val="es-ES"/>
        </w:rPr>
      </w:pPr>
      <w:bookmarkStart w:id="18" w:name="_Toc256216"/>
      <w:r w:rsidRPr="007E294E">
        <w:rPr>
          <w:szCs w:val="22"/>
          <w:lang w:val="es-ES"/>
        </w:rPr>
        <w:lastRenderedPageBreak/>
        <w:t>3/16.</w:t>
      </w:r>
      <w:r w:rsidRPr="007E294E">
        <w:rPr>
          <w:szCs w:val="22"/>
          <w:lang w:val="es-ES"/>
        </w:rPr>
        <w:tab/>
      </w:r>
      <w:r w:rsidR="001211D7" w:rsidRPr="007E294E">
        <w:rPr>
          <w:szCs w:val="22"/>
          <w:lang w:val="es-ES"/>
        </w:rPr>
        <w:t xml:space="preserve">Presupuesto para el programa de trabajo integrado de la Secretaría </w:t>
      </w:r>
      <w:bookmarkEnd w:id="18"/>
    </w:p>
    <w:p w:rsidR="00DE347C" w:rsidRPr="001211D7" w:rsidRDefault="001211D7" w:rsidP="000C6220">
      <w:pPr>
        <w:shd w:val="clear" w:color="auto" w:fill="FFFFFF" w:themeFill="background1"/>
        <w:spacing w:before="120" w:line="240" w:lineRule="auto"/>
        <w:ind w:firstLine="720"/>
        <w:rPr>
          <w:iCs/>
          <w:kern w:val="22"/>
          <w:szCs w:val="22"/>
          <w:lang w:val="es-ES"/>
        </w:rPr>
      </w:pPr>
      <w:r>
        <w:rPr>
          <w:i/>
          <w:kern w:val="22"/>
          <w:lang w:val="es-ES"/>
        </w:rPr>
        <w:t xml:space="preserve">La Conferencia de las Partes que actúa como reunión de las Partes en el Protocolo de </w:t>
      </w:r>
      <w:r w:rsidRPr="009412DD">
        <w:rPr>
          <w:i/>
          <w:iCs/>
          <w:kern w:val="22"/>
          <w:lang w:val="es-ES" w:eastAsia="ko-KR"/>
        </w:rPr>
        <w:t>Nagoya</w:t>
      </w:r>
      <w:r>
        <w:rPr>
          <w:i/>
          <w:iCs/>
          <w:kern w:val="22"/>
          <w:lang w:val="es-ES" w:eastAsia="ko-KR"/>
        </w:rPr>
        <w:t xml:space="preserve"> sobre Acceso y Participación en los Beneficios</w:t>
      </w:r>
      <w:r w:rsidR="00DE347C" w:rsidRPr="001211D7">
        <w:rPr>
          <w:i/>
          <w:kern w:val="22"/>
          <w:szCs w:val="22"/>
          <w:lang w:val="es-ES"/>
        </w:rPr>
        <w:t>,</w:t>
      </w:r>
    </w:p>
    <w:p w:rsidR="00DE347C" w:rsidRPr="001211D7" w:rsidRDefault="00DE347C" w:rsidP="000C6220">
      <w:pPr>
        <w:shd w:val="clear" w:color="auto" w:fill="FFFFFF" w:themeFill="background1"/>
        <w:spacing w:before="120" w:line="240" w:lineRule="auto"/>
        <w:ind w:firstLine="720"/>
        <w:rPr>
          <w:kern w:val="22"/>
          <w:szCs w:val="22"/>
          <w:lang w:val="es-ES"/>
        </w:rPr>
      </w:pPr>
      <w:r w:rsidRPr="001211D7">
        <w:rPr>
          <w:i/>
          <w:kern w:val="22"/>
          <w:szCs w:val="22"/>
          <w:lang w:val="es-ES"/>
        </w:rPr>
        <w:t>Rec</w:t>
      </w:r>
      <w:r w:rsidR="001211D7" w:rsidRPr="001211D7">
        <w:rPr>
          <w:i/>
          <w:kern w:val="22"/>
          <w:szCs w:val="22"/>
          <w:lang w:val="es-ES"/>
        </w:rPr>
        <w:t>ordando</w:t>
      </w:r>
      <w:r w:rsidRPr="001211D7">
        <w:rPr>
          <w:i/>
          <w:kern w:val="22"/>
          <w:szCs w:val="22"/>
          <w:lang w:val="es-ES"/>
        </w:rPr>
        <w:t xml:space="preserve"> </w:t>
      </w:r>
      <w:r w:rsidR="001211D7" w:rsidRPr="001211D7">
        <w:rPr>
          <w:kern w:val="22"/>
          <w:szCs w:val="22"/>
          <w:lang w:val="es-ES"/>
        </w:rPr>
        <w:t>su decisión</w:t>
      </w:r>
      <w:r w:rsidRPr="001211D7">
        <w:rPr>
          <w:kern w:val="22"/>
          <w:szCs w:val="22"/>
          <w:lang w:val="es-ES"/>
        </w:rPr>
        <w:t xml:space="preserve"> </w:t>
      </w:r>
      <w:hyperlink r:id="rId21" w:history="1">
        <w:r w:rsidRPr="001211D7">
          <w:rPr>
            <w:rStyle w:val="Hipervnculo"/>
            <w:kern w:val="22"/>
            <w:sz w:val="22"/>
            <w:szCs w:val="22"/>
            <w:lang w:val="es-ES"/>
          </w:rPr>
          <w:t>2/13</w:t>
        </w:r>
      </w:hyperlink>
      <w:r w:rsidRPr="001211D7">
        <w:rPr>
          <w:kern w:val="22"/>
          <w:szCs w:val="22"/>
          <w:lang w:val="es-ES"/>
        </w:rPr>
        <w:t>,</w:t>
      </w:r>
      <w:r w:rsidR="001211D7" w:rsidRPr="001211D7">
        <w:rPr>
          <w:kern w:val="22"/>
          <w:szCs w:val="22"/>
          <w:lang w:val="es-ES"/>
        </w:rPr>
        <w:t xml:space="preserve"> y la decisión</w:t>
      </w:r>
      <w:r w:rsidRPr="001211D7">
        <w:rPr>
          <w:kern w:val="22"/>
          <w:szCs w:val="22"/>
          <w:lang w:val="es-ES"/>
        </w:rPr>
        <w:t xml:space="preserve"> </w:t>
      </w:r>
      <w:hyperlink r:id="rId22" w:history="1">
        <w:r w:rsidRPr="001211D7">
          <w:rPr>
            <w:rStyle w:val="Hipervnculo"/>
            <w:kern w:val="22"/>
            <w:sz w:val="22"/>
            <w:szCs w:val="22"/>
            <w:lang w:val="es-ES"/>
          </w:rPr>
          <w:t>XIII/32</w:t>
        </w:r>
      </w:hyperlink>
      <w:r w:rsidR="001211D7" w:rsidRPr="001211D7">
        <w:rPr>
          <w:kern w:val="22"/>
          <w:szCs w:val="22"/>
          <w:lang w:val="es-ES"/>
        </w:rPr>
        <w:t xml:space="preserve"> de </w:t>
      </w:r>
      <w:r w:rsidR="001211D7" w:rsidRPr="009412DD">
        <w:rPr>
          <w:kern w:val="22"/>
          <w:lang w:val="es-ES"/>
        </w:rPr>
        <w:t xml:space="preserve">la </w:t>
      </w:r>
      <w:r w:rsidR="001211D7" w:rsidRPr="00D21E29">
        <w:rPr>
          <w:kern w:val="22"/>
          <w:szCs w:val="22"/>
          <w:lang w:val="es-ES"/>
        </w:rPr>
        <w:t>Conferencia de las Partes en el Convenio sobre la Diversidad Biológica, así como la decisión</w:t>
      </w:r>
      <w:r w:rsidR="001211D7" w:rsidRPr="009412DD">
        <w:rPr>
          <w:kern w:val="22"/>
          <w:lang w:val="es-ES"/>
        </w:rPr>
        <w:t xml:space="preserve"> VIII/7 </w:t>
      </w:r>
      <w:r w:rsidR="001211D7">
        <w:rPr>
          <w:kern w:val="22"/>
          <w:lang w:val="es-ES"/>
        </w:rPr>
        <w:t xml:space="preserve">de la </w:t>
      </w:r>
      <w:r w:rsidR="001211D7" w:rsidRPr="00D21E29">
        <w:rPr>
          <w:kern w:val="22"/>
          <w:szCs w:val="22"/>
          <w:lang w:val="es-ES"/>
        </w:rPr>
        <w:t xml:space="preserve">Conferencia de las Partes que actúa como reunión de las Partes en el Protocolo de </w:t>
      </w:r>
      <w:r w:rsidR="001211D7" w:rsidRPr="009412DD">
        <w:rPr>
          <w:kern w:val="22"/>
          <w:lang w:val="es-ES"/>
        </w:rPr>
        <w:t xml:space="preserve">Cartagena </w:t>
      </w:r>
      <w:r w:rsidR="001211D7">
        <w:rPr>
          <w:kern w:val="22"/>
          <w:lang w:val="es-ES"/>
        </w:rPr>
        <w:t>sobre Seguridad de la Biotecnología</w:t>
      </w:r>
      <w:r w:rsidRPr="001211D7">
        <w:rPr>
          <w:kern w:val="22"/>
          <w:szCs w:val="22"/>
          <w:lang w:val="es-ES"/>
        </w:rPr>
        <w:t>,</w:t>
      </w:r>
    </w:p>
    <w:p w:rsidR="00DE347C" w:rsidRPr="001211D7" w:rsidRDefault="001211D7" w:rsidP="000C6220">
      <w:pPr>
        <w:spacing w:before="120" w:line="240" w:lineRule="auto"/>
        <w:ind w:firstLine="720"/>
        <w:rPr>
          <w:color w:val="000000"/>
          <w:kern w:val="22"/>
          <w:szCs w:val="22"/>
          <w:lang w:val="es-ES"/>
        </w:rPr>
      </w:pPr>
      <w:r w:rsidRPr="001211D7">
        <w:rPr>
          <w:i/>
          <w:color w:val="000000"/>
          <w:kern w:val="22"/>
          <w:szCs w:val="22"/>
          <w:lang w:val="es-ES" w:eastAsia="fr-FR"/>
        </w:rPr>
        <w:t xml:space="preserve">Recordando también </w:t>
      </w:r>
      <w:r w:rsidRPr="001211D7">
        <w:rPr>
          <w:color w:val="000000"/>
          <w:kern w:val="22"/>
          <w:szCs w:val="22"/>
          <w:lang w:val="es-ES" w:eastAsia="fr-FR"/>
        </w:rPr>
        <w:t>la decisión</w:t>
      </w:r>
      <w:r w:rsidR="00DE347C" w:rsidRPr="001211D7">
        <w:rPr>
          <w:color w:val="000000"/>
          <w:kern w:val="22"/>
          <w:szCs w:val="22"/>
          <w:lang w:val="es-ES" w:eastAsia="fr-FR"/>
        </w:rPr>
        <w:t xml:space="preserve"> </w:t>
      </w:r>
      <w:hyperlink r:id="rId23" w:history="1">
        <w:r w:rsidR="00DE347C" w:rsidRPr="001211D7">
          <w:rPr>
            <w:rStyle w:val="Hipervnculo"/>
            <w:kern w:val="22"/>
            <w:sz w:val="22"/>
            <w:szCs w:val="22"/>
            <w:lang w:val="es-ES" w:eastAsia="fr-FR"/>
          </w:rPr>
          <w:t>III/1</w:t>
        </w:r>
      </w:hyperlink>
      <w:r w:rsidR="00DE347C" w:rsidRPr="001211D7">
        <w:rPr>
          <w:color w:val="000000"/>
          <w:kern w:val="22"/>
          <w:szCs w:val="22"/>
          <w:lang w:val="es-ES" w:eastAsia="fr-FR"/>
        </w:rPr>
        <w:t xml:space="preserve">, </w:t>
      </w:r>
      <w:r w:rsidRPr="002D2A6D">
        <w:rPr>
          <w:color w:val="000000"/>
          <w:kern w:val="22"/>
          <w:szCs w:val="22"/>
          <w:lang w:val="es-ES" w:eastAsia="fr-FR"/>
        </w:rPr>
        <w:t>en la que se especifica</w:t>
      </w:r>
      <w:r>
        <w:rPr>
          <w:color w:val="000000"/>
          <w:kern w:val="22"/>
          <w:szCs w:val="22"/>
          <w:lang w:val="es-ES" w:eastAsia="fr-FR"/>
        </w:rPr>
        <w:t xml:space="preserve"> </w:t>
      </w:r>
      <w:r w:rsidRPr="00D21E29">
        <w:rPr>
          <w:color w:val="000000"/>
          <w:kern w:val="22"/>
          <w:szCs w:val="22"/>
          <w:lang w:val="es-ES"/>
        </w:rPr>
        <w:t>que los proyectos de presupuesto deben distribuirse 90 días antes de las reuniones de la Conferencia de las Partes</w:t>
      </w:r>
      <w:r w:rsidR="00DE347C" w:rsidRPr="001211D7">
        <w:rPr>
          <w:color w:val="000000"/>
          <w:kern w:val="22"/>
          <w:szCs w:val="22"/>
          <w:lang w:val="es-ES" w:eastAsia="fr-FR"/>
        </w:rPr>
        <w:t>,</w:t>
      </w:r>
    </w:p>
    <w:p w:rsidR="00DE347C" w:rsidRPr="001211D7" w:rsidRDefault="001211D7" w:rsidP="000C6220">
      <w:pPr>
        <w:spacing w:before="120" w:line="240" w:lineRule="auto"/>
        <w:ind w:firstLine="720"/>
        <w:rPr>
          <w:color w:val="000000"/>
          <w:kern w:val="22"/>
          <w:szCs w:val="22"/>
          <w:lang w:val="es-ES"/>
        </w:rPr>
      </w:pPr>
      <w:r w:rsidRPr="001211D7">
        <w:rPr>
          <w:i/>
          <w:color w:val="000000"/>
          <w:kern w:val="22"/>
          <w:lang w:val="es-ES"/>
        </w:rPr>
        <w:t xml:space="preserve">Recordando además </w:t>
      </w:r>
      <w:r w:rsidRPr="001211D7">
        <w:rPr>
          <w:color w:val="000000"/>
          <w:kern w:val="22"/>
          <w:lang w:val="es-ES"/>
        </w:rPr>
        <w:t>la resolución</w:t>
      </w:r>
      <w:r w:rsidR="00DE347C" w:rsidRPr="001211D7">
        <w:rPr>
          <w:color w:val="000000"/>
          <w:kern w:val="22"/>
          <w:szCs w:val="22"/>
          <w:lang w:val="es-ES"/>
        </w:rPr>
        <w:t xml:space="preserve"> </w:t>
      </w:r>
      <w:hyperlink r:id="rId24" w:history="1">
        <w:r w:rsidR="00DE347C" w:rsidRPr="001211D7">
          <w:rPr>
            <w:rStyle w:val="Hipervnculo"/>
            <w:kern w:val="22"/>
            <w:sz w:val="22"/>
            <w:szCs w:val="22"/>
            <w:lang w:val="es-ES"/>
          </w:rPr>
          <w:t>2/18</w:t>
        </w:r>
      </w:hyperlink>
      <w:r w:rsidR="00DE347C" w:rsidRPr="001211D7">
        <w:rPr>
          <w:i/>
          <w:color w:val="000000"/>
          <w:kern w:val="22"/>
          <w:szCs w:val="22"/>
          <w:lang w:val="es-ES"/>
        </w:rPr>
        <w:t xml:space="preserve"> </w:t>
      </w:r>
      <w:r w:rsidRPr="004B1325">
        <w:rPr>
          <w:color w:val="000000"/>
          <w:kern w:val="22"/>
          <w:lang w:val="es-ES"/>
        </w:rPr>
        <w:t xml:space="preserve">de la </w:t>
      </w:r>
      <w:r>
        <w:rPr>
          <w:color w:val="000000"/>
          <w:kern w:val="22"/>
          <w:lang w:val="es-ES"/>
        </w:rPr>
        <w:t>Asamblea de las Naciones Unidas sobre el Medio Ambiente acerca de la relación entre el Programa de las Naciones Unidas para el Medio Ambiente y los acuerdos ambientales multilaterales a los que presta servicios de secretaría</w:t>
      </w:r>
      <w:r w:rsidR="00DE347C" w:rsidRPr="001211D7">
        <w:rPr>
          <w:color w:val="000000"/>
          <w:kern w:val="22"/>
          <w:szCs w:val="22"/>
          <w:lang w:val="es-ES"/>
        </w:rPr>
        <w:t>,</w:t>
      </w:r>
    </w:p>
    <w:p w:rsidR="00DE347C" w:rsidRPr="001211D7" w:rsidRDefault="00DE347C" w:rsidP="000C6220">
      <w:pPr>
        <w:shd w:val="clear" w:color="auto" w:fill="FFFFFF" w:themeFill="background1"/>
        <w:spacing w:before="120" w:line="240" w:lineRule="auto"/>
        <w:ind w:firstLine="720"/>
        <w:rPr>
          <w:iCs/>
          <w:kern w:val="22"/>
          <w:szCs w:val="22"/>
          <w:lang w:val="es-ES" w:eastAsia="ko-KR"/>
        </w:rPr>
      </w:pPr>
      <w:r w:rsidRPr="001211D7">
        <w:rPr>
          <w:iCs/>
          <w:kern w:val="22"/>
          <w:szCs w:val="22"/>
          <w:lang w:val="es-ES"/>
        </w:rPr>
        <w:t>1.</w:t>
      </w:r>
      <w:r w:rsidRPr="001211D7">
        <w:rPr>
          <w:iCs/>
          <w:kern w:val="22"/>
          <w:szCs w:val="22"/>
          <w:lang w:val="es-ES" w:eastAsia="ko-KR"/>
        </w:rPr>
        <w:tab/>
      </w:r>
      <w:r w:rsidR="001211D7" w:rsidRPr="00BA04BA">
        <w:rPr>
          <w:i/>
          <w:iCs/>
          <w:kern w:val="22"/>
          <w:lang w:val="es-ES" w:eastAsia="ko-KR"/>
        </w:rPr>
        <w:t xml:space="preserve">Decide </w:t>
      </w:r>
      <w:r w:rsidR="001211D7" w:rsidRPr="00BA04BA">
        <w:rPr>
          <w:kern w:val="22"/>
          <w:lang w:val="es-ES"/>
        </w:rPr>
        <w:t xml:space="preserve">adoptar un programa de trabajo y presupuesto integrado para </w:t>
      </w:r>
      <w:r w:rsidR="001211D7">
        <w:rPr>
          <w:kern w:val="22"/>
          <w:lang w:val="es-ES"/>
        </w:rPr>
        <w:t>el Convenio sobre la Diversidad Biológica, el Protocolo de Cartagena sobre Seguridad de la Biotecnología y el Protocolo de Nagoya sobre Acceso y Participación en los Beneficios</w:t>
      </w:r>
      <w:r w:rsidRPr="001211D7">
        <w:rPr>
          <w:iCs/>
          <w:kern w:val="22"/>
          <w:szCs w:val="22"/>
          <w:lang w:val="es-ES" w:eastAsia="ko-KR"/>
        </w:rPr>
        <w:t>;</w:t>
      </w:r>
    </w:p>
    <w:p w:rsidR="00DE347C" w:rsidRPr="001211D7" w:rsidRDefault="00DE347C" w:rsidP="000C6220">
      <w:pPr>
        <w:shd w:val="clear" w:color="auto" w:fill="FFFFFF" w:themeFill="background1"/>
        <w:spacing w:before="120" w:line="240" w:lineRule="auto"/>
        <w:ind w:firstLine="720"/>
        <w:rPr>
          <w:kern w:val="22"/>
          <w:szCs w:val="22"/>
          <w:lang w:val="es-ES"/>
        </w:rPr>
      </w:pPr>
      <w:r w:rsidRPr="001211D7">
        <w:rPr>
          <w:iCs/>
          <w:kern w:val="22"/>
          <w:szCs w:val="22"/>
          <w:lang w:val="es-ES"/>
        </w:rPr>
        <w:t>2.</w:t>
      </w:r>
      <w:r w:rsidRPr="001211D7">
        <w:rPr>
          <w:b/>
          <w:bCs/>
          <w:i/>
          <w:iCs/>
          <w:kern w:val="22"/>
          <w:szCs w:val="22"/>
          <w:lang w:val="es-ES" w:eastAsia="ko-KR"/>
        </w:rPr>
        <w:tab/>
      </w:r>
      <w:r w:rsidR="001211D7">
        <w:rPr>
          <w:i/>
          <w:kern w:val="22"/>
          <w:lang w:val="es-ES"/>
        </w:rPr>
        <w:t>Decide también</w:t>
      </w:r>
      <w:r w:rsidR="001211D7">
        <w:rPr>
          <w:kern w:val="22"/>
          <w:lang w:val="es-ES"/>
        </w:rPr>
        <w:t xml:space="preserve"> distribuir todos los gastos de los servicios de secretaría entre el Convenio, el Protocolo de Cartagena y el Protocolo de Nagoya a razón de 74%, 15% y 11% para el bienio 2019-2020</w:t>
      </w:r>
      <w:r w:rsidRPr="001211D7">
        <w:rPr>
          <w:iCs/>
          <w:kern w:val="22"/>
          <w:szCs w:val="22"/>
          <w:lang w:val="es-ES"/>
        </w:rPr>
        <w:t>;</w:t>
      </w:r>
    </w:p>
    <w:p w:rsidR="00DE347C" w:rsidRPr="001211D7" w:rsidRDefault="00DE347C" w:rsidP="000C6220">
      <w:pPr>
        <w:shd w:val="clear" w:color="auto" w:fill="FFFFFF" w:themeFill="background1"/>
        <w:spacing w:before="120" w:line="240" w:lineRule="auto"/>
        <w:ind w:firstLine="720"/>
        <w:rPr>
          <w:iCs/>
          <w:kern w:val="22"/>
          <w:szCs w:val="22"/>
          <w:lang w:val="es-ES"/>
        </w:rPr>
      </w:pPr>
      <w:r w:rsidRPr="001211D7">
        <w:rPr>
          <w:iCs/>
          <w:kern w:val="22"/>
          <w:szCs w:val="22"/>
          <w:lang w:val="es-ES"/>
        </w:rPr>
        <w:t>3.</w:t>
      </w:r>
      <w:r w:rsidRPr="001211D7">
        <w:rPr>
          <w:iCs/>
          <w:kern w:val="22"/>
          <w:szCs w:val="22"/>
          <w:lang w:val="es-ES"/>
        </w:rPr>
        <w:tab/>
      </w:r>
      <w:r w:rsidR="001211D7" w:rsidRPr="00421B0E">
        <w:rPr>
          <w:i/>
          <w:kern w:val="22"/>
          <w:lang w:val="es-ES"/>
        </w:rPr>
        <w:t>Aprueba</w:t>
      </w:r>
      <w:r w:rsidR="001211D7" w:rsidRPr="00421B0E">
        <w:rPr>
          <w:kern w:val="22"/>
          <w:lang w:val="es-ES"/>
        </w:rPr>
        <w:t xml:space="preserve"> un presupuesto básico por programas (BB) para el Protocolo de </w:t>
      </w:r>
      <w:r w:rsidR="001211D7" w:rsidRPr="00421B0E">
        <w:rPr>
          <w:iCs/>
          <w:kern w:val="22"/>
          <w:lang w:val="es-ES"/>
        </w:rPr>
        <w:t xml:space="preserve">Nagoya sobre Acceso y Participación en los Beneficios de 2.084.400 dólares de los Estados Unidos para el año 2019 y de 2.188.500 </w:t>
      </w:r>
      <w:r w:rsidR="001211D7">
        <w:rPr>
          <w:kern w:val="22"/>
          <w:lang w:val="es-ES"/>
        </w:rPr>
        <w:t xml:space="preserve">dólares de los Estados Unidos para el año </w:t>
      </w:r>
      <w:r w:rsidR="001211D7" w:rsidRPr="00421B0E">
        <w:rPr>
          <w:iCs/>
          <w:kern w:val="22"/>
          <w:lang w:val="es-ES"/>
        </w:rPr>
        <w:t xml:space="preserve">2020, </w:t>
      </w:r>
      <w:r w:rsidR="001211D7">
        <w:rPr>
          <w:kern w:val="22"/>
          <w:lang w:val="es-ES"/>
        </w:rPr>
        <w:t xml:space="preserve">lo que representa el </w:t>
      </w:r>
      <w:r w:rsidR="001211D7" w:rsidRPr="00421B0E">
        <w:rPr>
          <w:iCs/>
          <w:kern w:val="22"/>
          <w:lang w:val="es-ES"/>
        </w:rPr>
        <w:t>11</w:t>
      </w:r>
      <w:r w:rsidR="001211D7">
        <w:rPr>
          <w:iCs/>
          <w:kern w:val="22"/>
          <w:lang w:val="es-ES"/>
        </w:rPr>
        <w:t xml:space="preserve">% del </w:t>
      </w:r>
      <w:r w:rsidR="001211D7">
        <w:rPr>
          <w:kern w:val="22"/>
          <w:lang w:val="es-ES"/>
        </w:rPr>
        <w:t xml:space="preserve">presupuesto integrado de </w:t>
      </w:r>
      <w:r w:rsidR="001211D7" w:rsidRPr="00421B0E">
        <w:rPr>
          <w:iCs/>
          <w:kern w:val="22"/>
          <w:lang w:val="es-ES"/>
        </w:rPr>
        <w:t>18</w:t>
      </w:r>
      <w:r w:rsidR="001211D7">
        <w:rPr>
          <w:iCs/>
          <w:kern w:val="22"/>
          <w:lang w:val="es-ES"/>
        </w:rPr>
        <w:t>.</w:t>
      </w:r>
      <w:r w:rsidR="001211D7" w:rsidRPr="00421B0E">
        <w:rPr>
          <w:iCs/>
          <w:kern w:val="22"/>
          <w:lang w:val="es-ES"/>
        </w:rPr>
        <w:t>948</w:t>
      </w:r>
      <w:r w:rsidR="001211D7">
        <w:rPr>
          <w:iCs/>
          <w:kern w:val="22"/>
          <w:lang w:val="es-ES"/>
        </w:rPr>
        <w:t>.</w:t>
      </w:r>
      <w:r w:rsidR="001211D7" w:rsidRPr="00421B0E">
        <w:rPr>
          <w:iCs/>
          <w:kern w:val="22"/>
          <w:lang w:val="es-ES"/>
        </w:rPr>
        <w:t xml:space="preserve">900 </w:t>
      </w:r>
      <w:r w:rsidR="001211D7">
        <w:rPr>
          <w:iCs/>
          <w:kern w:val="22"/>
          <w:lang w:val="es-ES"/>
        </w:rPr>
        <w:t xml:space="preserve">dólares </w:t>
      </w:r>
      <w:r w:rsidR="001211D7">
        <w:rPr>
          <w:kern w:val="22"/>
          <w:lang w:val="es-ES"/>
        </w:rPr>
        <w:t xml:space="preserve">de los Estados Unidos correspondiente al año </w:t>
      </w:r>
      <w:r w:rsidR="001211D7" w:rsidRPr="00421B0E">
        <w:rPr>
          <w:iCs/>
          <w:kern w:val="22"/>
          <w:lang w:val="es-ES"/>
        </w:rPr>
        <w:t xml:space="preserve">2019 </w:t>
      </w:r>
      <w:r w:rsidR="001211D7">
        <w:rPr>
          <w:iCs/>
          <w:kern w:val="22"/>
          <w:lang w:val="es-ES"/>
        </w:rPr>
        <w:t>y</w:t>
      </w:r>
      <w:r w:rsidR="001211D7" w:rsidRPr="00421B0E">
        <w:rPr>
          <w:iCs/>
          <w:kern w:val="22"/>
          <w:lang w:val="es-ES"/>
        </w:rPr>
        <w:t xml:space="preserve"> 19</w:t>
      </w:r>
      <w:r w:rsidR="001211D7">
        <w:rPr>
          <w:iCs/>
          <w:kern w:val="22"/>
          <w:lang w:val="es-ES"/>
        </w:rPr>
        <w:t>.</w:t>
      </w:r>
      <w:r w:rsidR="001211D7" w:rsidRPr="00421B0E">
        <w:rPr>
          <w:iCs/>
          <w:kern w:val="22"/>
          <w:lang w:val="es-ES"/>
        </w:rPr>
        <w:t>895</w:t>
      </w:r>
      <w:r w:rsidR="001211D7">
        <w:rPr>
          <w:iCs/>
          <w:kern w:val="22"/>
          <w:lang w:val="es-ES"/>
        </w:rPr>
        <w:t>.</w:t>
      </w:r>
      <w:r w:rsidR="001211D7" w:rsidRPr="00421B0E">
        <w:rPr>
          <w:iCs/>
          <w:kern w:val="22"/>
          <w:lang w:val="es-ES"/>
        </w:rPr>
        <w:t xml:space="preserve">200 </w:t>
      </w:r>
      <w:r w:rsidR="001211D7">
        <w:rPr>
          <w:iCs/>
          <w:kern w:val="22"/>
          <w:lang w:val="es-ES"/>
        </w:rPr>
        <w:t xml:space="preserve">dólares </w:t>
      </w:r>
      <w:r w:rsidR="001211D7">
        <w:rPr>
          <w:kern w:val="22"/>
          <w:lang w:val="es-ES"/>
        </w:rPr>
        <w:t xml:space="preserve">de los Estados Unidos correspondiente al año </w:t>
      </w:r>
      <w:r w:rsidR="001211D7" w:rsidRPr="00421B0E">
        <w:rPr>
          <w:iCs/>
          <w:kern w:val="22"/>
          <w:lang w:val="es-ES"/>
        </w:rPr>
        <w:t xml:space="preserve">2020 </w:t>
      </w:r>
      <w:r w:rsidR="001211D7">
        <w:rPr>
          <w:iCs/>
          <w:kern w:val="22"/>
          <w:lang w:val="es-ES"/>
        </w:rPr>
        <w:t>para el Convenio y los Protocolos</w:t>
      </w:r>
      <w:r w:rsidR="001211D7" w:rsidRPr="00421B0E">
        <w:rPr>
          <w:iCs/>
          <w:kern w:val="22"/>
          <w:lang w:val="es-ES"/>
        </w:rPr>
        <w:t xml:space="preserve">, </w:t>
      </w:r>
      <w:r w:rsidR="001211D7">
        <w:rPr>
          <w:kern w:val="22"/>
          <w:lang w:val="es-ES"/>
        </w:rPr>
        <w:t xml:space="preserve">para los fines indicados en los cuadros </w:t>
      </w:r>
      <w:r w:rsidR="001211D7">
        <w:rPr>
          <w:iCs/>
          <w:kern w:val="22"/>
          <w:lang w:val="es-ES"/>
        </w:rPr>
        <w:t xml:space="preserve">1a y </w:t>
      </w:r>
      <w:r w:rsidR="001211D7" w:rsidRPr="00421B0E">
        <w:rPr>
          <w:iCs/>
          <w:kern w:val="22"/>
          <w:lang w:val="es-ES"/>
        </w:rPr>
        <w:t xml:space="preserve">1b </w:t>
      </w:r>
      <w:r w:rsidR="001211D7">
        <w:rPr>
          <w:iCs/>
          <w:kern w:val="22"/>
          <w:lang w:val="es-ES"/>
        </w:rPr>
        <w:t>a continuación</w:t>
      </w:r>
      <w:r w:rsidRPr="001211D7">
        <w:rPr>
          <w:iCs/>
          <w:kern w:val="22"/>
          <w:szCs w:val="22"/>
          <w:lang w:val="es-ES"/>
        </w:rPr>
        <w:t>;</w:t>
      </w:r>
    </w:p>
    <w:p w:rsidR="00DE347C" w:rsidRPr="001211D7" w:rsidRDefault="00DE347C" w:rsidP="000C6220">
      <w:pPr>
        <w:shd w:val="clear" w:color="auto" w:fill="FFFFFF" w:themeFill="background1"/>
        <w:spacing w:before="120" w:line="240" w:lineRule="auto"/>
        <w:ind w:firstLine="720"/>
        <w:rPr>
          <w:iCs/>
          <w:kern w:val="22"/>
          <w:szCs w:val="22"/>
          <w:lang w:val="es-ES"/>
        </w:rPr>
      </w:pPr>
      <w:r w:rsidRPr="001211D7">
        <w:rPr>
          <w:iCs/>
          <w:kern w:val="22"/>
          <w:szCs w:val="22"/>
          <w:lang w:val="es-ES"/>
        </w:rPr>
        <w:t>4.</w:t>
      </w:r>
      <w:r w:rsidRPr="001211D7">
        <w:rPr>
          <w:iCs/>
          <w:kern w:val="22"/>
          <w:szCs w:val="22"/>
          <w:lang w:val="es-ES"/>
        </w:rPr>
        <w:tab/>
      </w:r>
      <w:r w:rsidR="001211D7">
        <w:rPr>
          <w:i/>
          <w:kern w:val="22"/>
          <w:lang w:val="es-ES"/>
        </w:rPr>
        <w:t>Adopta</w:t>
      </w:r>
      <w:r w:rsidR="001211D7">
        <w:rPr>
          <w:kern w:val="22"/>
          <w:lang w:val="es-ES"/>
        </w:rPr>
        <w:t xml:space="preserve"> la escala de cuotas para el prorrateo de los gastos para 2019 y 2020 que figura en el cuadro 2 a continuació</w:t>
      </w:r>
      <w:r w:rsidR="001211D7" w:rsidRPr="00D21E29">
        <w:rPr>
          <w:kern w:val="22"/>
          <w:lang w:val="es-ES"/>
        </w:rPr>
        <w:t>n</w:t>
      </w:r>
      <w:r w:rsidRPr="00EE0850">
        <w:rPr>
          <w:rStyle w:val="Refdenotaalpie"/>
          <w:iCs/>
          <w:kern w:val="22"/>
          <w:sz w:val="22"/>
          <w:szCs w:val="22"/>
          <w:u w:val="none"/>
          <w:vertAlign w:val="superscript"/>
        </w:rPr>
        <w:footnoteReference w:id="27"/>
      </w:r>
      <w:r w:rsidR="001211D7" w:rsidRPr="001211D7">
        <w:rPr>
          <w:iCs/>
          <w:kern w:val="22"/>
          <w:szCs w:val="22"/>
          <w:lang w:val="es-ES"/>
        </w:rPr>
        <w:t>;</w:t>
      </w:r>
    </w:p>
    <w:p w:rsidR="00DE347C" w:rsidRPr="001211D7" w:rsidRDefault="00DE347C" w:rsidP="000C6220">
      <w:pPr>
        <w:shd w:val="clear" w:color="auto" w:fill="FFFFFF" w:themeFill="background1"/>
        <w:spacing w:before="120" w:line="240" w:lineRule="auto"/>
        <w:ind w:firstLine="720"/>
        <w:rPr>
          <w:iCs/>
          <w:kern w:val="22"/>
          <w:szCs w:val="22"/>
          <w:lang w:val="es-ES"/>
        </w:rPr>
      </w:pPr>
      <w:r w:rsidRPr="001211D7">
        <w:rPr>
          <w:iCs/>
          <w:kern w:val="22"/>
          <w:szCs w:val="22"/>
          <w:lang w:val="es-ES"/>
        </w:rPr>
        <w:t>5.</w:t>
      </w:r>
      <w:r w:rsidRPr="001211D7">
        <w:rPr>
          <w:iCs/>
          <w:kern w:val="22"/>
          <w:szCs w:val="22"/>
          <w:lang w:val="es-ES"/>
        </w:rPr>
        <w:tab/>
      </w:r>
      <w:r w:rsidR="001211D7" w:rsidRPr="00421B0E">
        <w:rPr>
          <w:i/>
          <w:iCs/>
          <w:kern w:val="22"/>
          <w:lang w:val="es-ES"/>
        </w:rPr>
        <w:t>Autoriza</w:t>
      </w:r>
      <w:r w:rsidR="001211D7" w:rsidRPr="00421B0E">
        <w:rPr>
          <w:iCs/>
          <w:kern w:val="22"/>
          <w:lang w:val="es-ES"/>
        </w:rPr>
        <w:t xml:space="preserve"> a la Secretaria Ejecutiva, con carácter excepcional, a modificar la escala de cuotas para 2019 </w:t>
      </w:r>
      <w:r w:rsidR="001211D7">
        <w:rPr>
          <w:iCs/>
          <w:kern w:val="22"/>
          <w:lang w:val="es-ES"/>
        </w:rPr>
        <w:t>con el fin de incluir a todas las Partes para las cuales el Protocolo de Nagoya entra en vigor el 31 de diciembre de 2018 o antes</w:t>
      </w:r>
      <w:r w:rsidRPr="001211D7">
        <w:rPr>
          <w:iCs/>
          <w:kern w:val="22"/>
          <w:szCs w:val="22"/>
          <w:lang w:val="es-ES"/>
        </w:rPr>
        <w:t>;</w:t>
      </w:r>
    </w:p>
    <w:p w:rsidR="00DE347C" w:rsidRPr="001211D7" w:rsidRDefault="00DE347C" w:rsidP="000C6220">
      <w:pPr>
        <w:shd w:val="clear" w:color="auto" w:fill="FFFFFF" w:themeFill="background1"/>
        <w:spacing w:before="120" w:line="240" w:lineRule="auto"/>
        <w:ind w:firstLine="720"/>
        <w:rPr>
          <w:iCs/>
          <w:snapToGrid w:val="0"/>
          <w:kern w:val="22"/>
          <w:szCs w:val="22"/>
          <w:lang w:val="es-ES"/>
        </w:rPr>
      </w:pPr>
      <w:r w:rsidRPr="001211D7">
        <w:rPr>
          <w:iCs/>
          <w:snapToGrid w:val="0"/>
          <w:kern w:val="22"/>
          <w:szCs w:val="22"/>
          <w:lang w:val="es-ES"/>
        </w:rPr>
        <w:t>6.</w:t>
      </w:r>
      <w:r w:rsidRPr="001211D7">
        <w:rPr>
          <w:iCs/>
          <w:snapToGrid w:val="0"/>
          <w:kern w:val="22"/>
          <w:szCs w:val="22"/>
          <w:lang w:val="es-ES"/>
        </w:rPr>
        <w:tab/>
      </w:r>
      <w:r w:rsidR="001211D7" w:rsidRPr="008C16B8">
        <w:rPr>
          <w:i/>
          <w:kern w:val="22"/>
          <w:lang w:val="es-ES"/>
        </w:rPr>
        <w:t>Reconoce</w:t>
      </w:r>
      <w:r w:rsidR="001211D7" w:rsidRPr="008C16B8">
        <w:rPr>
          <w:kern w:val="22"/>
          <w:lang w:val="es-ES"/>
        </w:rPr>
        <w:t xml:space="preserve"> las estimaciones de financiación para las Contribuciones Voluntarias Adicionales en apoyo a Actividades Aprobadas del Protocolo de </w:t>
      </w:r>
      <w:r w:rsidR="001211D7" w:rsidRPr="008C16B8">
        <w:rPr>
          <w:iCs/>
          <w:kern w:val="22"/>
          <w:lang w:val="es-ES"/>
        </w:rPr>
        <w:t>Nagoya sobre Acceso y Participaci</w:t>
      </w:r>
      <w:r w:rsidR="001211D7">
        <w:rPr>
          <w:iCs/>
          <w:kern w:val="22"/>
          <w:lang w:val="es-ES"/>
        </w:rPr>
        <w:t xml:space="preserve">ón en los Beneficios para el </w:t>
      </w:r>
      <w:r w:rsidR="001211D7" w:rsidRPr="00D21E29">
        <w:rPr>
          <w:kern w:val="22"/>
          <w:lang w:val="es-ES"/>
        </w:rPr>
        <w:t>período 2019-202</w:t>
      </w:r>
      <w:r w:rsidR="001211D7">
        <w:rPr>
          <w:kern w:val="22"/>
          <w:lang w:val="es-ES"/>
        </w:rPr>
        <w:t>0</w:t>
      </w:r>
      <w:r w:rsidR="001211D7" w:rsidRPr="00D21E29">
        <w:rPr>
          <w:kern w:val="22"/>
          <w:lang w:val="es-ES"/>
        </w:rPr>
        <w:t xml:space="preserve"> incluidas en el cuadro 3 de la decisión 14/37 de la Conferencia de las Partes</w:t>
      </w:r>
      <w:r w:rsidRPr="001211D7">
        <w:rPr>
          <w:iCs/>
          <w:kern w:val="22"/>
          <w:szCs w:val="22"/>
          <w:lang w:val="es-ES"/>
        </w:rPr>
        <w:t>;</w:t>
      </w:r>
    </w:p>
    <w:p w:rsidR="00DE347C" w:rsidRPr="001211D7" w:rsidRDefault="00DE347C" w:rsidP="000C6220">
      <w:pPr>
        <w:shd w:val="clear" w:color="auto" w:fill="FFFFFF" w:themeFill="background1"/>
        <w:spacing w:before="120" w:line="240" w:lineRule="auto"/>
        <w:ind w:firstLine="720"/>
        <w:rPr>
          <w:kern w:val="22"/>
          <w:lang w:val="es-ES"/>
        </w:rPr>
      </w:pPr>
      <w:r w:rsidRPr="001211D7">
        <w:rPr>
          <w:iCs/>
          <w:kern w:val="22"/>
          <w:szCs w:val="22"/>
          <w:lang w:val="es-ES"/>
        </w:rPr>
        <w:t>7.</w:t>
      </w:r>
      <w:r w:rsidRPr="001211D7">
        <w:rPr>
          <w:iCs/>
          <w:kern w:val="22"/>
          <w:szCs w:val="22"/>
          <w:lang w:val="es-ES"/>
        </w:rPr>
        <w:tab/>
      </w:r>
      <w:r w:rsidR="001211D7" w:rsidRPr="00D21E29">
        <w:rPr>
          <w:i/>
          <w:kern w:val="22"/>
          <w:lang w:val="es-ES"/>
        </w:rPr>
        <w:t>Decide</w:t>
      </w:r>
      <w:r w:rsidR="001211D7" w:rsidRPr="00D21E29">
        <w:rPr>
          <w:kern w:val="22"/>
          <w:lang w:val="es-ES"/>
        </w:rPr>
        <w:t xml:space="preserve"> aplicar, </w:t>
      </w:r>
      <w:r w:rsidR="001211D7" w:rsidRPr="00D21E29">
        <w:rPr>
          <w:i/>
          <w:kern w:val="22"/>
          <w:lang w:val="es-ES"/>
        </w:rPr>
        <w:t>mutatis mutandis</w:t>
      </w:r>
      <w:r w:rsidR="001211D7" w:rsidRPr="00D21E29">
        <w:rPr>
          <w:kern w:val="22"/>
          <w:lang w:val="es-ES"/>
        </w:rPr>
        <w:t>, los párrafos 3 a 5 y 7 a 50 de la decisión 14/37 de la Conferencia de las Partes</w:t>
      </w:r>
      <w:r w:rsidRPr="001211D7">
        <w:rPr>
          <w:iCs/>
          <w:snapToGrid w:val="0"/>
          <w:kern w:val="22"/>
          <w:szCs w:val="22"/>
          <w:lang w:val="es-ES"/>
        </w:rPr>
        <w:t>.</w:t>
      </w:r>
    </w:p>
    <w:p w:rsidR="00DE347C" w:rsidRPr="001211D7" w:rsidRDefault="00DE347C" w:rsidP="000C6220">
      <w:pPr>
        <w:spacing w:before="120" w:line="240" w:lineRule="auto"/>
        <w:jc w:val="left"/>
        <w:rPr>
          <w:kern w:val="22"/>
          <w:lang w:val="es-ES"/>
        </w:rPr>
      </w:pPr>
      <w:r w:rsidRPr="001211D7">
        <w:rPr>
          <w:kern w:val="22"/>
          <w:lang w:val="es-ES"/>
        </w:rPr>
        <w:br w:type="page"/>
      </w:r>
    </w:p>
    <w:p w:rsidR="00DE347C" w:rsidRPr="00C06F4E" w:rsidRDefault="00C06F4E" w:rsidP="00C06F4E">
      <w:pPr>
        <w:keepNext/>
        <w:spacing w:before="120" w:line="240" w:lineRule="auto"/>
        <w:ind w:left="1440" w:hanging="1440"/>
        <w:rPr>
          <w:b/>
          <w:bCs/>
          <w:snapToGrid w:val="0"/>
          <w:kern w:val="22"/>
          <w:lang w:val="es-ES"/>
        </w:rPr>
      </w:pPr>
      <w:r w:rsidRPr="00C06F4E">
        <w:rPr>
          <w:b/>
          <w:bCs/>
          <w:snapToGrid w:val="0"/>
          <w:kern w:val="22"/>
          <w:lang w:val="es-ES"/>
        </w:rPr>
        <w:lastRenderedPageBreak/>
        <w:t>Cuadro</w:t>
      </w:r>
      <w:r w:rsidR="00DE347C" w:rsidRPr="00C06F4E">
        <w:rPr>
          <w:b/>
          <w:bCs/>
          <w:snapToGrid w:val="0"/>
          <w:kern w:val="22"/>
          <w:lang w:val="es-ES"/>
        </w:rPr>
        <w:t xml:space="preserve"> 1a.</w:t>
      </w:r>
      <w:r w:rsidR="00DE347C" w:rsidRPr="00C06F4E">
        <w:rPr>
          <w:b/>
          <w:bCs/>
          <w:snapToGrid w:val="0"/>
          <w:kern w:val="22"/>
          <w:lang w:val="es-ES"/>
        </w:rPr>
        <w:tab/>
      </w:r>
      <w:r w:rsidRPr="00C51CFF">
        <w:rPr>
          <w:b/>
          <w:bCs/>
          <w:snapToGrid w:val="0"/>
          <w:kern w:val="22"/>
          <w:lang w:val="es-ES"/>
        </w:rPr>
        <w:t>Presupuesto bienal integrado para los Fondos Fiduciarios del Convenio</w:t>
      </w:r>
      <w:r>
        <w:rPr>
          <w:b/>
          <w:bCs/>
          <w:snapToGrid w:val="0"/>
          <w:kern w:val="22"/>
          <w:lang w:val="es-ES"/>
        </w:rPr>
        <w:t xml:space="preserve"> sobre la Diversidad Biológica y sus Protocolos,</w:t>
      </w:r>
      <w:r w:rsidRPr="00C51CFF">
        <w:rPr>
          <w:b/>
          <w:bCs/>
          <w:snapToGrid w:val="0"/>
          <w:kern w:val="22"/>
          <w:lang w:val="es-ES"/>
        </w:rPr>
        <w:t xml:space="preserve"> 2019-2020</w:t>
      </w:r>
    </w:p>
    <w:p w:rsidR="00DE347C" w:rsidRPr="00C06F4E" w:rsidRDefault="00DE347C" w:rsidP="000C6220">
      <w:pPr>
        <w:spacing w:after="0" w:line="240" w:lineRule="auto"/>
        <w:jc w:val="left"/>
        <w:rPr>
          <w:kern w:val="22"/>
          <w:lang w:val="es-ES"/>
        </w:rPr>
      </w:pPr>
    </w:p>
    <w:tbl>
      <w:tblPr>
        <w:tblW w:w="9120" w:type="dxa"/>
        <w:tblInd w:w="93" w:type="dxa"/>
        <w:tblLook w:val="04A0"/>
      </w:tblPr>
      <w:tblGrid>
        <w:gridCol w:w="4520"/>
        <w:gridCol w:w="1360"/>
        <w:gridCol w:w="1600"/>
        <w:gridCol w:w="1640"/>
      </w:tblGrid>
      <w:tr w:rsidR="00C06F4E" w:rsidRPr="00024C71" w:rsidTr="00DE347C">
        <w:trPr>
          <w:trHeight w:val="411"/>
        </w:trPr>
        <w:tc>
          <w:tcPr>
            <w:tcW w:w="4520" w:type="dxa"/>
            <w:vMerge w:val="restart"/>
            <w:tcBorders>
              <w:top w:val="single" w:sz="8" w:space="0" w:color="auto"/>
              <w:left w:val="nil"/>
              <w:bottom w:val="single" w:sz="12" w:space="0" w:color="000000"/>
              <w:right w:val="nil"/>
            </w:tcBorders>
            <w:shd w:val="clear" w:color="auto" w:fill="auto"/>
            <w:vAlign w:val="center"/>
            <w:hideMark/>
          </w:tcPr>
          <w:p w:rsidR="00C06F4E" w:rsidRPr="00C06F4E" w:rsidRDefault="00C06F4E" w:rsidP="000C6220">
            <w:pPr>
              <w:spacing w:after="0" w:line="240" w:lineRule="auto"/>
              <w:jc w:val="left"/>
              <w:rPr>
                <w:i/>
                <w:iCs/>
                <w:color w:val="000000"/>
                <w:kern w:val="22"/>
                <w:sz w:val="15"/>
                <w:szCs w:val="15"/>
                <w:lang w:val="es-ES" w:eastAsia="en-CA"/>
              </w:rPr>
            </w:pPr>
          </w:p>
        </w:tc>
        <w:tc>
          <w:tcPr>
            <w:tcW w:w="1360" w:type="dxa"/>
            <w:vMerge w:val="restart"/>
            <w:tcBorders>
              <w:top w:val="single" w:sz="8" w:space="0" w:color="auto"/>
              <w:left w:val="nil"/>
              <w:bottom w:val="single" w:sz="12" w:space="0" w:color="000000"/>
              <w:right w:val="nil"/>
            </w:tcBorders>
            <w:shd w:val="clear" w:color="auto" w:fill="auto"/>
            <w:vAlign w:val="center"/>
            <w:hideMark/>
          </w:tcPr>
          <w:p w:rsidR="00C06F4E" w:rsidRPr="008B3C5C" w:rsidRDefault="00C06F4E" w:rsidP="00BA4FF3">
            <w:pPr>
              <w:jc w:val="center"/>
              <w:rPr>
                <w:i/>
                <w:iCs/>
                <w:color w:val="000000"/>
                <w:kern w:val="22"/>
                <w:sz w:val="15"/>
                <w:szCs w:val="15"/>
                <w:lang w:val="es-ES" w:eastAsia="en-CA"/>
              </w:rPr>
            </w:pPr>
            <w:r w:rsidRPr="008B3C5C">
              <w:rPr>
                <w:i/>
                <w:iCs/>
                <w:color w:val="000000"/>
                <w:kern w:val="22"/>
                <w:sz w:val="15"/>
                <w:szCs w:val="15"/>
                <w:lang w:val="es-ES" w:eastAsia="en-CA"/>
              </w:rPr>
              <w:t>2019</w:t>
            </w:r>
            <w:r w:rsidRPr="008B3C5C">
              <w:rPr>
                <w:i/>
                <w:iCs/>
                <w:color w:val="000000"/>
                <w:kern w:val="22"/>
                <w:sz w:val="15"/>
                <w:szCs w:val="15"/>
                <w:lang w:val="es-ES" w:eastAsia="en-CA"/>
              </w:rPr>
              <w:br/>
              <w:t>(</w:t>
            </w:r>
            <w:r>
              <w:rPr>
                <w:i/>
                <w:color w:val="000000"/>
                <w:kern w:val="22"/>
                <w:sz w:val="15"/>
                <w:lang w:val="es-ES"/>
              </w:rPr>
              <w:t>En miles de dólares de los Estados Unidos</w:t>
            </w:r>
            <w:r w:rsidRPr="008B3C5C">
              <w:rPr>
                <w:i/>
                <w:iCs/>
                <w:color w:val="000000"/>
                <w:kern w:val="22"/>
                <w:sz w:val="15"/>
                <w:szCs w:val="15"/>
                <w:lang w:val="es-ES" w:eastAsia="en-CA"/>
              </w:rPr>
              <w:t>)</w:t>
            </w:r>
          </w:p>
        </w:tc>
        <w:tc>
          <w:tcPr>
            <w:tcW w:w="1600" w:type="dxa"/>
            <w:vMerge w:val="restart"/>
            <w:tcBorders>
              <w:top w:val="single" w:sz="8" w:space="0" w:color="auto"/>
              <w:left w:val="nil"/>
              <w:bottom w:val="single" w:sz="12" w:space="0" w:color="000000"/>
              <w:right w:val="nil"/>
            </w:tcBorders>
            <w:shd w:val="clear" w:color="auto" w:fill="auto"/>
            <w:vAlign w:val="center"/>
            <w:hideMark/>
          </w:tcPr>
          <w:p w:rsidR="00C06F4E" w:rsidRPr="008B3C5C" w:rsidRDefault="00C06F4E" w:rsidP="00BA4FF3">
            <w:pPr>
              <w:jc w:val="center"/>
              <w:rPr>
                <w:i/>
                <w:iCs/>
                <w:color w:val="000000"/>
                <w:kern w:val="22"/>
                <w:sz w:val="15"/>
                <w:szCs w:val="15"/>
                <w:lang w:val="es-ES" w:eastAsia="en-CA"/>
              </w:rPr>
            </w:pPr>
            <w:r w:rsidRPr="008B3C5C">
              <w:rPr>
                <w:i/>
                <w:iCs/>
                <w:color w:val="000000"/>
                <w:kern w:val="22"/>
                <w:sz w:val="15"/>
                <w:szCs w:val="15"/>
                <w:lang w:val="es-ES" w:eastAsia="en-CA"/>
              </w:rPr>
              <w:t>2020</w:t>
            </w:r>
            <w:r w:rsidRPr="008B3C5C">
              <w:rPr>
                <w:i/>
                <w:iCs/>
                <w:color w:val="000000"/>
                <w:kern w:val="22"/>
                <w:sz w:val="15"/>
                <w:szCs w:val="15"/>
                <w:lang w:val="es-ES" w:eastAsia="en-CA"/>
              </w:rPr>
              <w:br/>
              <w:t>(</w:t>
            </w:r>
            <w:r>
              <w:rPr>
                <w:i/>
                <w:color w:val="000000"/>
                <w:kern w:val="22"/>
                <w:sz w:val="15"/>
                <w:lang w:val="es-ES"/>
              </w:rPr>
              <w:t>En miles de dólares de los Estados Unidos</w:t>
            </w:r>
            <w:r w:rsidRPr="008B3C5C">
              <w:rPr>
                <w:i/>
                <w:iCs/>
                <w:color w:val="000000"/>
                <w:kern w:val="22"/>
                <w:sz w:val="15"/>
                <w:szCs w:val="15"/>
                <w:lang w:val="es-ES" w:eastAsia="en-CA"/>
              </w:rPr>
              <w:t>)</w:t>
            </w:r>
          </w:p>
        </w:tc>
        <w:tc>
          <w:tcPr>
            <w:tcW w:w="1640" w:type="dxa"/>
            <w:vMerge w:val="restart"/>
            <w:tcBorders>
              <w:top w:val="single" w:sz="8" w:space="0" w:color="auto"/>
              <w:left w:val="nil"/>
              <w:bottom w:val="single" w:sz="12" w:space="0" w:color="000000"/>
              <w:right w:val="nil"/>
            </w:tcBorders>
            <w:shd w:val="clear" w:color="auto" w:fill="auto"/>
            <w:vAlign w:val="center"/>
            <w:hideMark/>
          </w:tcPr>
          <w:p w:rsidR="00C06F4E" w:rsidRPr="008B3C5C" w:rsidRDefault="00C06F4E" w:rsidP="00BA4FF3">
            <w:pPr>
              <w:jc w:val="center"/>
              <w:rPr>
                <w:i/>
                <w:iCs/>
                <w:color w:val="000000"/>
                <w:kern w:val="22"/>
                <w:sz w:val="15"/>
                <w:szCs w:val="15"/>
                <w:lang w:val="es-ES" w:eastAsia="en-CA"/>
              </w:rPr>
            </w:pPr>
            <w:r w:rsidRPr="008B3C5C">
              <w:rPr>
                <w:i/>
                <w:iCs/>
                <w:color w:val="000000"/>
                <w:kern w:val="22"/>
                <w:sz w:val="15"/>
                <w:szCs w:val="15"/>
                <w:lang w:val="es-ES" w:eastAsia="en-CA"/>
              </w:rPr>
              <w:t>Total</w:t>
            </w:r>
            <w:r w:rsidRPr="008B3C5C">
              <w:rPr>
                <w:i/>
                <w:iCs/>
                <w:color w:val="000000"/>
                <w:kern w:val="22"/>
                <w:sz w:val="15"/>
                <w:szCs w:val="15"/>
                <w:lang w:val="es-ES" w:eastAsia="en-CA"/>
              </w:rPr>
              <w:br/>
              <w:t>(</w:t>
            </w:r>
            <w:r>
              <w:rPr>
                <w:i/>
                <w:color w:val="000000"/>
                <w:kern w:val="22"/>
                <w:sz w:val="15"/>
                <w:lang w:val="es-ES"/>
              </w:rPr>
              <w:t>En miles de dólares de los Estados Unidos</w:t>
            </w:r>
            <w:r w:rsidRPr="008B3C5C">
              <w:rPr>
                <w:i/>
                <w:iCs/>
                <w:color w:val="000000"/>
                <w:kern w:val="22"/>
                <w:sz w:val="15"/>
                <w:szCs w:val="15"/>
                <w:lang w:val="es-ES" w:eastAsia="en-CA"/>
              </w:rPr>
              <w:t>)</w:t>
            </w:r>
          </w:p>
        </w:tc>
      </w:tr>
      <w:tr w:rsidR="00AB0DE7" w:rsidRPr="00024C71" w:rsidTr="00DE347C">
        <w:trPr>
          <w:trHeight w:val="411"/>
        </w:trPr>
        <w:tc>
          <w:tcPr>
            <w:tcW w:w="4520" w:type="dxa"/>
            <w:vMerge/>
            <w:tcBorders>
              <w:top w:val="single" w:sz="8" w:space="0" w:color="auto"/>
              <w:left w:val="nil"/>
              <w:bottom w:val="single" w:sz="12" w:space="0" w:color="000000"/>
              <w:right w:val="nil"/>
            </w:tcBorders>
            <w:vAlign w:val="center"/>
            <w:hideMark/>
          </w:tcPr>
          <w:p w:rsidR="00DE347C" w:rsidRPr="00C06F4E" w:rsidRDefault="00DE347C" w:rsidP="000C6220">
            <w:pPr>
              <w:spacing w:after="0" w:line="240" w:lineRule="auto"/>
              <w:jc w:val="left"/>
              <w:rPr>
                <w:i/>
                <w:iCs/>
                <w:color w:val="000000"/>
                <w:kern w:val="22"/>
                <w:sz w:val="15"/>
                <w:szCs w:val="15"/>
                <w:lang w:val="es-ES" w:eastAsia="en-CA"/>
              </w:rPr>
            </w:pPr>
          </w:p>
        </w:tc>
        <w:tc>
          <w:tcPr>
            <w:tcW w:w="1360" w:type="dxa"/>
            <w:vMerge/>
            <w:tcBorders>
              <w:top w:val="single" w:sz="8" w:space="0" w:color="auto"/>
              <w:left w:val="nil"/>
              <w:bottom w:val="single" w:sz="12" w:space="0" w:color="000000"/>
              <w:right w:val="nil"/>
            </w:tcBorders>
            <w:vAlign w:val="center"/>
            <w:hideMark/>
          </w:tcPr>
          <w:p w:rsidR="00DE347C" w:rsidRPr="00C06F4E" w:rsidRDefault="00DE347C" w:rsidP="000C6220">
            <w:pPr>
              <w:spacing w:after="0" w:line="240" w:lineRule="auto"/>
              <w:jc w:val="left"/>
              <w:rPr>
                <w:i/>
                <w:iCs/>
                <w:color w:val="000000"/>
                <w:kern w:val="22"/>
                <w:sz w:val="15"/>
                <w:szCs w:val="15"/>
                <w:lang w:val="es-ES" w:eastAsia="en-CA"/>
              </w:rPr>
            </w:pPr>
          </w:p>
        </w:tc>
        <w:tc>
          <w:tcPr>
            <w:tcW w:w="1600" w:type="dxa"/>
            <w:vMerge/>
            <w:tcBorders>
              <w:top w:val="single" w:sz="8" w:space="0" w:color="auto"/>
              <w:left w:val="nil"/>
              <w:bottom w:val="single" w:sz="12" w:space="0" w:color="000000"/>
              <w:right w:val="nil"/>
            </w:tcBorders>
            <w:vAlign w:val="center"/>
            <w:hideMark/>
          </w:tcPr>
          <w:p w:rsidR="00DE347C" w:rsidRPr="00C06F4E" w:rsidRDefault="00DE347C" w:rsidP="000C6220">
            <w:pPr>
              <w:spacing w:after="0" w:line="240" w:lineRule="auto"/>
              <w:jc w:val="left"/>
              <w:rPr>
                <w:i/>
                <w:iCs/>
                <w:color w:val="000000"/>
                <w:kern w:val="22"/>
                <w:sz w:val="15"/>
                <w:szCs w:val="15"/>
                <w:lang w:val="es-ES" w:eastAsia="en-CA"/>
              </w:rPr>
            </w:pPr>
          </w:p>
        </w:tc>
        <w:tc>
          <w:tcPr>
            <w:tcW w:w="1640" w:type="dxa"/>
            <w:vMerge/>
            <w:tcBorders>
              <w:top w:val="single" w:sz="8" w:space="0" w:color="auto"/>
              <w:left w:val="nil"/>
              <w:bottom w:val="single" w:sz="12" w:space="0" w:color="000000"/>
              <w:right w:val="nil"/>
            </w:tcBorders>
            <w:vAlign w:val="center"/>
            <w:hideMark/>
          </w:tcPr>
          <w:p w:rsidR="00DE347C" w:rsidRPr="00C06F4E" w:rsidRDefault="00DE347C" w:rsidP="000C6220">
            <w:pPr>
              <w:spacing w:after="0" w:line="240" w:lineRule="auto"/>
              <w:jc w:val="left"/>
              <w:rPr>
                <w:i/>
                <w:iCs/>
                <w:color w:val="000000"/>
                <w:kern w:val="22"/>
                <w:sz w:val="15"/>
                <w:szCs w:val="15"/>
                <w:lang w:val="es-ES" w:eastAsia="en-CA"/>
              </w:rPr>
            </w:pPr>
          </w:p>
        </w:tc>
      </w:tr>
      <w:tr w:rsidR="00AB0DE7" w:rsidRPr="00024C71" w:rsidTr="00DE347C">
        <w:trPr>
          <w:trHeight w:val="411"/>
        </w:trPr>
        <w:tc>
          <w:tcPr>
            <w:tcW w:w="4520" w:type="dxa"/>
            <w:vMerge/>
            <w:tcBorders>
              <w:top w:val="single" w:sz="8" w:space="0" w:color="auto"/>
              <w:left w:val="nil"/>
              <w:bottom w:val="single" w:sz="12" w:space="0" w:color="000000"/>
              <w:right w:val="nil"/>
            </w:tcBorders>
            <w:vAlign w:val="center"/>
            <w:hideMark/>
          </w:tcPr>
          <w:p w:rsidR="00DE347C" w:rsidRPr="00C06F4E" w:rsidRDefault="00DE347C" w:rsidP="000C6220">
            <w:pPr>
              <w:spacing w:after="0" w:line="240" w:lineRule="auto"/>
              <w:jc w:val="left"/>
              <w:rPr>
                <w:i/>
                <w:iCs/>
                <w:color w:val="000000"/>
                <w:kern w:val="22"/>
                <w:sz w:val="15"/>
                <w:szCs w:val="15"/>
                <w:lang w:val="es-ES" w:eastAsia="en-CA"/>
              </w:rPr>
            </w:pPr>
          </w:p>
        </w:tc>
        <w:tc>
          <w:tcPr>
            <w:tcW w:w="1360" w:type="dxa"/>
            <w:vMerge/>
            <w:tcBorders>
              <w:top w:val="single" w:sz="8" w:space="0" w:color="auto"/>
              <w:left w:val="nil"/>
              <w:bottom w:val="single" w:sz="12" w:space="0" w:color="000000"/>
              <w:right w:val="nil"/>
            </w:tcBorders>
            <w:vAlign w:val="center"/>
            <w:hideMark/>
          </w:tcPr>
          <w:p w:rsidR="00DE347C" w:rsidRPr="00C06F4E" w:rsidRDefault="00DE347C" w:rsidP="000C6220">
            <w:pPr>
              <w:spacing w:after="0" w:line="240" w:lineRule="auto"/>
              <w:jc w:val="left"/>
              <w:rPr>
                <w:i/>
                <w:iCs/>
                <w:color w:val="000000"/>
                <w:kern w:val="22"/>
                <w:sz w:val="15"/>
                <w:szCs w:val="15"/>
                <w:lang w:val="es-ES" w:eastAsia="en-CA"/>
              </w:rPr>
            </w:pPr>
          </w:p>
        </w:tc>
        <w:tc>
          <w:tcPr>
            <w:tcW w:w="1600" w:type="dxa"/>
            <w:vMerge/>
            <w:tcBorders>
              <w:top w:val="single" w:sz="8" w:space="0" w:color="auto"/>
              <w:left w:val="nil"/>
              <w:bottom w:val="single" w:sz="12" w:space="0" w:color="000000"/>
              <w:right w:val="nil"/>
            </w:tcBorders>
            <w:vAlign w:val="center"/>
            <w:hideMark/>
          </w:tcPr>
          <w:p w:rsidR="00DE347C" w:rsidRPr="00C06F4E" w:rsidRDefault="00DE347C" w:rsidP="000C6220">
            <w:pPr>
              <w:spacing w:after="0" w:line="240" w:lineRule="auto"/>
              <w:jc w:val="left"/>
              <w:rPr>
                <w:i/>
                <w:iCs/>
                <w:color w:val="000000"/>
                <w:kern w:val="22"/>
                <w:sz w:val="15"/>
                <w:szCs w:val="15"/>
                <w:lang w:val="es-ES" w:eastAsia="en-CA"/>
              </w:rPr>
            </w:pPr>
          </w:p>
        </w:tc>
        <w:tc>
          <w:tcPr>
            <w:tcW w:w="1640" w:type="dxa"/>
            <w:vMerge/>
            <w:tcBorders>
              <w:top w:val="single" w:sz="8" w:space="0" w:color="auto"/>
              <w:left w:val="nil"/>
              <w:bottom w:val="single" w:sz="12" w:space="0" w:color="000000"/>
              <w:right w:val="nil"/>
            </w:tcBorders>
            <w:vAlign w:val="center"/>
            <w:hideMark/>
          </w:tcPr>
          <w:p w:rsidR="00DE347C" w:rsidRPr="00C06F4E" w:rsidRDefault="00DE347C" w:rsidP="000C6220">
            <w:pPr>
              <w:spacing w:after="0" w:line="240" w:lineRule="auto"/>
              <w:jc w:val="left"/>
              <w:rPr>
                <w:i/>
                <w:iCs/>
                <w:color w:val="000000"/>
                <w:kern w:val="22"/>
                <w:sz w:val="15"/>
                <w:szCs w:val="15"/>
                <w:lang w:val="es-ES" w:eastAsia="en-CA"/>
              </w:rPr>
            </w:pPr>
          </w:p>
        </w:tc>
      </w:tr>
      <w:tr w:rsidR="00DE347C" w:rsidRPr="00024C71" w:rsidTr="00DE347C">
        <w:trPr>
          <w:trHeight w:val="300"/>
        </w:trPr>
        <w:tc>
          <w:tcPr>
            <w:tcW w:w="4520" w:type="dxa"/>
            <w:tcBorders>
              <w:top w:val="nil"/>
              <w:left w:val="nil"/>
              <w:bottom w:val="nil"/>
              <w:right w:val="nil"/>
            </w:tcBorders>
            <w:shd w:val="clear" w:color="auto" w:fill="auto"/>
            <w:vAlign w:val="center"/>
            <w:hideMark/>
          </w:tcPr>
          <w:p w:rsidR="00DE347C" w:rsidRPr="00C06F4E" w:rsidRDefault="00DE347C" w:rsidP="000C6220">
            <w:pPr>
              <w:spacing w:after="0" w:line="240" w:lineRule="auto"/>
              <w:jc w:val="left"/>
              <w:rPr>
                <w:color w:val="000000"/>
                <w:kern w:val="22"/>
                <w:sz w:val="17"/>
                <w:szCs w:val="17"/>
                <w:lang w:val="es-ES" w:eastAsia="en-CA"/>
              </w:rPr>
            </w:pPr>
          </w:p>
        </w:tc>
        <w:tc>
          <w:tcPr>
            <w:tcW w:w="1360" w:type="dxa"/>
            <w:tcBorders>
              <w:top w:val="nil"/>
              <w:left w:val="nil"/>
              <w:bottom w:val="nil"/>
              <w:right w:val="nil"/>
            </w:tcBorders>
            <w:shd w:val="clear" w:color="auto" w:fill="auto"/>
            <w:vAlign w:val="center"/>
            <w:hideMark/>
          </w:tcPr>
          <w:p w:rsidR="00DE347C" w:rsidRPr="00C06F4E" w:rsidRDefault="00DE347C" w:rsidP="000C6220">
            <w:pPr>
              <w:spacing w:after="0" w:line="240" w:lineRule="auto"/>
              <w:jc w:val="left"/>
              <w:rPr>
                <w:color w:val="000000"/>
                <w:kern w:val="22"/>
                <w:sz w:val="17"/>
                <w:szCs w:val="17"/>
                <w:lang w:val="es-ES" w:eastAsia="en-CA"/>
              </w:rPr>
            </w:pPr>
          </w:p>
        </w:tc>
        <w:tc>
          <w:tcPr>
            <w:tcW w:w="1600" w:type="dxa"/>
            <w:tcBorders>
              <w:top w:val="nil"/>
              <w:left w:val="nil"/>
              <w:bottom w:val="nil"/>
              <w:right w:val="nil"/>
            </w:tcBorders>
            <w:shd w:val="clear" w:color="auto" w:fill="auto"/>
            <w:vAlign w:val="center"/>
            <w:hideMark/>
          </w:tcPr>
          <w:p w:rsidR="00DE347C" w:rsidRPr="00C06F4E" w:rsidRDefault="00DE347C" w:rsidP="000C6220">
            <w:pPr>
              <w:spacing w:after="0" w:line="240" w:lineRule="auto"/>
              <w:jc w:val="right"/>
              <w:rPr>
                <w:color w:val="000000"/>
                <w:kern w:val="22"/>
                <w:sz w:val="17"/>
                <w:szCs w:val="17"/>
                <w:lang w:val="es-ES" w:eastAsia="en-CA"/>
              </w:rPr>
            </w:pPr>
          </w:p>
        </w:tc>
        <w:tc>
          <w:tcPr>
            <w:tcW w:w="1640" w:type="dxa"/>
            <w:tcBorders>
              <w:top w:val="nil"/>
              <w:left w:val="nil"/>
              <w:bottom w:val="nil"/>
              <w:right w:val="nil"/>
            </w:tcBorders>
            <w:shd w:val="clear" w:color="auto" w:fill="auto"/>
            <w:vAlign w:val="center"/>
            <w:hideMark/>
          </w:tcPr>
          <w:p w:rsidR="00DE347C" w:rsidRPr="00C06F4E" w:rsidRDefault="00DE347C" w:rsidP="000C6220">
            <w:pPr>
              <w:spacing w:after="0" w:line="240" w:lineRule="auto"/>
              <w:jc w:val="right"/>
              <w:rPr>
                <w:color w:val="000000"/>
                <w:kern w:val="22"/>
                <w:sz w:val="17"/>
                <w:szCs w:val="17"/>
                <w:lang w:val="es-ES" w:eastAsia="en-CA"/>
              </w:rPr>
            </w:pPr>
          </w:p>
        </w:tc>
      </w:tr>
      <w:tr w:rsidR="00DE347C" w:rsidRPr="00EE0850" w:rsidTr="00DE347C">
        <w:trPr>
          <w:trHeight w:val="288"/>
        </w:trPr>
        <w:tc>
          <w:tcPr>
            <w:tcW w:w="4520" w:type="dxa"/>
            <w:tcBorders>
              <w:top w:val="nil"/>
              <w:left w:val="nil"/>
              <w:bottom w:val="nil"/>
              <w:right w:val="nil"/>
            </w:tcBorders>
            <w:shd w:val="clear" w:color="auto" w:fill="auto"/>
            <w:hideMark/>
          </w:tcPr>
          <w:p w:rsidR="00DE347C" w:rsidRPr="00C06F4E" w:rsidRDefault="00DE347C" w:rsidP="000C6220">
            <w:pPr>
              <w:spacing w:after="0" w:line="240" w:lineRule="auto"/>
              <w:jc w:val="left"/>
              <w:rPr>
                <w:color w:val="000000"/>
                <w:kern w:val="22"/>
                <w:sz w:val="17"/>
                <w:szCs w:val="17"/>
                <w:lang w:val="es-ES" w:eastAsia="en-CA"/>
              </w:rPr>
            </w:pPr>
            <w:r w:rsidRPr="00C06F4E">
              <w:rPr>
                <w:color w:val="000000"/>
                <w:kern w:val="22"/>
                <w:sz w:val="17"/>
                <w:szCs w:val="17"/>
                <w:lang w:val="es-ES" w:eastAsia="en-CA"/>
              </w:rPr>
              <w:t xml:space="preserve">A. </w:t>
            </w:r>
            <w:r w:rsidR="00C06F4E" w:rsidRPr="008B3C5C">
              <w:rPr>
                <w:color w:val="000000"/>
                <w:kern w:val="22"/>
                <w:sz w:val="17"/>
                <w:szCs w:val="17"/>
                <w:lang w:val="es-ES" w:eastAsia="en-CA"/>
              </w:rPr>
              <w:t>Órganos rectores y subsidiarios</w:t>
            </w:r>
          </w:p>
        </w:tc>
        <w:tc>
          <w:tcPr>
            <w:tcW w:w="1360" w:type="dxa"/>
            <w:tcBorders>
              <w:top w:val="nil"/>
              <w:left w:val="nil"/>
              <w:bottom w:val="nil"/>
              <w:right w:val="nil"/>
            </w:tcBorders>
            <w:shd w:val="clear" w:color="auto" w:fill="auto"/>
            <w:hideMark/>
          </w:tcPr>
          <w:p w:rsidR="00DE347C" w:rsidRPr="00EE0850" w:rsidRDefault="00DE347C" w:rsidP="00C06F4E">
            <w:pPr>
              <w:spacing w:after="0" w:line="240" w:lineRule="auto"/>
              <w:jc w:val="right"/>
              <w:rPr>
                <w:color w:val="000000"/>
                <w:kern w:val="22"/>
                <w:sz w:val="17"/>
                <w:szCs w:val="17"/>
                <w:lang w:eastAsia="en-CA"/>
              </w:rPr>
            </w:pPr>
            <w:r w:rsidRPr="00EE0850">
              <w:rPr>
                <w:color w:val="000000"/>
                <w:kern w:val="22"/>
                <w:sz w:val="17"/>
                <w:szCs w:val="17"/>
                <w:lang w:eastAsia="en-CA"/>
              </w:rPr>
              <w:t>1 889</w:t>
            </w:r>
            <w:r w:rsidR="00C06F4E">
              <w:rPr>
                <w:color w:val="000000"/>
                <w:kern w:val="22"/>
                <w:sz w:val="17"/>
                <w:szCs w:val="17"/>
                <w:lang w:eastAsia="en-CA"/>
              </w:rPr>
              <w:t>,</w:t>
            </w:r>
            <w:r w:rsidRPr="00EE0850">
              <w:rPr>
                <w:color w:val="000000"/>
                <w:kern w:val="22"/>
                <w:sz w:val="17"/>
                <w:szCs w:val="17"/>
                <w:lang w:eastAsia="en-CA"/>
              </w:rPr>
              <w:t>0</w:t>
            </w:r>
          </w:p>
        </w:tc>
        <w:tc>
          <w:tcPr>
            <w:tcW w:w="1600" w:type="dxa"/>
            <w:tcBorders>
              <w:top w:val="nil"/>
              <w:left w:val="nil"/>
              <w:bottom w:val="nil"/>
              <w:right w:val="nil"/>
            </w:tcBorders>
            <w:shd w:val="clear" w:color="auto" w:fill="auto"/>
            <w:hideMark/>
          </w:tcPr>
          <w:p w:rsidR="00DE347C" w:rsidRPr="00EE0850" w:rsidRDefault="00DE347C" w:rsidP="00C06F4E">
            <w:pPr>
              <w:spacing w:after="0" w:line="240" w:lineRule="auto"/>
              <w:jc w:val="right"/>
              <w:rPr>
                <w:color w:val="000000"/>
                <w:kern w:val="22"/>
                <w:sz w:val="17"/>
                <w:szCs w:val="17"/>
                <w:lang w:eastAsia="en-CA"/>
              </w:rPr>
            </w:pPr>
            <w:r w:rsidRPr="00EE0850">
              <w:rPr>
                <w:color w:val="000000"/>
                <w:kern w:val="22"/>
                <w:sz w:val="17"/>
                <w:szCs w:val="17"/>
                <w:lang w:eastAsia="en-CA"/>
              </w:rPr>
              <w:t>2 484</w:t>
            </w:r>
            <w:r w:rsidR="00C06F4E">
              <w:rPr>
                <w:color w:val="000000"/>
                <w:kern w:val="22"/>
                <w:sz w:val="17"/>
                <w:szCs w:val="17"/>
                <w:lang w:eastAsia="en-CA"/>
              </w:rPr>
              <w:t>,</w:t>
            </w:r>
            <w:r w:rsidRPr="00EE0850">
              <w:rPr>
                <w:color w:val="000000"/>
                <w:kern w:val="22"/>
                <w:sz w:val="17"/>
                <w:szCs w:val="17"/>
                <w:lang w:eastAsia="en-CA"/>
              </w:rPr>
              <w:t>0</w:t>
            </w:r>
          </w:p>
        </w:tc>
        <w:tc>
          <w:tcPr>
            <w:tcW w:w="1640" w:type="dxa"/>
            <w:tcBorders>
              <w:top w:val="nil"/>
              <w:left w:val="nil"/>
              <w:bottom w:val="nil"/>
              <w:right w:val="nil"/>
            </w:tcBorders>
            <w:shd w:val="clear" w:color="auto" w:fill="auto"/>
            <w:hideMark/>
          </w:tcPr>
          <w:p w:rsidR="00DE347C" w:rsidRPr="00EE0850" w:rsidRDefault="00DE347C" w:rsidP="00C06F4E">
            <w:pPr>
              <w:spacing w:after="0" w:line="240" w:lineRule="auto"/>
              <w:jc w:val="right"/>
              <w:rPr>
                <w:color w:val="000000"/>
                <w:kern w:val="22"/>
                <w:sz w:val="17"/>
                <w:szCs w:val="17"/>
                <w:lang w:eastAsia="en-CA"/>
              </w:rPr>
            </w:pPr>
            <w:r w:rsidRPr="00EE0850">
              <w:rPr>
                <w:color w:val="000000"/>
                <w:kern w:val="22"/>
                <w:sz w:val="17"/>
                <w:szCs w:val="17"/>
                <w:lang w:eastAsia="en-CA"/>
              </w:rPr>
              <w:t>4 373</w:t>
            </w:r>
            <w:r w:rsidR="00C06F4E">
              <w:rPr>
                <w:color w:val="000000"/>
                <w:kern w:val="22"/>
                <w:sz w:val="17"/>
                <w:szCs w:val="17"/>
                <w:lang w:eastAsia="en-CA"/>
              </w:rPr>
              <w:t>,</w:t>
            </w:r>
            <w:r w:rsidRPr="00EE0850">
              <w:rPr>
                <w:color w:val="000000"/>
                <w:kern w:val="22"/>
                <w:sz w:val="17"/>
                <w:szCs w:val="17"/>
                <w:lang w:eastAsia="en-CA"/>
              </w:rPr>
              <w:t>0</w:t>
            </w:r>
          </w:p>
        </w:tc>
      </w:tr>
      <w:tr w:rsidR="00DE347C" w:rsidRPr="00EE0850" w:rsidTr="00DE347C">
        <w:trPr>
          <w:trHeight w:val="288"/>
        </w:trPr>
        <w:tc>
          <w:tcPr>
            <w:tcW w:w="4520" w:type="dxa"/>
            <w:tcBorders>
              <w:top w:val="nil"/>
              <w:left w:val="nil"/>
              <w:bottom w:val="nil"/>
              <w:right w:val="nil"/>
            </w:tcBorders>
            <w:shd w:val="clear" w:color="auto" w:fill="auto"/>
            <w:hideMark/>
          </w:tcPr>
          <w:p w:rsidR="00DE347C" w:rsidRPr="00C06F4E" w:rsidRDefault="00DE347C" w:rsidP="000C6220">
            <w:pPr>
              <w:spacing w:after="0" w:line="240" w:lineRule="auto"/>
              <w:jc w:val="left"/>
              <w:rPr>
                <w:color w:val="000000"/>
                <w:kern w:val="22"/>
                <w:sz w:val="17"/>
                <w:szCs w:val="17"/>
                <w:lang w:val="es-ES" w:eastAsia="en-CA"/>
              </w:rPr>
            </w:pPr>
            <w:r w:rsidRPr="00C06F4E">
              <w:rPr>
                <w:color w:val="000000"/>
                <w:kern w:val="22"/>
                <w:sz w:val="17"/>
                <w:szCs w:val="17"/>
                <w:lang w:val="es-ES" w:eastAsia="en-CA"/>
              </w:rPr>
              <w:t xml:space="preserve">B. </w:t>
            </w:r>
            <w:r w:rsidR="00C06F4E">
              <w:rPr>
                <w:color w:val="000000"/>
                <w:kern w:val="22"/>
                <w:sz w:val="17"/>
                <w:lang w:val="es-ES"/>
              </w:rPr>
              <w:t>Dirección y gestión ejecutivas</w:t>
            </w:r>
          </w:p>
        </w:tc>
        <w:tc>
          <w:tcPr>
            <w:tcW w:w="1360" w:type="dxa"/>
            <w:tcBorders>
              <w:top w:val="nil"/>
              <w:left w:val="nil"/>
              <w:bottom w:val="nil"/>
              <w:right w:val="nil"/>
            </w:tcBorders>
            <w:shd w:val="clear" w:color="auto" w:fill="auto"/>
            <w:hideMark/>
          </w:tcPr>
          <w:p w:rsidR="00DE347C" w:rsidRPr="00EE0850" w:rsidRDefault="00DE347C" w:rsidP="00C06F4E">
            <w:pPr>
              <w:spacing w:after="0" w:line="240" w:lineRule="auto"/>
              <w:jc w:val="right"/>
              <w:rPr>
                <w:color w:val="000000"/>
                <w:kern w:val="22"/>
                <w:sz w:val="17"/>
                <w:szCs w:val="17"/>
                <w:lang w:eastAsia="en-CA"/>
              </w:rPr>
            </w:pPr>
            <w:r w:rsidRPr="00EE0850">
              <w:rPr>
                <w:color w:val="000000"/>
                <w:kern w:val="22"/>
                <w:sz w:val="17"/>
                <w:szCs w:val="17"/>
                <w:lang w:eastAsia="en-CA"/>
              </w:rPr>
              <w:t>2 634</w:t>
            </w:r>
            <w:r w:rsidR="00C06F4E">
              <w:rPr>
                <w:color w:val="000000"/>
                <w:kern w:val="22"/>
                <w:sz w:val="17"/>
                <w:szCs w:val="17"/>
                <w:lang w:eastAsia="en-CA"/>
              </w:rPr>
              <w:t>,</w:t>
            </w:r>
            <w:r w:rsidRPr="00EE0850">
              <w:rPr>
                <w:color w:val="000000"/>
                <w:kern w:val="22"/>
                <w:sz w:val="17"/>
                <w:szCs w:val="17"/>
                <w:lang w:eastAsia="en-CA"/>
              </w:rPr>
              <w:t>5</w:t>
            </w:r>
          </w:p>
        </w:tc>
        <w:tc>
          <w:tcPr>
            <w:tcW w:w="1600" w:type="dxa"/>
            <w:tcBorders>
              <w:top w:val="nil"/>
              <w:left w:val="nil"/>
              <w:bottom w:val="nil"/>
              <w:right w:val="nil"/>
            </w:tcBorders>
            <w:shd w:val="clear" w:color="auto" w:fill="auto"/>
            <w:hideMark/>
          </w:tcPr>
          <w:p w:rsidR="00DE347C" w:rsidRPr="00EE0850" w:rsidRDefault="00DE347C" w:rsidP="00C06F4E">
            <w:pPr>
              <w:spacing w:after="0" w:line="240" w:lineRule="auto"/>
              <w:jc w:val="right"/>
              <w:rPr>
                <w:color w:val="000000"/>
                <w:kern w:val="22"/>
                <w:sz w:val="17"/>
                <w:szCs w:val="17"/>
                <w:lang w:eastAsia="en-CA"/>
              </w:rPr>
            </w:pPr>
            <w:r w:rsidRPr="00EE0850">
              <w:rPr>
                <w:color w:val="000000"/>
                <w:kern w:val="22"/>
                <w:sz w:val="17"/>
                <w:szCs w:val="17"/>
                <w:lang w:eastAsia="en-CA"/>
              </w:rPr>
              <w:t>2 669</w:t>
            </w:r>
            <w:r w:rsidR="00C06F4E">
              <w:rPr>
                <w:color w:val="000000"/>
                <w:kern w:val="22"/>
                <w:sz w:val="17"/>
                <w:szCs w:val="17"/>
                <w:lang w:eastAsia="en-CA"/>
              </w:rPr>
              <w:t>,</w:t>
            </w:r>
            <w:r w:rsidRPr="00EE0850">
              <w:rPr>
                <w:color w:val="000000"/>
                <w:kern w:val="22"/>
                <w:sz w:val="17"/>
                <w:szCs w:val="17"/>
                <w:lang w:eastAsia="en-CA"/>
              </w:rPr>
              <w:t>8</w:t>
            </w:r>
          </w:p>
        </w:tc>
        <w:tc>
          <w:tcPr>
            <w:tcW w:w="1640" w:type="dxa"/>
            <w:tcBorders>
              <w:top w:val="nil"/>
              <w:left w:val="nil"/>
              <w:bottom w:val="nil"/>
              <w:right w:val="nil"/>
            </w:tcBorders>
            <w:shd w:val="clear" w:color="auto" w:fill="auto"/>
            <w:hideMark/>
          </w:tcPr>
          <w:p w:rsidR="00DE347C" w:rsidRPr="00EE0850" w:rsidRDefault="00DE347C" w:rsidP="00C06F4E">
            <w:pPr>
              <w:spacing w:after="0" w:line="240" w:lineRule="auto"/>
              <w:jc w:val="right"/>
              <w:rPr>
                <w:color w:val="000000"/>
                <w:kern w:val="22"/>
                <w:sz w:val="17"/>
                <w:szCs w:val="17"/>
                <w:lang w:eastAsia="en-CA"/>
              </w:rPr>
            </w:pPr>
            <w:r w:rsidRPr="00EE0850">
              <w:rPr>
                <w:color w:val="000000"/>
                <w:kern w:val="22"/>
                <w:sz w:val="17"/>
                <w:szCs w:val="17"/>
                <w:lang w:eastAsia="en-CA"/>
              </w:rPr>
              <w:t>5 304</w:t>
            </w:r>
            <w:r w:rsidR="00C06F4E">
              <w:rPr>
                <w:color w:val="000000"/>
                <w:kern w:val="22"/>
                <w:sz w:val="17"/>
                <w:szCs w:val="17"/>
                <w:lang w:eastAsia="en-CA"/>
              </w:rPr>
              <w:t>,</w:t>
            </w:r>
            <w:r w:rsidRPr="00EE0850">
              <w:rPr>
                <w:color w:val="000000"/>
                <w:kern w:val="22"/>
                <w:sz w:val="17"/>
                <w:szCs w:val="17"/>
                <w:lang w:eastAsia="en-CA"/>
              </w:rPr>
              <w:t>3</w:t>
            </w:r>
          </w:p>
        </w:tc>
      </w:tr>
      <w:tr w:rsidR="00DE347C" w:rsidRPr="00EE0850" w:rsidTr="00DE347C">
        <w:trPr>
          <w:trHeight w:val="288"/>
        </w:trPr>
        <w:tc>
          <w:tcPr>
            <w:tcW w:w="4520" w:type="dxa"/>
            <w:tcBorders>
              <w:top w:val="nil"/>
              <w:left w:val="nil"/>
              <w:bottom w:val="nil"/>
              <w:right w:val="nil"/>
            </w:tcBorders>
            <w:shd w:val="clear" w:color="auto" w:fill="auto"/>
            <w:hideMark/>
          </w:tcPr>
          <w:p w:rsidR="00DE347C" w:rsidRPr="00EE0850" w:rsidRDefault="00DE347C" w:rsidP="00C06F4E">
            <w:pPr>
              <w:spacing w:after="0" w:line="240" w:lineRule="auto"/>
              <w:jc w:val="left"/>
              <w:rPr>
                <w:color w:val="000000"/>
                <w:kern w:val="22"/>
                <w:sz w:val="17"/>
                <w:szCs w:val="17"/>
                <w:lang w:eastAsia="en-CA"/>
              </w:rPr>
            </w:pPr>
            <w:r w:rsidRPr="00EE0850">
              <w:rPr>
                <w:color w:val="000000"/>
                <w:kern w:val="22"/>
                <w:sz w:val="17"/>
                <w:szCs w:val="17"/>
                <w:lang w:eastAsia="en-CA"/>
              </w:rPr>
              <w:t>C. Program</w:t>
            </w:r>
            <w:r w:rsidR="00C06F4E">
              <w:rPr>
                <w:color w:val="000000"/>
                <w:kern w:val="22"/>
                <w:sz w:val="17"/>
                <w:szCs w:val="17"/>
                <w:lang w:eastAsia="en-CA"/>
              </w:rPr>
              <w:t>a de trabajo</w:t>
            </w:r>
          </w:p>
        </w:tc>
        <w:tc>
          <w:tcPr>
            <w:tcW w:w="1360" w:type="dxa"/>
            <w:tcBorders>
              <w:top w:val="nil"/>
              <w:left w:val="nil"/>
              <w:bottom w:val="nil"/>
              <w:right w:val="nil"/>
            </w:tcBorders>
            <w:shd w:val="clear" w:color="auto" w:fill="auto"/>
            <w:hideMark/>
          </w:tcPr>
          <w:p w:rsidR="00DE347C" w:rsidRPr="00EE0850" w:rsidRDefault="00DE347C" w:rsidP="00C06F4E">
            <w:pPr>
              <w:spacing w:after="0" w:line="240" w:lineRule="auto"/>
              <w:jc w:val="right"/>
              <w:rPr>
                <w:color w:val="000000"/>
                <w:kern w:val="22"/>
                <w:sz w:val="17"/>
                <w:szCs w:val="17"/>
                <w:lang w:eastAsia="en-CA"/>
              </w:rPr>
            </w:pPr>
            <w:r w:rsidRPr="00EE0850">
              <w:rPr>
                <w:color w:val="000000"/>
                <w:kern w:val="22"/>
                <w:sz w:val="17"/>
                <w:szCs w:val="17"/>
                <w:lang w:eastAsia="en-CA"/>
              </w:rPr>
              <w:t>9 309</w:t>
            </w:r>
            <w:r w:rsidR="00C06F4E">
              <w:rPr>
                <w:color w:val="000000"/>
                <w:kern w:val="22"/>
                <w:sz w:val="17"/>
                <w:szCs w:val="17"/>
                <w:lang w:eastAsia="en-CA"/>
              </w:rPr>
              <w:t>,</w:t>
            </w:r>
            <w:r w:rsidRPr="00EE0850">
              <w:rPr>
                <w:color w:val="000000"/>
                <w:kern w:val="22"/>
                <w:sz w:val="17"/>
                <w:szCs w:val="17"/>
                <w:lang w:eastAsia="en-CA"/>
              </w:rPr>
              <w:t>4</w:t>
            </w:r>
          </w:p>
        </w:tc>
        <w:tc>
          <w:tcPr>
            <w:tcW w:w="1600" w:type="dxa"/>
            <w:tcBorders>
              <w:top w:val="nil"/>
              <w:left w:val="nil"/>
              <w:bottom w:val="nil"/>
              <w:right w:val="nil"/>
            </w:tcBorders>
            <w:shd w:val="clear" w:color="auto" w:fill="auto"/>
            <w:hideMark/>
          </w:tcPr>
          <w:p w:rsidR="00DE347C" w:rsidRPr="00EE0850" w:rsidRDefault="00DE347C" w:rsidP="00C06F4E">
            <w:pPr>
              <w:spacing w:after="0" w:line="240" w:lineRule="auto"/>
              <w:jc w:val="right"/>
              <w:rPr>
                <w:color w:val="000000"/>
                <w:kern w:val="22"/>
                <w:sz w:val="17"/>
                <w:szCs w:val="17"/>
                <w:lang w:eastAsia="en-CA"/>
              </w:rPr>
            </w:pPr>
            <w:r w:rsidRPr="00EE0850">
              <w:rPr>
                <w:color w:val="000000"/>
                <w:kern w:val="22"/>
                <w:sz w:val="17"/>
                <w:szCs w:val="17"/>
                <w:lang w:eastAsia="en-CA"/>
              </w:rPr>
              <w:t>9 243</w:t>
            </w:r>
            <w:r w:rsidR="00C06F4E">
              <w:rPr>
                <w:color w:val="000000"/>
                <w:kern w:val="22"/>
                <w:sz w:val="17"/>
                <w:szCs w:val="17"/>
                <w:lang w:eastAsia="en-CA"/>
              </w:rPr>
              <w:t>,</w:t>
            </w:r>
            <w:r w:rsidRPr="00EE0850">
              <w:rPr>
                <w:color w:val="000000"/>
                <w:kern w:val="22"/>
                <w:sz w:val="17"/>
                <w:szCs w:val="17"/>
                <w:lang w:eastAsia="en-CA"/>
              </w:rPr>
              <w:t>1</w:t>
            </w:r>
          </w:p>
        </w:tc>
        <w:tc>
          <w:tcPr>
            <w:tcW w:w="1640" w:type="dxa"/>
            <w:tcBorders>
              <w:top w:val="nil"/>
              <w:left w:val="nil"/>
              <w:bottom w:val="nil"/>
              <w:right w:val="nil"/>
            </w:tcBorders>
            <w:shd w:val="clear" w:color="auto" w:fill="auto"/>
            <w:hideMark/>
          </w:tcPr>
          <w:p w:rsidR="00DE347C" w:rsidRPr="00EE0850" w:rsidRDefault="00DE347C" w:rsidP="00C06F4E">
            <w:pPr>
              <w:spacing w:after="0" w:line="240" w:lineRule="auto"/>
              <w:jc w:val="right"/>
              <w:rPr>
                <w:color w:val="000000"/>
                <w:kern w:val="22"/>
                <w:sz w:val="17"/>
                <w:szCs w:val="17"/>
                <w:lang w:eastAsia="en-CA"/>
              </w:rPr>
            </w:pPr>
            <w:r w:rsidRPr="00EE0850">
              <w:rPr>
                <w:color w:val="000000"/>
                <w:kern w:val="22"/>
                <w:sz w:val="17"/>
                <w:szCs w:val="17"/>
                <w:lang w:eastAsia="en-CA"/>
              </w:rPr>
              <w:t>18 552</w:t>
            </w:r>
            <w:r w:rsidR="00C06F4E">
              <w:rPr>
                <w:color w:val="000000"/>
                <w:kern w:val="22"/>
                <w:sz w:val="17"/>
                <w:szCs w:val="17"/>
                <w:lang w:eastAsia="en-CA"/>
              </w:rPr>
              <w:t>,</w:t>
            </w:r>
            <w:r w:rsidRPr="00EE0850">
              <w:rPr>
                <w:color w:val="000000"/>
                <w:kern w:val="22"/>
                <w:sz w:val="17"/>
                <w:szCs w:val="17"/>
                <w:lang w:eastAsia="en-CA"/>
              </w:rPr>
              <w:t>5</w:t>
            </w:r>
          </w:p>
        </w:tc>
      </w:tr>
      <w:tr w:rsidR="00DE347C" w:rsidRPr="00EE0850" w:rsidTr="00DE347C">
        <w:trPr>
          <w:trHeight w:val="300"/>
        </w:trPr>
        <w:tc>
          <w:tcPr>
            <w:tcW w:w="4520" w:type="dxa"/>
            <w:tcBorders>
              <w:top w:val="nil"/>
              <w:left w:val="nil"/>
              <w:bottom w:val="single" w:sz="8" w:space="0" w:color="auto"/>
              <w:right w:val="nil"/>
            </w:tcBorders>
            <w:shd w:val="clear" w:color="auto" w:fill="auto"/>
            <w:hideMark/>
          </w:tcPr>
          <w:p w:rsidR="00DE347C" w:rsidRPr="00EE0850" w:rsidRDefault="00DE347C" w:rsidP="00C06F4E">
            <w:pPr>
              <w:spacing w:after="0" w:line="240" w:lineRule="auto"/>
              <w:jc w:val="left"/>
              <w:rPr>
                <w:color w:val="000000"/>
                <w:kern w:val="22"/>
                <w:sz w:val="17"/>
                <w:szCs w:val="17"/>
                <w:lang w:eastAsia="en-CA"/>
              </w:rPr>
            </w:pPr>
            <w:r w:rsidRPr="00EE0850">
              <w:rPr>
                <w:color w:val="000000"/>
                <w:kern w:val="22"/>
                <w:sz w:val="17"/>
                <w:szCs w:val="17"/>
                <w:lang w:eastAsia="en-CA"/>
              </w:rPr>
              <w:t>D. A</w:t>
            </w:r>
            <w:r w:rsidR="00C06F4E">
              <w:rPr>
                <w:color w:val="000000"/>
                <w:kern w:val="22"/>
                <w:sz w:val="17"/>
                <w:szCs w:val="17"/>
                <w:lang w:eastAsia="en-CA"/>
              </w:rPr>
              <w:t>poyo ad</w:t>
            </w:r>
            <w:r w:rsidRPr="00EE0850">
              <w:rPr>
                <w:color w:val="000000"/>
                <w:kern w:val="22"/>
                <w:sz w:val="17"/>
                <w:szCs w:val="17"/>
                <w:lang w:eastAsia="en-CA"/>
              </w:rPr>
              <w:t>ministrativ</w:t>
            </w:r>
            <w:r w:rsidR="00C06F4E">
              <w:rPr>
                <w:color w:val="000000"/>
                <w:kern w:val="22"/>
                <w:sz w:val="17"/>
                <w:szCs w:val="17"/>
                <w:lang w:eastAsia="en-CA"/>
              </w:rPr>
              <w:t>o</w:t>
            </w:r>
          </w:p>
        </w:tc>
        <w:tc>
          <w:tcPr>
            <w:tcW w:w="1360" w:type="dxa"/>
            <w:tcBorders>
              <w:top w:val="nil"/>
              <w:left w:val="nil"/>
              <w:bottom w:val="single" w:sz="8" w:space="0" w:color="auto"/>
              <w:right w:val="nil"/>
            </w:tcBorders>
            <w:shd w:val="clear" w:color="auto" w:fill="auto"/>
            <w:hideMark/>
          </w:tcPr>
          <w:p w:rsidR="00DE347C" w:rsidRPr="00EE0850" w:rsidRDefault="00DE347C" w:rsidP="00C06F4E">
            <w:pPr>
              <w:spacing w:after="0" w:line="240" w:lineRule="auto"/>
              <w:jc w:val="right"/>
              <w:rPr>
                <w:color w:val="000000"/>
                <w:kern w:val="22"/>
                <w:sz w:val="17"/>
                <w:szCs w:val="17"/>
                <w:lang w:eastAsia="en-CA"/>
              </w:rPr>
            </w:pPr>
            <w:r w:rsidRPr="00EE0850">
              <w:rPr>
                <w:color w:val="000000"/>
                <w:kern w:val="22"/>
                <w:sz w:val="17"/>
                <w:szCs w:val="17"/>
                <w:lang w:eastAsia="en-CA"/>
              </w:rPr>
              <w:t>2 886</w:t>
            </w:r>
            <w:r w:rsidR="00C06F4E">
              <w:rPr>
                <w:color w:val="000000"/>
                <w:kern w:val="22"/>
                <w:sz w:val="17"/>
                <w:szCs w:val="17"/>
                <w:lang w:eastAsia="en-CA"/>
              </w:rPr>
              <w:t>,</w:t>
            </w:r>
            <w:r w:rsidRPr="00EE0850">
              <w:rPr>
                <w:color w:val="000000"/>
                <w:kern w:val="22"/>
                <w:sz w:val="17"/>
                <w:szCs w:val="17"/>
                <w:lang w:eastAsia="en-CA"/>
              </w:rPr>
              <w:t>0</w:t>
            </w:r>
          </w:p>
        </w:tc>
        <w:tc>
          <w:tcPr>
            <w:tcW w:w="1600" w:type="dxa"/>
            <w:tcBorders>
              <w:top w:val="nil"/>
              <w:left w:val="nil"/>
              <w:bottom w:val="single" w:sz="8" w:space="0" w:color="auto"/>
              <w:right w:val="nil"/>
            </w:tcBorders>
            <w:shd w:val="clear" w:color="auto" w:fill="auto"/>
            <w:hideMark/>
          </w:tcPr>
          <w:p w:rsidR="00DE347C" w:rsidRPr="00EE0850" w:rsidRDefault="00DE347C" w:rsidP="00C06F4E">
            <w:pPr>
              <w:spacing w:after="0" w:line="240" w:lineRule="auto"/>
              <w:jc w:val="right"/>
              <w:rPr>
                <w:color w:val="000000"/>
                <w:kern w:val="22"/>
                <w:sz w:val="17"/>
                <w:szCs w:val="17"/>
                <w:lang w:eastAsia="en-CA"/>
              </w:rPr>
            </w:pPr>
            <w:r w:rsidRPr="00EE0850">
              <w:rPr>
                <w:color w:val="000000"/>
                <w:kern w:val="22"/>
                <w:sz w:val="17"/>
                <w:szCs w:val="17"/>
                <w:lang w:eastAsia="en-CA"/>
              </w:rPr>
              <w:t>3 093</w:t>
            </w:r>
            <w:r w:rsidR="00C06F4E">
              <w:rPr>
                <w:color w:val="000000"/>
                <w:kern w:val="22"/>
                <w:sz w:val="17"/>
                <w:szCs w:val="17"/>
                <w:lang w:eastAsia="en-CA"/>
              </w:rPr>
              <w:t>,</w:t>
            </w:r>
            <w:r w:rsidRPr="00EE0850">
              <w:rPr>
                <w:color w:val="000000"/>
                <w:kern w:val="22"/>
                <w:sz w:val="17"/>
                <w:szCs w:val="17"/>
                <w:lang w:eastAsia="en-CA"/>
              </w:rPr>
              <w:t>7</w:t>
            </w:r>
          </w:p>
        </w:tc>
        <w:tc>
          <w:tcPr>
            <w:tcW w:w="1640" w:type="dxa"/>
            <w:tcBorders>
              <w:top w:val="nil"/>
              <w:left w:val="nil"/>
              <w:bottom w:val="single" w:sz="8" w:space="0" w:color="auto"/>
              <w:right w:val="nil"/>
            </w:tcBorders>
            <w:shd w:val="clear" w:color="auto" w:fill="auto"/>
            <w:hideMark/>
          </w:tcPr>
          <w:p w:rsidR="00DE347C" w:rsidRPr="00EE0850" w:rsidRDefault="00DE347C" w:rsidP="00C06F4E">
            <w:pPr>
              <w:spacing w:after="0" w:line="240" w:lineRule="auto"/>
              <w:jc w:val="right"/>
              <w:rPr>
                <w:color w:val="000000"/>
                <w:kern w:val="22"/>
                <w:sz w:val="17"/>
                <w:szCs w:val="17"/>
                <w:lang w:eastAsia="en-CA"/>
              </w:rPr>
            </w:pPr>
            <w:r w:rsidRPr="00EE0850">
              <w:rPr>
                <w:color w:val="000000"/>
                <w:kern w:val="22"/>
                <w:sz w:val="17"/>
                <w:szCs w:val="17"/>
                <w:lang w:eastAsia="en-CA"/>
              </w:rPr>
              <w:t>5 979</w:t>
            </w:r>
            <w:r w:rsidR="00C06F4E">
              <w:rPr>
                <w:color w:val="000000"/>
                <w:kern w:val="22"/>
                <w:sz w:val="17"/>
                <w:szCs w:val="17"/>
                <w:lang w:eastAsia="en-CA"/>
              </w:rPr>
              <w:t>,</w:t>
            </w:r>
            <w:r w:rsidRPr="00EE0850">
              <w:rPr>
                <w:color w:val="000000"/>
                <w:kern w:val="22"/>
                <w:sz w:val="17"/>
                <w:szCs w:val="17"/>
                <w:lang w:eastAsia="en-CA"/>
              </w:rPr>
              <w:t>7</w:t>
            </w:r>
          </w:p>
        </w:tc>
      </w:tr>
      <w:tr w:rsidR="00DE347C" w:rsidRPr="00EE0850" w:rsidTr="00DE347C">
        <w:trPr>
          <w:trHeight w:val="300"/>
        </w:trPr>
        <w:tc>
          <w:tcPr>
            <w:tcW w:w="4520" w:type="dxa"/>
            <w:tcBorders>
              <w:top w:val="nil"/>
              <w:left w:val="nil"/>
              <w:bottom w:val="single" w:sz="12" w:space="0" w:color="auto"/>
              <w:right w:val="nil"/>
            </w:tcBorders>
            <w:shd w:val="clear" w:color="auto" w:fill="auto"/>
            <w:hideMark/>
          </w:tcPr>
          <w:p w:rsidR="00DE347C" w:rsidRPr="00EE0850" w:rsidRDefault="00DE347C" w:rsidP="000C6220">
            <w:pPr>
              <w:spacing w:after="0" w:line="240" w:lineRule="auto"/>
              <w:jc w:val="left"/>
              <w:rPr>
                <w:b/>
                <w:bCs/>
                <w:color w:val="000000"/>
                <w:kern w:val="22"/>
                <w:sz w:val="17"/>
                <w:szCs w:val="17"/>
                <w:lang w:eastAsia="en-CA"/>
              </w:rPr>
            </w:pPr>
            <w:r w:rsidRPr="00EE0850">
              <w:rPr>
                <w:b/>
                <w:bCs/>
                <w:color w:val="000000"/>
                <w:kern w:val="22"/>
                <w:sz w:val="17"/>
                <w:szCs w:val="17"/>
                <w:lang w:eastAsia="en-CA"/>
              </w:rPr>
              <w:t>Subtotal</w:t>
            </w:r>
          </w:p>
        </w:tc>
        <w:tc>
          <w:tcPr>
            <w:tcW w:w="1360" w:type="dxa"/>
            <w:tcBorders>
              <w:top w:val="nil"/>
              <w:left w:val="nil"/>
              <w:bottom w:val="single" w:sz="12" w:space="0" w:color="auto"/>
              <w:right w:val="nil"/>
            </w:tcBorders>
            <w:shd w:val="clear" w:color="auto" w:fill="auto"/>
            <w:hideMark/>
          </w:tcPr>
          <w:p w:rsidR="00DE347C" w:rsidRPr="00EE0850" w:rsidRDefault="00DE347C" w:rsidP="00C06F4E">
            <w:pPr>
              <w:spacing w:after="0" w:line="240" w:lineRule="auto"/>
              <w:jc w:val="right"/>
              <w:rPr>
                <w:b/>
                <w:bCs/>
                <w:color w:val="000000"/>
                <w:kern w:val="22"/>
                <w:sz w:val="17"/>
                <w:szCs w:val="17"/>
                <w:lang w:eastAsia="en-CA"/>
              </w:rPr>
            </w:pPr>
            <w:r w:rsidRPr="00EE0850">
              <w:rPr>
                <w:b/>
                <w:bCs/>
                <w:color w:val="000000"/>
                <w:kern w:val="22"/>
                <w:sz w:val="17"/>
                <w:szCs w:val="17"/>
                <w:lang w:eastAsia="en-CA"/>
              </w:rPr>
              <w:t>16 718</w:t>
            </w:r>
            <w:r w:rsidR="00C06F4E">
              <w:rPr>
                <w:b/>
                <w:bCs/>
                <w:color w:val="000000"/>
                <w:kern w:val="22"/>
                <w:sz w:val="17"/>
                <w:szCs w:val="17"/>
                <w:lang w:eastAsia="en-CA"/>
              </w:rPr>
              <w:t>,</w:t>
            </w:r>
            <w:r w:rsidRPr="00EE0850">
              <w:rPr>
                <w:b/>
                <w:bCs/>
                <w:color w:val="000000"/>
                <w:kern w:val="22"/>
                <w:sz w:val="17"/>
                <w:szCs w:val="17"/>
                <w:lang w:eastAsia="en-CA"/>
              </w:rPr>
              <w:t>9</w:t>
            </w:r>
          </w:p>
        </w:tc>
        <w:tc>
          <w:tcPr>
            <w:tcW w:w="1600" w:type="dxa"/>
            <w:tcBorders>
              <w:top w:val="nil"/>
              <w:left w:val="nil"/>
              <w:bottom w:val="single" w:sz="12" w:space="0" w:color="auto"/>
              <w:right w:val="nil"/>
            </w:tcBorders>
            <w:shd w:val="clear" w:color="auto" w:fill="auto"/>
            <w:hideMark/>
          </w:tcPr>
          <w:p w:rsidR="00DE347C" w:rsidRPr="00EE0850" w:rsidRDefault="00DE347C" w:rsidP="00C06F4E">
            <w:pPr>
              <w:spacing w:after="0" w:line="240" w:lineRule="auto"/>
              <w:jc w:val="right"/>
              <w:rPr>
                <w:b/>
                <w:bCs/>
                <w:color w:val="000000"/>
                <w:kern w:val="22"/>
                <w:sz w:val="17"/>
                <w:szCs w:val="17"/>
                <w:lang w:eastAsia="en-CA"/>
              </w:rPr>
            </w:pPr>
            <w:r w:rsidRPr="00EE0850">
              <w:rPr>
                <w:b/>
                <w:bCs/>
                <w:color w:val="000000"/>
                <w:kern w:val="22"/>
                <w:sz w:val="17"/>
                <w:szCs w:val="17"/>
                <w:lang w:eastAsia="en-CA"/>
              </w:rPr>
              <w:t>17 490</w:t>
            </w:r>
            <w:r w:rsidR="00C06F4E">
              <w:rPr>
                <w:b/>
                <w:bCs/>
                <w:color w:val="000000"/>
                <w:kern w:val="22"/>
                <w:sz w:val="17"/>
                <w:szCs w:val="17"/>
                <w:lang w:eastAsia="en-CA"/>
              </w:rPr>
              <w:t>,</w:t>
            </w:r>
            <w:r w:rsidRPr="00EE0850">
              <w:rPr>
                <w:b/>
                <w:bCs/>
                <w:color w:val="000000"/>
                <w:kern w:val="22"/>
                <w:sz w:val="17"/>
                <w:szCs w:val="17"/>
                <w:lang w:eastAsia="en-CA"/>
              </w:rPr>
              <w:t>6</w:t>
            </w:r>
          </w:p>
        </w:tc>
        <w:tc>
          <w:tcPr>
            <w:tcW w:w="1640" w:type="dxa"/>
            <w:tcBorders>
              <w:top w:val="nil"/>
              <w:left w:val="nil"/>
              <w:bottom w:val="single" w:sz="12" w:space="0" w:color="auto"/>
              <w:right w:val="nil"/>
            </w:tcBorders>
            <w:shd w:val="clear" w:color="auto" w:fill="auto"/>
            <w:hideMark/>
          </w:tcPr>
          <w:p w:rsidR="00DE347C" w:rsidRPr="00EE0850" w:rsidRDefault="00DE347C" w:rsidP="00C06F4E">
            <w:pPr>
              <w:spacing w:after="0" w:line="240" w:lineRule="auto"/>
              <w:jc w:val="right"/>
              <w:rPr>
                <w:b/>
                <w:bCs/>
                <w:color w:val="000000"/>
                <w:kern w:val="22"/>
                <w:sz w:val="17"/>
                <w:szCs w:val="17"/>
                <w:lang w:eastAsia="en-CA"/>
              </w:rPr>
            </w:pPr>
            <w:r w:rsidRPr="00EE0850">
              <w:rPr>
                <w:b/>
                <w:bCs/>
                <w:color w:val="000000"/>
                <w:kern w:val="22"/>
                <w:sz w:val="17"/>
                <w:szCs w:val="17"/>
                <w:lang w:eastAsia="en-CA"/>
              </w:rPr>
              <w:t>34 209</w:t>
            </w:r>
            <w:r w:rsidR="00C06F4E">
              <w:rPr>
                <w:b/>
                <w:bCs/>
                <w:color w:val="000000"/>
                <w:kern w:val="22"/>
                <w:sz w:val="17"/>
                <w:szCs w:val="17"/>
                <w:lang w:eastAsia="en-CA"/>
              </w:rPr>
              <w:t>,</w:t>
            </w:r>
            <w:r w:rsidRPr="00EE0850">
              <w:rPr>
                <w:b/>
                <w:bCs/>
                <w:color w:val="000000"/>
                <w:kern w:val="22"/>
                <w:sz w:val="17"/>
                <w:szCs w:val="17"/>
                <w:lang w:eastAsia="en-CA"/>
              </w:rPr>
              <w:t>5</w:t>
            </w:r>
          </w:p>
        </w:tc>
      </w:tr>
      <w:tr w:rsidR="00DE347C" w:rsidRPr="00EE0850" w:rsidTr="00DE347C">
        <w:trPr>
          <w:trHeight w:val="300"/>
        </w:trPr>
        <w:tc>
          <w:tcPr>
            <w:tcW w:w="4520" w:type="dxa"/>
            <w:tcBorders>
              <w:top w:val="nil"/>
              <w:left w:val="nil"/>
              <w:bottom w:val="nil"/>
              <w:right w:val="nil"/>
            </w:tcBorders>
            <w:shd w:val="clear" w:color="auto" w:fill="auto"/>
            <w:hideMark/>
          </w:tcPr>
          <w:p w:rsidR="00DE347C" w:rsidRPr="00C06F4E" w:rsidRDefault="00C06F4E" w:rsidP="000C6220">
            <w:pPr>
              <w:spacing w:after="0" w:line="240" w:lineRule="auto"/>
              <w:jc w:val="left"/>
              <w:rPr>
                <w:color w:val="000000"/>
                <w:kern w:val="22"/>
                <w:sz w:val="17"/>
                <w:szCs w:val="17"/>
                <w:lang w:val="es-ES" w:eastAsia="en-CA"/>
              </w:rPr>
            </w:pPr>
            <w:r>
              <w:rPr>
                <w:color w:val="000000"/>
                <w:kern w:val="22"/>
                <w:sz w:val="17"/>
                <w:lang w:val="es-ES"/>
              </w:rPr>
              <w:t>Gastos de apoyo a los programas</w:t>
            </w:r>
          </w:p>
        </w:tc>
        <w:tc>
          <w:tcPr>
            <w:tcW w:w="1360" w:type="dxa"/>
            <w:tcBorders>
              <w:top w:val="nil"/>
              <w:left w:val="nil"/>
              <w:bottom w:val="nil"/>
              <w:right w:val="nil"/>
            </w:tcBorders>
            <w:shd w:val="clear" w:color="auto" w:fill="auto"/>
            <w:noWrap/>
            <w:hideMark/>
          </w:tcPr>
          <w:p w:rsidR="00DE347C" w:rsidRPr="00EE0850" w:rsidRDefault="00DE347C" w:rsidP="00C06F4E">
            <w:pPr>
              <w:spacing w:after="0" w:line="240" w:lineRule="auto"/>
              <w:jc w:val="right"/>
              <w:rPr>
                <w:color w:val="000000"/>
                <w:kern w:val="22"/>
                <w:sz w:val="17"/>
                <w:szCs w:val="17"/>
                <w:lang w:eastAsia="en-CA"/>
              </w:rPr>
            </w:pPr>
            <w:r w:rsidRPr="00EE0850">
              <w:rPr>
                <w:color w:val="000000"/>
                <w:kern w:val="22"/>
                <w:sz w:val="17"/>
                <w:szCs w:val="17"/>
                <w:lang w:eastAsia="en-CA"/>
              </w:rPr>
              <w:t>2 173</w:t>
            </w:r>
            <w:r w:rsidR="00C06F4E">
              <w:rPr>
                <w:color w:val="000000"/>
                <w:kern w:val="22"/>
                <w:sz w:val="17"/>
                <w:szCs w:val="17"/>
                <w:lang w:eastAsia="en-CA"/>
              </w:rPr>
              <w:t>,</w:t>
            </w:r>
            <w:r w:rsidRPr="00EE0850">
              <w:rPr>
                <w:color w:val="000000"/>
                <w:kern w:val="22"/>
                <w:sz w:val="17"/>
                <w:szCs w:val="17"/>
                <w:lang w:eastAsia="en-CA"/>
              </w:rPr>
              <w:t>5</w:t>
            </w:r>
          </w:p>
        </w:tc>
        <w:tc>
          <w:tcPr>
            <w:tcW w:w="1600" w:type="dxa"/>
            <w:tcBorders>
              <w:top w:val="nil"/>
              <w:left w:val="nil"/>
              <w:bottom w:val="nil"/>
              <w:right w:val="nil"/>
            </w:tcBorders>
            <w:shd w:val="clear" w:color="auto" w:fill="auto"/>
            <w:hideMark/>
          </w:tcPr>
          <w:p w:rsidR="00DE347C" w:rsidRPr="00EE0850" w:rsidRDefault="00DE347C" w:rsidP="00C06F4E">
            <w:pPr>
              <w:spacing w:after="0" w:line="240" w:lineRule="auto"/>
              <w:jc w:val="right"/>
              <w:rPr>
                <w:color w:val="000000"/>
                <w:kern w:val="22"/>
                <w:sz w:val="17"/>
                <w:szCs w:val="17"/>
                <w:lang w:eastAsia="en-CA"/>
              </w:rPr>
            </w:pPr>
            <w:r w:rsidRPr="00EE0850">
              <w:rPr>
                <w:color w:val="000000"/>
                <w:kern w:val="22"/>
                <w:sz w:val="17"/>
                <w:szCs w:val="17"/>
                <w:lang w:eastAsia="en-CA"/>
              </w:rPr>
              <w:t>2 273</w:t>
            </w:r>
            <w:r w:rsidR="00C06F4E">
              <w:rPr>
                <w:color w:val="000000"/>
                <w:kern w:val="22"/>
                <w:sz w:val="17"/>
                <w:szCs w:val="17"/>
                <w:lang w:eastAsia="en-CA"/>
              </w:rPr>
              <w:t>,</w:t>
            </w:r>
            <w:r w:rsidRPr="00EE0850">
              <w:rPr>
                <w:color w:val="000000"/>
                <w:kern w:val="22"/>
                <w:sz w:val="17"/>
                <w:szCs w:val="17"/>
                <w:lang w:eastAsia="en-CA"/>
              </w:rPr>
              <w:t>8</w:t>
            </w:r>
          </w:p>
        </w:tc>
        <w:tc>
          <w:tcPr>
            <w:tcW w:w="1640" w:type="dxa"/>
            <w:tcBorders>
              <w:top w:val="nil"/>
              <w:left w:val="nil"/>
              <w:bottom w:val="nil"/>
              <w:right w:val="nil"/>
            </w:tcBorders>
            <w:shd w:val="clear" w:color="auto" w:fill="auto"/>
            <w:hideMark/>
          </w:tcPr>
          <w:p w:rsidR="00DE347C" w:rsidRPr="00EE0850" w:rsidRDefault="00DE347C" w:rsidP="00C06F4E">
            <w:pPr>
              <w:spacing w:after="0" w:line="240" w:lineRule="auto"/>
              <w:jc w:val="right"/>
              <w:rPr>
                <w:color w:val="000000"/>
                <w:kern w:val="22"/>
                <w:sz w:val="17"/>
                <w:szCs w:val="17"/>
                <w:lang w:eastAsia="en-CA"/>
              </w:rPr>
            </w:pPr>
            <w:r w:rsidRPr="00EE0850">
              <w:rPr>
                <w:color w:val="000000"/>
                <w:kern w:val="22"/>
                <w:sz w:val="17"/>
                <w:szCs w:val="17"/>
                <w:lang w:eastAsia="en-CA"/>
              </w:rPr>
              <w:t>4 447</w:t>
            </w:r>
            <w:r w:rsidR="00C06F4E">
              <w:rPr>
                <w:color w:val="000000"/>
                <w:kern w:val="22"/>
                <w:sz w:val="17"/>
                <w:szCs w:val="17"/>
                <w:lang w:eastAsia="en-CA"/>
              </w:rPr>
              <w:t>,</w:t>
            </w:r>
            <w:r w:rsidRPr="00EE0850">
              <w:rPr>
                <w:color w:val="000000"/>
                <w:kern w:val="22"/>
                <w:sz w:val="17"/>
                <w:szCs w:val="17"/>
                <w:lang w:eastAsia="en-CA"/>
              </w:rPr>
              <w:t>2</w:t>
            </w:r>
          </w:p>
        </w:tc>
      </w:tr>
      <w:tr w:rsidR="00DE347C" w:rsidRPr="00EE0850" w:rsidTr="00DE347C">
        <w:trPr>
          <w:trHeight w:val="300"/>
        </w:trPr>
        <w:tc>
          <w:tcPr>
            <w:tcW w:w="4520" w:type="dxa"/>
            <w:tcBorders>
              <w:top w:val="nil"/>
              <w:left w:val="nil"/>
              <w:bottom w:val="single" w:sz="8" w:space="0" w:color="auto"/>
              <w:right w:val="nil"/>
            </w:tcBorders>
            <w:shd w:val="clear" w:color="auto" w:fill="auto"/>
            <w:hideMark/>
          </w:tcPr>
          <w:p w:rsidR="00DE347C" w:rsidRPr="00EE0850" w:rsidRDefault="00C06F4E" w:rsidP="000C6220">
            <w:pPr>
              <w:spacing w:after="0" w:line="240" w:lineRule="auto"/>
              <w:jc w:val="left"/>
              <w:rPr>
                <w:color w:val="000000"/>
                <w:kern w:val="22"/>
                <w:sz w:val="17"/>
                <w:szCs w:val="17"/>
                <w:lang w:eastAsia="en-CA"/>
              </w:rPr>
            </w:pPr>
            <w:r>
              <w:rPr>
                <w:color w:val="000000"/>
                <w:kern w:val="22"/>
                <w:sz w:val="17"/>
                <w:lang w:val="es-ES"/>
              </w:rPr>
              <w:t>Reserva operacional</w:t>
            </w:r>
          </w:p>
        </w:tc>
        <w:tc>
          <w:tcPr>
            <w:tcW w:w="1360" w:type="dxa"/>
            <w:tcBorders>
              <w:top w:val="nil"/>
              <w:left w:val="nil"/>
              <w:bottom w:val="single" w:sz="8" w:space="0" w:color="auto"/>
              <w:right w:val="nil"/>
            </w:tcBorders>
            <w:shd w:val="clear" w:color="auto" w:fill="auto"/>
            <w:noWrap/>
            <w:hideMark/>
          </w:tcPr>
          <w:p w:rsidR="00DE347C" w:rsidRPr="00EE0850" w:rsidRDefault="00DE347C" w:rsidP="00C06F4E">
            <w:pPr>
              <w:spacing w:after="0" w:line="240" w:lineRule="auto"/>
              <w:jc w:val="right"/>
              <w:rPr>
                <w:color w:val="000000"/>
                <w:kern w:val="22"/>
                <w:sz w:val="17"/>
                <w:szCs w:val="17"/>
                <w:lang w:eastAsia="en-CA"/>
              </w:rPr>
            </w:pPr>
            <w:r w:rsidRPr="00EE0850">
              <w:rPr>
                <w:color w:val="000000"/>
                <w:kern w:val="22"/>
                <w:sz w:val="17"/>
                <w:szCs w:val="17"/>
                <w:lang w:eastAsia="en-CA"/>
              </w:rPr>
              <w:t>56</w:t>
            </w:r>
            <w:r w:rsidR="00C06F4E">
              <w:rPr>
                <w:color w:val="000000"/>
                <w:kern w:val="22"/>
                <w:sz w:val="17"/>
                <w:szCs w:val="17"/>
                <w:lang w:eastAsia="en-CA"/>
              </w:rPr>
              <w:t>,</w:t>
            </w:r>
            <w:r w:rsidRPr="00EE0850">
              <w:rPr>
                <w:color w:val="000000"/>
                <w:kern w:val="22"/>
                <w:sz w:val="17"/>
                <w:szCs w:val="17"/>
                <w:lang w:eastAsia="en-CA"/>
              </w:rPr>
              <w:t>6</w:t>
            </w:r>
          </w:p>
        </w:tc>
        <w:tc>
          <w:tcPr>
            <w:tcW w:w="1600" w:type="dxa"/>
            <w:tcBorders>
              <w:top w:val="nil"/>
              <w:left w:val="nil"/>
              <w:bottom w:val="single" w:sz="8" w:space="0" w:color="auto"/>
              <w:right w:val="nil"/>
            </w:tcBorders>
            <w:shd w:val="clear" w:color="auto" w:fill="auto"/>
            <w:noWrap/>
            <w:hideMark/>
          </w:tcPr>
          <w:p w:rsidR="00DE347C" w:rsidRPr="00EE0850" w:rsidRDefault="00DE347C" w:rsidP="00C06F4E">
            <w:pPr>
              <w:spacing w:after="0" w:line="240" w:lineRule="auto"/>
              <w:jc w:val="right"/>
              <w:rPr>
                <w:color w:val="000000"/>
                <w:kern w:val="22"/>
                <w:sz w:val="17"/>
                <w:szCs w:val="17"/>
                <w:lang w:eastAsia="en-CA"/>
              </w:rPr>
            </w:pPr>
            <w:r w:rsidRPr="00EE0850">
              <w:rPr>
                <w:color w:val="000000"/>
                <w:kern w:val="22"/>
                <w:sz w:val="17"/>
                <w:szCs w:val="17"/>
                <w:lang w:eastAsia="en-CA"/>
              </w:rPr>
              <w:t>130</w:t>
            </w:r>
            <w:r w:rsidR="00C06F4E">
              <w:rPr>
                <w:color w:val="000000"/>
                <w:kern w:val="22"/>
                <w:sz w:val="17"/>
                <w:szCs w:val="17"/>
                <w:lang w:eastAsia="en-CA"/>
              </w:rPr>
              <w:t>,</w:t>
            </w:r>
            <w:r w:rsidRPr="00EE0850">
              <w:rPr>
                <w:color w:val="000000"/>
                <w:kern w:val="22"/>
                <w:sz w:val="17"/>
                <w:szCs w:val="17"/>
                <w:lang w:eastAsia="en-CA"/>
              </w:rPr>
              <w:t>7</w:t>
            </w:r>
          </w:p>
        </w:tc>
        <w:tc>
          <w:tcPr>
            <w:tcW w:w="1640" w:type="dxa"/>
            <w:tcBorders>
              <w:top w:val="nil"/>
              <w:left w:val="nil"/>
              <w:bottom w:val="single" w:sz="8" w:space="0" w:color="auto"/>
              <w:right w:val="nil"/>
            </w:tcBorders>
            <w:shd w:val="clear" w:color="auto" w:fill="auto"/>
            <w:hideMark/>
          </w:tcPr>
          <w:p w:rsidR="00DE347C" w:rsidRPr="00EE0850" w:rsidRDefault="00DE347C" w:rsidP="00C06F4E">
            <w:pPr>
              <w:spacing w:after="0" w:line="240" w:lineRule="auto"/>
              <w:jc w:val="right"/>
              <w:rPr>
                <w:color w:val="000000"/>
                <w:kern w:val="22"/>
                <w:sz w:val="17"/>
                <w:szCs w:val="17"/>
                <w:lang w:eastAsia="en-CA"/>
              </w:rPr>
            </w:pPr>
            <w:r w:rsidRPr="00EE0850">
              <w:rPr>
                <w:color w:val="000000"/>
                <w:kern w:val="22"/>
                <w:sz w:val="17"/>
                <w:szCs w:val="17"/>
                <w:lang w:eastAsia="en-CA"/>
              </w:rPr>
              <w:t>187</w:t>
            </w:r>
            <w:r w:rsidR="00C06F4E">
              <w:rPr>
                <w:color w:val="000000"/>
                <w:kern w:val="22"/>
                <w:sz w:val="17"/>
                <w:szCs w:val="17"/>
                <w:lang w:eastAsia="en-CA"/>
              </w:rPr>
              <w:t>,</w:t>
            </w:r>
            <w:r w:rsidRPr="00EE0850">
              <w:rPr>
                <w:color w:val="000000"/>
                <w:kern w:val="22"/>
                <w:sz w:val="17"/>
                <w:szCs w:val="17"/>
                <w:lang w:eastAsia="en-CA"/>
              </w:rPr>
              <w:t>4</w:t>
            </w:r>
          </w:p>
        </w:tc>
      </w:tr>
      <w:tr w:rsidR="00DE347C" w:rsidRPr="00EE0850" w:rsidTr="00DE347C">
        <w:trPr>
          <w:trHeight w:val="300"/>
        </w:trPr>
        <w:tc>
          <w:tcPr>
            <w:tcW w:w="4520" w:type="dxa"/>
            <w:tcBorders>
              <w:top w:val="nil"/>
              <w:left w:val="nil"/>
              <w:bottom w:val="single" w:sz="8" w:space="0" w:color="auto"/>
              <w:right w:val="nil"/>
            </w:tcBorders>
            <w:shd w:val="clear" w:color="auto" w:fill="auto"/>
            <w:hideMark/>
          </w:tcPr>
          <w:p w:rsidR="00DE347C" w:rsidRPr="00EE0850" w:rsidRDefault="00DE347C" w:rsidP="000C6220">
            <w:pPr>
              <w:spacing w:after="0" w:line="240" w:lineRule="auto"/>
              <w:jc w:val="left"/>
              <w:rPr>
                <w:b/>
                <w:bCs/>
                <w:color w:val="000000"/>
                <w:kern w:val="22"/>
                <w:sz w:val="17"/>
                <w:szCs w:val="17"/>
                <w:lang w:eastAsia="en-CA"/>
              </w:rPr>
            </w:pPr>
            <w:r w:rsidRPr="00EE0850">
              <w:rPr>
                <w:b/>
                <w:bCs/>
                <w:color w:val="000000"/>
                <w:kern w:val="22"/>
                <w:sz w:val="17"/>
                <w:szCs w:val="17"/>
                <w:lang w:eastAsia="en-CA"/>
              </w:rPr>
              <w:t>Total</w:t>
            </w:r>
          </w:p>
        </w:tc>
        <w:tc>
          <w:tcPr>
            <w:tcW w:w="1360" w:type="dxa"/>
            <w:tcBorders>
              <w:top w:val="nil"/>
              <w:left w:val="nil"/>
              <w:bottom w:val="single" w:sz="8" w:space="0" w:color="auto"/>
              <w:right w:val="nil"/>
            </w:tcBorders>
            <w:shd w:val="clear" w:color="auto" w:fill="auto"/>
            <w:noWrap/>
            <w:hideMark/>
          </w:tcPr>
          <w:p w:rsidR="00DE347C" w:rsidRPr="00EE0850" w:rsidRDefault="00DE347C" w:rsidP="00C06F4E">
            <w:pPr>
              <w:spacing w:after="0" w:line="240" w:lineRule="auto"/>
              <w:jc w:val="right"/>
              <w:rPr>
                <w:b/>
                <w:bCs/>
                <w:color w:val="000000"/>
                <w:kern w:val="22"/>
                <w:sz w:val="17"/>
                <w:szCs w:val="17"/>
                <w:lang w:eastAsia="en-CA"/>
              </w:rPr>
            </w:pPr>
            <w:r w:rsidRPr="00EE0850">
              <w:rPr>
                <w:b/>
                <w:bCs/>
                <w:color w:val="000000"/>
                <w:kern w:val="22"/>
                <w:sz w:val="17"/>
                <w:szCs w:val="17"/>
                <w:lang w:eastAsia="en-CA"/>
              </w:rPr>
              <w:t>18 949</w:t>
            </w:r>
            <w:r w:rsidR="00C06F4E">
              <w:rPr>
                <w:b/>
                <w:bCs/>
                <w:color w:val="000000"/>
                <w:kern w:val="22"/>
                <w:sz w:val="17"/>
                <w:szCs w:val="17"/>
                <w:lang w:eastAsia="en-CA"/>
              </w:rPr>
              <w:t>,</w:t>
            </w:r>
            <w:r w:rsidRPr="00EE0850">
              <w:rPr>
                <w:b/>
                <w:bCs/>
                <w:color w:val="000000"/>
                <w:kern w:val="22"/>
                <w:sz w:val="17"/>
                <w:szCs w:val="17"/>
                <w:lang w:eastAsia="en-CA"/>
              </w:rPr>
              <w:t>0</w:t>
            </w:r>
          </w:p>
        </w:tc>
        <w:tc>
          <w:tcPr>
            <w:tcW w:w="1600" w:type="dxa"/>
            <w:tcBorders>
              <w:top w:val="nil"/>
              <w:left w:val="nil"/>
              <w:bottom w:val="single" w:sz="8" w:space="0" w:color="auto"/>
              <w:right w:val="nil"/>
            </w:tcBorders>
            <w:shd w:val="clear" w:color="auto" w:fill="auto"/>
            <w:noWrap/>
            <w:hideMark/>
          </w:tcPr>
          <w:p w:rsidR="00DE347C" w:rsidRPr="00EE0850" w:rsidRDefault="00DE347C" w:rsidP="00C06F4E">
            <w:pPr>
              <w:spacing w:after="0" w:line="240" w:lineRule="auto"/>
              <w:jc w:val="right"/>
              <w:rPr>
                <w:b/>
                <w:bCs/>
                <w:color w:val="000000"/>
                <w:kern w:val="22"/>
                <w:sz w:val="17"/>
                <w:szCs w:val="17"/>
                <w:lang w:eastAsia="en-CA"/>
              </w:rPr>
            </w:pPr>
            <w:r w:rsidRPr="00EE0850">
              <w:rPr>
                <w:b/>
                <w:bCs/>
                <w:color w:val="000000"/>
                <w:kern w:val="22"/>
                <w:sz w:val="17"/>
                <w:szCs w:val="17"/>
                <w:lang w:eastAsia="en-CA"/>
              </w:rPr>
              <w:t>19 895</w:t>
            </w:r>
            <w:r w:rsidR="00C06F4E">
              <w:rPr>
                <w:b/>
                <w:bCs/>
                <w:color w:val="000000"/>
                <w:kern w:val="22"/>
                <w:sz w:val="17"/>
                <w:szCs w:val="17"/>
                <w:lang w:eastAsia="en-CA"/>
              </w:rPr>
              <w:t>,</w:t>
            </w:r>
            <w:r w:rsidRPr="00EE0850">
              <w:rPr>
                <w:b/>
                <w:bCs/>
                <w:color w:val="000000"/>
                <w:kern w:val="22"/>
                <w:sz w:val="17"/>
                <w:szCs w:val="17"/>
                <w:lang w:eastAsia="en-CA"/>
              </w:rPr>
              <w:t>1</w:t>
            </w:r>
          </w:p>
        </w:tc>
        <w:tc>
          <w:tcPr>
            <w:tcW w:w="1640" w:type="dxa"/>
            <w:tcBorders>
              <w:top w:val="nil"/>
              <w:left w:val="nil"/>
              <w:bottom w:val="single" w:sz="8" w:space="0" w:color="auto"/>
              <w:right w:val="nil"/>
            </w:tcBorders>
            <w:shd w:val="clear" w:color="auto" w:fill="auto"/>
            <w:noWrap/>
            <w:hideMark/>
          </w:tcPr>
          <w:p w:rsidR="00DE347C" w:rsidRPr="00EE0850" w:rsidRDefault="00DE347C" w:rsidP="00C06F4E">
            <w:pPr>
              <w:spacing w:after="0" w:line="240" w:lineRule="auto"/>
              <w:jc w:val="right"/>
              <w:rPr>
                <w:b/>
                <w:bCs/>
                <w:color w:val="000000"/>
                <w:kern w:val="22"/>
                <w:sz w:val="17"/>
                <w:szCs w:val="17"/>
                <w:lang w:eastAsia="en-CA"/>
              </w:rPr>
            </w:pPr>
            <w:r w:rsidRPr="00EE0850">
              <w:rPr>
                <w:b/>
                <w:bCs/>
                <w:color w:val="000000"/>
                <w:kern w:val="22"/>
                <w:sz w:val="17"/>
                <w:szCs w:val="17"/>
                <w:lang w:eastAsia="en-CA"/>
              </w:rPr>
              <w:t>38 844</w:t>
            </w:r>
            <w:r w:rsidR="00C06F4E">
              <w:rPr>
                <w:b/>
                <w:bCs/>
                <w:color w:val="000000"/>
                <w:kern w:val="22"/>
                <w:sz w:val="17"/>
                <w:szCs w:val="17"/>
                <w:lang w:eastAsia="en-CA"/>
              </w:rPr>
              <w:t>,</w:t>
            </w:r>
            <w:r w:rsidRPr="00EE0850">
              <w:rPr>
                <w:b/>
                <w:bCs/>
                <w:color w:val="000000"/>
                <w:kern w:val="22"/>
                <w:sz w:val="17"/>
                <w:szCs w:val="17"/>
                <w:lang w:eastAsia="en-CA"/>
              </w:rPr>
              <w:t>1</w:t>
            </w:r>
          </w:p>
        </w:tc>
      </w:tr>
      <w:tr w:rsidR="00DE347C" w:rsidRPr="00EE0850" w:rsidTr="00DE347C">
        <w:trPr>
          <w:trHeight w:val="288"/>
        </w:trPr>
        <w:tc>
          <w:tcPr>
            <w:tcW w:w="4520" w:type="dxa"/>
            <w:tcBorders>
              <w:top w:val="nil"/>
              <w:left w:val="nil"/>
              <w:bottom w:val="single" w:sz="4" w:space="0" w:color="auto"/>
              <w:right w:val="nil"/>
            </w:tcBorders>
            <w:shd w:val="clear" w:color="auto" w:fill="auto"/>
            <w:vAlign w:val="center"/>
            <w:hideMark/>
          </w:tcPr>
          <w:p w:rsidR="00DE347C" w:rsidRPr="00C06F4E" w:rsidRDefault="00C06F4E" w:rsidP="000C6220">
            <w:pPr>
              <w:spacing w:after="0" w:line="240" w:lineRule="auto"/>
              <w:jc w:val="left"/>
              <w:rPr>
                <w:kern w:val="22"/>
                <w:sz w:val="17"/>
                <w:szCs w:val="17"/>
                <w:lang w:val="es-ES" w:eastAsia="en-CA"/>
              </w:rPr>
            </w:pPr>
            <w:r w:rsidRPr="008B3C5C">
              <w:rPr>
                <w:kern w:val="22"/>
                <w:sz w:val="17"/>
                <w:szCs w:val="17"/>
                <w:lang w:val="es-ES" w:eastAsia="en-CA"/>
              </w:rPr>
              <w:t xml:space="preserve">Porcentaje del </w:t>
            </w:r>
            <w:r>
              <w:rPr>
                <w:kern w:val="22"/>
                <w:sz w:val="17"/>
                <w:lang w:val="es-ES"/>
              </w:rPr>
              <w:t>presupuesto integrado que corresponde al Protocolo de</w:t>
            </w:r>
            <w:r w:rsidRPr="008B3C5C">
              <w:rPr>
                <w:kern w:val="22"/>
                <w:sz w:val="17"/>
                <w:szCs w:val="17"/>
                <w:lang w:val="es-ES" w:eastAsia="en-CA"/>
              </w:rPr>
              <w:t xml:space="preserve"> Nagoya (11%)</w:t>
            </w:r>
          </w:p>
        </w:tc>
        <w:tc>
          <w:tcPr>
            <w:tcW w:w="1360" w:type="dxa"/>
            <w:tcBorders>
              <w:top w:val="nil"/>
              <w:left w:val="nil"/>
              <w:bottom w:val="single" w:sz="4" w:space="0" w:color="auto"/>
              <w:right w:val="nil"/>
            </w:tcBorders>
            <w:shd w:val="clear" w:color="auto" w:fill="auto"/>
            <w:vAlign w:val="center"/>
            <w:hideMark/>
          </w:tcPr>
          <w:p w:rsidR="00DE347C" w:rsidRPr="00EE0850" w:rsidRDefault="00DE347C" w:rsidP="00C06F4E">
            <w:pPr>
              <w:spacing w:after="0" w:line="240" w:lineRule="auto"/>
              <w:jc w:val="right"/>
              <w:rPr>
                <w:kern w:val="22"/>
                <w:sz w:val="17"/>
                <w:szCs w:val="17"/>
                <w:lang w:eastAsia="en-CA"/>
              </w:rPr>
            </w:pPr>
            <w:r w:rsidRPr="00EE0850">
              <w:rPr>
                <w:kern w:val="22"/>
                <w:sz w:val="17"/>
                <w:szCs w:val="17"/>
                <w:lang w:eastAsia="en-CA"/>
              </w:rPr>
              <w:t>2 084</w:t>
            </w:r>
            <w:r w:rsidR="00C06F4E">
              <w:rPr>
                <w:kern w:val="22"/>
                <w:sz w:val="17"/>
                <w:szCs w:val="17"/>
                <w:lang w:eastAsia="en-CA"/>
              </w:rPr>
              <w:t>,</w:t>
            </w:r>
            <w:r w:rsidRPr="00EE0850">
              <w:rPr>
                <w:kern w:val="22"/>
                <w:sz w:val="17"/>
                <w:szCs w:val="17"/>
                <w:lang w:eastAsia="en-CA"/>
              </w:rPr>
              <w:t>4</w:t>
            </w:r>
          </w:p>
        </w:tc>
        <w:tc>
          <w:tcPr>
            <w:tcW w:w="1600" w:type="dxa"/>
            <w:tcBorders>
              <w:top w:val="nil"/>
              <w:left w:val="nil"/>
              <w:bottom w:val="single" w:sz="4" w:space="0" w:color="auto"/>
              <w:right w:val="nil"/>
            </w:tcBorders>
            <w:shd w:val="clear" w:color="auto" w:fill="auto"/>
            <w:vAlign w:val="center"/>
            <w:hideMark/>
          </w:tcPr>
          <w:p w:rsidR="00DE347C" w:rsidRPr="00EE0850" w:rsidRDefault="00DE347C" w:rsidP="00C06F4E">
            <w:pPr>
              <w:spacing w:after="0" w:line="240" w:lineRule="auto"/>
              <w:jc w:val="right"/>
              <w:rPr>
                <w:kern w:val="22"/>
                <w:sz w:val="17"/>
                <w:szCs w:val="17"/>
                <w:lang w:eastAsia="en-CA"/>
              </w:rPr>
            </w:pPr>
            <w:r w:rsidRPr="00EE0850">
              <w:rPr>
                <w:kern w:val="22"/>
                <w:sz w:val="17"/>
                <w:szCs w:val="17"/>
                <w:lang w:eastAsia="en-CA"/>
              </w:rPr>
              <w:t>2 188</w:t>
            </w:r>
            <w:r w:rsidR="00C06F4E">
              <w:rPr>
                <w:kern w:val="22"/>
                <w:sz w:val="17"/>
                <w:szCs w:val="17"/>
                <w:lang w:eastAsia="en-CA"/>
              </w:rPr>
              <w:t>,</w:t>
            </w:r>
            <w:r w:rsidRPr="00EE0850">
              <w:rPr>
                <w:kern w:val="22"/>
                <w:sz w:val="17"/>
                <w:szCs w:val="17"/>
                <w:lang w:eastAsia="en-CA"/>
              </w:rPr>
              <w:t>5</w:t>
            </w:r>
          </w:p>
        </w:tc>
        <w:tc>
          <w:tcPr>
            <w:tcW w:w="1640" w:type="dxa"/>
            <w:tcBorders>
              <w:top w:val="nil"/>
              <w:left w:val="nil"/>
              <w:bottom w:val="single" w:sz="4" w:space="0" w:color="auto"/>
              <w:right w:val="nil"/>
            </w:tcBorders>
            <w:shd w:val="clear" w:color="auto" w:fill="auto"/>
            <w:vAlign w:val="center"/>
            <w:hideMark/>
          </w:tcPr>
          <w:p w:rsidR="00DE347C" w:rsidRPr="00EE0850" w:rsidRDefault="00DE347C" w:rsidP="00C06F4E">
            <w:pPr>
              <w:spacing w:after="0" w:line="240" w:lineRule="auto"/>
              <w:jc w:val="right"/>
              <w:rPr>
                <w:kern w:val="22"/>
                <w:sz w:val="17"/>
                <w:szCs w:val="17"/>
                <w:lang w:eastAsia="en-CA"/>
              </w:rPr>
            </w:pPr>
            <w:r w:rsidRPr="00EE0850">
              <w:rPr>
                <w:kern w:val="22"/>
                <w:sz w:val="17"/>
                <w:szCs w:val="17"/>
                <w:lang w:eastAsia="en-CA"/>
              </w:rPr>
              <w:t>4 272</w:t>
            </w:r>
            <w:r w:rsidR="00C06F4E">
              <w:rPr>
                <w:kern w:val="22"/>
                <w:sz w:val="17"/>
                <w:szCs w:val="17"/>
                <w:lang w:eastAsia="en-CA"/>
              </w:rPr>
              <w:t>,</w:t>
            </w:r>
            <w:r w:rsidRPr="00EE0850">
              <w:rPr>
                <w:kern w:val="22"/>
                <w:sz w:val="17"/>
                <w:szCs w:val="17"/>
                <w:lang w:eastAsia="en-CA"/>
              </w:rPr>
              <w:t>9</w:t>
            </w:r>
          </w:p>
        </w:tc>
      </w:tr>
      <w:tr w:rsidR="00DE347C" w:rsidRPr="00EE0850" w:rsidTr="00DE347C">
        <w:trPr>
          <w:trHeight w:val="288"/>
        </w:trPr>
        <w:tc>
          <w:tcPr>
            <w:tcW w:w="4520" w:type="dxa"/>
            <w:tcBorders>
              <w:top w:val="nil"/>
              <w:left w:val="nil"/>
              <w:bottom w:val="nil"/>
              <w:right w:val="nil"/>
            </w:tcBorders>
            <w:shd w:val="clear" w:color="auto" w:fill="auto"/>
            <w:hideMark/>
          </w:tcPr>
          <w:p w:rsidR="00DE347C" w:rsidRPr="00C06F4E" w:rsidRDefault="00C06F4E" w:rsidP="00C06F4E">
            <w:pPr>
              <w:spacing w:after="0" w:line="240" w:lineRule="auto"/>
              <w:jc w:val="left"/>
              <w:rPr>
                <w:color w:val="000000"/>
                <w:kern w:val="22"/>
                <w:sz w:val="17"/>
                <w:szCs w:val="17"/>
                <w:lang w:val="es-ES" w:eastAsia="en-CA"/>
              </w:rPr>
            </w:pPr>
            <w:r w:rsidRPr="00C06F4E">
              <w:rPr>
                <w:color w:val="000000"/>
                <w:kern w:val="22"/>
                <w:sz w:val="17"/>
                <w:szCs w:val="17"/>
                <w:u w:val="single"/>
                <w:lang w:val="es-ES" w:eastAsia="en-CA"/>
              </w:rPr>
              <w:t>M</w:t>
            </w:r>
            <w:r w:rsidR="00DE347C" w:rsidRPr="00C06F4E">
              <w:rPr>
                <w:color w:val="000000"/>
                <w:kern w:val="22"/>
                <w:sz w:val="17"/>
                <w:szCs w:val="17"/>
                <w:u w:val="single"/>
                <w:lang w:val="es-ES" w:eastAsia="en-CA"/>
              </w:rPr>
              <w:t>e</w:t>
            </w:r>
            <w:r w:rsidRPr="00C06F4E">
              <w:rPr>
                <w:color w:val="000000"/>
                <w:kern w:val="22"/>
                <w:sz w:val="17"/>
                <w:szCs w:val="17"/>
                <w:u w:val="single"/>
                <w:lang w:val="es-ES" w:eastAsia="en-CA"/>
              </w:rPr>
              <w:t>no</w:t>
            </w:r>
            <w:r w:rsidR="00DE347C" w:rsidRPr="00C06F4E">
              <w:rPr>
                <w:color w:val="000000"/>
                <w:kern w:val="22"/>
                <w:sz w:val="17"/>
                <w:szCs w:val="17"/>
                <w:u w:val="single"/>
                <w:lang w:val="es-ES" w:eastAsia="en-CA"/>
              </w:rPr>
              <w:t>s</w:t>
            </w:r>
            <w:r w:rsidR="00DE347C" w:rsidRPr="00C06F4E">
              <w:rPr>
                <w:color w:val="000000"/>
                <w:kern w:val="22"/>
                <w:sz w:val="17"/>
                <w:szCs w:val="17"/>
                <w:lang w:val="es-ES" w:eastAsia="en-CA"/>
              </w:rPr>
              <w:t xml:space="preserve">:  </w:t>
            </w:r>
            <w:r>
              <w:rPr>
                <w:color w:val="000000"/>
                <w:kern w:val="22"/>
                <w:sz w:val="17"/>
                <w:lang w:val="es-ES"/>
              </w:rPr>
              <w:t>Contribución del país anfitrión</w:t>
            </w:r>
          </w:p>
        </w:tc>
        <w:tc>
          <w:tcPr>
            <w:tcW w:w="1360" w:type="dxa"/>
            <w:tcBorders>
              <w:top w:val="nil"/>
              <w:left w:val="nil"/>
              <w:bottom w:val="nil"/>
              <w:right w:val="nil"/>
            </w:tcBorders>
            <w:shd w:val="clear" w:color="auto" w:fill="auto"/>
            <w:vAlign w:val="center"/>
            <w:hideMark/>
          </w:tcPr>
          <w:p w:rsidR="00DE347C" w:rsidRPr="00EE0850" w:rsidRDefault="00DE347C" w:rsidP="00C06F4E">
            <w:pPr>
              <w:spacing w:after="0" w:line="240" w:lineRule="auto"/>
              <w:jc w:val="right"/>
              <w:rPr>
                <w:kern w:val="22"/>
                <w:sz w:val="17"/>
                <w:szCs w:val="17"/>
                <w:lang w:eastAsia="en-CA"/>
              </w:rPr>
            </w:pPr>
            <w:r w:rsidRPr="00EE0850">
              <w:rPr>
                <w:kern w:val="22"/>
                <w:sz w:val="17"/>
                <w:szCs w:val="17"/>
                <w:lang w:eastAsia="en-CA"/>
              </w:rPr>
              <w:t>(135</w:t>
            </w:r>
            <w:r w:rsidR="00C06F4E">
              <w:rPr>
                <w:kern w:val="22"/>
                <w:sz w:val="17"/>
                <w:szCs w:val="17"/>
                <w:lang w:eastAsia="en-CA"/>
              </w:rPr>
              <w:t>,</w:t>
            </w:r>
            <w:r w:rsidRPr="00EE0850">
              <w:rPr>
                <w:kern w:val="22"/>
                <w:sz w:val="17"/>
                <w:szCs w:val="17"/>
                <w:lang w:eastAsia="en-CA"/>
              </w:rPr>
              <w:t>2)</w:t>
            </w:r>
          </w:p>
        </w:tc>
        <w:tc>
          <w:tcPr>
            <w:tcW w:w="1600" w:type="dxa"/>
            <w:tcBorders>
              <w:top w:val="nil"/>
              <w:left w:val="nil"/>
              <w:bottom w:val="nil"/>
              <w:right w:val="nil"/>
            </w:tcBorders>
            <w:shd w:val="clear" w:color="auto" w:fill="auto"/>
            <w:vAlign w:val="center"/>
            <w:hideMark/>
          </w:tcPr>
          <w:p w:rsidR="00DE347C" w:rsidRPr="00EE0850" w:rsidRDefault="00DE347C" w:rsidP="00C06F4E">
            <w:pPr>
              <w:spacing w:after="0" w:line="240" w:lineRule="auto"/>
              <w:jc w:val="right"/>
              <w:rPr>
                <w:kern w:val="22"/>
                <w:sz w:val="17"/>
                <w:szCs w:val="17"/>
                <w:lang w:eastAsia="en-CA"/>
              </w:rPr>
            </w:pPr>
            <w:r w:rsidRPr="00EE0850">
              <w:rPr>
                <w:kern w:val="22"/>
                <w:sz w:val="17"/>
                <w:szCs w:val="17"/>
                <w:lang w:eastAsia="en-CA"/>
              </w:rPr>
              <w:t>(156</w:t>
            </w:r>
            <w:r w:rsidR="00C06F4E">
              <w:rPr>
                <w:kern w:val="22"/>
                <w:sz w:val="17"/>
                <w:szCs w:val="17"/>
                <w:lang w:eastAsia="en-CA"/>
              </w:rPr>
              <w:t>,</w:t>
            </w:r>
            <w:r w:rsidRPr="00EE0850">
              <w:rPr>
                <w:kern w:val="22"/>
                <w:sz w:val="17"/>
                <w:szCs w:val="17"/>
                <w:lang w:eastAsia="en-CA"/>
              </w:rPr>
              <w:t>6)</w:t>
            </w:r>
          </w:p>
        </w:tc>
        <w:tc>
          <w:tcPr>
            <w:tcW w:w="1640" w:type="dxa"/>
            <w:tcBorders>
              <w:top w:val="nil"/>
              <w:left w:val="nil"/>
              <w:bottom w:val="nil"/>
              <w:right w:val="nil"/>
            </w:tcBorders>
            <w:shd w:val="clear" w:color="auto" w:fill="auto"/>
            <w:vAlign w:val="center"/>
            <w:hideMark/>
          </w:tcPr>
          <w:p w:rsidR="00DE347C" w:rsidRPr="00EE0850" w:rsidRDefault="00DE347C" w:rsidP="00C06F4E">
            <w:pPr>
              <w:spacing w:after="0" w:line="240" w:lineRule="auto"/>
              <w:jc w:val="right"/>
              <w:rPr>
                <w:kern w:val="22"/>
                <w:sz w:val="17"/>
                <w:szCs w:val="17"/>
                <w:lang w:eastAsia="en-CA"/>
              </w:rPr>
            </w:pPr>
            <w:r w:rsidRPr="00EE0850">
              <w:rPr>
                <w:kern w:val="22"/>
                <w:sz w:val="17"/>
                <w:szCs w:val="17"/>
                <w:lang w:eastAsia="en-CA"/>
              </w:rPr>
              <w:t>(291</w:t>
            </w:r>
            <w:r w:rsidR="00C06F4E">
              <w:rPr>
                <w:kern w:val="22"/>
                <w:sz w:val="17"/>
                <w:szCs w:val="17"/>
                <w:lang w:eastAsia="en-CA"/>
              </w:rPr>
              <w:t>,</w:t>
            </w:r>
            <w:r w:rsidRPr="00EE0850">
              <w:rPr>
                <w:kern w:val="22"/>
                <w:sz w:val="17"/>
                <w:szCs w:val="17"/>
                <w:lang w:eastAsia="en-CA"/>
              </w:rPr>
              <w:t>8)</w:t>
            </w:r>
          </w:p>
        </w:tc>
      </w:tr>
      <w:tr w:rsidR="00DE347C" w:rsidRPr="00EE0850" w:rsidTr="00DE347C">
        <w:trPr>
          <w:trHeight w:val="288"/>
        </w:trPr>
        <w:tc>
          <w:tcPr>
            <w:tcW w:w="4520" w:type="dxa"/>
            <w:tcBorders>
              <w:top w:val="nil"/>
              <w:left w:val="nil"/>
              <w:bottom w:val="nil"/>
              <w:right w:val="nil"/>
            </w:tcBorders>
            <w:shd w:val="clear" w:color="auto" w:fill="auto"/>
            <w:hideMark/>
          </w:tcPr>
          <w:p w:rsidR="00DE347C" w:rsidRPr="00C06F4E" w:rsidRDefault="00C06F4E" w:rsidP="00C06F4E">
            <w:pPr>
              <w:spacing w:after="0" w:line="240" w:lineRule="auto"/>
              <w:jc w:val="left"/>
              <w:rPr>
                <w:color w:val="000000"/>
                <w:kern w:val="22"/>
                <w:sz w:val="17"/>
                <w:szCs w:val="17"/>
                <w:lang w:val="es-ES" w:eastAsia="en-CA"/>
              </w:rPr>
            </w:pPr>
            <w:r w:rsidRPr="00C06F4E">
              <w:rPr>
                <w:color w:val="000000"/>
                <w:kern w:val="22"/>
                <w:sz w:val="17"/>
                <w:szCs w:val="17"/>
                <w:u w:val="single"/>
                <w:lang w:val="es-ES" w:eastAsia="en-CA"/>
              </w:rPr>
              <w:t>M</w:t>
            </w:r>
            <w:r w:rsidR="00DE347C" w:rsidRPr="00C06F4E">
              <w:rPr>
                <w:color w:val="000000"/>
                <w:kern w:val="22"/>
                <w:sz w:val="17"/>
                <w:szCs w:val="17"/>
                <w:u w:val="single"/>
                <w:lang w:val="es-ES" w:eastAsia="en-CA"/>
              </w:rPr>
              <w:t>e</w:t>
            </w:r>
            <w:r w:rsidRPr="00C06F4E">
              <w:rPr>
                <w:color w:val="000000"/>
                <w:kern w:val="22"/>
                <w:sz w:val="17"/>
                <w:szCs w:val="17"/>
                <w:u w:val="single"/>
                <w:lang w:val="es-ES" w:eastAsia="en-CA"/>
              </w:rPr>
              <w:t>no</w:t>
            </w:r>
            <w:r w:rsidR="00DE347C" w:rsidRPr="00C06F4E">
              <w:rPr>
                <w:color w:val="000000"/>
                <w:kern w:val="22"/>
                <w:sz w:val="17"/>
                <w:szCs w:val="17"/>
                <w:u w:val="single"/>
                <w:lang w:val="es-ES" w:eastAsia="en-CA"/>
              </w:rPr>
              <w:t>s</w:t>
            </w:r>
            <w:r w:rsidR="00DE347C" w:rsidRPr="00C06F4E">
              <w:rPr>
                <w:color w:val="000000"/>
                <w:kern w:val="22"/>
                <w:sz w:val="17"/>
                <w:szCs w:val="17"/>
                <w:lang w:val="es-ES" w:eastAsia="en-CA"/>
              </w:rPr>
              <w:t xml:space="preserve">:  </w:t>
            </w:r>
            <w:r w:rsidRPr="00703C30">
              <w:rPr>
                <w:color w:val="000000"/>
                <w:kern w:val="22"/>
                <w:sz w:val="17"/>
                <w:szCs w:val="17"/>
                <w:lang w:val="es-ES" w:eastAsia="en-CA"/>
              </w:rPr>
              <w:t>Empleo de fondos de reserva para reuniones extraordinarias</w:t>
            </w:r>
          </w:p>
        </w:tc>
        <w:tc>
          <w:tcPr>
            <w:tcW w:w="1360" w:type="dxa"/>
            <w:tcBorders>
              <w:top w:val="nil"/>
              <w:left w:val="nil"/>
              <w:bottom w:val="nil"/>
              <w:right w:val="nil"/>
            </w:tcBorders>
            <w:shd w:val="clear" w:color="auto" w:fill="auto"/>
            <w:vAlign w:val="center"/>
            <w:hideMark/>
          </w:tcPr>
          <w:p w:rsidR="00DE347C" w:rsidRPr="00EE0850" w:rsidRDefault="00DE347C" w:rsidP="00C06F4E">
            <w:pPr>
              <w:spacing w:after="0" w:line="240" w:lineRule="auto"/>
              <w:jc w:val="right"/>
              <w:rPr>
                <w:kern w:val="22"/>
                <w:sz w:val="17"/>
                <w:szCs w:val="17"/>
                <w:lang w:eastAsia="en-CA"/>
              </w:rPr>
            </w:pPr>
            <w:r w:rsidRPr="00EE0850">
              <w:rPr>
                <w:kern w:val="22"/>
                <w:sz w:val="17"/>
                <w:szCs w:val="17"/>
                <w:lang w:eastAsia="en-CA"/>
              </w:rPr>
              <w:t>(93</w:t>
            </w:r>
            <w:r w:rsidR="00C06F4E">
              <w:rPr>
                <w:kern w:val="22"/>
                <w:sz w:val="17"/>
                <w:szCs w:val="17"/>
                <w:lang w:eastAsia="en-CA"/>
              </w:rPr>
              <w:t>,</w:t>
            </w:r>
            <w:r w:rsidRPr="00EE0850">
              <w:rPr>
                <w:kern w:val="22"/>
                <w:sz w:val="17"/>
                <w:szCs w:val="17"/>
                <w:lang w:eastAsia="en-CA"/>
              </w:rPr>
              <w:t>2)</w:t>
            </w:r>
          </w:p>
        </w:tc>
        <w:tc>
          <w:tcPr>
            <w:tcW w:w="1600" w:type="dxa"/>
            <w:tcBorders>
              <w:top w:val="nil"/>
              <w:left w:val="nil"/>
              <w:bottom w:val="nil"/>
              <w:right w:val="nil"/>
            </w:tcBorders>
            <w:shd w:val="clear" w:color="auto" w:fill="auto"/>
            <w:vAlign w:val="center"/>
            <w:hideMark/>
          </w:tcPr>
          <w:p w:rsidR="00DE347C" w:rsidRPr="00EE0850" w:rsidRDefault="00DE347C" w:rsidP="00C06F4E">
            <w:pPr>
              <w:spacing w:after="0" w:line="240" w:lineRule="auto"/>
              <w:jc w:val="right"/>
              <w:rPr>
                <w:kern w:val="22"/>
                <w:sz w:val="17"/>
                <w:szCs w:val="17"/>
                <w:lang w:eastAsia="en-CA"/>
              </w:rPr>
            </w:pPr>
            <w:r w:rsidRPr="00EE0850">
              <w:rPr>
                <w:kern w:val="22"/>
                <w:sz w:val="17"/>
                <w:szCs w:val="17"/>
                <w:lang w:eastAsia="en-CA"/>
              </w:rPr>
              <w:t>(69</w:t>
            </w:r>
            <w:r w:rsidR="00C06F4E">
              <w:rPr>
                <w:kern w:val="22"/>
                <w:sz w:val="17"/>
                <w:szCs w:val="17"/>
                <w:lang w:eastAsia="en-CA"/>
              </w:rPr>
              <w:t>,</w:t>
            </w:r>
            <w:r w:rsidRPr="00EE0850">
              <w:rPr>
                <w:kern w:val="22"/>
                <w:sz w:val="17"/>
                <w:szCs w:val="17"/>
                <w:lang w:eastAsia="en-CA"/>
              </w:rPr>
              <w:t>6)</w:t>
            </w:r>
          </w:p>
        </w:tc>
        <w:tc>
          <w:tcPr>
            <w:tcW w:w="1640" w:type="dxa"/>
            <w:tcBorders>
              <w:top w:val="nil"/>
              <w:left w:val="nil"/>
              <w:bottom w:val="nil"/>
              <w:right w:val="nil"/>
            </w:tcBorders>
            <w:shd w:val="clear" w:color="auto" w:fill="auto"/>
            <w:vAlign w:val="center"/>
            <w:hideMark/>
          </w:tcPr>
          <w:p w:rsidR="00DE347C" w:rsidRPr="00EE0850" w:rsidRDefault="00DE347C" w:rsidP="00C06F4E">
            <w:pPr>
              <w:spacing w:after="0" w:line="240" w:lineRule="auto"/>
              <w:jc w:val="right"/>
              <w:rPr>
                <w:kern w:val="22"/>
                <w:sz w:val="17"/>
                <w:szCs w:val="17"/>
                <w:lang w:eastAsia="en-CA"/>
              </w:rPr>
            </w:pPr>
            <w:r w:rsidRPr="00EE0850">
              <w:rPr>
                <w:kern w:val="22"/>
                <w:sz w:val="17"/>
                <w:szCs w:val="17"/>
                <w:lang w:eastAsia="en-CA"/>
              </w:rPr>
              <w:t>(162</w:t>
            </w:r>
            <w:r w:rsidR="00C06F4E">
              <w:rPr>
                <w:kern w:val="22"/>
                <w:sz w:val="17"/>
                <w:szCs w:val="17"/>
                <w:lang w:eastAsia="en-CA"/>
              </w:rPr>
              <w:t>,</w:t>
            </w:r>
            <w:r w:rsidRPr="00EE0850">
              <w:rPr>
                <w:kern w:val="22"/>
                <w:sz w:val="17"/>
                <w:szCs w:val="17"/>
                <w:lang w:eastAsia="en-CA"/>
              </w:rPr>
              <w:t>8)</w:t>
            </w:r>
          </w:p>
        </w:tc>
      </w:tr>
      <w:tr w:rsidR="00DE347C" w:rsidRPr="00EE0850" w:rsidTr="00DE347C">
        <w:trPr>
          <w:trHeight w:val="288"/>
        </w:trPr>
        <w:tc>
          <w:tcPr>
            <w:tcW w:w="4520" w:type="dxa"/>
            <w:tcBorders>
              <w:top w:val="nil"/>
              <w:left w:val="nil"/>
              <w:bottom w:val="nil"/>
              <w:right w:val="nil"/>
            </w:tcBorders>
            <w:shd w:val="clear" w:color="auto" w:fill="auto"/>
            <w:hideMark/>
          </w:tcPr>
          <w:p w:rsidR="00DE347C" w:rsidRPr="00C06F4E" w:rsidRDefault="00C06F4E" w:rsidP="00C06F4E">
            <w:pPr>
              <w:spacing w:after="0" w:line="240" w:lineRule="auto"/>
              <w:jc w:val="left"/>
              <w:rPr>
                <w:color w:val="000000"/>
                <w:kern w:val="22"/>
                <w:sz w:val="17"/>
                <w:szCs w:val="17"/>
                <w:lang w:val="es-ES" w:eastAsia="en-CA"/>
              </w:rPr>
            </w:pPr>
            <w:r w:rsidRPr="00C06F4E">
              <w:rPr>
                <w:color w:val="000000"/>
                <w:kern w:val="22"/>
                <w:sz w:val="17"/>
                <w:szCs w:val="17"/>
                <w:u w:val="single"/>
                <w:lang w:val="es-ES" w:eastAsia="en-CA"/>
              </w:rPr>
              <w:t>M</w:t>
            </w:r>
            <w:r w:rsidR="00DE347C" w:rsidRPr="00C06F4E">
              <w:rPr>
                <w:color w:val="000000"/>
                <w:kern w:val="22"/>
                <w:sz w:val="17"/>
                <w:szCs w:val="17"/>
                <w:u w:val="single"/>
                <w:lang w:val="es-ES" w:eastAsia="en-CA"/>
              </w:rPr>
              <w:t>e</w:t>
            </w:r>
            <w:r w:rsidRPr="00C06F4E">
              <w:rPr>
                <w:color w:val="000000"/>
                <w:kern w:val="22"/>
                <w:sz w:val="17"/>
                <w:szCs w:val="17"/>
                <w:u w:val="single"/>
                <w:lang w:val="es-ES" w:eastAsia="en-CA"/>
              </w:rPr>
              <w:t>no</w:t>
            </w:r>
            <w:r w:rsidR="00DE347C" w:rsidRPr="00C06F4E">
              <w:rPr>
                <w:color w:val="000000"/>
                <w:kern w:val="22"/>
                <w:sz w:val="17"/>
                <w:szCs w:val="17"/>
                <w:u w:val="single"/>
                <w:lang w:val="es-ES" w:eastAsia="en-CA"/>
              </w:rPr>
              <w:t>s</w:t>
            </w:r>
            <w:r w:rsidR="00DE347C" w:rsidRPr="00C06F4E">
              <w:rPr>
                <w:color w:val="000000"/>
                <w:kern w:val="22"/>
                <w:sz w:val="17"/>
                <w:szCs w:val="17"/>
                <w:lang w:val="es-ES" w:eastAsia="en-CA"/>
              </w:rPr>
              <w:t xml:space="preserve">:  </w:t>
            </w:r>
            <w:r>
              <w:rPr>
                <w:color w:val="000000"/>
                <w:kern w:val="22"/>
                <w:sz w:val="17"/>
                <w:lang w:val="es-ES"/>
              </w:rPr>
              <w:t>Empleo de fondos de reserva de años anteriores</w:t>
            </w:r>
          </w:p>
        </w:tc>
        <w:tc>
          <w:tcPr>
            <w:tcW w:w="1360" w:type="dxa"/>
            <w:tcBorders>
              <w:top w:val="nil"/>
              <w:left w:val="nil"/>
              <w:bottom w:val="nil"/>
              <w:right w:val="nil"/>
            </w:tcBorders>
            <w:shd w:val="clear" w:color="auto" w:fill="auto"/>
            <w:vAlign w:val="center"/>
            <w:hideMark/>
          </w:tcPr>
          <w:p w:rsidR="00DE347C" w:rsidRPr="00EE0850" w:rsidRDefault="00DE347C" w:rsidP="00C06F4E">
            <w:pPr>
              <w:spacing w:after="0" w:line="240" w:lineRule="auto"/>
              <w:jc w:val="right"/>
              <w:rPr>
                <w:kern w:val="22"/>
                <w:sz w:val="17"/>
                <w:szCs w:val="17"/>
                <w:lang w:eastAsia="en-CA"/>
              </w:rPr>
            </w:pPr>
            <w:r w:rsidRPr="00EE0850">
              <w:rPr>
                <w:kern w:val="22"/>
                <w:sz w:val="17"/>
                <w:szCs w:val="17"/>
                <w:lang w:eastAsia="en-CA"/>
              </w:rPr>
              <w:t>(94</w:t>
            </w:r>
            <w:r w:rsidR="00C06F4E">
              <w:rPr>
                <w:kern w:val="22"/>
                <w:sz w:val="17"/>
                <w:szCs w:val="17"/>
                <w:lang w:eastAsia="en-CA"/>
              </w:rPr>
              <w:t>,</w:t>
            </w:r>
            <w:r w:rsidRPr="00EE0850">
              <w:rPr>
                <w:kern w:val="22"/>
                <w:sz w:val="17"/>
                <w:szCs w:val="17"/>
                <w:lang w:eastAsia="en-CA"/>
              </w:rPr>
              <w:t>9)</w:t>
            </w:r>
          </w:p>
        </w:tc>
        <w:tc>
          <w:tcPr>
            <w:tcW w:w="1600" w:type="dxa"/>
            <w:tcBorders>
              <w:top w:val="nil"/>
              <w:left w:val="nil"/>
              <w:bottom w:val="nil"/>
              <w:right w:val="nil"/>
            </w:tcBorders>
            <w:shd w:val="clear" w:color="auto" w:fill="auto"/>
            <w:vAlign w:val="center"/>
            <w:hideMark/>
          </w:tcPr>
          <w:p w:rsidR="00DE347C" w:rsidRPr="00EE0850" w:rsidRDefault="00DE347C" w:rsidP="00C06F4E">
            <w:pPr>
              <w:spacing w:after="0" w:line="240" w:lineRule="auto"/>
              <w:jc w:val="right"/>
              <w:rPr>
                <w:kern w:val="22"/>
                <w:sz w:val="17"/>
                <w:szCs w:val="17"/>
                <w:lang w:eastAsia="en-CA"/>
              </w:rPr>
            </w:pPr>
            <w:r w:rsidRPr="00EE0850">
              <w:rPr>
                <w:kern w:val="22"/>
                <w:sz w:val="17"/>
                <w:szCs w:val="17"/>
                <w:lang w:eastAsia="en-CA"/>
              </w:rPr>
              <w:t>(94</w:t>
            </w:r>
            <w:r w:rsidR="00C06F4E">
              <w:rPr>
                <w:kern w:val="22"/>
                <w:sz w:val="17"/>
                <w:szCs w:val="17"/>
                <w:lang w:eastAsia="en-CA"/>
              </w:rPr>
              <w:t>,</w:t>
            </w:r>
            <w:r w:rsidRPr="00EE0850">
              <w:rPr>
                <w:kern w:val="22"/>
                <w:sz w:val="17"/>
                <w:szCs w:val="17"/>
                <w:lang w:eastAsia="en-CA"/>
              </w:rPr>
              <w:t>9)</w:t>
            </w:r>
          </w:p>
        </w:tc>
        <w:tc>
          <w:tcPr>
            <w:tcW w:w="1640" w:type="dxa"/>
            <w:tcBorders>
              <w:top w:val="nil"/>
              <w:left w:val="nil"/>
              <w:bottom w:val="nil"/>
              <w:right w:val="nil"/>
            </w:tcBorders>
            <w:shd w:val="clear" w:color="auto" w:fill="auto"/>
            <w:vAlign w:val="center"/>
            <w:hideMark/>
          </w:tcPr>
          <w:p w:rsidR="00DE347C" w:rsidRPr="00EE0850" w:rsidRDefault="00DE347C" w:rsidP="00C06F4E">
            <w:pPr>
              <w:spacing w:after="0" w:line="240" w:lineRule="auto"/>
              <w:jc w:val="right"/>
              <w:rPr>
                <w:kern w:val="22"/>
                <w:sz w:val="17"/>
                <w:szCs w:val="17"/>
                <w:lang w:eastAsia="en-CA"/>
              </w:rPr>
            </w:pPr>
            <w:r w:rsidRPr="00EE0850">
              <w:rPr>
                <w:kern w:val="22"/>
                <w:sz w:val="17"/>
                <w:szCs w:val="17"/>
                <w:lang w:eastAsia="en-CA"/>
              </w:rPr>
              <w:t>(189</w:t>
            </w:r>
            <w:r w:rsidR="00C06F4E">
              <w:rPr>
                <w:kern w:val="22"/>
                <w:sz w:val="17"/>
                <w:szCs w:val="17"/>
                <w:lang w:eastAsia="en-CA"/>
              </w:rPr>
              <w:t>,</w:t>
            </w:r>
            <w:r w:rsidRPr="00EE0850">
              <w:rPr>
                <w:kern w:val="22"/>
                <w:sz w:val="17"/>
                <w:szCs w:val="17"/>
                <w:lang w:eastAsia="en-CA"/>
              </w:rPr>
              <w:t>8)</w:t>
            </w:r>
          </w:p>
        </w:tc>
      </w:tr>
      <w:tr w:rsidR="00DE347C" w:rsidRPr="00EE0850" w:rsidTr="00DE347C">
        <w:trPr>
          <w:trHeight w:val="300"/>
        </w:trPr>
        <w:tc>
          <w:tcPr>
            <w:tcW w:w="4520" w:type="dxa"/>
            <w:tcBorders>
              <w:top w:val="single" w:sz="4" w:space="0" w:color="auto"/>
              <w:left w:val="nil"/>
              <w:bottom w:val="single" w:sz="8" w:space="0" w:color="auto"/>
              <w:right w:val="nil"/>
            </w:tcBorders>
            <w:shd w:val="clear" w:color="auto" w:fill="auto"/>
            <w:hideMark/>
          </w:tcPr>
          <w:p w:rsidR="00DE347C" w:rsidRPr="00C06F4E" w:rsidRDefault="00C06F4E" w:rsidP="000C6220">
            <w:pPr>
              <w:spacing w:after="0" w:line="240" w:lineRule="auto"/>
              <w:jc w:val="left"/>
              <w:rPr>
                <w:color w:val="000000"/>
                <w:kern w:val="22"/>
                <w:sz w:val="17"/>
                <w:szCs w:val="17"/>
                <w:lang w:val="es-ES" w:eastAsia="en-CA"/>
              </w:rPr>
            </w:pPr>
            <w:r w:rsidRPr="00703C30">
              <w:rPr>
                <w:color w:val="000000"/>
                <w:kern w:val="22"/>
                <w:sz w:val="17"/>
                <w:szCs w:val="17"/>
                <w:lang w:val="es-ES" w:eastAsia="en-CA"/>
              </w:rPr>
              <w:t>Total neto (monto dividido entre las Partes)</w:t>
            </w:r>
          </w:p>
        </w:tc>
        <w:tc>
          <w:tcPr>
            <w:tcW w:w="1360" w:type="dxa"/>
            <w:tcBorders>
              <w:top w:val="single" w:sz="4" w:space="0" w:color="auto"/>
              <w:left w:val="nil"/>
              <w:bottom w:val="single" w:sz="8" w:space="0" w:color="auto"/>
              <w:right w:val="nil"/>
            </w:tcBorders>
            <w:shd w:val="clear" w:color="auto" w:fill="auto"/>
            <w:hideMark/>
          </w:tcPr>
          <w:p w:rsidR="00DE347C" w:rsidRPr="00EE0850" w:rsidRDefault="00DE347C" w:rsidP="00C06F4E">
            <w:pPr>
              <w:spacing w:after="0" w:line="240" w:lineRule="auto"/>
              <w:jc w:val="right"/>
              <w:rPr>
                <w:color w:val="000000"/>
                <w:kern w:val="22"/>
                <w:sz w:val="17"/>
                <w:szCs w:val="17"/>
                <w:lang w:eastAsia="en-CA"/>
              </w:rPr>
            </w:pPr>
            <w:r w:rsidRPr="00EE0850">
              <w:rPr>
                <w:color w:val="000000"/>
                <w:kern w:val="22"/>
                <w:sz w:val="17"/>
                <w:szCs w:val="17"/>
                <w:lang w:eastAsia="en-CA"/>
              </w:rPr>
              <w:t>1 761</w:t>
            </w:r>
            <w:r w:rsidR="00C06F4E">
              <w:rPr>
                <w:color w:val="000000"/>
                <w:kern w:val="22"/>
                <w:sz w:val="17"/>
                <w:szCs w:val="17"/>
                <w:lang w:eastAsia="en-CA"/>
              </w:rPr>
              <w:t>,</w:t>
            </w:r>
            <w:r w:rsidRPr="00EE0850">
              <w:rPr>
                <w:color w:val="000000"/>
                <w:kern w:val="22"/>
                <w:sz w:val="17"/>
                <w:szCs w:val="17"/>
                <w:lang w:eastAsia="en-CA"/>
              </w:rPr>
              <w:t>1</w:t>
            </w:r>
          </w:p>
        </w:tc>
        <w:tc>
          <w:tcPr>
            <w:tcW w:w="1600" w:type="dxa"/>
            <w:tcBorders>
              <w:top w:val="single" w:sz="4" w:space="0" w:color="auto"/>
              <w:left w:val="nil"/>
              <w:bottom w:val="single" w:sz="8" w:space="0" w:color="auto"/>
              <w:right w:val="nil"/>
            </w:tcBorders>
            <w:shd w:val="clear" w:color="auto" w:fill="auto"/>
            <w:hideMark/>
          </w:tcPr>
          <w:p w:rsidR="00DE347C" w:rsidRPr="00EE0850" w:rsidRDefault="00DE347C" w:rsidP="00C06F4E">
            <w:pPr>
              <w:spacing w:after="0" w:line="240" w:lineRule="auto"/>
              <w:jc w:val="right"/>
              <w:rPr>
                <w:color w:val="000000"/>
                <w:kern w:val="22"/>
                <w:sz w:val="17"/>
                <w:szCs w:val="17"/>
                <w:lang w:eastAsia="en-CA"/>
              </w:rPr>
            </w:pPr>
            <w:r w:rsidRPr="00EE0850">
              <w:rPr>
                <w:color w:val="000000"/>
                <w:kern w:val="22"/>
                <w:sz w:val="17"/>
                <w:szCs w:val="17"/>
                <w:lang w:eastAsia="en-CA"/>
              </w:rPr>
              <w:t>1 867</w:t>
            </w:r>
            <w:r w:rsidR="00C06F4E">
              <w:rPr>
                <w:color w:val="000000"/>
                <w:kern w:val="22"/>
                <w:sz w:val="17"/>
                <w:szCs w:val="17"/>
                <w:lang w:eastAsia="en-CA"/>
              </w:rPr>
              <w:t>,</w:t>
            </w:r>
            <w:r w:rsidRPr="00EE0850">
              <w:rPr>
                <w:color w:val="000000"/>
                <w:kern w:val="22"/>
                <w:sz w:val="17"/>
                <w:szCs w:val="17"/>
                <w:lang w:eastAsia="en-CA"/>
              </w:rPr>
              <w:t>4</w:t>
            </w:r>
          </w:p>
        </w:tc>
        <w:tc>
          <w:tcPr>
            <w:tcW w:w="1640" w:type="dxa"/>
            <w:tcBorders>
              <w:top w:val="single" w:sz="4" w:space="0" w:color="auto"/>
              <w:left w:val="nil"/>
              <w:bottom w:val="single" w:sz="8" w:space="0" w:color="auto"/>
              <w:right w:val="nil"/>
            </w:tcBorders>
            <w:shd w:val="clear" w:color="auto" w:fill="auto"/>
            <w:hideMark/>
          </w:tcPr>
          <w:p w:rsidR="00DE347C" w:rsidRPr="00EE0850" w:rsidRDefault="00DE347C" w:rsidP="00C06F4E">
            <w:pPr>
              <w:spacing w:after="0" w:line="240" w:lineRule="auto"/>
              <w:jc w:val="right"/>
              <w:rPr>
                <w:color w:val="000000"/>
                <w:kern w:val="22"/>
                <w:sz w:val="17"/>
                <w:szCs w:val="17"/>
                <w:lang w:eastAsia="en-CA"/>
              </w:rPr>
            </w:pPr>
            <w:r w:rsidRPr="00EE0850">
              <w:rPr>
                <w:color w:val="000000"/>
                <w:kern w:val="22"/>
                <w:sz w:val="17"/>
                <w:szCs w:val="17"/>
                <w:lang w:eastAsia="en-CA"/>
              </w:rPr>
              <w:t>3 628</w:t>
            </w:r>
            <w:r w:rsidR="00C06F4E">
              <w:rPr>
                <w:color w:val="000000"/>
                <w:kern w:val="22"/>
                <w:sz w:val="17"/>
                <w:szCs w:val="17"/>
                <w:lang w:eastAsia="en-CA"/>
              </w:rPr>
              <w:t>,</w:t>
            </w:r>
            <w:r w:rsidRPr="00EE0850">
              <w:rPr>
                <w:color w:val="000000"/>
                <w:kern w:val="22"/>
                <w:sz w:val="17"/>
                <w:szCs w:val="17"/>
                <w:lang w:eastAsia="en-CA"/>
              </w:rPr>
              <w:t>5</w:t>
            </w:r>
          </w:p>
        </w:tc>
      </w:tr>
      <w:tr w:rsidR="00DE347C" w:rsidRPr="00EE0850" w:rsidTr="00DE347C">
        <w:tc>
          <w:tcPr>
            <w:tcW w:w="4520" w:type="dxa"/>
            <w:tcBorders>
              <w:top w:val="nil"/>
              <w:left w:val="nil"/>
              <w:bottom w:val="nil"/>
              <w:right w:val="nil"/>
            </w:tcBorders>
            <w:shd w:val="clear" w:color="auto" w:fill="auto"/>
            <w:noWrap/>
            <w:vAlign w:val="bottom"/>
            <w:hideMark/>
          </w:tcPr>
          <w:p w:rsidR="00DE347C" w:rsidRPr="00EE0850" w:rsidRDefault="00DE347C" w:rsidP="000C6220">
            <w:pPr>
              <w:spacing w:after="0" w:line="240" w:lineRule="auto"/>
              <w:jc w:val="left"/>
              <w:rPr>
                <w:color w:val="000000"/>
                <w:kern w:val="22"/>
                <w:sz w:val="17"/>
                <w:szCs w:val="17"/>
                <w:lang w:eastAsia="en-CA"/>
              </w:rPr>
            </w:pPr>
          </w:p>
        </w:tc>
        <w:tc>
          <w:tcPr>
            <w:tcW w:w="1360" w:type="dxa"/>
            <w:tcBorders>
              <w:top w:val="nil"/>
              <w:left w:val="nil"/>
              <w:bottom w:val="nil"/>
              <w:right w:val="nil"/>
            </w:tcBorders>
            <w:shd w:val="clear" w:color="auto" w:fill="auto"/>
            <w:noWrap/>
            <w:vAlign w:val="bottom"/>
            <w:hideMark/>
          </w:tcPr>
          <w:p w:rsidR="00DE347C" w:rsidRPr="00EE0850" w:rsidRDefault="00DE347C" w:rsidP="000C6220">
            <w:pPr>
              <w:spacing w:after="0" w:line="240" w:lineRule="auto"/>
              <w:jc w:val="left"/>
              <w:rPr>
                <w:color w:val="000000"/>
                <w:kern w:val="22"/>
                <w:sz w:val="17"/>
                <w:szCs w:val="17"/>
                <w:lang w:eastAsia="en-CA"/>
              </w:rPr>
            </w:pPr>
          </w:p>
        </w:tc>
        <w:tc>
          <w:tcPr>
            <w:tcW w:w="1600" w:type="dxa"/>
            <w:tcBorders>
              <w:top w:val="nil"/>
              <w:left w:val="nil"/>
              <w:bottom w:val="nil"/>
              <w:right w:val="nil"/>
            </w:tcBorders>
            <w:shd w:val="clear" w:color="auto" w:fill="auto"/>
            <w:noWrap/>
            <w:vAlign w:val="bottom"/>
            <w:hideMark/>
          </w:tcPr>
          <w:p w:rsidR="00DE347C" w:rsidRPr="00EE0850" w:rsidRDefault="00DE347C" w:rsidP="000C6220">
            <w:pPr>
              <w:spacing w:after="0" w:line="240" w:lineRule="auto"/>
              <w:jc w:val="left"/>
              <w:rPr>
                <w:color w:val="000000"/>
                <w:kern w:val="22"/>
                <w:sz w:val="17"/>
                <w:szCs w:val="17"/>
                <w:lang w:eastAsia="en-CA"/>
              </w:rPr>
            </w:pPr>
          </w:p>
        </w:tc>
        <w:tc>
          <w:tcPr>
            <w:tcW w:w="1640" w:type="dxa"/>
            <w:tcBorders>
              <w:top w:val="nil"/>
              <w:left w:val="nil"/>
              <w:bottom w:val="nil"/>
              <w:right w:val="nil"/>
            </w:tcBorders>
            <w:shd w:val="clear" w:color="auto" w:fill="auto"/>
            <w:noWrap/>
            <w:vAlign w:val="bottom"/>
            <w:hideMark/>
          </w:tcPr>
          <w:p w:rsidR="00DE347C" w:rsidRPr="00EE0850" w:rsidRDefault="00DE347C" w:rsidP="000C6220">
            <w:pPr>
              <w:spacing w:after="0" w:line="240" w:lineRule="auto"/>
              <w:jc w:val="left"/>
              <w:rPr>
                <w:color w:val="000000"/>
                <w:kern w:val="22"/>
                <w:sz w:val="17"/>
                <w:szCs w:val="17"/>
                <w:lang w:eastAsia="en-CA"/>
              </w:rPr>
            </w:pPr>
          </w:p>
        </w:tc>
      </w:tr>
      <w:tr w:rsidR="00BA4FF3" w:rsidRPr="00024C71" w:rsidTr="00DE347C">
        <w:trPr>
          <w:trHeight w:val="411"/>
        </w:trPr>
        <w:tc>
          <w:tcPr>
            <w:tcW w:w="4520" w:type="dxa"/>
            <w:vMerge w:val="restart"/>
            <w:tcBorders>
              <w:top w:val="single" w:sz="8" w:space="0" w:color="auto"/>
              <w:left w:val="nil"/>
              <w:bottom w:val="single" w:sz="12" w:space="0" w:color="000000"/>
              <w:right w:val="nil"/>
            </w:tcBorders>
            <w:shd w:val="clear" w:color="auto" w:fill="auto"/>
            <w:vAlign w:val="center"/>
            <w:hideMark/>
          </w:tcPr>
          <w:p w:rsidR="00BA4FF3" w:rsidRPr="00EE0850" w:rsidRDefault="00BA4FF3" w:rsidP="000C6220">
            <w:pPr>
              <w:spacing w:after="0" w:line="240" w:lineRule="auto"/>
              <w:jc w:val="left"/>
              <w:rPr>
                <w:i/>
                <w:iCs/>
                <w:color w:val="000000"/>
                <w:kern w:val="22"/>
                <w:sz w:val="15"/>
                <w:szCs w:val="15"/>
                <w:lang w:eastAsia="en-CA"/>
              </w:rPr>
            </w:pPr>
          </w:p>
        </w:tc>
        <w:tc>
          <w:tcPr>
            <w:tcW w:w="1360" w:type="dxa"/>
            <w:vMerge w:val="restart"/>
            <w:tcBorders>
              <w:top w:val="single" w:sz="8" w:space="0" w:color="auto"/>
              <w:left w:val="nil"/>
              <w:bottom w:val="single" w:sz="12" w:space="0" w:color="000000"/>
              <w:right w:val="nil"/>
            </w:tcBorders>
            <w:shd w:val="clear" w:color="auto" w:fill="auto"/>
            <w:vAlign w:val="center"/>
            <w:hideMark/>
          </w:tcPr>
          <w:p w:rsidR="00BA4FF3" w:rsidRPr="00703C30" w:rsidRDefault="00BA4FF3" w:rsidP="00BA4FF3">
            <w:pPr>
              <w:jc w:val="center"/>
              <w:rPr>
                <w:i/>
                <w:iCs/>
                <w:color w:val="000000"/>
                <w:kern w:val="22"/>
                <w:sz w:val="15"/>
                <w:szCs w:val="15"/>
                <w:lang w:val="es-ES" w:eastAsia="en-CA"/>
              </w:rPr>
            </w:pPr>
            <w:r w:rsidRPr="00703C30">
              <w:rPr>
                <w:i/>
                <w:iCs/>
                <w:color w:val="000000"/>
                <w:kern w:val="22"/>
                <w:sz w:val="15"/>
                <w:szCs w:val="15"/>
                <w:lang w:val="es-ES" w:eastAsia="en-CA"/>
              </w:rPr>
              <w:t>2019</w:t>
            </w:r>
            <w:r w:rsidRPr="00703C30">
              <w:rPr>
                <w:i/>
                <w:iCs/>
                <w:color w:val="000000"/>
                <w:kern w:val="22"/>
                <w:sz w:val="15"/>
                <w:szCs w:val="15"/>
                <w:lang w:val="es-ES" w:eastAsia="en-CA"/>
              </w:rPr>
              <w:br/>
              <w:t>(</w:t>
            </w:r>
            <w:r>
              <w:rPr>
                <w:i/>
                <w:color w:val="000000"/>
                <w:kern w:val="22"/>
                <w:sz w:val="15"/>
                <w:lang w:val="es-ES"/>
              </w:rPr>
              <w:t>En miles de dólares de los Estados Unidos</w:t>
            </w:r>
            <w:r w:rsidRPr="00703C30">
              <w:rPr>
                <w:i/>
                <w:iCs/>
                <w:color w:val="000000"/>
                <w:kern w:val="22"/>
                <w:sz w:val="15"/>
                <w:szCs w:val="15"/>
                <w:lang w:val="es-ES" w:eastAsia="en-CA"/>
              </w:rPr>
              <w:t>)</w:t>
            </w:r>
          </w:p>
        </w:tc>
        <w:tc>
          <w:tcPr>
            <w:tcW w:w="1600" w:type="dxa"/>
            <w:vMerge w:val="restart"/>
            <w:tcBorders>
              <w:top w:val="single" w:sz="8" w:space="0" w:color="auto"/>
              <w:left w:val="nil"/>
              <w:bottom w:val="single" w:sz="12" w:space="0" w:color="000000"/>
              <w:right w:val="nil"/>
            </w:tcBorders>
            <w:shd w:val="clear" w:color="auto" w:fill="auto"/>
            <w:vAlign w:val="center"/>
            <w:hideMark/>
          </w:tcPr>
          <w:p w:rsidR="00BA4FF3" w:rsidRPr="00703C30" w:rsidRDefault="00BA4FF3" w:rsidP="00BA4FF3">
            <w:pPr>
              <w:jc w:val="center"/>
              <w:rPr>
                <w:i/>
                <w:iCs/>
                <w:color w:val="000000"/>
                <w:kern w:val="22"/>
                <w:sz w:val="15"/>
                <w:szCs w:val="15"/>
                <w:lang w:val="es-ES" w:eastAsia="en-CA"/>
              </w:rPr>
            </w:pPr>
            <w:r w:rsidRPr="008B3C5C">
              <w:rPr>
                <w:i/>
                <w:iCs/>
                <w:color w:val="000000"/>
                <w:kern w:val="22"/>
                <w:sz w:val="15"/>
                <w:szCs w:val="15"/>
                <w:lang w:val="es-ES" w:eastAsia="en-CA"/>
              </w:rPr>
              <w:t>2020</w:t>
            </w:r>
            <w:r w:rsidRPr="008B3C5C">
              <w:rPr>
                <w:i/>
                <w:iCs/>
                <w:color w:val="000000"/>
                <w:kern w:val="22"/>
                <w:sz w:val="15"/>
                <w:szCs w:val="15"/>
                <w:lang w:val="es-ES" w:eastAsia="en-CA"/>
              </w:rPr>
              <w:br/>
              <w:t>(</w:t>
            </w:r>
            <w:r>
              <w:rPr>
                <w:i/>
                <w:color w:val="000000"/>
                <w:kern w:val="22"/>
                <w:sz w:val="15"/>
                <w:lang w:val="es-ES"/>
              </w:rPr>
              <w:t>En miles de dólares de los Estados Unidos</w:t>
            </w:r>
            <w:r w:rsidRPr="00703C30">
              <w:rPr>
                <w:i/>
                <w:iCs/>
                <w:color w:val="000000"/>
                <w:kern w:val="22"/>
                <w:sz w:val="15"/>
                <w:szCs w:val="15"/>
                <w:lang w:val="es-ES" w:eastAsia="en-CA"/>
              </w:rPr>
              <w:t>)</w:t>
            </w:r>
          </w:p>
        </w:tc>
        <w:tc>
          <w:tcPr>
            <w:tcW w:w="1640" w:type="dxa"/>
            <w:vMerge w:val="restart"/>
            <w:tcBorders>
              <w:top w:val="single" w:sz="8" w:space="0" w:color="auto"/>
              <w:left w:val="nil"/>
              <w:bottom w:val="single" w:sz="12" w:space="0" w:color="000000"/>
              <w:right w:val="nil"/>
            </w:tcBorders>
            <w:shd w:val="clear" w:color="auto" w:fill="auto"/>
            <w:vAlign w:val="center"/>
            <w:hideMark/>
          </w:tcPr>
          <w:p w:rsidR="00BA4FF3" w:rsidRPr="00703C30" w:rsidRDefault="00BA4FF3" w:rsidP="00BA4FF3">
            <w:pPr>
              <w:jc w:val="center"/>
              <w:rPr>
                <w:i/>
                <w:iCs/>
                <w:color w:val="000000"/>
                <w:kern w:val="22"/>
                <w:sz w:val="15"/>
                <w:szCs w:val="15"/>
                <w:lang w:val="es-ES" w:eastAsia="en-CA"/>
              </w:rPr>
            </w:pPr>
            <w:r w:rsidRPr="008B3C5C">
              <w:rPr>
                <w:i/>
                <w:iCs/>
                <w:color w:val="000000"/>
                <w:kern w:val="22"/>
                <w:sz w:val="15"/>
                <w:szCs w:val="15"/>
                <w:lang w:val="es-ES" w:eastAsia="en-CA"/>
              </w:rPr>
              <w:t>Total</w:t>
            </w:r>
            <w:r w:rsidRPr="008B3C5C">
              <w:rPr>
                <w:i/>
                <w:iCs/>
                <w:color w:val="000000"/>
                <w:kern w:val="22"/>
                <w:sz w:val="15"/>
                <w:szCs w:val="15"/>
                <w:lang w:val="es-ES" w:eastAsia="en-CA"/>
              </w:rPr>
              <w:br/>
              <w:t>(</w:t>
            </w:r>
            <w:r>
              <w:rPr>
                <w:i/>
                <w:color w:val="000000"/>
                <w:kern w:val="22"/>
                <w:sz w:val="15"/>
                <w:lang w:val="es-ES"/>
              </w:rPr>
              <w:t>En miles de dólares de los Estados Unidos</w:t>
            </w:r>
            <w:r w:rsidRPr="00703C30">
              <w:rPr>
                <w:i/>
                <w:iCs/>
                <w:color w:val="000000"/>
                <w:kern w:val="22"/>
                <w:sz w:val="15"/>
                <w:szCs w:val="15"/>
                <w:lang w:val="es-ES" w:eastAsia="en-CA"/>
              </w:rPr>
              <w:t>)</w:t>
            </w:r>
          </w:p>
        </w:tc>
      </w:tr>
      <w:tr w:rsidR="00AB0DE7" w:rsidRPr="00024C71" w:rsidTr="00DE347C">
        <w:trPr>
          <w:trHeight w:val="411"/>
        </w:trPr>
        <w:tc>
          <w:tcPr>
            <w:tcW w:w="4520" w:type="dxa"/>
            <w:vMerge/>
            <w:tcBorders>
              <w:top w:val="single" w:sz="8" w:space="0" w:color="auto"/>
              <w:left w:val="nil"/>
              <w:bottom w:val="single" w:sz="12" w:space="0" w:color="000000"/>
              <w:right w:val="nil"/>
            </w:tcBorders>
            <w:vAlign w:val="center"/>
            <w:hideMark/>
          </w:tcPr>
          <w:p w:rsidR="00DE347C" w:rsidRPr="00BA4FF3" w:rsidRDefault="00DE347C" w:rsidP="000C6220">
            <w:pPr>
              <w:spacing w:after="0" w:line="240" w:lineRule="auto"/>
              <w:jc w:val="left"/>
              <w:rPr>
                <w:i/>
                <w:iCs/>
                <w:color w:val="000000"/>
                <w:kern w:val="22"/>
                <w:sz w:val="15"/>
                <w:szCs w:val="15"/>
                <w:lang w:val="es-ES" w:eastAsia="en-CA"/>
              </w:rPr>
            </w:pPr>
          </w:p>
        </w:tc>
        <w:tc>
          <w:tcPr>
            <w:tcW w:w="1360" w:type="dxa"/>
            <w:vMerge/>
            <w:tcBorders>
              <w:top w:val="single" w:sz="8" w:space="0" w:color="auto"/>
              <w:left w:val="nil"/>
              <w:bottom w:val="single" w:sz="12" w:space="0" w:color="000000"/>
              <w:right w:val="nil"/>
            </w:tcBorders>
            <w:vAlign w:val="center"/>
            <w:hideMark/>
          </w:tcPr>
          <w:p w:rsidR="00DE347C" w:rsidRPr="00BA4FF3" w:rsidRDefault="00DE347C" w:rsidP="000C6220">
            <w:pPr>
              <w:spacing w:after="0" w:line="240" w:lineRule="auto"/>
              <w:jc w:val="left"/>
              <w:rPr>
                <w:i/>
                <w:iCs/>
                <w:color w:val="000000"/>
                <w:kern w:val="22"/>
                <w:sz w:val="15"/>
                <w:szCs w:val="15"/>
                <w:lang w:val="es-ES" w:eastAsia="en-CA"/>
              </w:rPr>
            </w:pPr>
          </w:p>
        </w:tc>
        <w:tc>
          <w:tcPr>
            <w:tcW w:w="1600" w:type="dxa"/>
            <w:vMerge/>
            <w:tcBorders>
              <w:top w:val="single" w:sz="8" w:space="0" w:color="auto"/>
              <w:left w:val="nil"/>
              <w:bottom w:val="single" w:sz="12" w:space="0" w:color="000000"/>
              <w:right w:val="nil"/>
            </w:tcBorders>
            <w:vAlign w:val="center"/>
            <w:hideMark/>
          </w:tcPr>
          <w:p w:rsidR="00DE347C" w:rsidRPr="00BA4FF3" w:rsidRDefault="00DE347C" w:rsidP="000C6220">
            <w:pPr>
              <w:spacing w:after="0" w:line="240" w:lineRule="auto"/>
              <w:jc w:val="left"/>
              <w:rPr>
                <w:i/>
                <w:iCs/>
                <w:color w:val="000000"/>
                <w:kern w:val="22"/>
                <w:sz w:val="15"/>
                <w:szCs w:val="15"/>
                <w:lang w:val="es-ES" w:eastAsia="en-CA"/>
              </w:rPr>
            </w:pPr>
          </w:p>
        </w:tc>
        <w:tc>
          <w:tcPr>
            <w:tcW w:w="1640" w:type="dxa"/>
            <w:vMerge/>
            <w:tcBorders>
              <w:top w:val="single" w:sz="8" w:space="0" w:color="auto"/>
              <w:left w:val="nil"/>
              <w:bottom w:val="single" w:sz="12" w:space="0" w:color="000000"/>
              <w:right w:val="nil"/>
            </w:tcBorders>
            <w:vAlign w:val="center"/>
            <w:hideMark/>
          </w:tcPr>
          <w:p w:rsidR="00DE347C" w:rsidRPr="00BA4FF3" w:rsidRDefault="00DE347C" w:rsidP="000C6220">
            <w:pPr>
              <w:spacing w:after="0" w:line="240" w:lineRule="auto"/>
              <w:jc w:val="left"/>
              <w:rPr>
                <w:i/>
                <w:iCs/>
                <w:color w:val="000000"/>
                <w:kern w:val="22"/>
                <w:sz w:val="15"/>
                <w:szCs w:val="15"/>
                <w:lang w:val="es-ES" w:eastAsia="en-CA"/>
              </w:rPr>
            </w:pPr>
          </w:p>
        </w:tc>
      </w:tr>
      <w:tr w:rsidR="00AB0DE7" w:rsidRPr="00024C71" w:rsidTr="00DE347C">
        <w:trPr>
          <w:trHeight w:val="411"/>
        </w:trPr>
        <w:tc>
          <w:tcPr>
            <w:tcW w:w="4520" w:type="dxa"/>
            <w:vMerge/>
            <w:tcBorders>
              <w:top w:val="single" w:sz="8" w:space="0" w:color="auto"/>
              <w:left w:val="nil"/>
              <w:bottom w:val="single" w:sz="12" w:space="0" w:color="000000"/>
              <w:right w:val="nil"/>
            </w:tcBorders>
            <w:vAlign w:val="center"/>
            <w:hideMark/>
          </w:tcPr>
          <w:p w:rsidR="00DE347C" w:rsidRPr="00BA4FF3" w:rsidRDefault="00DE347C" w:rsidP="000C6220">
            <w:pPr>
              <w:spacing w:after="0" w:line="240" w:lineRule="auto"/>
              <w:jc w:val="left"/>
              <w:rPr>
                <w:i/>
                <w:iCs/>
                <w:color w:val="000000"/>
                <w:kern w:val="22"/>
                <w:sz w:val="15"/>
                <w:szCs w:val="15"/>
                <w:lang w:val="es-ES" w:eastAsia="en-CA"/>
              </w:rPr>
            </w:pPr>
          </w:p>
        </w:tc>
        <w:tc>
          <w:tcPr>
            <w:tcW w:w="1360" w:type="dxa"/>
            <w:vMerge/>
            <w:tcBorders>
              <w:top w:val="single" w:sz="8" w:space="0" w:color="auto"/>
              <w:left w:val="nil"/>
              <w:bottom w:val="single" w:sz="12" w:space="0" w:color="000000"/>
              <w:right w:val="nil"/>
            </w:tcBorders>
            <w:vAlign w:val="center"/>
            <w:hideMark/>
          </w:tcPr>
          <w:p w:rsidR="00DE347C" w:rsidRPr="00BA4FF3" w:rsidRDefault="00DE347C" w:rsidP="000C6220">
            <w:pPr>
              <w:spacing w:after="0" w:line="240" w:lineRule="auto"/>
              <w:jc w:val="left"/>
              <w:rPr>
                <w:i/>
                <w:iCs/>
                <w:color w:val="000000"/>
                <w:kern w:val="22"/>
                <w:sz w:val="15"/>
                <w:szCs w:val="15"/>
                <w:lang w:val="es-ES" w:eastAsia="en-CA"/>
              </w:rPr>
            </w:pPr>
          </w:p>
        </w:tc>
        <w:tc>
          <w:tcPr>
            <w:tcW w:w="1600" w:type="dxa"/>
            <w:vMerge/>
            <w:tcBorders>
              <w:top w:val="single" w:sz="8" w:space="0" w:color="auto"/>
              <w:left w:val="nil"/>
              <w:bottom w:val="single" w:sz="12" w:space="0" w:color="000000"/>
              <w:right w:val="nil"/>
            </w:tcBorders>
            <w:vAlign w:val="center"/>
            <w:hideMark/>
          </w:tcPr>
          <w:p w:rsidR="00DE347C" w:rsidRPr="00BA4FF3" w:rsidRDefault="00DE347C" w:rsidP="000C6220">
            <w:pPr>
              <w:spacing w:after="0" w:line="240" w:lineRule="auto"/>
              <w:jc w:val="left"/>
              <w:rPr>
                <w:i/>
                <w:iCs/>
                <w:color w:val="000000"/>
                <w:kern w:val="22"/>
                <w:sz w:val="15"/>
                <w:szCs w:val="15"/>
                <w:lang w:val="es-ES" w:eastAsia="en-CA"/>
              </w:rPr>
            </w:pPr>
          </w:p>
        </w:tc>
        <w:tc>
          <w:tcPr>
            <w:tcW w:w="1640" w:type="dxa"/>
            <w:vMerge/>
            <w:tcBorders>
              <w:top w:val="single" w:sz="8" w:space="0" w:color="auto"/>
              <w:left w:val="nil"/>
              <w:bottom w:val="single" w:sz="12" w:space="0" w:color="000000"/>
              <w:right w:val="nil"/>
            </w:tcBorders>
            <w:vAlign w:val="center"/>
            <w:hideMark/>
          </w:tcPr>
          <w:p w:rsidR="00DE347C" w:rsidRPr="00BA4FF3" w:rsidRDefault="00DE347C" w:rsidP="000C6220">
            <w:pPr>
              <w:spacing w:after="0" w:line="240" w:lineRule="auto"/>
              <w:jc w:val="left"/>
              <w:rPr>
                <w:i/>
                <w:iCs/>
                <w:color w:val="000000"/>
                <w:kern w:val="22"/>
                <w:sz w:val="15"/>
                <w:szCs w:val="15"/>
                <w:lang w:val="es-ES" w:eastAsia="en-CA"/>
              </w:rPr>
            </w:pPr>
          </w:p>
        </w:tc>
      </w:tr>
      <w:tr w:rsidR="00DE347C" w:rsidRPr="00EE0850" w:rsidTr="00DE347C">
        <w:tc>
          <w:tcPr>
            <w:tcW w:w="4520" w:type="dxa"/>
            <w:tcBorders>
              <w:top w:val="nil"/>
              <w:left w:val="nil"/>
              <w:bottom w:val="nil"/>
              <w:right w:val="nil"/>
            </w:tcBorders>
            <w:shd w:val="clear" w:color="auto" w:fill="auto"/>
            <w:hideMark/>
          </w:tcPr>
          <w:p w:rsidR="00DE347C" w:rsidRPr="00EE0850" w:rsidRDefault="00DE347C" w:rsidP="00BA4FF3">
            <w:pPr>
              <w:spacing w:after="0" w:line="240" w:lineRule="auto"/>
              <w:jc w:val="left"/>
              <w:rPr>
                <w:b/>
                <w:bCs/>
                <w:color w:val="000000"/>
                <w:kern w:val="22"/>
                <w:sz w:val="17"/>
                <w:szCs w:val="17"/>
                <w:lang w:eastAsia="en-CA"/>
              </w:rPr>
            </w:pPr>
            <w:r w:rsidRPr="00EE0850">
              <w:rPr>
                <w:b/>
                <w:bCs/>
                <w:color w:val="000000"/>
                <w:kern w:val="22"/>
                <w:sz w:val="17"/>
                <w:szCs w:val="17"/>
                <w:lang w:eastAsia="en-CA"/>
              </w:rPr>
              <w:t>I. Program</w:t>
            </w:r>
            <w:r w:rsidR="00BA4FF3">
              <w:rPr>
                <w:b/>
                <w:bCs/>
                <w:color w:val="000000"/>
                <w:kern w:val="22"/>
                <w:sz w:val="17"/>
                <w:szCs w:val="17"/>
                <w:lang w:eastAsia="en-CA"/>
              </w:rPr>
              <w:t>a</w:t>
            </w:r>
            <w:r w:rsidRPr="00EE0850">
              <w:rPr>
                <w:b/>
                <w:bCs/>
                <w:color w:val="000000"/>
                <w:kern w:val="22"/>
                <w:sz w:val="17"/>
                <w:szCs w:val="17"/>
                <w:lang w:eastAsia="en-CA"/>
              </w:rPr>
              <w:t>s:</w:t>
            </w:r>
          </w:p>
        </w:tc>
        <w:tc>
          <w:tcPr>
            <w:tcW w:w="1360" w:type="dxa"/>
            <w:tcBorders>
              <w:top w:val="nil"/>
              <w:left w:val="nil"/>
              <w:bottom w:val="nil"/>
              <w:right w:val="nil"/>
            </w:tcBorders>
            <w:shd w:val="clear" w:color="auto" w:fill="auto"/>
            <w:vAlign w:val="center"/>
            <w:hideMark/>
          </w:tcPr>
          <w:p w:rsidR="00DE347C" w:rsidRPr="00EE0850" w:rsidRDefault="00DE347C" w:rsidP="000C6220">
            <w:pPr>
              <w:spacing w:after="0" w:line="240" w:lineRule="auto"/>
              <w:jc w:val="left"/>
              <w:rPr>
                <w:color w:val="000000"/>
                <w:kern w:val="22"/>
                <w:sz w:val="17"/>
                <w:szCs w:val="17"/>
                <w:lang w:eastAsia="en-CA"/>
              </w:rPr>
            </w:pPr>
          </w:p>
        </w:tc>
        <w:tc>
          <w:tcPr>
            <w:tcW w:w="1600" w:type="dxa"/>
            <w:tcBorders>
              <w:top w:val="nil"/>
              <w:left w:val="nil"/>
              <w:bottom w:val="nil"/>
              <w:right w:val="nil"/>
            </w:tcBorders>
            <w:shd w:val="clear" w:color="auto" w:fill="auto"/>
            <w:vAlign w:val="center"/>
            <w:hideMark/>
          </w:tcPr>
          <w:p w:rsidR="00DE347C" w:rsidRPr="00EE0850" w:rsidRDefault="00DE347C" w:rsidP="000C6220">
            <w:pPr>
              <w:spacing w:after="0" w:line="240" w:lineRule="auto"/>
              <w:jc w:val="right"/>
              <w:rPr>
                <w:color w:val="000000"/>
                <w:kern w:val="22"/>
                <w:sz w:val="17"/>
                <w:szCs w:val="17"/>
                <w:lang w:eastAsia="en-CA"/>
              </w:rPr>
            </w:pPr>
          </w:p>
        </w:tc>
        <w:tc>
          <w:tcPr>
            <w:tcW w:w="1640" w:type="dxa"/>
            <w:tcBorders>
              <w:top w:val="nil"/>
              <w:left w:val="nil"/>
              <w:bottom w:val="nil"/>
              <w:right w:val="nil"/>
            </w:tcBorders>
            <w:shd w:val="clear" w:color="auto" w:fill="auto"/>
            <w:vAlign w:val="center"/>
            <w:hideMark/>
          </w:tcPr>
          <w:p w:rsidR="00DE347C" w:rsidRPr="00EE0850" w:rsidRDefault="00DE347C" w:rsidP="000C6220">
            <w:pPr>
              <w:spacing w:after="0" w:line="240" w:lineRule="auto"/>
              <w:jc w:val="right"/>
              <w:rPr>
                <w:color w:val="000000"/>
                <w:kern w:val="22"/>
                <w:sz w:val="17"/>
                <w:szCs w:val="17"/>
                <w:lang w:eastAsia="en-CA"/>
              </w:rPr>
            </w:pPr>
          </w:p>
        </w:tc>
      </w:tr>
      <w:tr w:rsidR="00DE347C" w:rsidRPr="00EE0850" w:rsidTr="00DE347C">
        <w:trPr>
          <w:trHeight w:val="288"/>
        </w:trPr>
        <w:tc>
          <w:tcPr>
            <w:tcW w:w="4520" w:type="dxa"/>
            <w:tcBorders>
              <w:top w:val="nil"/>
              <w:left w:val="nil"/>
              <w:bottom w:val="nil"/>
              <w:right w:val="nil"/>
            </w:tcBorders>
            <w:shd w:val="clear" w:color="auto" w:fill="auto"/>
            <w:hideMark/>
          </w:tcPr>
          <w:p w:rsidR="00DE347C" w:rsidRPr="00BA4FF3" w:rsidRDefault="00DE347C" w:rsidP="000C6220">
            <w:pPr>
              <w:spacing w:after="0" w:line="240" w:lineRule="auto"/>
              <w:jc w:val="left"/>
              <w:rPr>
                <w:color w:val="000000"/>
                <w:kern w:val="22"/>
                <w:sz w:val="17"/>
                <w:szCs w:val="17"/>
                <w:lang w:val="es-ES" w:eastAsia="en-CA"/>
              </w:rPr>
            </w:pPr>
            <w:r w:rsidRPr="00BA4FF3">
              <w:rPr>
                <w:color w:val="000000"/>
                <w:kern w:val="22"/>
                <w:sz w:val="17"/>
                <w:szCs w:val="17"/>
                <w:lang w:val="es-ES" w:eastAsia="en-CA"/>
              </w:rPr>
              <w:t xml:space="preserve">  </w:t>
            </w:r>
            <w:r w:rsidR="00BA4FF3">
              <w:rPr>
                <w:color w:val="000000"/>
                <w:kern w:val="22"/>
                <w:sz w:val="17"/>
                <w:lang w:val="es-ES"/>
              </w:rPr>
              <w:t>Oficina de la Secretaria Ejecutiva</w:t>
            </w:r>
          </w:p>
        </w:tc>
        <w:tc>
          <w:tcPr>
            <w:tcW w:w="1360" w:type="dxa"/>
            <w:tcBorders>
              <w:top w:val="nil"/>
              <w:left w:val="nil"/>
              <w:bottom w:val="nil"/>
              <w:right w:val="nil"/>
            </w:tcBorders>
            <w:shd w:val="clear" w:color="auto" w:fill="auto"/>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3 534</w:t>
            </w:r>
            <w:r w:rsidR="00BA4FF3">
              <w:rPr>
                <w:color w:val="000000"/>
                <w:kern w:val="22"/>
                <w:sz w:val="17"/>
                <w:szCs w:val="17"/>
                <w:lang w:eastAsia="en-CA"/>
              </w:rPr>
              <w:t>,</w:t>
            </w:r>
            <w:r w:rsidRPr="00EE0850">
              <w:rPr>
                <w:color w:val="000000"/>
                <w:kern w:val="22"/>
                <w:sz w:val="17"/>
                <w:szCs w:val="17"/>
                <w:lang w:eastAsia="en-CA"/>
              </w:rPr>
              <w:t>0</w:t>
            </w:r>
          </w:p>
        </w:tc>
        <w:tc>
          <w:tcPr>
            <w:tcW w:w="1600" w:type="dxa"/>
            <w:tcBorders>
              <w:top w:val="nil"/>
              <w:left w:val="nil"/>
              <w:bottom w:val="nil"/>
              <w:right w:val="nil"/>
            </w:tcBorders>
            <w:shd w:val="clear" w:color="auto" w:fill="auto"/>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3 444</w:t>
            </w:r>
            <w:r w:rsidR="00BA4FF3">
              <w:rPr>
                <w:color w:val="000000"/>
                <w:kern w:val="22"/>
                <w:sz w:val="17"/>
                <w:szCs w:val="17"/>
                <w:lang w:eastAsia="en-CA"/>
              </w:rPr>
              <w:t>,</w:t>
            </w:r>
            <w:r w:rsidRPr="00EE0850">
              <w:rPr>
                <w:color w:val="000000"/>
                <w:kern w:val="22"/>
                <w:sz w:val="17"/>
                <w:szCs w:val="17"/>
                <w:lang w:eastAsia="en-CA"/>
              </w:rPr>
              <w:t>8</w:t>
            </w:r>
          </w:p>
        </w:tc>
        <w:tc>
          <w:tcPr>
            <w:tcW w:w="1640" w:type="dxa"/>
            <w:tcBorders>
              <w:top w:val="nil"/>
              <w:left w:val="nil"/>
              <w:bottom w:val="nil"/>
              <w:right w:val="nil"/>
            </w:tcBorders>
            <w:shd w:val="clear" w:color="auto" w:fill="auto"/>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6 978</w:t>
            </w:r>
            <w:r w:rsidR="00BA4FF3">
              <w:rPr>
                <w:color w:val="000000"/>
                <w:kern w:val="22"/>
                <w:sz w:val="17"/>
                <w:szCs w:val="17"/>
                <w:lang w:eastAsia="en-CA"/>
              </w:rPr>
              <w:t>,</w:t>
            </w:r>
            <w:r w:rsidRPr="00EE0850">
              <w:rPr>
                <w:color w:val="000000"/>
                <w:kern w:val="22"/>
                <w:sz w:val="17"/>
                <w:szCs w:val="17"/>
                <w:lang w:eastAsia="en-CA"/>
              </w:rPr>
              <w:t>8</w:t>
            </w:r>
          </w:p>
        </w:tc>
      </w:tr>
      <w:tr w:rsidR="00DE347C" w:rsidRPr="00EE0850" w:rsidTr="00DE347C">
        <w:trPr>
          <w:trHeight w:val="288"/>
        </w:trPr>
        <w:tc>
          <w:tcPr>
            <w:tcW w:w="4520" w:type="dxa"/>
            <w:tcBorders>
              <w:top w:val="nil"/>
              <w:left w:val="nil"/>
              <w:bottom w:val="nil"/>
              <w:right w:val="nil"/>
            </w:tcBorders>
            <w:shd w:val="clear" w:color="auto" w:fill="auto"/>
            <w:hideMark/>
          </w:tcPr>
          <w:p w:rsidR="00DE347C" w:rsidRPr="00BA4FF3" w:rsidRDefault="00DE347C" w:rsidP="000C6220">
            <w:pPr>
              <w:spacing w:after="0" w:line="240" w:lineRule="auto"/>
              <w:jc w:val="left"/>
              <w:rPr>
                <w:color w:val="000000"/>
                <w:kern w:val="22"/>
                <w:sz w:val="17"/>
                <w:szCs w:val="17"/>
                <w:lang w:val="es-ES" w:eastAsia="en-CA"/>
              </w:rPr>
            </w:pPr>
            <w:r w:rsidRPr="00BA4FF3">
              <w:rPr>
                <w:color w:val="000000"/>
                <w:kern w:val="22"/>
                <w:sz w:val="17"/>
                <w:szCs w:val="17"/>
                <w:lang w:val="es-ES" w:eastAsia="en-CA"/>
              </w:rPr>
              <w:t xml:space="preserve">  </w:t>
            </w:r>
            <w:r w:rsidR="00BA4FF3">
              <w:rPr>
                <w:color w:val="000000"/>
                <w:kern w:val="22"/>
                <w:sz w:val="17"/>
                <w:lang w:val="es-ES"/>
              </w:rPr>
              <w:t>Protocolos de APB y SB</w:t>
            </w:r>
          </w:p>
        </w:tc>
        <w:tc>
          <w:tcPr>
            <w:tcW w:w="1360" w:type="dxa"/>
            <w:tcBorders>
              <w:top w:val="nil"/>
              <w:left w:val="nil"/>
              <w:bottom w:val="nil"/>
              <w:right w:val="nil"/>
            </w:tcBorders>
            <w:shd w:val="clear" w:color="auto" w:fill="auto"/>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2 322</w:t>
            </w:r>
            <w:r w:rsidR="00BA4FF3">
              <w:rPr>
                <w:color w:val="000000"/>
                <w:kern w:val="22"/>
                <w:sz w:val="17"/>
                <w:szCs w:val="17"/>
                <w:lang w:eastAsia="en-CA"/>
              </w:rPr>
              <w:t>,</w:t>
            </w:r>
            <w:r w:rsidRPr="00EE0850">
              <w:rPr>
                <w:color w:val="000000"/>
                <w:kern w:val="22"/>
                <w:sz w:val="17"/>
                <w:szCs w:val="17"/>
                <w:lang w:eastAsia="en-CA"/>
              </w:rPr>
              <w:t>6</w:t>
            </w:r>
          </w:p>
        </w:tc>
        <w:tc>
          <w:tcPr>
            <w:tcW w:w="1600" w:type="dxa"/>
            <w:tcBorders>
              <w:top w:val="nil"/>
              <w:left w:val="nil"/>
              <w:bottom w:val="nil"/>
              <w:right w:val="nil"/>
            </w:tcBorders>
            <w:shd w:val="clear" w:color="auto" w:fill="auto"/>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2 375</w:t>
            </w:r>
            <w:r w:rsidR="00BA4FF3">
              <w:rPr>
                <w:color w:val="000000"/>
                <w:kern w:val="22"/>
                <w:sz w:val="17"/>
                <w:szCs w:val="17"/>
                <w:lang w:eastAsia="en-CA"/>
              </w:rPr>
              <w:t>,</w:t>
            </w:r>
            <w:r w:rsidRPr="00EE0850">
              <w:rPr>
                <w:color w:val="000000"/>
                <w:kern w:val="22"/>
                <w:sz w:val="17"/>
                <w:szCs w:val="17"/>
                <w:lang w:eastAsia="en-CA"/>
              </w:rPr>
              <w:t>9</w:t>
            </w:r>
          </w:p>
        </w:tc>
        <w:tc>
          <w:tcPr>
            <w:tcW w:w="1640" w:type="dxa"/>
            <w:tcBorders>
              <w:top w:val="nil"/>
              <w:left w:val="nil"/>
              <w:bottom w:val="nil"/>
              <w:right w:val="nil"/>
            </w:tcBorders>
            <w:shd w:val="clear" w:color="auto" w:fill="auto"/>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4 698</w:t>
            </w:r>
            <w:r w:rsidR="00BA4FF3">
              <w:rPr>
                <w:color w:val="000000"/>
                <w:kern w:val="22"/>
                <w:sz w:val="17"/>
                <w:szCs w:val="17"/>
                <w:lang w:eastAsia="en-CA"/>
              </w:rPr>
              <w:t>,</w:t>
            </w:r>
            <w:r w:rsidRPr="00EE0850">
              <w:rPr>
                <w:color w:val="000000"/>
                <w:kern w:val="22"/>
                <w:sz w:val="17"/>
                <w:szCs w:val="17"/>
                <w:lang w:eastAsia="en-CA"/>
              </w:rPr>
              <w:t>5</w:t>
            </w:r>
          </w:p>
        </w:tc>
      </w:tr>
      <w:tr w:rsidR="00DE347C" w:rsidRPr="00EE0850" w:rsidTr="00DE347C">
        <w:trPr>
          <w:trHeight w:val="288"/>
        </w:trPr>
        <w:tc>
          <w:tcPr>
            <w:tcW w:w="4520" w:type="dxa"/>
            <w:tcBorders>
              <w:top w:val="nil"/>
              <w:left w:val="nil"/>
              <w:bottom w:val="nil"/>
              <w:right w:val="nil"/>
            </w:tcBorders>
            <w:shd w:val="clear" w:color="auto" w:fill="auto"/>
            <w:hideMark/>
          </w:tcPr>
          <w:p w:rsidR="00DE347C" w:rsidRPr="00BA4FF3" w:rsidRDefault="00DE347C" w:rsidP="000C6220">
            <w:pPr>
              <w:spacing w:after="0" w:line="240" w:lineRule="auto"/>
              <w:jc w:val="left"/>
              <w:rPr>
                <w:color w:val="000000"/>
                <w:kern w:val="22"/>
                <w:sz w:val="17"/>
                <w:szCs w:val="17"/>
                <w:lang w:val="es-ES" w:eastAsia="en-CA"/>
              </w:rPr>
            </w:pPr>
            <w:r w:rsidRPr="00BA4FF3">
              <w:rPr>
                <w:color w:val="000000"/>
                <w:kern w:val="22"/>
                <w:sz w:val="17"/>
                <w:szCs w:val="17"/>
                <w:lang w:val="es-ES" w:eastAsia="en-CA"/>
              </w:rPr>
              <w:t xml:space="preserve">  </w:t>
            </w:r>
            <w:r w:rsidR="00BA4FF3">
              <w:rPr>
                <w:color w:val="000000"/>
                <w:kern w:val="22"/>
                <w:sz w:val="17"/>
                <w:lang w:val="es-ES"/>
              </w:rPr>
              <w:t>División de Ciencia, Sociedad y Futuros Sostenibles</w:t>
            </w:r>
          </w:p>
        </w:tc>
        <w:tc>
          <w:tcPr>
            <w:tcW w:w="1360" w:type="dxa"/>
            <w:tcBorders>
              <w:top w:val="nil"/>
              <w:left w:val="nil"/>
              <w:bottom w:val="nil"/>
              <w:right w:val="nil"/>
            </w:tcBorders>
            <w:shd w:val="clear" w:color="auto" w:fill="auto"/>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3 912</w:t>
            </w:r>
            <w:r w:rsidR="00BA4FF3">
              <w:rPr>
                <w:color w:val="000000"/>
                <w:kern w:val="22"/>
                <w:sz w:val="17"/>
                <w:szCs w:val="17"/>
                <w:lang w:eastAsia="en-CA"/>
              </w:rPr>
              <w:t>,</w:t>
            </w:r>
            <w:r w:rsidRPr="00EE0850">
              <w:rPr>
                <w:color w:val="000000"/>
                <w:kern w:val="22"/>
                <w:sz w:val="17"/>
                <w:szCs w:val="17"/>
                <w:lang w:eastAsia="en-CA"/>
              </w:rPr>
              <w:t>3</w:t>
            </w:r>
          </w:p>
        </w:tc>
        <w:tc>
          <w:tcPr>
            <w:tcW w:w="1600" w:type="dxa"/>
            <w:tcBorders>
              <w:top w:val="nil"/>
              <w:left w:val="nil"/>
              <w:bottom w:val="nil"/>
              <w:right w:val="nil"/>
            </w:tcBorders>
            <w:shd w:val="clear" w:color="auto" w:fill="auto"/>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3 909</w:t>
            </w:r>
            <w:r w:rsidR="00BA4FF3">
              <w:rPr>
                <w:color w:val="000000"/>
                <w:kern w:val="22"/>
                <w:sz w:val="17"/>
                <w:szCs w:val="17"/>
                <w:lang w:eastAsia="en-CA"/>
              </w:rPr>
              <w:t>,</w:t>
            </w:r>
            <w:r w:rsidRPr="00EE0850">
              <w:rPr>
                <w:color w:val="000000"/>
                <w:kern w:val="22"/>
                <w:sz w:val="17"/>
                <w:szCs w:val="17"/>
                <w:lang w:eastAsia="en-CA"/>
              </w:rPr>
              <w:t>0</w:t>
            </w:r>
          </w:p>
        </w:tc>
        <w:tc>
          <w:tcPr>
            <w:tcW w:w="1640" w:type="dxa"/>
            <w:tcBorders>
              <w:top w:val="nil"/>
              <w:left w:val="nil"/>
              <w:bottom w:val="nil"/>
              <w:right w:val="nil"/>
            </w:tcBorders>
            <w:shd w:val="clear" w:color="auto" w:fill="auto"/>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7 821</w:t>
            </w:r>
            <w:r w:rsidR="00BA4FF3">
              <w:rPr>
                <w:color w:val="000000"/>
                <w:kern w:val="22"/>
                <w:sz w:val="17"/>
                <w:szCs w:val="17"/>
                <w:lang w:eastAsia="en-CA"/>
              </w:rPr>
              <w:t>,</w:t>
            </w:r>
            <w:r w:rsidRPr="00EE0850">
              <w:rPr>
                <w:color w:val="000000"/>
                <w:kern w:val="22"/>
                <w:sz w:val="17"/>
                <w:szCs w:val="17"/>
                <w:lang w:eastAsia="en-CA"/>
              </w:rPr>
              <w:t>3</w:t>
            </w:r>
          </w:p>
        </w:tc>
      </w:tr>
      <w:tr w:rsidR="00DE347C" w:rsidRPr="00EE0850" w:rsidTr="00DE347C">
        <w:trPr>
          <w:trHeight w:val="300"/>
        </w:trPr>
        <w:tc>
          <w:tcPr>
            <w:tcW w:w="4520" w:type="dxa"/>
            <w:tcBorders>
              <w:top w:val="nil"/>
              <w:left w:val="nil"/>
              <w:bottom w:val="single" w:sz="8" w:space="0" w:color="auto"/>
              <w:right w:val="nil"/>
            </w:tcBorders>
            <w:shd w:val="clear" w:color="auto" w:fill="auto"/>
            <w:hideMark/>
          </w:tcPr>
          <w:p w:rsidR="00DE347C" w:rsidRPr="00BA4FF3" w:rsidRDefault="00DE347C" w:rsidP="000C6220">
            <w:pPr>
              <w:spacing w:after="0" w:line="240" w:lineRule="auto"/>
              <w:jc w:val="left"/>
              <w:rPr>
                <w:color w:val="000000"/>
                <w:kern w:val="22"/>
                <w:sz w:val="17"/>
                <w:szCs w:val="17"/>
                <w:lang w:val="es-ES" w:eastAsia="en-CA"/>
              </w:rPr>
            </w:pPr>
            <w:r w:rsidRPr="00BA4FF3">
              <w:rPr>
                <w:color w:val="000000"/>
                <w:kern w:val="22"/>
                <w:sz w:val="17"/>
                <w:szCs w:val="17"/>
                <w:lang w:val="es-ES" w:eastAsia="en-CA"/>
              </w:rPr>
              <w:t xml:space="preserve">  </w:t>
            </w:r>
            <w:r w:rsidR="00BA4FF3">
              <w:rPr>
                <w:color w:val="000000"/>
                <w:kern w:val="22"/>
                <w:sz w:val="17"/>
                <w:lang w:val="es-ES"/>
              </w:rPr>
              <w:t>División de Apoyo a la Aplicación</w:t>
            </w:r>
          </w:p>
        </w:tc>
        <w:tc>
          <w:tcPr>
            <w:tcW w:w="1360" w:type="dxa"/>
            <w:tcBorders>
              <w:top w:val="nil"/>
              <w:left w:val="nil"/>
              <w:bottom w:val="single" w:sz="8" w:space="0" w:color="auto"/>
              <w:right w:val="nil"/>
            </w:tcBorders>
            <w:shd w:val="clear" w:color="auto" w:fill="auto"/>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3 105</w:t>
            </w:r>
            <w:r w:rsidR="00BA4FF3">
              <w:rPr>
                <w:color w:val="000000"/>
                <w:kern w:val="22"/>
                <w:sz w:val="17"/>
                <w:szCs w:val="17"/>
                <w:lang w:eastAsia="en-CA"/>
              </w:rPr>
              <w:t>,</w:t>
            </w:r>
            <w:r w:rsidRPr="00EE0850">
              <w:rPr>
                <w:color w:val="000000"/>
                <w:kern w:val="22"/>
                <w:sz w:val="17"/>
                <w:szCs w:val="17"/>
                <w:lang w:eastAsia="en-CA"/>
              </w:rPr>
              <w:t>0</w:t>
            </w:r>
          </w:p>
        </w:tc>
        <w:tc>
          <w:tcPr>
            <w:tcW w:w="1600" w:type="dxa"/>
            <w:tcBorders>
              <w:top w:val="nil"/>
              <w:left w:val="nil"/>
              <w:bottom w:val="single" w:sz="8" w:space="0" w:color="auto"/>
              <w:right w:val="nil"/>
            </w:tcBorders>
            <w:shd w:val="clear" w:color="auto" w:fill="auto"/>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3 708</w:t>
            </w:r>
            <w:r w:rsidR="00BA4FF3">
              <w:rPr>
                <w:color w:val="000000"/>
                <w:kern w:val="22"/>
                <w:sz w:val="17"/>
                <w:szCs w:val="17"/>
                <w:lang w:eastAsia="en-CA"/>
              </w:rPr>
              <w:t>,</w:t>
            </w:r>
            <w:r w:rsidRPr="00EE0850">
              <w:rPr>
                <w:color w:val="000000"/>
                <w:kern w:val="22"/>
                <w:sz w:val="17"/>
                <w:szCs w:val="17"/>
                <w:lang w:eastAsia="en-CA"/>
              </w:rPr>
              <w:t>2</w:t>
            </w:r>
          </w:p>
        </w:tc>
        <w:tc>
          <w:tcPr>
            <w:tcW w:w="1640" w:type="dxa"/>
            <w:tcBorders>
              <w:top w:val="nil"/>
              <w:left w:val="nil"/>
              <w:bottom w:val="single" w:sz="8" w:space="0" w:color="auto"/>
              <w:right w:val="nil"/>
            </w:tcBorders>
            <w:shd w:val="clear" w:color="auto" w:fill="auto"/>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6 813</w:t>
            </w:r>
            <w:r w:rsidR="00BA4FF3">
              <w:rPr>
                <w:color w:val="000000"/>
                <w:kern w:val="22"/>
                <w:sz w:val="17"/>
                <w:szCs w:val="17"/>
                <w:lang w:eastAsia="en-CA"/>
              </w:rPr>
              <w:t>,</w:t>
            </w:r>
            <w:r w:rsidRPr="00EE0850">
              <w:rPr>
                <w:color w:val="000000"/>
                <w:kern w:val="22"/>
                <w:sz w:val="17"/>
                <w:szCs w:val="17"/>
                <w:lang w:eastAsia="en-CA"/>
              </w:rPr>
              <w:t>2</w:t>
            </w:r>
          </w:p>
        </w:tc>
      </w:tr>
      <w:tr w:rsidR="00DE347C" w:rsidRPr="00EE0850" w:rsidTr="00DE347C">
        <w:trPr>
          <w:trHeight w:val="300"/>
        </w:trPr>
        <w:tc>
          <w:tcPr>
            <w:tcW w:w="4520" w:type="dxa"/>
            <w:tcBorders>
              <w:top w:val="nil"/>
              <w:left w:val="nil"/>
              <w:bottom w:val="single" w:sz="8" w:space="0" w:color="auto"/>
              <w:right w:val="nil"/>
            </w:tcBorders>
            <w:shd w:val="clear" w:color="auto" w:fill="auto"/>
            <w:hideMark/>
          </w:tcPr>
          <w:p w:rsidR="00DE347C" w:rsidRPr="00BA4FF3" w:rsidRDefault="00DE347C" w:rsidP="000C6220">
            <w:pPr>
              <w:spacing w:after="0" w:line="240" w:lineRule="auto"/>
              <w:jc w:val="left"/>
              <w:rPr>
                <w:b/>
                <w:bCs/>
                <w:color w:val="000000"/>
                <w:kern w:val="22"/>
                <w:sz w:val="17"/>
                <w:szCs w:val="17"/>
                <w:lang w:val="es-ES" w:eastAsia="en-CA"/>
              </w:rPr>
            </w:pPr>
            <w:r w:rsidRPr="00BA4FF3">
              <w:rPr>
                <w:b/>
                <w:bCs/>
                <w:color w:val="000000"/>
                <w:kern w:val="22"/>
                <w:sz w:val="17"/>
                <w:szCs w:val="17"/>
                <w:lang w:val="es-ES" w:eastAsia="en-CA"/>
              </w:rPr>
              <w:t xml:space="preserve">II. </w:t>
            </w:r>
            <w:r w:rsidR="00BA4FF3">
              <w:rPr>
                <w:b/>
                <w:color w:val="000000"/>
                <w:kern w:val="22"/>
                <w:sz w:val="17"/>
                <w:lang w:val="es-ES"/>
              </w:rPr>
              <w:t>Administración, Finanzas y Servicios de Conferencias</w:t>
            </w:r>
          </w:p>
        </w:tc>
        <w:tc>
          <w:tcPr>
            <w:tcW w:w="1360" w:type="dxa"/>
            <w:tcBorders>
              <w:top w:val="nil"/>
              <w:left w:val="nil"/>
              <w:bottom w:val="single" w:sz="8" w:space="0" w:color="auto"/>
              <w:right w:val="nil"/>
            </w:tcBorders>
            <w:shd w:val="clear" w:color="auto" w:fill="auto"/>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3 845</w:t>
            </w:r>
            <w:r w:rsidR="00BA4FF3">
              <w:rPr>
                <w:color w:val="000000"/>
                <w:kern w:val="22"/>
                <w:sz w:val="17"/>
                <w:szCs w:val="17"/>
                <w:lang w:eastAsia="en-CA"/>
              </w:rPr>
              <w:t>,</w:t>
            </w:r>
            <w:r w:rsidRPr="00EE0850">
              <w:rPr>
                <w:color w:val="000000"/>
                <w:kern w:val="22"/>
                <w:sz w:val="17"/>
                <w:szCs w:val="17"/>
                <w:lang w:eastAsia="en-CA"/>
              </w:rPr>
              <w:t>0</w:t>
            </w:r>
          </w:p>
        </w:tc>
        <w:tc>
          <w:tcPr>
            <w:tcW w:w="1600" w:type="dxa"/>
            <w:tcBorders>
              <w:top w:val="nil"/>
              <w:left w:val="nil"/>
              <w:bottom w:val="single" w:sz="8" w:space="0" w:color="auto"/>
              <w:right w:val="nil"/>
            </w:tcBorders>
            <w:shd w:val="clear" w:color="auto" w:fill="auto"/>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4 052</w:t>
            </w:r>
            <w:r w:rsidR="00BA4FF3">
              <w:rPr>
                <w:color w:val="000000"/>
                <w:kern w:val="22"/>
                <w:sz w:val="17"/>
                <w:szCs w:val="17"/>
                <w:lang w:eastAsia="en-CA"/>
              </w:rPr>
              <w:t>,</w:t>
            </w:r>
            <w:r w:rsidRPr="00EE0850">
              <w:rPr>
                <w:color w:val="000000"/>
                <w:kern w:val="22"/>
                <w:sz w:val="17"/>
                <w:szCs w:val="17"/>
                <w:lang w:eastAsia="en-CA"/>
              </w:rPr>
              <w:t>6</w:t>
            </w:r>
          </w:p>
        </w:tc>
        <w:tc>
          <w:tcPr>
            <w:tcW w:w="1640" w:type="dxa"/>
            <w:tcBorders>
              <w:top w:val="nil"/>
              <w:left w:val="nil"/>
              <w:bottom w:val="single" w:sz="8" w:space="0" w:color="auto"/>
              <w:right w:val="nil"/>
            </w:tcBorders>
            <w:shd w:val="clear" w:color="auto" w:fill="auto"/>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7 897</w:t>
            </w:r>
            <w:r w:rsidR="00BA4FF3">
              <w:rPr>
                <w:color w:val="000000"/>
                <w:kern w:val="22"/>
                <w:sz w:val="17"/>
                <w:szCs w:val="17"/>
                <w:lang w:eastAsia="en-CA"/>
              </w:rPr>
              <w:t>,</w:t>
            </w:r>
            <w:r w:rsidRPr="00EE0850">
              <w:rPr>
                <w:color w:val="000000"/>
                <w:kern w:val="22"/>
                <w:sz w:val="17"/>
                <w:szCs w:val="17"/>
                <w:lang w:eastAsia="en-CA"/>
              </w:rPr>
              <w:t>6</w:t>
            </w:r>
          </w:p>
        </w:tc>
      </w:tr>
      <w:tr w:rsidR="00DE347C" w:rsidRPr="00EE0850" w:rsidTr="00DE347C">
        <w:trPr>
          <w:trHeight w:val="300"/>
        </w:trPr>
        <w:tc>
          <w:tcPr>
            <w:tcW w:w="4520" w:type="dxa"/>
            <w:tcBorders>
              <w:top w:val="nil"/>
              <w:left w:val="nil"/>
              <w:bottom w:val="single" w:sz="12" w:space="0" w:color="auto"/>
              <w:right w:val="nil"/>
            </w:tcBorders>
            <w:shd w:val="clear" w:color="auto" w:fill="auto"/>
            <w:hideMark/>
          </w:tcPr>
          <w:p w:rsidR="00DE347C" w:rsidRPr="00EE0850" w:rsidRDefault="00DE347C" w:rsidP="000C6220">
            <w:pPr>
              <w:spacing w:after="0" w:line="240" w:lineRule="auto"/>
              <w:jc w:val="left"/>
              <w:rPr>
                <w:b/>
                <w:bCs/>
                <w:color w:val="000000"/>
                <w:kern w:val="22"/>
                <w:sz w:val="17"/>
                <w:szCs w:val="17"/>
                <w:lang w:eastAsia="en-CA"/>
              </w:rPr>
            </w:pPr>
            <w:r w:rsidRPr="00EE0850">
              <w:rPr>
                <w:b/>
                <w:bCs/>
                <w:color w:val="000000"/>
                <w:kern w:val="22"/>
                <w:sz w:val="17"/>
                <w:szCs w:val="17"/>
                <w:lang w:eastAsia="en-CA"/>
              </w:rPr>
              <w:t>Subtotal</w:t>
            </w:r>
          </w:p>
        </w:tc>
        <w:tc>
          <w:tcPr>
            <w:tcW w:w="1360" w:type="dxa"/>
            <w:tcBorders>
              <w:top w:val="nil"/>
              <w:left w:val="nil"/>
              <w:bottom w:val="single" w:sz="12" w:space="0" w:color="auto"/>
              <w:right w:val="nil"/>
            </w:tcBorders>
            <w:shd w:val="clear" w:color="auto" w:fill="auto"/>
            <w:hideMark/>
          </w:tcPr>
          <w:p w:rsidR="00DE347C" w:rsidRPr="00EE0850" w:rsidRDefault="00DE347C" w:rsidP="00BA4FF3">
            <w:pPr>
              <w:spacing w:after="0" w:line="240" w:lineRule="auto"/>
              <w:jc w:val="right"/>
              <w:rPr>
                <w:b/>
                <w:bCs/>
                <w:color w:val="000000"/>
                <w:kern w:val="22"/>
                <w:sz w:val="17"/>
                <w:szCs w:val="17"/>
                <w:lang w:eastAsia="en-CA"/>
              </w:rPr>
            </w:pPr>
            <w:r w:rsidRPr="00EE0850">
              <w:rPr>
                <w:b/>
                <w:bCs/>
                <w:color w:val="000000"/>
                <w:kern w:val="22"/>
                <w:sz w:val="17"/>
                <w:szCs w:val="17"/>
                <w:lang w:eastAsia="en-CA"/>
              </w:rPr>
              <w:t>16 718</w:t>
            </w:r>
            <w:r w:rsidR="00BA4FF3">
              <w:rPr>
                <w:b/>
                <w:bCs/>
                <w:color w:val="000000"/>
                <w:kern w:val="22"/>
                <w:sz w:val="17"/>
                <w:szCs w:val="17"/>
                <w:lang w:eastAsia="en-CA"/>
              </w:rPr>
              <w:t>,</w:t>
            </w:r>
            <w:r w:rsidRPr="00EE0850">
              <w:rPr>
                <w:b/>
                <w:bCs/>
                <w:color w:val="000000"/>
                <w:kern w:val="22"/>
                <w:sz w:val="17"/>
                <w:szCs w:val="17"/>
                <w:lang w:eastAsia="en-CA"/>
              </w:rPr>
              <w:t>9</w:t>
            </w:r>
          </w:p>
        </w:tc>
        <w:tc>
          <w:tcPr>
            <w:tcW w:w="1600" w:type="dxa"/>
            <w:tcBorders>
              <w:top w:val="nil"/>
              <w:left w:val="nil"/>
              <w:bottom w:val="single" w:sz="12" w:space="0" w:color="auto"/>
              <w:right w:val="nil"/>
            </w:tcBorders>
            <w:shd w:val="clear" w:color="auto" w:fill="auto"/>
            <w:hideMark/>
          </w:tcPr>
          <w:p w:rsidR="00DE347C" w:rsidRPr="00EE0850" w:rsidRDefault="00DE347C" w:rsidP="00BA4FF3">
            <w:pPr>
              <w:spacing w:after="0" w:line="240" w:lineRule="auto"/>
              <w:jc w:val="right"/>
              <w:rPr>
                <w:b/>
                <w:bCs/>
                <w:color w:val="000000"/>
                <w:kern w:val="22"/>
                <w:sz w:val="17"/>
                <w:szCs w:val="17"/>
                <w:lang w:eastAsia="en-CA"/>
              </w:rPr>
            </w:pPr>
            <w:r w:rsidRPr="00EE0850">
              <w:rPr>
                <w:b/>
                <w:bCs/>
                <w:color w:val="000000"/>
                <w:kern w:val="22"/>
                <w:sz w:val="17"/>
                <w:szCs w:val="17"/>
                <w:lang w:eastAsia="en-CA"/>
              </w:rPr>
              <w:t>17 490</w:t>
            </w:r>
            <w:r w:rsidR="00BA4FF3">
              <w:rPr>
                <w:b/>
                <w:bCs/>
                <w:color w:val="000000"/>
                <w:kern w:val="22"/>
                <w:sz w:val="17"/>
                <w:szCs w:val="17"/>
                <w:lang w:eastAsia="en-CA"/>
              </w:rPr>
              <w:t>,</w:t>
            </w:r>
            <w:r w:rsidRPr="00EE0850">
              <w:rPr>
                <w:b/>
                <w:bCs/>
                <w:color w:val="000000"/>
                <w:kern w:val="22"/>
                <w:sz w:val="17"/>
                <w:szCs w:val="17"/>
                <w:lang w:eastAsia="en-CA"/>
              </w:rPr>
              <w:t>5</w:t>
            </w:r>
          </w:p>
        </w:tc>
        <w:tc>
          <w:tcPr>
            <w:tcW w:w="1640" w:type="dxa"/>
            <w:tcBorders>
              <w:top w:val="nil"/>
              <w:left w:val="nil"/>
              <w:bottom w:val="single" w:sz="12" w:space="0" w:color="auto"/>
              <w:right w:val="nil"/>
            </w:tcBorders>
            <w:shd w:val="clear" w:color="auto" w:fill="auto"/>
            <w:hideMark/>
          </w:tcPr>
          <w:p w:rsidR="00DE347C" w:rsidRPr="00EE0850" w:rsidRDefault="00DE347C" w:rsidP="00BA4FF3">
            <w:pPr>
              <w:spacing w:after="0" w:line="240" w:lineRule="auto"/>
              <w:jc w:val="right"/>
              <w:rPr>
                <w:b/>
                <w:bCs/>
                <w:color w:val="000000"/>
                <w:kern w:val="22"/>
                <w:sz w:val="17"/>
                <w:szCs w:val="17"/>
                <w:lang w:eastAsia="en-CA"/>
              </w:rPr>
            </w:pPr>
            <w:r w:rsidRPr="00EE0850">
              <w:rPr>
                <w:b/>
                <w:bCs/>
                <w:color w:val="000000"/>
                <w:kern w:val="22"/>
                <w:sz w:val="17"/>
                <w:szCs w:val="17"/>
                <w:lang w:eastAsia="en-CA"/>
              </w:rPr>
              <w:t>34 209</w:t>
            </w:r>
            <w:r w:rsidR="00BA4FF3">
              <w:rPr>
                <w:b/>
                <w:bCs/>
                <w:color w:val="000000"/>
                <w:kern w:val="22"/>
                <w:sz w:val="17"/>
                <w:szCs w:val="17"/>
                <w:lang w:eastAsia="en-CA"/>
              </w:rPr>
              <w:t>,</w:t>
            </w:r>
            <w:r w:rsidRPr="00EE0850">
              <w:rPr>
                <w:b/>
                <w:bCs/>
                <w:color w:val="000000"/>
                <w:kern w:val="22"/>
                <w:sz w:val="17"/>
                <w:szCs w:val="17"/>
                <w:lang w:eastAsia="en-CA"/>
              </w:rPr>
              <w:t>4</w:t>
            </w:r>
          </w:p>
        </w:tc>
      </w:tr>
      <w:tr w:rsidR="00DE347C" w:rsidRPr="00EE0850" w:rsidTr="00DE347C">
        <w:trPr>
          <w:trHeight w:val="300"/>
        </w:trPr>
        <w:tc>
          <w:tcPr>
            <w:tcW w:w="4520" w:type="dxa"/>
            <w:tcBorders>
              <w:top w:val="nil"/>
              <w:left w:val="nil"/>
              <w:bottom w:val="nil"/>
              <w:right w:val="nil"/>
            </w:tcBorders>
            <w:shd w:val="clear" w:color="auto" w:fill="auto"/>
            <w:hideMark/>
          </w:tcPr>
          <w:p w:rsidR="00DE347C" w:rsidRPr="00BA4FF3" w:rsidRDefault="00BA4FF3" w:rsidP="000C6220">
            <w:pPr>
              <w:spacing w:after="0" w:line="240" w:lineRule="auto"/>
              <w:jc w:val="left"/>
              <w:rPr>
                <w:color w:val="000000"/>
                <w:kern w:val="22"/>
                <w:sz w:val="17"/>
                <w:szCs w:val="17"/>
                <w:lang w:val="es-ES" w:eastAsia="en-CA"/>
              </w:rPr>
            </w:pPr>
            <w:r>
              <w:rPr>
                <w:color w:val="000000"/>
                <w:kern w:val="22"/>
                <w:sz w:val="17"/>
                <w:lang w:val="es-ES"/>
              </w:rPr>
              <w:t>Gastos de apoyo a los programas</w:t>
            </w:r>
          </w:p>
        </w:tc>
        <w:tc>
          <w:tcPr>
            <w:tcW w:w="1360" w:type="dxa"/>
            <w:tcBorders>
              <w:top w:val="nil"/>
              <w:left w:val="nil"/>
              <w:bottom w:val="nil"/>
              <w:right w:val="nil"/>
            </w:tcBorders>
            <w:shd w:val="clear" w:color="auto" w:fill="auto"/>
            <w:noWrap/>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2 173</w:t>
            </w:r>
            <w:r w:rsidR="00BA4FF3">
              <w:rPr>
                <w:color w:val="000000"/>
                <w:kern w:val="22"/>
                <w:sz w:val="17"/>
                <w:szCs w:val="17"/>
                <w:lang w:eastAsia="en-CA"/>
              </w:rPr>
              <w:t>,</w:t>
            </w:r>
            <w:r w:rsidRPr="00EE0850">
              <w:rPr>
                <w:color w:val="000000"/>
                <w:kern w:val="22"/>
                <w:sz w:val="17"/>
                <w:szCs w:val="17"/>
                <w:lang w:eastAsia="en-CA"/>
              </w:rPr>
              <w:t>4</w:t>
            </w:r>
          </w:p>
        </w:tc>
        <w:tc>
          <w:tcPr>
            <w:tcW w:w="1600" w:type="dxa"/>
            <w:tcBorders>
              <w:top w:val="nil"/>
              <w:left w:val="nil"/>
              <w:bottom w:val="nil"/>
              <w:right w:val="nil"/>
            </w:tcBorders>
            <w:shd w:val="clear" w:color="auto" w:fill="auto"/>
            <w:noWrap/>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2 273</w:t>
            </w:r>
            <w:r w:rsidR="00BA4FF3">
              <w:rPr>
                <w:color w:val="000000"/>
                <w:kern w:val="22"/>
                <w:sz w:val="17"/>
                <w:szCs w:val="17"/>
                <w:lang w:eastAsia="en-CA"/>
              </w:rPr>
              <w:t>,</w:t>
            </w:r>
            <w:r w:rsidRPr="00EE0850">
              <w:rPr>
                <w:color w:val="000000"/>
                <w:kern w:val="22"/>
                <w:sz w:val="17"/>
                <w:szCs w:val="17"/>
                <w:lang w:eastAsia="en-CA"/>
              </w:rPr>
              <w:t>9</w:t>
            </w:r>
          </w:p>
        </w:tc>
        <w:tc>
          <w:tcPr>
            <w:tcW w:w="1640" w:type="dxa"/>
            <w:tcBorders>
              <w:top w:val="nil"/>
              <w:left w:val="nil"/>
              <w:bottom w:val="nil"/>
              <w:right w:val="nil"/>
            </w:tcBorders>
            <w:shd w:val="clear" w:color="auto" w:fill="auto"/>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4 447</w:t>
            </w:r>
            <w:r w:rsidR="00BA4FF3">
              <w:rPr>
                <w:color w:val="000000"/>
                <w:kern w:val="22"/>
                <w:sz w:val="17"/>
                <w:szCs w:val="17"/>
                <w:lang w:eastAsia="en-CA"/>
              </w:rPr>
              <w:t>,</w:t>
            </w:r>
            <w:r w:rsidRPr="00EE0850">
              <w:rPr>
                <w:color w:val="000000"/>
                <w:kern w:val="22"/>
                <w:sz w:val="17"/>
                <w:szCs w:val="17"/>
                <w:lang w:eastAsia="en-CA"/>
              </w:rPr>
              <w:t>2</w:t>
            </w:r>
          </w:p>
        </w:tc>
      </w:tr>
      <w:tr w:rsidR="00DE347C" w:rsidRPr="00EE0850" w:rsidTr="00DE347C">
        <w:trPr>
          <w:trHeight w:val="300"/>
        </w:trPr>
        <w:tc>
          <w:tcPr>
            <w:tcW w:w="4520" w:type="dxa"/>
            <w:tcBorders>
              <w:top w:val="nil"/>
              <w:left w:val="nil"/>
              <w:bottom w:val="single" w:sz="8" w:space="0" w:color="auto"/>
              <w:right w:val="nil"/>
            </w:tcBorders>
            <w:shd w:val="clear" w:color="auto" w:fill="auto"/>
            <w:hideMark/>
          </w:tcPr>
          <w:p w:rsidR="00DE347C" w:rsidRPr="00EE0850" w:rsidRDefault="00DE347C" w:rsidP="000C6220">
            <w:pPr>
              <w:spacing w:after="0" w:line="240" w:lineRule="auto"/>
              <w:jc w:val="left"/>
              <w:rPr>
                <w:b/>
                <w:bCs/>
                <w:color w:val="000000"/>
                <w:kern w:val="22"/>
                <w:sz w:val="17"/>
                <w:szCs w:val="17"/>
                <w:lang w:eastAsia="en-CA"/>
              </w:rPr>
            </w:pPr>
            <w:r w:rsidRPr="00EE0850">
              <w:rPr>
                <w:b/>
                <w:bCs/>
                <w:color w:val="000000"/>
                <w:kern w:val="22"/>
                <w:sz w:val="17"/>
                <w:szCs w:val="17"/>
                <w:lang w:eastAsia="en-CA"/>
              </w:rPr>
              <w:t xml:space="preserve">III. </w:t>
            </w:r>
            <w:r w:rsidR="00BA4FF3">
              <w:rPr>
                <w:b/>
                <w:bCs/>
                <w:color w:val="000000"/>
                <w:kern w:val="22"/>
                <w:sz w:val="17"/>
                <w:szCs w:val="17"/>
                <w:lang w:eastAsia="en-CA"/>
              </w:rPr>
              <w:t>Reserva operacional</w:t>
            </w:r>
          </w:p>
        </w:tc>
        <w:tc>
          <w:tcPr>
            <w:tcW w:w="1360" w:type="dxa"/>
            <w:tcBorders>
              <w:top w:val="nil"/>
              <w:left w:val="nil"/>
              <w:bottom w:val="single" w:sz="8" w:space="0" w:color="auto"/>
              <w:right w:val="nil"/>
            </w:tcBorders>
            <w:shd w:val="clear" w:color="auto" w:fill="auto"/>
            <w:noWrap/>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56</w:t>
            </w:r>
            <w:r w:rsidR="00BA4FF3">
              <w:rPr>
                <w:color w:val="000000"/>
                <w:kern w:val="22"/>
                <w:sz w:val="17"/>
                <w:szCs w:val="17"/>
                <w:lang w:eastAsia="en-CA"/>
              </w:rPr>
              <w:t>,</w:t>
            </w:r>
            <w:r w:rsidRPr="00EE0850">
              <w:rPr>
                <w:color w:val="000000"/>
                <w:kern w:val="22"/>
                <w:sz w:val="17"/>
                <w:szCs w:val="17"/>
                <w:lang w:eastAsia="en-CA"/>
              </w:rPr>
              <w:t>6</w:t>
            </w:r>
          </w:p>
        </w:tc>
        <w:tc>
          <w:tcPr>
            <w:tcW w:w="1600" w:type="dxa"/>
            <w:tcBorders>
              <w:top w:val="nil"/>
              <w:left w:val="nil"/>
              <w:bottom w:val="single" w:sz="8" w:space="0" w:color="auto"/>
              <w:right w:val="nil"/>
            </w:tcBorders>
            <w:shd w:val="clear" w:color="auto" w:fill="auto"/>
            <w:noWrap/>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130</w:t>
            </w:r>
            <w:r w:rsidR="00BA4FF3">
              <w:rPr>
                <w:color w:val="000000"/>
                <w:kern w:val="22"/>
                <w:sz w:val="17"/>
                <w:szCs w:val="17"/>
                <w:lang w:eastAsia="en-CA"/>
              </w:rPr>
              <w:t>,</w:t>
            </w:r>
            <w:r w:rsidRPr="00EE0850">
              <w:rPr>
                <w:color w:val="000000"/>
                <w:kern w:val="22"/>
                <w:sz w:val="17"/>
                <w:szCs w:val="17"/>
                <w:lang w:eastAsia="en-CA"/>
              </w:rPr>
              <w:t>8</w:t>
            </w:r>
          </w:p>
        </w:tc>
        <w:tc>
          <w:tcPr>
            <w:tcW w:w="1640" w:type="dxa"/>
            <w:tcBorders>
              <w:top w:val="nil"/>
              <w:left w:val="nil"/>
              <w:bottom w:val="single" w:sz="8" w:space="0" w:color="auto"/>
              <w:right w:val="nil"/>
            </w:tcBorders>
            <w:shd w:val="clear" w:color="auto" w:fill="auto"/>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187</w:t>
            </w:r>
            <w:r w:rsidR="00BA4FF3">
              <w:rPr>
                <w:color w:val="000000"/>
                <w:kern w:val="22"/>
                <w:sz w:val="17"/>
                <w:szCs w:val="17"/>
                <w:lang w:eastAsia="en-CA"/>
              </w:rPr>
              <w:t>,</w:t>
            </w:r>
            <w:r w:rsidRPr="00EE0850">
              <w:rPr>
                <w:color w:val="000000"/>
                <w:kern w:val="22"/>
                <w:sz w:val="17"/>
                <w:szCs w:val="17"/>
                <w:lang w:eastAsia="en-CA"/>
              </w:rPr>
              <w:t>5</w:t>
            </w:r>
          </w:p>
        </w:tc>
      </w:tr>
      <w:tr w:rsidR="00DE347C" w:rsidRPr="00EE0850" w:rsidTr="00DE347C">
        <w:trPr>
          <w:trHeight w:val="300"/>
        </w:trPr>
        <w:tc>
          <w:tcPr>
            <w:tcW w:w="4520" w:type="dxa"/>
            <w:tcBorders>
              <w:top w:val="nil"/>
              <w:left w:val="nil"/>
              <w:bottom w:val="single" w:sz="8" w:space="0" w:color="auto"/>
              <w:right w:val="nil"/>
            </w:tcBorders>
            <w:shd w:val="clear" w:color="auto" w:fill="auto"/>
            <w:hideMark/>
          </w:tcPr>
          <w:p w:rsidR="00DE347C" w:rsidRPr="00EE0850" w:rsidRDefault="00DE347C" w:rsidP="000C6220">
            <w:pPr>
              <w:spacing w:after="0" w:line="240" w:lineRule="auto"/>
              <w:jc w:val="left"/>
              <w:rPr>
                <w:b/>
                <w:bCs/>
                <w:color w:val="000000"/>
                <w:kern w:val="22"/>
                <w:sz w:val="17"/>
                <w:szCs w:val="17"/>
                <w:lang w:eastAsia="en-CA"/>
              </w:rPr>
            </w:pPr>
            <w:r w:rsidRPr="00EE0850">
              <w:rPr>
                <w:b/>
                <w:bCs/>
                <w:color w:val="000000"/>
                <w:kern w:val="22"/>
                <w:sz w:val="17"/>
                <w:szCs w:val="17"/>
                <w:lang w:eastAsia="en-CA"/>
              </w:rPr>
              <w:t>Total</w:t>
            </w:r>
          </w:p>
        </w:tc>
        <w:tc>
          <w:tcPr>
            <w:tcW w:w="1360" w:type="dxa"/>
            <w:tcBorders>
              <w:top w:val="nil"/>
              <w:left w:val="nil"/>
              <w:bottom w:val="single" w:sz="8" w:space="0" w:color="auto"/>
              <w:right w:val="nil"/>
            </w:tcBorders>
            <w:shd w:val="clear" w:color="auto" w:fill="auto"/>
            <w:noWrap/>
            <w:hideMark/>
          </w:tcPr>
          <w:p w:rsidR="00DE347C" w:rsidRPr="00EE0850" w:rsidRDefault="00DE347C" w:rsidP="00BA4FF3">
            <w:pPr>
              <w:spacing w:after="0" w:line="240" w:lineRule="auto"/>
              <w:jc w:val="right"/>
              <w:rPr>
                <w:b/>
                <w:bCs/>
                <w:color w:val="000000"/>
                <w:kern w:val="22"/>
                <w:sz w:val="17"/>
                <w:szCs w:val="17"/>
                <w:lang w:eastAsia="en-CA"/>
              </w:rPr>
            </w:pPr>
            <w:r w:rsidRPr="00EE0850">
              <w:rPr>
                <w:b/>
                <w:bCs/>
                <w:color w:val="000000"/>
                <w:kern w:val="22"/>
                <w:sz w:val="17"/>
                <w:szCs w:val="17"/>
                <w:lang w:eastAsia="en-CA"/>
              </w:rPr>
              <w:t>18 948</w:t>
            </w:r>
            <w:r w:rsidR="00BA4FF3">
              <w:rPr>
                <w:b/>
                <w:bCs/>
                <w:color w:val="000000"/>
                <w:kern w:val="22"/>
                <w:sz w:val="17"/>
                <w:szCs w:val="17"/>
                <w:lang w:eastAsia="en-CA"/>
              </w:rPr>
              <w:t>,</w:t>
            </w:r>
            <w:r w:rsidRPr="00EE0850">
              <w:rPr>
                <w:b/>
                <w:bCs/>
                <w:color w:val="000000"/>
                <w:kern w:val="22"/>
                <w:sz w:val="17"/>
                <w:szCs w:val="17"/>
                <w:lang w:eastAsia="en-CA"/>
              </w:rPr>
              <w:t>9</w:t>
            </w:r>
          </w:p>
        </w:tc>
        <w:tc>
          <w:tcPr>
            <w:tcW w:w="1600" w:type="dxa"/>
            <w:tcBorders>
              <w:top w:val="nil"/>
              <w:left w:val="nil"/>
              <w:bottom w:val="single" w:sz="8" w:space="0" w:color="auto"/>
              <w:right w:val="nil"/>
            </w:tcBorders>
            <w:shd w:val="clear" w:color="auto" w:fill="auto"/>
            <w:noWrap/>
            <w:hideMark/>
          </w:tcPr>
          <w:p w:rsidR="00DE347C" w:rsidRPr="00EE0850" w:rsidRDefault="00DE347C" w:rsidP="00BA4FF3">
            <w:pPr>
              <w:spacing w:after="0" w:line="240" w:lineRule="auto"/>
              <w:jc w:val="right"/>
              <w:rPr>
                <w:b/>
                <w:bCs/>
                <w:color w:val="000000"/>
                <w:kern w:val="22"/>
                <w:sz w:val="17"/>
                <w:szCs w:val="17"/>
                <w:lang w:eastAsia="en-CA"/>
              </w:rPr>
            </w:pPr>
            <w:r w:rsidRPr="00EE0850">
              <w:rPr>
                <w:b/>
                <w:bCs/>
                <w:color w:val="000000"/>
                <w:kern w:val="22"/>
                <w:sz w:val="17"/>
                <w:szCs w:val="17"/>
                <w:lang w:eastAsia="en-CA"/>
              </w:rPr>
              <w:t>19 895</w:t>
            </w:r>
            <w:r w:rsidR="00BA4FF3">
              <w:rPr>
                <w:b/>
                <w:bCs/>
                <w:color w:val="000000"/>
                <w:kern w:val="22"/>
                <w:sz w:val="17"/>
                <w:szCs w:val="17"/>
                <w:lang w:eastAsia="en-CA"/>
              </w:rPr>
              <w:t>,</w:t>
            </w:r>
            <w:r w:rsidRPr="00EE0850">
              <w:rPr>
                <w:b/>
                <w:bCs/>
                <w:color w:val="000000"/>
                <w:kern w:val="22"/>
                <w:sz w:val="17"/>
                <w:szCs w:val="17"/>
                <w:lang w:eastAsia="en-CA"/>
              </w:rPr>
              <w:t>2</w:t>
            </w:r>
          </w:p>
        </w:tc>
        <w:tc>
          <w:tcPr>
            <w:tcW w:w="1640" w:type="dxa"/>
            <w:tcBorders>
              <w:top w:val="nil"/>
              <w:left w:val="nil"/>
              <w:bottom w:val="single" w:sz="8" w:space="0" w:color="auto"/>
              <w:right w:val="nil"/>
            </w:tcBorders>
            <w:shd w:val="clear" w:color="auto" w:fill="auto"/>
            <w:hideMark/>
          </w:tcPr>
          <w:p w:rsidR="00DE347C" w:rsidRPr="00EE0850" w:rsidRDefault="00DE347C" w:rsidP="00BA4FF3">
            <w:pPr>
              <w:spacing w:after="0" w:line="240" w:lineRule="auto"/>
              <w:jc w:val="right"/>
              <w:rPr>
                <w:b/>
                <w:bCs/>
                <w:color w:val="000000"/>
                <w:kern w:val="22"/>
                <w:sz w:val="17"/>
                <w:szCs w:val="17"/>
                <w:lang w:eastAsia="en-CA"/>
              </w:rPr>
            </w:pPr>
            <w:r w:rsidRPr="00EE0850">
              <w:rPr>
                <w:b/>
                <w:bCs/>
                <w:color w:val="000000"/>
                <w:kern w:val="22"/>
                <w:sz w:val="17"/>
                <w:szCs w:val="17"/>
                <w:lang w:eastAsia="en-CA"/>
              </w:rPr>
              <w:t>38 844</w:t>
            </w:r>
            <w:r w:rsidR="00BA4FF3">
              <w:rPr>
                <w:b/>
                <w:bCs/>
                <w:color w:val="000000"/>
                <w:kern w:val="22"/>
                <w:sz w:val="17"/>
                <w:szCs w:val="17"/>
                <w:lang w:eastAsia="en-CA"/>
              </w:rPr>
              <w:t>,</w:t>
            </w:r>
            <w:r w:rsidRPr="00EE0850">
              <w:rPr>
                <w:b/>
                <w:bCs/>
                <w:color w:val="000000"/>
                <w:kern w:val="22"/>
                <w:sz w:val="17"/>
                <w:szCs w:val="17"/>
                <w:lang w:eastAsia="en-CA"/>
              </w:rPr>
              <w:t>1</w:t>
            </w:r>
          </w:p>
        </w:tc>
      </w:tr>
      <w:tr w:rsidR="00DE347C" w:rsidRPr="00EE0850" w:rsidTr="00DE347C">
        <w:trPr>
          <w:trHeight w:val="288"/>
        </w:trPr>
        <w:tc>
          <w:tcPr>
            <w:tcW w:w="4520" w:type="dxa"/>
            <w:tcBorders>
              <w:top w:val="nil"/>
              <w:left w:val="nil"/>
              <w:bottom w:val="single" w:sz="4" w:space="0" w:color="auto"/>
              <w:right w:val="nil"/>
            </w:tcBorders>
            <w:shd w:val="clear" w:color="auto" w:fill="auto"/>
            <w:vAlign w:val="center"/>
            <w:hideMark/>
          </w:tcPr>
          <w:p w:rsidR="00DE347C" w:rsidRPr="00BA4FF3" w:rsidRDefault="00BA4FF3" w:rsidP="000C6220">
            <w:pPr>
              <w:spacing w:after="0" w:line="240" w:lineRule="auto"/>
              <w:jc w:val="left"/>
              <w:rPr>
                <w:kern w:val="22"/>
                <w:sz w:val="17"/>
                <w:szCs w:val="17"/>
                <w:lang w:val="es-ES" w:eastAsia="en-CA"/>
              </w:rPr>
            </w:pPr>
            <w:r>
              <w:rPr>
                <w:kern w:val="22"/>
                <w:sz w:val="17"/>
                <w:lang w:val="es-ES"/>
              </w:rPr>
              <w:t xml:space="preserve">Porcentaje del presupuesto integrado que corresponde al Protocolo de </w:t>
            </w:r>
            <w:r w:rsidRPr="00703C30">
              <w:rPr>
                <w:kern w:val="22"/>
                <w:sz w:val="17"/>
                <w:szCs w:val="17"/>
                <w:lang w:val="es-ES" w:eastAsia="en-CA"/>
              </w:rPr>
              <w:t>Nagoya (11%)</w:t>
            </w:r>
          </w:p>
        </w:tc>
        <w:tc>
          <w:tcPr>
            <w:tcW w:w="1360" w:type="dxa"/>
            <w:tcBorders>
              <w:top w:val="nil"/>
              <w:left w:val="nil"/>
              <w:bottom w:val="single" w:sz="4" w:space="0" w:color="auto"/>
              <w:right w:val="nil"/>
            </w:tcBorders>
            <w:shd w:val="clear" w:color="auto" w:fill="auto"/>
            <w:vAlign w:val="center"/>
            <w:hideMark/>
          </w:tcPr>
          <w:p w:rsidR="00DE347C" w:rsidRPr="00EE0850" w:rsidRDefault="00DE347C" w:rsidP="00BA4FF3">
            <w:pPr>
              <w:spacing w:after="0" w:line="240" w:lineRule="auto"/>
              <w:jc w:val="right"/>
              <w:rPr>
                <w:kern w:val="22"/>
                <w:sz w:val="17"/>
                <w:szCs w:val="17"/>
                <w:lang w:eastAsia="en-CA"/>
              </w:rPr>
            </w:pPr>
            <w:r w:rsidRPr="00EE0850">
              <w:rPr>
                <w:kern w:val="22"/>
                <w:sz w:val="17"/>
                <w:szCs w:val="17"/>
                <w:lang w:eastAsia="en-CA"/>
              </w:rPr>
              <w:t>2 084</w:t>
            </w:r>
            <w:r w:rsidR="00BA4FF3">
              <w:rPr>
                <w:kern w:val="22"/>
                <w:sz w:val="17"/>
                <w:szCs w:val="17"/>
                <w:lang w:eastAsia="en-CA"/>
              </w:rPr>
              <w:t>,</w:t>
            </w:r>
            <w:r w:rsidRPr="00EE0850">
              <w:rPr>
                <w:kern w:val="22"/>
                <w:sz w:val="17"/>
                <w:szCs w:val="17"/>
                <w:lang w:eastAsia="en-CA"/>
              </w:rPr>
              <w:t>4</w:t>
            </w:r>
          </w:p>
        </w:tc>
        <w:tc>
          <w:tcPr>
            <w:tcW w:w="1600" w:type="dxa"/>
            <w:tcBorders>
              <w:top w:val="nil"/>
              <w:left w:val="nil"/>
              <w:bottom w:val="single" w:sz="4" w:space="0" w:color="auto"/>
              <w:right w:val="nil"/>
            </w:tcBorders>
            <w:shd w:val="clear" w:color="auto" w:fill="auto"/>
            <w:vAlign w:val="center"/>
            <w:hideMark/>
          </w:tcPr>
          <w:p w:rsidR="00DE347C" w:rsidRPr="00EE0850" w:rsidRDefault="00DE347C" w:rsidP="00BA4FF3">
            <w:pPr>
              <w:spacing w:after="0" w:line="240" w:lineRule="auto"/>
              <w:jc w:val="right"/>
              <w:rPr>
                <w:kern w:val="22"/>
                <w:sz w:val="17"/>
                <w:szCs w:val="17"/>
                <w:lang w:eastAsia="en-CA"/>
              </w:rPr>
            </w:pPr>
            <w:r w:rsidRPr="00EE0850">
              <w:rPr>
                <w:kern w:val="22"/>
                <w:sz w:val="17"/>
                <w:szCs w:val="17"/>
                <w:lang w:eastAsia="en-CA"/>
              </w:rPr>
              <w:t>2 188</w:t>
            </w:r>
            <w:r w:rsidR="00BA4FF3">
              <w:rPr>
                <w:kern w:val="22"/>
                <w:sz w:val="17"/>
                <w:szCs w:val="17"/>
                <w:lang w:eastAsia="en-CA"/>
              </w:rPr>
              <w:t>,</w:t>
            </w:r>
            <w:r w:rsidRPr="00EE0850">
              <w:rPr>
                <w:kern w:val="22"/>
                <w:sz w:val="17"/>
                <w:szCs w:val="17"/>
                <w:lang w:eastAsia="en-CA"/>
              </w:rPr>
              <w:t>5</w:t>
            </w:r>
          </w:p>
        </w:tc>
        <w:tc>
          <w:tcPr>
            <w:tcW w:w="1640" w:type="dxa"/>
            <w:tcBorders>
              <w:top w:val="nil"/>
              <w:left w:val="nil"/>
              <w:bottom w:val="single" w:sz="4" w:space="0" w:color="auto"/>
              <w:right w:val="nil"/>
            </w:tcBorders>
            <w:shd w:val="clear" w:color="auto" w:fill="auto"/>
            <w:vAlign w:val="center"/>
            <w:hideMark/>
          </w:tcPr>
          <w:p w:rsidR="00DE347C" w:rsidRPr="00EE0850" w:rsidRDefault="00DE347C" w:rsidP="00BA4FF3">
            <w:pPr>
              <w:spacing w:after="0" w:line="240" w:lineRule="auto"/>
              <w:jc w:val="right"/>
              <w:rPr>
                <w:kern w:val="22"/>
                <w:sz w:val="17"/>
                <w:szCs w:val="17"/>
                <w:lang w:eastAsia="en-CA"/>
              </w:rPr>
            </w:pPr>
            <w:r w:rsidRPr="00EE0850">
              <w:rPr>
                <w:kern w:val="22"/>
                <w:sz w:val="17"/>
                <w:szCs w:val="17"/>
                <w:lang w:eastAsia="en-CA"/>
              </w:rPr>
              <w:t>4 272</w:t>
            </w:r>
            <w:r w:rsidR="00BA4FF3">
              <w:rPr>
                <w:kern w:val="22"/>
                <w:sz w:val="17"/>
                <w:szCs w:val="17"/>
                <w:lang w:eastAsia="en-CA"/>
              </w:rPr>
              <w:t>,</w:t>
            </w:r>
            <w:r w:rsidRPr="00EE0850">
              <w:rPr>
                <w:kern w:val="22"/>
                <w:sz w:val="17"/>
                <w:szCs w:val="17"/>
                <w:lang w:eastAsia="en-CA"/>
              </w:rPr>
              <w:t>9</w:t>
            </w:r>
          </w:p>
        </w:tc>
      </w:tr>
      <w:tr w:rsidR="00DE347C" w:rsidRPr="00EE0850" w:rsidTr="00DE347C">
        <w:trPr>
          <w:trHeight w:val="288"/>
        </w:trPr>
        <w:tc>
          <w:tcPr>
            <w:tcW w:w="4520" w:type="dxa"/>
            <w:tcBorders>
              <w:top w:val="nil"/>
              <w:left w:val="nil"/>
              <w:bottom w:val="nil"/>
              <w:right w:val="nil"/>
            </w:tcBorders>
            <w:shd w:val="clear" w:color="auto" w:fill="auto"/>
            <w:hideMark/>
          </w:tcPr>
          <w:p w:rsidR="00DE347C" w:rsidRPr="00BA4FF3" w:rsidRDefault="00BA4FF3" w:rsidP="00BA4FF3">
            <w:pPr>
              <w:spacing w:after="0" w:line="240" w:lineRule="auto"/>
              <w:jc w:val="left"/>
              <w:rPr>
                <w:color w:val="000000"/>
                <w:kern w:val="22"/>
                <w:sz w:val="17"/>
                <w:szCs w:val="17"/>
                <w:lang w:val="es-ES" w:eastAsia="en-CA"/>
              </w:rPr>
            </w:pPr>
            <w:r w:rsidRPr="00BA4FF3">
              <w:rPr>
                <w:color w:val="000000"/>
                <w:kern w:val="22"/>
                <w:sz w:val="17"/>
                <w:szCs w:val="17"/>
                <w:u w:val="single"/>
                <w:lang w:val="es-ES" w:eastAsia="en-CA"/>
              </w:rPr>
              <w:t>M</w:t>
            </w:r>
            <w:r w:rsidR="00DE347C" w:rsidRPr="00BA4FF3">
              <w:rPr>
                <w:color w:val="000000"/>
                <w:kern w:val="22"/>
                <w:sz w:val="17"/>
                <w:szCs w:val="17"/>
                <w:u w:val="single"/>
                <w:lang w:val="es-ES" w:eastAsia="en-CA"/>
              </w:rPr>
              <w:t>e</w:t>
            </w:r>
            <w:r w:rsidRPr="00BA4FF3">
              <w:rPr>
                <w:color w:val="000000"/>
                <w:kern w:val="22"/>
                <w:sz w:val="17"/>
                <w:szCs w:val="17"/>
                <w:u w:val="single"/>
                <w:lang w:val="es-ES" w:eastAsia="en-CA"/>
              </w:rPr>
              <w:t>no</w:t>
            </w:r>
            <w:r w:rsidR="00DE347C" w:rsidRPr="00BA4FF3">
              <w:rPr>
                <w:color w:val="000000"/>
                <w:kern w:val="22"/>
                <w:sz w:val="17"/>
                <w:szCs w:val="17"/>
                <w:u w:val="single"/>
                <w:lang w:val="es-ES" w:eastAsia="en-CA"/>
              </w:rPr>
              <w:t>s</w:t>
            </w:r>
            <w:r w:rsidR="00DE347C" w:rsidRPr="00BA4FF3">
              <w:rPr>
                <w:color w:val="000000"/>
                <w:kern w:val="22"/>
                <w:sz w:val="17"/>
                <w:szCs w:val="17"/>
                <w:lang w:val="es-ES" w:eastAsia="en-CA"/>
              </w:rPr>
              <w:t xml:space="preserve">:  </w:t>
            </w:r>
            <w:r>
              <w:rPr>
                <w:color w:val="000000"/>
                <w:kern w:val="22"/>
                <w:sz w:val="17"/>
                <w:lang w:val="es-ES"/>
              </w:rPr>
              <w:t>Contribución del país anfitrión</w:t>
            </w:r>
          </w:p>
        </w:tc>
        <w:tc>
          <w:tcPr>
            <w:tcW w:w="1360" w:type="dxa"/>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kern w:val="22"/>
                <w:sz w:val="17"/>
                <w:szCs w:val="17"/>
                <w:lang w:eastAsia="en-CA"/>
              </w:rPr>
            </w:pPr>
            <w:r w:rsidRPr="00EE0850">
              <w:rPr>
                <w:kern w:val="22"/>
                <w:sz w:val="17"/>
                <w:szCs w:val="17"/>
                <w:lang w:eastAsia="en-CA"/>
              </w:rPr>
              <w:t>(135</w:t>
            </w:r>
            <w:r w:rsidR="00BA4FF3">
              <w:rPr>
                <w:kern w:val="22"/>
                <w:sz w:val="17"/>
                <w:szCs w:val="17"/>
                <w:lang w:eastAsia="en-CA"/>
              </w:rPr>
              <w:t>,</w:t>
            </w:r>
            <w:r w:rsidRPr="00EE0850">
              <w:rPr>
                <w:kern w:val="22"/>
                <w:sz w:val="17"/>
                <w:szCs w:val="17"/>
                <w:lang w:eastAsia="en-CA"/>
              </w:rPr>
              <w:t>2)</w:t>
            </w:r>
          </w:p>
        </w:tc>
        <w:tc>
          <w:tcPr>
            <w:tcW w:w="1600" w:type="dxa"/>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kern w:val="22"/>
                <w:sz w:val="17"/>
                <w:szCs w:val="17"/>
                <w:lang w:eastAsia="en-CA"/>
              </w:rPr>
            </w:pPr>
            <w:r w:rsidRPr="00EE0850">
              <w:rPr>
                <w:kern w:val="22"/>
                <w:sz w:val="17"/>
                <w:szCs w:val="17"/>
                <w:lang w:eastAsia="en-CA"/>
              </w:rPr>
              <w:t>(156</w:t>
            </w:r>
            <w:r w:rsidR="00BA4FF3">
              <w:rPr>
                <w:kern w:val="22"/>
                <w:sz w:val="17"/>
                <w:szCs w:val="17"/>
                <w:lang w:eastAsia="en-CA"/>
              </w:rPr>
              <w:t>,</w:t>
            </w:r>
            <w:r w:rsidRPr="00EE0850">
              <w:rPr>
                <w:kern w:val="22"/>
                <w:sz w:val="17"/>
                <w:szCs w:val="17"/>
                <w:lang w:eastAsia="en-CA"/>
              </w:rPr>
              <w:t>6)</w:t>
            </w:r>
          </w:p>
        </w:tc>
        <w:tc>
          <w:tcPr>
            <w:tcW w:w="1640" w:type="dxa"/>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kern w:val="22"/>
                <w:sz w:val="17"/>
                <w:szCs w:val="17"/>
                <w:lang w:eastAsia="en-CA"/>
              </w:rPr>
            </w:pPr>
            <w:r w:rsidRPr="00EE0850">
              <w:rPr>
                <w:kern w:val="22"/>
                <w:sz w:val="17"/>
                <w:szCs w:val="17"/>
                <w:lang w:eastAsia="en-CA"/>
              </w:rPr>
              <w:t>(291</w:t>
            </w:r>
            <w:r w:rsidR="00BA4FF3">
              <w:rPr>
                <w:kern w:val="22"/>
                <w:sz w:val="17"/>
                <w:szCs w:val="17"/>
                <w:lang w:eastAsia="en-CA"/>
              </w:rPr>
              <w:t>,</w:t>
            </w:r>
            <w:r w:rsidRPr="00EE0850">
              <w:rPr>
                <w:kern w:val="22"/>
                <w:sz w:val="17"/>
                <w:szCs w:val="17"/>
                <w:lang w:eastAsia="en-CA"/>
              </w:rPr>
              <w:t>8)</w:t>
            </w:r>
          </w:p>
        </w:tc>
      </w:tr>
      <w:tr w:rsidR="00DE347C" w:rsidRPr="00EE0850" w:rsidTr="00DE347C">
        <w:trPr>
          <w:trHeight w:val="288"/>
        </w:trPr>
        <w:tc>
          <w:tcPr>
            <w:tcW w:w="4520" w:type="dxa"/>
            <w:tcBorders>
              <w:top w:val="nil"/>
              <w:left w:val="nil"/>
              <w:bottom w:val="nil"/>
              <w:right w:val="nil"/>
            </w:tcBorders>
            <w:shd w:val="clear" w:color="auto" w:fill="auto"/>
            <w:hideMark/>
          </w:tcPr>
          <w:p w:rsidR="00DE347C" w:rsidRPr="00BA4FF3" w:rsidRDefault="00BA4FF3" w:rsidP="00BA4FF3">
            <w:pPr>
              <w:spacing w:after="0" w:line="240" w:lineRule="auto"/>
              <w:jc w:val="left"/>
              <w:rPr>
                <w:color w:val="000000"/>
                <w:kern w:val="22"/>
                <w:sz w:val="17"/>
                <w:szCs w:val="17"/>
                <w:lang w:val="es-ES" w:eastAsia="en-CA"/>
              </w:rPr>
            </w:pPr>
            <w:r w:rsidRPr="00BA4FF3">
              <w:rPr>
                <w:color w:val="000000"/>
                <w:kern w:val="22"/>
                <w:sz w:val="17"/>
                <w:szCs w:val="17"/>
                <w:u w:val="single"/>
                <w:lang w:val="es-ES" w:eastAsia="en-CA"/>
              </w:rPr>
              <w:t>M</w:t>
            </w:r>
            <w:r w:rsidR="00DE347C" w:rsidRPr="00BA4FF3">
              <w:rPr>
                <w:color w:val="000000"/>
                <w:kern w:val="22"/>
                <w:sz w:val="17"/>
                <w:szCs w:val="17"/>
                <w:u w:val="single"/>
                <w:lang w:val="es-ES" w:eastAsia="en-CA"/>
              </w:rPr>
              <w:t>e</w:t>
            </w:r>
            <w:r w:rsidRPr="00BA4FF3">
              <w:rPr>
                <w:color w:val="000000"/>
                <w:kern w:val="22"/>
                <w:sz w:val="17"/>
                <w:szCs w:val="17"/>
                <w:u w:val="single"/>
                <w:lang w:val="es-ES" w:eastAsia="en-CA"/>
              </w:rPr>
              <w:t>no</w:t>
            </w:r>
            <w:r w:rsidR="00DE347C" w:rsidRPr="00BA4FF3">
              <w:rPr>
                <w:color w:val="000000"/>
                <w:kern w:val="22"/>
                <w:sz w:val="17"/>
                <w:szCs w:val="17"/>
                <w:u w:val="single"/>
                <w:lang w:val="es-ES" w:eastAsia="en-CA"/>
              </w:rPr>
              <w:t>s</w:t>
            </w:r>
            <w:r w:rsidR="00DE347C" w:rsidRPr="00BA4FF3">
              <w:rPr>
                <w:color w:val="000000"/>
                <w:kern w:val="22"/>
                <w:sz w:val="17"/>
                <w:szCs w:val="17"/>
                <w:lang w:val="es-ES" w:eastAsia="en-CA"/>
              </w:rPr>
              <w:t xml:space="preserve">:  </w:t>
            </w:r>
            <w:r>
              <w:rPr>
                <w:color w:val="000000"/>
                <w:kern w:val="22"/>
                <w:sz w:val="17"/>
                <w:lang w:val="es-ES"/>
              </w:rPr>
              <w:t>Empleo de fondos de reserva para reuniones extraordinarias</w:t>
            </w:r>
          </w:p>
        </w:tc>
        <w:tc>
          <w:tcPr>
            <w:tcW w:w="1360" w:type="dxa"/>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kern w:val="22"/>
                <w:sz w:val="17"/>
                <w:szCs w:val="17"/>
                <w:lang w:eastAsia="en-CA"/>
              </w:rPr>
            </w:pPr>
            <w:r w:rsidRPr="00EE0850">
              <w:rPr>
                <w:kern w:val="22"/>
                <w:sz w:val="17"/>
                <w:szCs w:val="17"/>
                <w:lang w:eastAsia="en-CA"/>
              </w:rPr>
              <w:t>(93</w:t>
            </w:r>
            <w:r w:rsidR="00BA4FF3">
              <w:rPr>
                <w:kern w:val="22"/>
                <w:sz w:val="17"/>
                <w:szCs w:val="17"/>
                <w:lang w:eastAsia="en-CA"/>
              </w:rPr>
              <w:t>,</w:t>
            </w:r>
            <w:r w:rsidRPr="00EE0850">
              <w:rPr>
                <w:kern w:val="22"/>
                <w:sz w:val="17"/>
                <w:szCs w:val="17"/>
                <w:lang w:eastAsia="en-CA"/>
              </w:rPr>
              <w:t>2)</w:t>
            </w:r>
          </w:p>
        </w:tc>
        <w:tc>
          <w:tcPr>
            <w:tcW w:w="1600" w:type="dxa"/>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kern w:val="22"/>
                <w:sz w:val="17"/>
                <w:szCs w:val="17"/>
                <w:lang w:eastAsia="en-CA"/>
              </w:rPr>
            </w:pPr>
            <w:r w:rsidRPr="00EE0850">
              <w:rPr>
                <w:kern w:val="22"/>
                <w:sz w:val="17"/>
                <w:szCs w:val="17"/>
                <w:lang w:eastAsia="en-CA"/>
              </w:rPr>
              <w:t>(69</w:t>
            </w:r>
            <w:r w:rsidR="00BA4FF3">
              <w:rPr>
                <w:kern w:val="22"/>
                <w:sz w:val="17"/>
                <w:szCs w:val="17"/>
                <w:lang w:eastAsia="en-CA"/>
              </w:rPr>
              <w:t>,</w:t>
            </w:r>
            <w:r w:rsidRPr="00EE0850">
              <w:rPr>
                <w:kern w:val="22"/>
                <w:sz w:val="17"/>
                <w:szCs w:val="17"/>
                <w:lang w:eastAsia="en-CA"/>
              </w:rPr>
              <w:t>6)</w:t>
            </w:r>
          </w:p>
        </w:tc>
        <w:tc>
          <w:tcPr>
            <w:tcW w:w="1640" w:type="dxa"/>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kern w:val="22"/>
                <w:sz w:val="17"/>
                <w:szCs w:val="17"/>
                <w:lang w:eastAsia="en-CA"/>
              </w:rPr>
            </w:pPr>
            <w:r w:rsidRPr="00EE0850">
              <w:rPr>
                <w:kern w:val="22"/>
                <w:sz w:val="17"/>
                <w:szCs w:val="17"/>
                <w:lang w:eastAsia="en-CA"/>
              </w:rPr>
              <w:t>(162</w:t>
            </w:r>
            <w:r w:rsidR="00BA4FF3">
              <w:rPr>
                <w:kern w:val="22"/>
                <w:sz w:val="17"/>
                <w:szCs w:val="17"/>
                <w:lang w:eastAsia="en-CA"/>
              </w:rPr>
              <w:t>,</w:t>
            </w:r>
            <w:r w:rsidRPr="00EE0850">
              <w:rPr>
                <w:kern w:val="22"/>
                <w:sz w:val="17"/>
                <w:szCs w:val="17"/>
                <w:lang w:eastAsia="en-CA"/>
              </w:rPr>
              <w:t>8)</w:t>
            </w:r>
          </w:p>
        </w:tc>
      </w:tr>
      <w:tr w:rsidR="00DE347C" w:rsidRPr="00EE0850" w:rsidTr="00DE347C">
        <w:trPr>
          <w:trHeight w:val="288"/>
        </w:trPr>
        <w:tc>
          <w:tcPr>
            <w:tcW w:w="4520" w:type="dxa"/>
            <w:tcBorders>
              <w:top w:val="nil"/>
              <w:left w:val="nil"/>
              <w:bottom w:val="nil"/>
              <w:right w:val="nil"/>
            </w:tcBorders>
            <w:shd w:val="clear" w:color="auto" w:fill="auto"/>
            <w:hideMark/>
          </w:tcPr>
          <w:p w:rsidR="00DE347C" w:rsidRPr="00BA4FF3" w:rsidRDefault="00BA4FF3" w:rsidP="00BA4FF3">
            <w:pPr>
              <w:spacing w:after="0" w:line="240" w:lineRule="auto"/>
              <w:jc w:val="left"/>
              <w:rPr>
                <w:color w:val="000000"/>
                <w:kern w:val="22"/>
                <w:sz w:val="17"/>
                <w:szCs w:val="17"/>
                <w:lang w:val="es-ES" w:eastAsia="en-CA"/>
              </w:rPr>
            </w:pPr>
            <w:r w:rsidRPr="00BA4FF3">
              <w:rPr>
                <w:color w:val="000000"/>
                <w:kern w:val="22"/>
                <w:sz w:val="17"/>
                <w:szCs w:val="17"/>
                <w:u w:val="single"/>
                <w:lang w:val="es-ES" w:eastAsia="en-CA"/>
              </w:rPr>
              <w:t>M</w:t>
            </w:r>
            <w:r w:rsidR="00DE347C" w:rsidRPr="00BA4FF3">
              <w:rPr>
                <w:color w:val="000000"/>
                <w:kern w:val="22"/>
                <w:sz w:val="17"/>
                <w:szCs w:val="17"/>
                <w:u w:val="single"/>
                <w:lang w:val="es-ES" w:eastAsia="en-CA"/>
              </w:rPr>
              <w:t>e</w:t>
            </w:r>
            <w:r w:rsidRPr="00BA4FF3">
              <w:rPr>
                <w:color w:val="000000"/>
                <w:kern w:val="22"/>
                <w:sz w:val="17"/>
                <w:szCs w:val="17"/>
                <w:u w:val="single"/>
                <w:lang w:val="es-ES" w:eastAsia="en-CA"/>
              </w:rPr>
              <w:t>no</w:t>
            </w:r>
            <w:r w:rsidR="00DE347C" w:rsidRPr="00BA4FF3">
              <w:rPr>
                <w:color w:val="000000"/>
                <w:kern w:val="22"/>
                <w:sz w:val="17"/>
                <w:szCs w:val="17"/>
                <w:u w:val="single"/>
                <w:lang w:val="es-ES" w:eastAsia="en-CA"/>
              </w:rPr>
              <w:t>s</w:t>
            </w:r>
            <w:r w:rsidR="00DE347C" w:rsidRPr="00BA4FF3">
              <w:rPr>
                <w:color w:val="000000"/>
                <w:kern w:val="22"/>
                <w:sz w:val="17"/>
                <w:szCs w:val="17"/>
                <w:lang w:val="es-ES" w:eastAsia="en-CA"/>
              </w:rPr>
              <w:t xml:space="preserve">:  </w:t>
            </w:r>
            <w:r>
              <w:rPr>
                <w:color w:val="000000"/>
                <w:kern w:val="22"/>
                <w:sz w:val="17"/>
                <w:lang w:val="es-ES"/>
              </w:rPr>
              <w:t>Empleo de fondos de reserva de años anteriores</w:t>
            </w:r>
          </w:p>
        </w:tc>
        <w:tc>
          <w:tcPr>
            <w:tcW w:w="1360" w:type="dxa"/>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kern w:val="22"/>
                <w:sz w:val="17"/>
                <w:szCs w:val="17"/>
                <w:lang w:eastAsia="en-CA"/>
              </w:rPr>
            </w:pPr>
            <w:r w:rsidRPr="00EE0850">
              <w:rPr>
                <w:kern w:val="22"/>
                <w:sz w:val="17"/>
                <w:szCs w:val="17"/>
                <w:lang w:eastAsia="en-CA"/>
              </w:rPr>
              <w:t>(94</w:t>
            </w:r>
            <w:r w:rsidR="00BA4FF3">
              <w:rPr>
                <w:kern w:val="22"/>
                <w:sz w:val="17"/>
                <w:szCs w:val="17"/>
                <w:lang w:eastAsia="en-CA"/>
              </w:rPr>
              <w:t>,</w:t>
            </w:r>
            <w:r w:rsidRPr="00EE0850">
              <w:rPr>
                <w:kern w:val="22"/>
                <w:sz w:val="17"/>
                <w:szCs w:val="17"/>
                <w:lang w:eastAsia="en-CA"/>
              </w:rPr>
              <w:t>9)</w:t>
            </w:r>
          </w:p>
        </w:tc>
        <w:tc>
          <w:tcPr>
            <w:tcW w:w="1600" w:type="dxa"/>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kern w:val="22"/>
                <w:sz w:val="17"/>
                <w:szCs w:val="17"/>
                <w:lang w:eastAsia="en-CA"/>
              </w:rPr>
            </w:pPr>
            <w:r w:rsidRPr="00EE0850">
              <w:rPr>
                <w:kern w:val="22"/>
                <w:sz w:val="17"/>
                <w:szCs w:val="17"/>
                <w:lang w:eastAsia="en-CA"/>
              </w:rPr>
              <w:t>(94</w:t>
            </w:r>
            <w:r w:rsidR="00BA4FF3">
              <w:rPr>
                <w:kern w:val="22"/>
                <w:sz w:val="17"/>
                <w:szCs w:val="17"/>
                <w:lang w:eastAsia="en-CA"/>
              </w:rPr>
              <w:t>,</w:t>
            </w:r>
            <w:r w:rsidRPr="00EE0850">
              <w:rPr>
                <w:kern w:val="22"/>
                <w:sz w:val="17"/>
                <w:szCs w:val="17"/>
                <w:lang w:eastAsia="en-CA"/>
              </w:rPr>
              <w:t>9)</w:t>
            </w:r>
          </w:p>
        </w:tc>
        <w:tc>
          <w:tcPr>
            <w:tcW w:w="1640" w:type="dxa"/>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kern w:val="22"/>
                <w:sz w:val="17"/>
                <w:szCs w:val="17"/>
                <w:lang w:eastAsia="en-CA"/>
              </w:rPr>
            </w:pPr>
            <w:r w:rsidRPr="00EE0850">
              <w:rPr>
                <w:kern w:val="22"/>
                <w:sz w:val="17"/>
                <w:szCs w:val="17"/>
                <w:lang w:eastAsia="en-CA"/>
              </w:rPr>
              <w:t>(189</w:t>
            </w:r>
            <w:r w:rsidR="00BA4FF3">
              <w:rPr>
                <w:kern w:val="22"/>
                <w:sz w:val="17"/>
                <w:szCs w:val="17"/>
                <w:lang w:eastAsia="en-CA"/>
              </w:rPr>
              <w:t>,</w:t>
            </w:r>
            <w:r w:rsidRPr="00EE0850">
              <w:rPr>
                <w:kern w:val="22"/>
                <w:sz w:val="17"/>
                <w:szCs w:val="17"/>
                <w:lang w:eastAsia="en-CA"/>
              </w:rPr>
              <w:t>8)</w:t>
            </w:r>
          </w:p>
        </w:tc>
      </w:tr>
      <w:tr w:rsidR="00DE347C" w:rsidRPr="00EE0850" w:rsidTr="00DE347C">
        <w:trPr>
          <w:trHeight w:val="300"/>
        </w:trPr>
        <w:tc>
          <w:tcPr>
            <w:tcW w:w="4520" w:type="dxa"/>
            <w:tcBorders>
              <w:top w:val="single" w:sz="4" w:space="0" w:color="auto"/>
              <w:left w:val="nil"/>
              <w:bottom w:val="single" w:sz="8" w:space="0" w:color="auto"/>
              <w:right w:val="nil"/>
            </w:tcBorders>
            <w:shd w:val="clear" w:color="auto" w:fill="auto"/>
            <w:hideMark/>
          </w:tcPr>
          <w:p w:rsidR="00DE347C" w:rsidRPr="00BA4FF3" w:rsidRDefault="00BA4FF3" w:rsidP="000C6220">
            <w:pPr>
              <w:spacing w:after="0" w:line="240" w:lineRule="auto"/>
              <w:jc w:val="left"/>
              <w:rPr>
                <w:color w:val="000000"/>
                <w:kern w:val="22"/>
                <w:sz w:val="17"/>
                <w:szCs w:val="17"/>
                <w:lang w:val="es-ES" w:eastAsia="en-CA"/>
              </w:rPr>
            </w:pPr>
            <w:r>
              <w:rPr>
                <w:color w:val="000000"/>
                <w:kern w:val="22"/>
                <w:sz w:val="17"/>
                <w:lang w:val="es-ES"/>
              </w:rPr>
              <w:t>Total neto (monto dividido entre las Partes</w:t>
            </w:r>
            <w:r w:rsidR="00DE347C" w:rsidRPr="00BA4FF3">
              <w:rPr>
                <w:color w:val="000000"/>
                <w:kern w:val="22"/>
                <w:sz w:val="17"/>
                <w:szCs w:val="17"/>
                <w:lang w:val="es-ES" w:eastAsia="en-CA"/>
              </w:rPr>
              <w:t>)</w:t>
            </w:r>
          </w:p>
        </w:tc>
        <w:tc>
          <w:tcPr>
            <w:tcW w:w="1360" w:type="dxa"/>
            <w:tcBorders>
              <w:top w:val="single" w:sz="4" w:space="0" w:color="auto"/>
              <w:left w:val="nil"/>
              <w:bottom w:val="single" w:sz="8" w:space="0" w:color="auto"/>
              <w:right w:val="nil"/>
            </w:tcBorders>
            <w:shd w:val="clear" w:color="auto" w:fill="auto"/>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1 761</w:t>
            </w:r>
            <w:r w:rsidR="00BA4FF3">
              <w:rPr>
                <w:color w:val="000000"/>
                <w:kern w:val="22"/>
                <w:sz w:val="17"/>
                <w:szCs w:val="17"/>
                <w:lang w:eastAsia="en-CA"/>
              </w:rPr>
              <w:t>,</w:t>
            </w:r>
            <w:r w:rsidRPr="00EE0850">
              <w:rPr>
                <w:color w:val="000000"/>
                <w:kern w:val="22"/>
                <w:sz w:val="17"/>
                <w:szCs w:val="17"/>
                <w:lang w:eastAsia="en-CA"/>
              </w:rPr>
              <w:t>1</w:t>
            </w:r>
          </w:p>
        </w:tc>
        <w:tc>
          <w:tcPr>
            <w:tcW w:w="1600" w:type="dxa"/>
            <w:tcBorders>
              <w:top w:val="single" w:sz="4" w:space="0" w:color="auto"/>
              <w:left w:val="nil"/>
              <w:bottom w:val="single" w:sz="8" w:space="0" w:color="auto"/>
              <w:right w:val="nil"/>
            </w:tcBorders>
            <w:shd w:val="clear" w:color="auto" w:fill="auto"/>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1 867</w:t>
            </w:r>
            <w:r w:rsidR="00BA4FF3">
              <w:rPr>
                <w:color w:val="000000"/>
                <w:kern w:val="22"/>
                <w:sz w:val="17"/>
                <w:szCs w:val="17"/>
                <w:lang w:eastAsia="en-CA"/>
              </w:rPr>
              <w:t>,</w:t>
            </w:r>
            <w:r w:rsidRPr="00EE0850">
              <w:rPr>
                <w:color w:val="000000"/>
                <w:kern w:val="22"/>
                <w:sz w:val="17"/>
                <w:szCs w:val="17"/>
                <w:lang w:eastAsia="en-CA"/>
              </w:rPr>
              <w:t>4</w:t>
            </w:r>
          </w:p>
        </w:tc>
        <w:tc>
          <w:tcPr>
            <w:tcW w:w="1640" w:type="dxa"/>
            <w:tcBorders>
              <w:top w:val="single" w:sz="4" w:space="0" w:color="auto"/>
              <w:left w:val="nil"/>
              <w:bottom w:val="single" w:sz="8" w:space="0" w:color="auto"/>
              <w:right w:val="nil"/>
            </w:tcBorders>
            <w:shd w:val="clear" w:color="auto" w:fill="auto"/>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3 628</w:t>
            </w:r>
            <w:r w:rsidR="00BA4FF3">
              <w:rPr>
                <w:color w:val="000000"/>
                <w:kern w:val="22"/>
                <w:sz w:val="17"/>
                <w:szCs w:val="17"/>
                <w:lang w:eastAsia="en-CA"/>
              </w:rPr>
              <w:t>,</w:t>
            </w:r>
            <w:r w:rsidRPr="00EE0850">
              <w:rPr>
                <w:color w:val="000000"/>
                <w:kern w:val="22"/>
                <w:sz w:val="17"/>
                <w:szCs w:val="17"/>
                <w:lang w:eastAsia="en-CA"/>
              </w:rPr>
              <w:t>5</w:t>
            </w:r>
          </w:p>
        </w:tc>
      </w:tr>
    </w:tbl>
    <w:p w:rsidR="00DE347C" w:rsidRPr="00EE0850" w:rsidRDefault="00DE347C" w:rsidP="000C6220">
      <w:pPr>
        <w:spacing w:before="120" w:line="240" w:lineRule="auto"/>
        <w:jc w:val="left"/>
        <w:rPr>
          <w:kern w:val="22"/>
        </w:rPr>
      </w:pPr>
    </w:p>
    <w:p w:rsidR="00DE347C" w:rsidRPr="00EE0850" w:rsidRDefault="00DE347C" w:rsidP="000C6220">
      <w:pPr>
        <w:spacing w:before="120" w:line="240" w:lineRule="auto"/>
        <w:jc w:val="left"/>
        <w:rPr>
          <w:kern w:val="22"/>
        </w:rPr>
      </w:pPr>
      <w:r w:rsidRPr="00EE0850">
        <w:rPr>
          <w:kern w:val="22"/>
        </w:rPr>
        <w:br w:type="page"/>
      </w:r>
    </w:p>
    <w:p w:rsidR="00DE347C" w:rsidRPr="00BA4FF3" w:rsidRDefault="00BA4FF3" w:rsidP="00BA4FF3">
      <w:pPr>
        <w:keepNext/>
        <w:spacing w:before="120" w:line="240" w:lineRule="auto"/>
        <w:ind w:left="1440" w:hanging="1440"/>
        <w:rPr>
          <w:b/>
          <w:bCs/>
          <w:snapToGrid w:val="0"/>
          <w:kern w:val="22"/>
          <w:lang w:val="es-ES"/>
        </w:rPr>
      </w:pPr>
      <w:r w:rsidRPr="00BA4FF3">
        <w:rPr>
          <w:b/>
          <w:bCs/>
          <w:snapToGrid w:val="0"/>
          <w:kern w:val="22"/>
          <w:lang w:val="es-ES"/>
        </w:rPr>
        <w:lastRenderedPageBreak/>
        <w:t>Cuadro</w:t>
      </w:r>
      <w:r w:rsidR="00DE347C" w:rsidRPr="00BA4FF3">
        <w:rPr>
          <w:b/>
          <w:bCs/>
          <w:snapToGrid w:val="0"/>
          <w:kern w:val="22"/>
          <w:lang w:val="es-ES"/>
        </w:rPr>
        <w:t xml:space="preserve"> 1b.</w:t>
      </w:r>
      <w:r w:rsidR="00DE347C" w:rsidRPr="00BA4FF3">
        <w:rPr>
          <w:b/>
          <w:bCs/>
          <w:snapToGrid w:val="0"/>
          <w:kern w:val="22"/>
          <w:lang w:val="es-ES"/>
        </w:rPr>
        <w:tab/>
      </w:r>
      <w:r w:rsidRPr="00B66116">
        <w:rPr>
          <w:b/>
          <w:kern w:val="22"/>
          <w:lang w:val="es-ES"/>
        </w:rPr>
        <w:t>Presupuesto bienal integrado para los Fondos Fiduciarios del Convenio sobre la Diversidad Biológica y sus Protocolos, 2019-2020 (por objeto de gastos</w:t>
      </w:r>
      <w:r w:rsidR="00DE347C" w:rsidRPr="00BA4FF3">
        <w:rPr>
          <w:b/>
          <w:bCs/>
          <w:snapToGrid w:val="0"/>
          <w:kern w:val="22"/>
          <w:lang w:val="es-ES"/>
        </w:rPr>
        <w:t>)</w:t>
      </w:r>
    </w:p>
    <w:tbl>
      <w:tblPr>
        <w:tblW w:w="0" w:type="auto"/>
        <w:jc w:val="center"/>
        <w:tblLook w:val="04A0"/>
      </w:tblPr>
      <w:tblGrid>
        <w:gridCol w:w="359"/>
        <w:gridCol w:w="3200"/>
        <w:gridCol w:w="2787"/>
        <w:gridCol w:w="1290"/>
        <w:gridCol w:w="1278"/>
        <w:gridCol w:w="1268"/>
      </w:tblGrid>
      <w:tr w:rsidR="00BA4FF3" w:rsidRPr="00EE0850" w:rsidTr="00DE347C">
        <w:trPr>
          <w:trHeight w:val="261"/>
          <w:jc w:val="center"/>
        </w:trPr>
        <w:tc>
          <w:tcPr>
            <w:tcW w:w="0" w:type="auto"/>
            <w:tcBorders>
              <w:top w:val="nil"/>
              <w:left w:val="nil"/>
              <w:bottom w:val="nil"/>
              <w:right w:val="nil"/>
            </w:tcBorders>
            <w:shd w:val="clear" w:color="auto" w:fill="auto"/>
            <w:noWrap/>
            <w:vAlign w:val="center"/>
            <w:hideMark/>
          </w:tcPr>
          <w:p w:rsidR="00DE347C" w:rsidRPr="00BA4FF3" w:rsidRDefault="00DE347C" w:rsidP="000C6220">
            <w:pPr>
              <w:spacing w:after="0" w:line="240" w:lineRule="auto"/>
              <w:jc w:val="right"/>
              <w:rPr>
                <w:color w:val="000000"/>
                <w:kern w:val="22"/>
                <w:sz w:val="17"/>
                <w:szCs w:val="17"/>
                <w:lang w:val="es-ES" w:eastAsia="en-CA"/>
              </w:rPr>
            </w:pPr>
          </w:p>
        </w:tc>
        <w:tc>
          <w:tcPr>
            <w:tcW w:w="0" w:type="auto"/>
            <w:gridSpan w:val="2"/>
            <w:vMerge w:val="restart"/>
            <w:tcBorders>
              <w:top w:val="single" w:sz="8" w:space="0" w:color="auto"/>
              <w:left w:val="nil"/>
              <w:bottom w:val="single" w:sz="8" w:space="0" w:color="000000"/>
              <w:right w:val="nil"/>
            </w:tcBorders>
            <w:shd w:val="clear" w:color="auto" w:fill="auto"/>
            <w:vAlign w:val="center"/>
            <w:hideMark/>
          </w:tcPr>
          <w:p w:rsidR="00DE347C" w:rsidRPr="00EE0850" w:rsidRDefault="00DE347C" w:rsidP="00BA4FF3">
            <w:pPr>
              <w:spacing w:after="0" w:line="240" w:lineRule="auto"/>
              <w:jc w:val="center"/>
              <w:rPr>
                <w:bCs/>
                <w:i/>
                <w:color w:val="000000"/>
                <w:kern w:val="22"/>
                <w:sz w:val="16"/>
                <w:szCs w:val="16"/>
                <w:lang w:eastAsia="en-CA"/>
              </w:rPr>
            </w:pPr>
            <w:r w:rsidRPr="00EE0850">
              <w:rPr>
                <w:bCs/>
                <w:i/>
                <w:color w:val="000000"/>
                <w:kern w:val="22"/>
                <w:sz w:val="16"/>
                <w:szCs w:val="16"/>
                <w:lang w:eastAsia="en-CA"/>
              </w:rPr>
              <w:t>Obje</w:t>
            </w:r>
            <w:r w:rsidR="00BA4FF3">
              <w:rPr>
                <w:bCs/>
                <w:i/>
                <w:color w:val="000000"/>
                <w:kern w:val="22"/>
                <w:sz w:val="16"/>
                <w:szCs w:val="16"/>
                <w:lang w:eastAsia="en-CA"/>
              </w:rPr>
              <w:t>to de gastos</w:t>
            </w:r>
          </w:p>
        </w:tc>
        <w:tc>
          <w:tcPr>
            <w:tcW w:w="0" w:type="auto"/>
            <w:tcBorders>
              <w:top w:val="single" w:sz="8" w:space="0" w:color="auto"/>
              <w:left w:val="nil"/>
              <w:bottom w:val="nil"/>
              <w:right w:val="nil"/>
            </w:tcBorders>
            <w:shd w:val="clear" w:color="auto" w:fill="auto"/>
            <w:vAlign w:val="center"/>
            <w:hideMark/>
          </w:tcPr>
          <w:p w:rsidR="00DE347C" w:rsidRPr="00EE0850" w:rsidRDefault="00DE347C" w:rsidP="000C6220">
            <w:pPr>
              <w:spacing w:after="0" w:line="240" w:lineRule="auto"/>
              <w:jc w:val="center"/>
              <w:rPr>
                <w:bCs/>
                <w:i/>
                <w:color w:val="000000"/>
                <w:kern w:val="22"/>
                <w:sz w:val="16"/>
                <w:szCs w:val="16"/>
                <w:lang w:eastAsia="en-CA"/>
              </w:rPr>
            </w:pPr>
            <w:r w:rsidRPr="00EE0850">
              <w:rPr>
                <w:bCs/>
                <w:i/>
                <w:color w:val="000000"/>
                <w:kern w:val="22"/>
                <w:sz w:val="16"/>
                <w:szCs w:val="16"/>
                <w:lang w:eastAsia="en-CA"/>
              </w:rPr>
              <w:t>2019</w:t>
            </w:r>
          </w:p>
        </w:tc>
        <w:tc>
          <w:tcPr>
            <w:tcW w:w="0" w:type="auto"/>
            <w:tcBorders>
              <w:top w:val="single" w:sz="8" w:space="0" w:color="auto"/>
              <w:left w:val="nil"/>
              <w:bottom w:val="nil"/>
              <w:right w:val="nil"/>
            </w:tcBorders>
            <w:shd w:val="clear" w:color="auto" w:fill="auto"/>
            <w:vAlign w:val="center"/>
            <w:hideMark/>
          </w:tcPr>
          <w:p w:rsidR="00DE347C" w:rsidRPr="00EE0850" w:rsidRDefault="00DE347C" w:rsidP="000C6220">
            <w:pPr>
              <w:spacing w:after="0" w:line="240" w:lineRule="auto"/>
              <w:jc w:val="center"/>
              <w:rPr>
                <w:bCs/>
                <w:i/>
                <w:color w:val="000000"/>
                <w:kern w:val="22"/>
                <w:sz w:val="16"/>
                <w:szCs w:val="16"/>
                <w:lang w:eastAsia="en-CA"/>
              </w:rPr>
            </w:pPr>
            <w:r w:rsidRPr="00EE0850">
              <w:rPr>
                <w:bCs/>
                <w:i/>
                <w:color w:val="000000"/>
                <w:kern w:val="22"/>
                <w:sz w:val="16"/>
                <w:szCs w:val="16"/>
                <w:lang w:eastAsia="en-CA"/>
              </w:rPr>
              <w:t>2020</w:t>
            </w:r>
          </w:p>
        </w:tc>
        <w:tc>
          <w:tcPr>
            <w:tcW w:w="0" w:type="auto"/>
            <w:tcBorders>
              <w:top w:val="single" w:sz="8" w:space="0" w:color="auto"/>
              <w:left w:val="nil"/>
              <w:bottom w:val="nil"/>
              <w:right w:val="nil"/>
            </w:tcBorders>
            <w:shd w:val="clear" w:color="auto" w:fill="auto"/>
            <w:vAlign w:val="center"/>
            <w:hideMark/>
          </w:tcPr>
          <w:p w:rsidR="00DE347C" w:rsidRPr="00EE0850" w:rsidRDefault="00DE347C" w:rsidP="000C6220">
            <w:pPr>
              <w:spacing w:after="0" w:line="240" w:lineRule="auto"/>
              <w:jc w:val="center"/>
              <w:rPr>
                <w:bCs/>
                <w:i/>
                <w:color w:val="000000"/>
                <w:kern w:val="22"/>
                <w:sz w:val="16"/>
                <w:szCs w:val="16"/>
                <w:lang w:eastAsia="en-CA"/>
              </w:rPr>
            </w:pPr>
            <w:r w:rsidRPr="00EE0850">
              <w:rPr>
                <w:bCs/>
                <w:i/>
                <w:color w:val="000000"/>
                <w:kern w:val="22"/>
                <w:sz w:val="16"/>
                <w:szCs w:val="16"/>
                <w:lang w:eastAsia="en-CA"/>
              </w:rPr>
              <w:t>Total</w:t>
            </w:r>
          </w:p>
        </w:tc>
      </w:tr>
      <w:tr w:rsidR="00DE347C" w:rsidRPr="00024C71" w:rsidTr="00DE347C">
        <w:trPr>
          <w:trHeight w:val="261"/>
          <w:jc w:val="center"/>
        </w:trPr>
        <w:tc>
          <w:tcPr>
            <w:tcW w:w="0" w:type="auto"/>
            <w:tcBorders>
              <w:top w:val="nil"/>
              <w:left w:val="nil"/>
              <w:bottom w:val="nil"/>
              <w:right w:val="nil"/>
            </w:tcBorders>
            <w:shd w:val="clear" w:color="auto" w:fill="auto"/>
            <w:noWrap/>
            <w:vAlign w:val="center"/>
            <w:hideMark/>
          </w:tcPr>
          <w:p w:rsidR="00DE347C" w:rsidRPr="00EE0850" w:rsidRDefault="00DE347C" w:rsidP="000C6220">
            <w:pPr>
              <w:spacing w:after="0" w:line="240" w:lineRule="auto"/>
              <w:jc w:val="right"/>
              <w:rPr>
                <w:color w:val="000000"/>
                <w:kern w:val="22"/>
                <w:sz w:val="17"/>
                <w:szCs w:val="17"/>
                <w:lang w:eastAsia="en-CA"/>
              </w:rPr>
            </w:pPr>
          </w:p>
        </w:tc>
        <w:tc>
          <w:tcPr>
            <w:tcW w:w="0" w:type="auto"/>
            <w:gridSpan w:val="2"/>
            <w:vMerge/>
            <w:tcBorders>
              <w:top w:val="nil"/>
              <w:left w:val="nil"/>
              <w:bottom w:val="nil"/>
              <w:right w:val="nil"/>
            </w:tcBorders>
            <w:vAlign w:val="center"/>
            <w:hideMark/>
          </w:tcPr>
          <w:p w:rsidR="00DE347C" w:rsidRPr="00EE0850" w:rsidRDefault="00DE347C" w:rsidP="000C6220">
            <w:pPr>
              <w:spacing w:after="0" w:line="240" w:lineRule="auto"/>
              <w:rPr>
                <w:bCs/>
                <w:i/>
                <w:color w:val="000000"/>
                <w:kern w:val="22"/>
                <w:sz w:val="16"/>
                <w:szCs w:val="16"/>
                <w:lang w:eastAsia="en-CA"/>
              </w:rPr>
            </w:pPr>
          </w:p>
        </w:tc>
        <w:tc>
          <w:tcPr>
            <w:tcW w:w="0" w:type="auto"/>
            <w:gridSpan w:val="3"/>
            <w:tcBorders>
              <w:top w:val="nil"/>
              <w:left w:val="nil"/>
              <w:bottom w:val="nil"/>
              <w:right w:val="nil"/>
            </w:tcBorders>
            <w:shd w:val="clear" w:color="auto" w:fill="auto"/>
            <w:vAlign w:val="center"/>
            <w:hideMark/>
          </w:tcPr>
          <w:p w:rsidR="00DE347C" w:rsidRPr="00BA4FF3" w:rsidRDefault="00DE347C" w:rsidP="000C6220">
            <w:pPr>
              <w:spacing w:after="0" w:line="240" w:lineRule="auto"/>
              <w:jc w:val="center"/>
              <w:rPr>
                <w:i/>
                <w:iCs/>
                <w:color w:val="000000"/>
                <w:kern w:val="22"/>
                <w:sz w:val="16"/>
                <w:szCs w:val="16"/>
                <w:lang w:val="es-ES" w:eastAsia="en-CA"/>
              </w:rPr>
            </w:pPr>
            <w:r w:rsidRPr="00BA4FF3">
              <w:rPr>
                <w:i/>
                <w:iCs/>
                <w:color w:val="000000"/>
                <w:kern w:val="22"/>
                <w:sz w:val="16"/>
                <w:szCs w:val="16"/>
                <w:lang w:val="es-ES" w:eastAsia="en-CA"/>
              </w:rPr>
              <w:t>(</w:t>
            </w:r>
            <w:r w:rsidR="00BA4FF3" w:rsidRPr="00B66116">
              <w:rPr>
                <w:i/>
                <w:color w:val="000000"/>
                <w:kern w:val="22"/>
                <w:sz w:val="16"/>
                <w:szCs w:val="16"/>
                <w:lang w:val="es-ES"/>
              </w:rPr>
              <w:t>En miles de dólares de los Estados Unidos</w:t>
            </w:r>
            <w:r w:rsidRPr="00BA4FF3">
              <w:rPr>
                <w:i/>
                <w:iCs/>
                <w:color w:val="000000"/>
                <w:kern w:val="22"/>
                <w:sz w:val="16"/>
                <w:szCs w:val="16"/>
                <w:lang w:val="es-ES" w:eastAsia="en-CA"/>
              </w:rPr>
              <w:t>)</w:t>
            </w:r>
          </w:p>
        </w:tc>
      </w:tr>
      <w:tr w:rsidR="00BA4FF3" w:rsidRPr="00024C71" w:rsidTr="00DE347C">
        <w:trPr>
          <w:trHeight w:val="48"/>
          <w:jc w:val="center"/>
        </w:trPr>
        <w:tc>
          <w:tcPr>
            <w:tcW w:w="0" w:type="auto"/>
            <w:tcBorders>
              <w:top w:val="nil"/>
              <w:left w:val="nil"/>
              <w:bottom w:val="nil"/>
              <w:right w:val="nil"/>
            </w:tcBorders>
            <w:shd w:val="clear" w:color="auto" w:fill="auto"/>
            <w:noWrap/>
            <w:vAlign w:val="center"/>
            <w:hideMark/>
          </w:tcPr>
          <w:p w:rsidR="00DE347C" w:rsidRPr="00BA4FF3" w:rsidRDefault="00DE347C" w:rsidP="000C6220">
            <w:pPr>
              <w:spacing w:after="0" w:line="240" w:lineRule="auto"/>
              <w:jc w:val="right"/>
              <w:rPr>
                <w:color w:val="000000"/>
                <w:kern w:val="22"/>
                <w:sz w:val="17"/>
                <w:szCs w:val="17"/>
                <w:lang w:val="es-ES" w:eastAsia="en-CA"/>
              </w:rPr>
            </w:pPr>
          </w:p>
        </w:tc>
        <w:tc>
          <w:tcPr>
            <w:tcW w:w="0" w:type="auto"/>
            <w:gridSpan w:val="2"/>
            <w:vMerge/>
            <w:tcBorders>
              <w:top w:val="nil"/>
              <w:left w:val="nil"/>
              <w:bottom w:val="nil"/>
              <w:right w:val="nil"/>
            </w:tcBorders>
            <w:vAlign w:val="center"/>
            <w:hideMark/>
          </w:tcPr>
          <w:p w:rsidR="00DE347C" w:rsidRPr="00BA4FF3" w:rsidRDefault="00DE347C" w:rsidP="000C6220">
            <w:pPr>
              <w:spacing w:after="0" w:line="240" w:lineRule="auto"/>
              <w:rPr>
                <w:b/>
                <w:bCs/>
                <w:color w:val="000000"/>
                <w:kern w:val="22"/>
                <w:sz w:val="16"/>
                <w:szCs w:val="16"/>
                <w:lang w:val="es-ES" w:eastAsia="en-CA"/>
              </w:rPr>
            </w:pPr>
          </w:p>
        </w:tc>
        <w:tc>
          <w:tcPr>
            <w:tcW w:w="0" w:type="auto"/>
            <w:tcBorders>
              <w:top w:val="nil"/>
              <w:left w:val="nil"/>
              <w:bottom w:val="single" w:sz="8" w:space="0" w:color="auto"/>
              <w:right w:val="nil"/>
            </w:tcBorders>
            <w:shd w:val="clear" w:color="auto" w:fill="auto"/>
            <w:vAlign w:val="center"/>
            <w:hideMark/>
          </w:tcPr>
          <w:p w:rsidR="00DE347C" w:rsidRPr="00BA4FF3" w:rsidRDefault="00DE347C" w:rsidP="000C6220">
            <w:pPr>
              <w:spacing w:after="0" w:line="240" w:lineRule="auto"/>
              <w:jc w:val="center"/>
              <w:rPr>
                <w:b/>
                <w:bCs/>
                <w:color w:val="000000"/>
                <w:kern w:val="22"/>
                <w:sz w:val="16"/>
                <w:szCs w:val="16"/>
                <w:lang w:val="es-ES" w:eastAsia="en-CA"/>
              </w:rPr>
            </w:pPr>
          </w:p>
        </w:tc>
        <w:tc>
          <w:tcPr>
            <w:tcW w:w="0" w:type="auto"/>
            <w:tcBorders>
              <w:top w:val="nil"/>
              <w:left w:val="nil"/>
              <w:bottom w:val="single" w:sz="8" w:space="0" w:color="auto"/>
              <w:right w:val="nil"/>
            </w:tcBorders>
            <w:shd w:val="clear" w:color="auto" w:fill="auto"/>
            <w:vAlign w:val="center"/>
            <w:hideMark/>
          </w:tcPr>
          <w:p w:rsidR="00DE347C" w:rsidRPr="00BA4FF3" w:rsidRDefault="00DE347C" w:rsidP="000C6220">
            <w:pPr>
              <w:spacing w:after="0" w:line="240" w:lineRule="auto"/>
              <w:jc w:val="center"/>
              <w:rPr>
                <w:b/>
                <w:bCs/>
                <w:color w:val="000000"/>
                <w:kern w:val="22"/>
                <w:sz w:val="16"/>
                <w:szCs w:val="16"/>
                <w:lang w:val="es-ES" w:eastAsia="en-CA"/>
              </w:rPr>
            </w:pPr>
          </w:p>
        </w:tc>
        <w:tc>
          <w:tcPr>
            <w:tcW w:w="0" w:type="auto"/>
            <w:tcBorders>
              <w:top w:val="nil"/>
              <w:left w:val="nil"/>
              <w:bottom w:val="single" w:sz="8" w:space="0" w:color="auto"/>
              <w:right w:val="nil"/>
            </w:tcBorders>
            <w:shd w:val="clear" w:color="auto" w:fill="auto"/>
            <w:vAlign w:val="center"/>
            <w:hideMark/>
          </w:tcPr>
          <w:p w:rsidR="00DE347C" w:rsidRPr="00BA4FF3" w:rsidRDefault="00DE347C" w:rsidP="000C6220">
            <w:pPr>
              <w:spacing w:after="0" w:line="240" w:lineRule="auto"/>
              <w:jc w:val="center"/>
              <w:rPr>
                <w:b/>
                <w:bCs/>
                <w:color w:val="000000"/>
                <w:kern w:val="22"/>
                <w:sz w:val="16"/>
                <w:szCs w:val="16"/>
                <w:lang w:val="es-ES" w:eastAsia="en-CA"/>
              </w:rPr>
            </w:pPr>
          </w:p>
        </w:tc>
      </w:tr>
      <w:tr w:rsidR="00BA4FF3" w:rsidRPr="00EE0850" w:rsidTr="00DE347C">
        <w:trPr>
          <w:trHeight w:val="261"/>
          <w:jc w:val="center"/>
        </w:trPr>
        <w:tc>
          <w:tcPr>
            <w:tcW w:w="0" w:type="auto"/>
            <w:tcBorders>
              <w:top w:val="nil"/>
              <w:left w:val="nil"/>
              <w:bottom w:val="nil"/>
              <w:right w:val="nil"/>
            </w:tcBorders>
            <w:shd w:val="clear" w:color="auto" w:fill="auto"/>
            <w:noWrap/>
            <w:vAlign w:val="center"/>
          </w:tcPr>
          <w:p w:rsidR="00DE347C" w:rsidRPr="00BA4FF3" w:rsidRDefault="00DE347C" w:rsidP="000C6220">
            <w:pPr>
              <w:spacing w:after="0" w:line="240" w:lineRule="auto"/>
              <w:jc w:val="right"/>
              <w:rPr>
                <w:color w:val="000000"/>
                <w:kern w:val="22"/>
                <w:sz w:val="17"/>
                <w:szCs w:val="17"/>
                <w:lang w:val="es-ES" w:eastAsia="en-CA"/>
              </w:rPr>
            </w:pPr>
          </w:p>
        </w:tc>
        <w:tc>
          <w:tcPr>
            <w:tcW w:w="0" w:type="auto"/>
            <w:gridSpan w:val="2"/>
            <w:tcBorders>
              <w:top w:val="single" w:sz="8" w:space="0" w:color="auto"/>
              <w:left w:val="nil"/>
              <w:bottom w:val="nil"/>
              <w:right w:val="nil"/>
            </w:tcBorders>
            <w:shd w:val="clear" w:color="auto" w:fill="auto"/>
            <w:vAlign w:val="center"/>
            <w:hideMark/>
          </w:tcPr>
          <w:p w:rsidR="00DE347C" w:rsidRPr="00EE0850" w:rsidRDefault="00DE347C" w:rsidP="00BA4FF3">
            <w:pPr>
              <w:spacing w:after="0" w:line="240" w:lineRule="auto"/>
              <w:rPr>
                <w:color w:val="000000"/>
                <w:kern w:val="22"/>
                <w:sz w:val="17"/>
                <w:szCs w:val="17"/>
                <w:lang w:eastAsia="en-CA"/>
              </w:rPr>
            </w:pPr>
            <w:r w:rsidRPr="00EE0850">
              <w:rPr>
                <w:color w:val="000000"/>
                <w:kern w:val="22"/>
                <w:sz w:val="17"/>
                <w:szCs w:val="17"/>
                <w:lang w:eastAsia="en-CA"/>
              </w:rPr>
              <w:t xml:space="preserve">A. </w:t>
            </w:r>
            <w:r w:rsidR="00BA4FF3">
              <w:rPr>
                <w:color w:val="000000"/>
                <w:kern w:val="22"/>
                <w:sz w:val="17"/>
                <w:szCs w:val="17"/>
                <w:lang w:eastAsia="en-CA"/>
              </w:rPr>
              <w:t>Gastos de personal</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11 453</w:t>
            </w:r>
            <w:r w:rsidR="00BA4FF3">
              <w:rPr>
                <w:color w:val="000000"/>
                <w:kern w:val="22"/>
                <w:sz w:val="17"/>
                <w:szCs w:val="17"/>
                <w:lang w:eastAsia="en-CA"/>
              </w:rPr>
              <w:t>,</w:t>
            </w:r>
            <w:r w:rsidRPr="00EE0850">
              <w:rPr>
                <w:color w:val="000000"/>
                <w:kern w:val="22"/>
                <w:sz w:val="17"/>
                <w:szCs w:val="17"/>
                <w:lang w:eastAsia="en-CA"/>
              </w:rPr>
              <w:t>9</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11 626</w:t>
            </w:r>
            <w:r w:rsidR="00BA4FF3">
              <w:rPr>
                <w:color w:val="000000"/>
                <w:kern w:val="22"/>
                <w:sz w:val="17"/>
                <w:szCs w:val="17"/>
                <w:lang w:eastAsia="en-CA"/>
              </w:rPr>
              <w:t>,</w:t>
            </w:r>
            <w:r w:rsidRPr="00EE0850">
              <w:rPr>
                <w:color w:val="000000"/>
                <w:kern w:val="22"/>
                <w:sz w:val="17"/>
                <w:szCs w:val="17"/>
                <w:lang w:eastAsia="en-CA"/>
              </w:rPr>
              <w:t>6</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23 080</w:t>
            </w:r>
            <w:r w:rsidR="00BA4FF3">
              <w:rPr>
                <w:color w:val="000000"/>
                <w:kern w:val="22"/>
                <w:sz w:val="17"/>
                <w:szCs w:val="17"/>
                <w:lang w:eastAsia="en-CA"/>
              </w:rPr>
              <w:t>,</w:t>
            </w:r>
            <w:r w:rsidRPr="00EE0850">
              <w:rPr>
                <w:color w:val="000000"/>
                <w:kern w:val="22"/>
                <w:sz w:val="17"/>
                <w:szCs w:val="17"/>
                <w:lang w:eastAsia="en-CA"/>
              </w:rPr>
              <w:t>5</w:t>
            </w:r>
          </w:p>
        </w:tc>
      </w:tr>
      <w:tr w:rsidR="00BA4FF3" w:rsidRPr="00EE0850" w:rsidTr="00DE347C">
        <w:trPr>
          <w:trHeight w:val="261"/>
          <w:jc w:val="center"/>
        </w:trPr>
        <w:tc>
          <w:tcPr>
            <w:tcW w:w="0" w:type="auto"/>
            <w:tcBorders>
              <w:top w:val="nil"/>
              <w:left w:val="nil"/>
              <w:bottom w:val="nil"/>
              <w:right w:val="nil"/>
            </w:tcBorders>
            <w:shd w:val="clear" w:color="auto" w:fill="auto"/>
            <w:noWrap/>
            <w:vAlign w:val="center"/>
          </w:tcPr>
          <w:p w:rsidR="00DE347C" w:rsidRPr="00EE0850" w:rsidRDefault="00DE347C" w:rsidP="000C6220">
            <w:pPr>
              <w:spacing w:after="0" w:line="240" w:lineRule="auto"/>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DE347C" w:rsidRPr="00BA4FF3" w:rsidRDefault="00DE347C" w:rsidP="00BA4FF3">
            <w:pPr>
              <w:spacing w:after="0" w:line="240" w:lineRule="auto"/>
              <w:rPr>
                <w:color w:val="000000"/>
                <w:kern w:val="22"/>
                <w:sz w:val="17"/>
                <w:szCs w:val="17"/>
                <w:lang w:val="es-ES" w:eastAsia="en-CA"/>
              </w:rPr>
            </w:pPr>
            <w:r w:rsidRPr="00BA4FF3">
              <w:rPr>
                <w:color w:val="000000"/>
                <w:kern w:val="22"/>
                <w:sz w:val="17"/>
                <w:szCs w:val="17"/>
                <w:lang w:val="es-ES" w:eastAsia="en-CA"/>
              </w:rPr>
              <w:t xml:space="preserve">B. </w:t>
            </w:r>
            <w:r w:rsidR="00BA4FF3" w:rsidRPr="00BA4FF3">
              <w:rPr>
                <w:color w:val="000000"/>
                <w:kern w:val="22"/>
                <w:sz w:val="17"/>
                <w:szCs w:val="17"/>
                <w:lang w:val="es-ES" w:eastAsia="en-CA"/>
              </w:rPr>
              <w:t>Reuniones de la Mesa</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150</w:t>
            </w:r>
            <w:r w:rsidR="00BA4FF3">
              <w:rPr>
                <w:color w:val="000000"/>
                <w:kern w:val="22"/>
                <w:sz w:val="17"/>
                <w:szCs w:val="17"/>
                <w:lang w:eastAsia="en-CA"/>
              </w:rPr>
              <w:t>,</w:t>
            </w:r>
            <w:r w:rsidRPr="00EE0850">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215</w:t>
            </w:r>
            <w:r w:rsidR="00BA4FF3">
              <w:rPr>
                <w:color w:val="000000"/>
                <w:kern w:val="22"/>
                <w:sz w:val="17"/>
                <w:szCs w:val="17"/>
                <w:lang w:eastAsia="en-CA"/>
              </w:rPr>
              <w:t>,</w:t>
            </w:r>
            <w:r w:rsidRPr="00EE0850">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365</w:t>
            </w:r>
            <w:r w:rsidR="00BA4FF3">
              <w:rPr>
                <w:color w:val="000000"/>
                <w:kern w:val="22"/>
                <w:sz w:val="17"/>
                <w:szCs w:val="17"/>
                <w:lang w:eastAsia="en-CA"/>
              </w:rPr>
              <w:t>,</w:t>
            </w:r>
            <w:r w:rsidRPr="00EE0850">
              <w:rPr>
                <w:color w:val="000000"/>
                <w:kern w:val="22"/>
                <w:sz w:val="17"/>
                <w:szCs w:val="17"/>
                <w:lang w:eastAsia="en-CA"/>
              </w:rPr>
              <w:t>0</w:t>
            </w:r>
          </w:p>
        </w:tc>
      </w:tr>
      <w:tr w:rsidR="00BA4FF3" w:rsidRPr="00EE0850" w:rsidTr="00DE347C">
        <w:trPr>
          <w:trHeight w:val="261"/>
          <w:jc w:val="center"/>
        </w:trPr>
        <w:tc>
          <w:tcPr>
            <w:tcW w:w="0" w:type="auto"/>
            <w:tcBorders>
              <w:top w:val="nil"/>
              <w:left w:val="nil"/>
              <w:bottom w:val="nil"/>
              <w:right w:val="nil"/>
            </w:tcBorders>
            <w:shd w:val="clear" w:color="auto" w:fill="auto"/>
            <w:noWrap/>
            <w:vAlign w:val="center"/>
          </w:tcPr>
          <w:p w:rsidR="00DE347C" w:rsidRPr="00EE0850" w:rsidRDefault="00DE347C" w:rsidP="000C6220">
            <w:pPr>
              <w:spacing w:after="0" w:line="240" w:lineRule="auto"/>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DE347C" w:rsidRPr="00BA4FF3" w:rsidRDefault="00DE347C" w:rsidP="000C6220">
            <w:pPr>
              <w:spacing w:after="0" w:line="240" w:lineRule="auto"/>
              <w:rPr>
                <w:color w:val="000000"/>
                <w:kern w:val="22"/>
                <w:sz w:val="17"/>
                <w:szCs w:val="17"/>
                <w:lang w:val="es-ES" w:eastAsia="en-CA"/>
              </w:rPr>
            </w:pPr>
            <w:r w:rsidRPr="00BA4FF3">
              <w:rPr>
                <w:color w:val="000000"/>
                <w:kern w:val="22"/>
                <w:sz w:val="17"/>
                <w:szCs w:val="17"/>
                <w:lang w:val="es-ES" w:eastAsia="en-CA"/>
              </w:rPr>
              <w:t xml:space="preserve">C. </w:t>
            </w:r>
            <w:r w:rsidR="00BA4FF3">
              <w:rPr>
                <w:color w:val="000000"/>
                <w:kern w:val="22"/>
                <w:sz w:val="17"/>
                <w:lang w:val="es-ES"/>
              </w:rPr>
              <w:t>Viajes en comisión de servicio</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400</w:t>
            </w:r>
            <w:r w:rsidR="00BA4FF3">
              <w:rPr>
                <w:color w:val="000000"/>
                <w:kern w:val="22"/>
                <w:sz w:val="17"/>
                <w:szCs w:val="17"/>
                <w:lang w:eastAsia="en-CA"/>
              </w:rPr>
              <w:t>,</w:t>
            </w:r>
            <w:r w:rsidRPr="00EE0850">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400</w:t>
            </w:r>
            <w:r w:rsidR="00BA4FF3">
              <w:rPr>
                <w:color w:val="000000"/>
                <w:kern w:val="22"/>
                <w:sz w:val="17"/>
                <w:szCs w:val="17"/>
                <w:lang w:eastAsia="en-CA"/>
              </w:rPr>
              <w:t>,</w:t>
            </w:r>
            <w:r w:rsidRPr="00EE0850">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800</w:t>
            </w:r>
            <w:r w:rsidR="00BA4FF3">
              <w:rPr>
                <w:color w:val="000000"/>
                <w:kern w:val="22"/>
                <w:sz w:val="17"/>
                <w:szCs w:val="17"/>
                <w:lang w:eastAsia="en-CA"/>
              </w:rPr>
              <w:t>,</w:t>
            </w:r>
            <w:r w:rsidRPr="00EE0850">
              <w:rPr>
                <w:color w:val="000000"/>
                <w:kern w:val="22"/>
                <w:sz w:val="17"/>
                <w:szCs w:val="17"/>
                <w:lang w:eastAsia="en-CA"/>
              </w:rPr>
              <w:t>0</w:t>
            </w:r>
          </w:p>
        </w:tc>
      </w:tr>
      <w:tr w:rsidR="00BA4FF3" w:rsidRPr="00EE0850" w:rsidTr="00DE347C">
        <w:trPr>
          <w:trHeight w:val="261"/>
          <w:jc w:val="center"/>
        </w:trPr>
        <w:tc>
          <w:tcPr>
            <w:tcW w:w="0" w:type="auto"/>
            <w:tcBorders>
              <w:top w:val="nil"/>
              <w:left w:val="nil"/>
              <w:bottom w:val="nil"/>
              <w:right w:val="nil"/>
            </w:tcBorders>
            <w:shd w:val="clear" w:color="auto" w:fill="auto"/>
            <w:noWrap/>
            <w:vAlign w:val="center"/>
          </w:tcPr>
          <w:p w:rsidR="00DE347C" w:rsidRPr="00EE0850" w:rsidRDefault="00DE347C" w:rsidP="000C6220">
            <w:pPr>
              <w:spacing w:after="0" w:line="240" w:lineRule="auto"/>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DE347C" w:rsidRPr="00EE0850" w:rsidRDefault="00DE347C" w:rsidP="000C6220">
            <w:pPr>
              <w:spacing w:after="0" w:line="240" w:lineRule="auto"/>
              <w:rPr>
                <w:kern w:val="22"/>
                <w:sz w:val="17"/>
                <w:szCs w:val="17"/>
                <w:lang w:eastAsia="en-CA"/>
              </w:rPr>
            </w:pPr>
            <w:r w:rsidRPr="00EE0850">
              <w:rPr>
                <w:kern w:val="22"/>
                <w:sz w:val="17"/>
                <w:szCs w:val="17"/>
                <w:lang w:eastAsia="en-CA"/>
              </w:rPr>
              <w:t xml:space="preserve">D. </w:t>
            </w:r>
            <w:r w:rsidR="00BA4FF3">
              <w:rPr>
                <w:kern w:val="22"/>
                <w:sz w:val="17"/>
                <w:lang w:val="es-ES"/>
              </w:rPr>
              <w:t>Consultores/Subcontratistas</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kern w:val="22"/>
                <w:sz w:val="17"/>
                <w:szCs w:val="17"/>
                <w:lang w:eastAsia="en-CA"/>
              </w:rPr>
            </w:pPr>
            <w:r w:rsidRPr="00EE0850">
              <w:rPr>
                <w:kern w:val="22"/>
                <w:sz w:val="17"/>
                <w:szCs w:val="17"/>
                <w:lang w:eastAsia="en-CA"/>
              </w:rPr>
              <w:t>50</w:t>
            </w:r>
            <w:r w:rsidR="00BA4FF3">
              <w:rPr>
                <w:kern w:val="22"/>
                <w:sz w:val="17"/>
                <w:szCs w:val="17"/>
                <w:lang w:eastAsia="en-CA"/>
              </w:rPr>
              <w:t>,</w:t>
            </w:r>
            <w:r w:rsidRPr="00EE0850">
              <w:rPr>
                <w:kern w:val="22"/>
                <w:sz w:val="17"/>
                <w:szCs w:val="17"/>
                <w:lang w:eastAsia="en-CA"/>
              </w:rPr>
              <w:t>0</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kern w:val="22"/>
                <w:sz w:val="17"/>
                <w:szCs w:val="17"/>
                <w:lang w:eastAsia="en-CA"/>
              </w:rPr>
            </w:pPr>
            <w:r w:rsidRPr="00EE0850">
              <w:rPr>
                <w:kern w:val="22"/>
                <w:sz w:val="17"/>
                <w:szCs w:val="17"/>
                <w:lang w:eastAsia="en-CA"/>
              </w:rPr>
              <w:t>50</w:t>
            </w:r>
            <w:r w:rsidR="00BA4FF3">
              <w:rPr>
                <w:kern w:val="22"/>
                <w:sz w:val="17"/>
                <w:szCs w:val="17"/>
                <w:lang w:eastAsia="en-CA"/>
              </w:rPr>
              <w:t>,</w:t>
            </w:r>
            <w:r w:rsidRPr="00EE0850">
              <w:rPr>
                <w:kern w:val="22"/>
                <w:sz w:val="17"/>
                <w:szCs w:val="17"/>
                <w:lang w:eastAsia="en-CA"/>
              </w:rPr>
              <w:t>0</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100</w:t>
            </w:r>
            <w:r w:rsidR="00BA4FF3">
              <w:rPr>
                <w:color w:val="000000"/>
                <w:kern w:val="22"/>
                <w:sz w:val="17"/>
                <w:szCs w:val="17"/>
                <w:lang w:eastAsia="en-CA"/>
              </w:rPr>
              <w:t>,</w:t>
            </w:r>
            <w:r w:rsidRPr="00EE0850">
              <w:rPr>
                <w:color w:val="000000"/>
                <w:kern w:val="22"/>
                <w:sz w:val="17"/>
                <w:szCs w:val="17"/>
                <w:lang w:eastAsia="en-CA"/>
              </w:rPr>
              <w:t>0</w:t>
            </w:r>
          </w:p>
        </w:tc>
      </w:tr>
      <w:tr w:rsidR="00BA4FF3" w:rsidRPr="00EE0850" w:rsidTr="00DE347C">
        <w:trPr>
          <w:trHeight w:val="261"/>
          <w:jc w:val="center"/>
        </w:trPr>
        <w:tc>
          <w:tcPr>
            <w:tcW w:w="0" w:type="auto"/>
            <w:tcBorders>
              <w:top w:val="nil"/>
              <w:left w:val="nil"/>
              <w:bottom w:val="nil"/>
              <w:right w:val="nil"/>
            </w:tcBorders>
            <w:shd w:val="clear" w:color="auto" w:fill="auto"/>
            <w:noWrap/>
            <w:vAlign w:val="center"/>
          </w:tcPr>
          <w:p w:rsidR="00DE347C" w:rsidRPr="00EE0850" w:rsidRDefault="00DE347C" w:rsidP="000C6220">
            <w:pPr>
              <w:spacing w:after="0" w:line="240" w:lineRule="auto"/>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DE347C" w:rsidRPr="00BA4FF3" w:rsidRDefault="00DE347C" w:rsidP="000C6220">
            <w:pPr>
              <w:spacing w:after="0" w:line="240" w:lineRule="auto"/>
              <w:rPr>
                <w:kern w:val="22"/>
                <w:sz w:val="17"/>
                <w:szCs w:val="17"/>
                <w:lang w:val="es-ES" w:eastAsia="en-CA"/>
              </w:rPr>
            </w:pPr>
            <w:r w:rsidRPr="00BA4FF3">
              <w:rPr>
                <w:kern w:val="22"/>
                <w:sz w:val="17"/>
                <w:szCs w:val="17"/>
                <w:lang w:val="es-ES" w:eastAsia="en-CA"/>
              </w:rPr>
              <w:t xml:space="preserve">E. </w:t>
            </w:r>
            <w:r w:rsidR="00BA4FF3">
              <w:rPr>
                <w:kern w:val="22"/>
                <w:sz w:val="17"/>
                <w:lang w:val="es-ES"/>
              </w:rPr>
              <w:t>Materiales de concienciación del público/comunicaciones</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kern w:val="22"/>
                <w:sz w:val="17"/>
                <w:szCs w:val="17"/>
                <w:lang w:eastAsia="en-CA"/>
              </w:rPr>
            </w:pPr>
            <w:r w:rsidRPr="00EE0850">
              <w:rPr>
                <w:kern w:val="22"/>
                <w:sz w:val="17"/>
                <w:szCs w:val="17"/>
                <w:lang w:eastAsia="en-CA"/>
              </w:rPr>
              <w:t>50</w:t>
            </w:r>
            <w:r w:rsidR="00BA4FF3">
              <w:rPr>
                <w:kern w:val="22"/>
                <w:sz w:val="17"/>
                <w:szCs w:val="17"/>
                <w:lang w:eastAsia="en-CA"/>
              </w:rPr>
              <w:t>,</w:t>
            </w:r>
            <w:r w:rsidRPr="00EE0850">
              <w:rPr>
                <w:kern w:val="22"/>
                <w:sz w:val="17"/>
                <w:szCs w:val="17"/>
                <w:lang w:eastAsia="en-CA"/>
              </w:rPr>
              <w:t>0</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kern w:val="22"/>
                <w:sz w:val="17"/>
                <w:szCs w:val="17"/>
                <w:lang w:eastAsia="en-CA"/>
              </w:rPr>
            </w:pPr>
            <w:r w:rsidRPr="00EE0850">
              <w:rPr>
                <w:kern w:val="22"/>
                <w:sz w:val="17"/>
                <w:szCs w:val="17"/>
                <w:lang w:eastAsia="en-CA"/>
              </w:rPr>
              <w:t>50</w:t>
            </w:r>
            <w:r w:rsidR="00BA4FF3">
              <w:rPr>
                <w:kern w:val="22"/>
                <w:sz w:val="17"/>
                <w:szCs w:val="17"/>
                <w:lang w:eastAsia="en-CA"/>
              </w:rPr>
              <w:t>,</w:t>
            </w:r>
            <w:r w:rsidRPr="00EE0850">
              <w:rPr>
                <w:kern w:val="22"/>
                <w:sz w:val="17"/>
                <w:szCs w:val="17"/>
                <w:lang w:eastAsia="en-CA"/>
              </w:rPr>
              <w:t>0</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100</w:t>
            </w:r>
            <w:r w:rsidR="00BA4FF3">
              <w:rPr>
                <w:color w:val="000000"/>
                <w:kern w:val="22"/>
                <w:sz w:val="17"/>
                <w:szCs w:val="17"/>
                <w:lang w:eastAsia="en-CA"/>
              </w:rPr>
              <w:t>,</w:t>
            </w:r>
            <w:r w:rsidRPr="00EE0850">
              <w:rPr>
                <w:color w:val="000000"/>
                <w:kern w:val="22"/>
                <w:sz w:val="17"/>
                <w:szCs w:val="17"/>
                <w:lang w:eastAsia="en-CA"/>
              </w:rPr>
              <w:t>0</w:t>
            </w:r>
          </w:p>
        </w:tc>
      </w:tr>
      <w:tr w:rsidR="00BA4FF3" w:rsidRPr="00EE0850" w:rsidTr="00DE347C">
        <w:trPr>
          <w:trHeight w:val="261"/>
          <w:jc w:val="center"/>
        </w:trPr>
        <w:tc>
          <w:tcPr>
            <w:tcW w:w="0" w:type="auto"/>
            <w:tcBorders>
              <w:top w:val="nil"/>
              <w:left w:val="nil"/>
              <w:bottom w:val="nil"/>
              <w:right w:val="nil"/>
            </w:tcBorders>
            <w:shd w:val="clear" w:color="auto" w:fill="auto"/>
            <w:noWrap/>
            <w:vAlign w:val="center"/>
          </w:tcPr>
          <w:p w:rsidR="00DE347C" w:rsidRPr="00EE0850" w:rsidRDefault="00DE347C" w:rsidP="000C6220">
            <w:pPr>
              <w:spacing w:after="0" w:line="240" w:lineRule="auto"/>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DE347C" w:rsidRPr="00BA4FF3" w:rsidRDefault="00DE347C" w:rsidP="000C6220">
            <w:pPr>
              <w:spacing w:after="0" w:line="240" w:lineRule="auto"/>
              <w:rPr>
                <w:color w:val="000000"/>
                <w:kern w:val="22"/>
                <w:sz w:val="17"/>
                <w:szCs w:val="17"/>
                <w:lang w:val="es-ES" w:eastAsia="en-CA"/>
              </w:rPr>
            </w:pPr>
            <w:r w:rsidRPr="00BA4FF3">
              <w:rPr>
                <w:color w:val="000000"/>
                <w:kern w:val="22"/>
                <w:sz w:val="17"/>
                <w:szCs w:val="17"/>
                <w:lang w:val="es-ES" w:eastAsia="en-CA"/>
              </w:rPr>
              <w:t xml:space="preserve">F. </w:t>
            </w:r>
            <w:r w:rsidR="00BA4FF3">
              <w:rPr>
                <w:color w:val="000000"/>
                <w:kern w:val="22"/>
                <w:sz w:val="17"/>
                <w:lang w:val="es-ES"/>
              </w:rPr>
              <w:t>Personal temporario/horas extraordinarias</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100</w:t>
            </w:r>
            <w:r w:rsidR="00BA4FF3">
              <w:rPr>
                <w:color w:val="000000"/>
                <w:kern w:val="22"/>
                <w:sz w:val="17"/>
                <w:szCs w:val="17"/>
                <w:lang w:eastAsia="en-CA"/>
              </w:rPr>
              <w:t>,</w:t>
            </w:r>
            <w:r w:rsidRPr="00EE0850">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100</w:t>
            </w:r>
            <w:r w:rsidR="00BA4FF3">
              <w:rPr>
                <w:color w:val="000000"/>
                <w:kern w:val="22"/>
                <w:sz w:val="17"/>
                <w:szCs w:val="17"/>
                <w:lang w:eastAsia="en-CA"/>
              </w:rPr>
              <w:t>,</w:t>
            </w:r>
            <w:r w:rsidRPr="00EE0850">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200</w:t>
            </w:r>
            <w:r w:rsidR="00BA4FF3">
              <w:rPr>
                <w:color w:val="000000"/>
                <w:kern w:val="22"/>
                <w:sz w:val="17"/>
                <w:szCs w:val="17"/>
                <w:lang w:eastAsia="en-CA"/>
              </w:rPr>
              <w:t>,</w:t>
            </w:r>
            <w:r w:rsidRPr="00EE0850">
              <w:rPr>
                <w:color w:val="000000"/>
                <w:kern w:val="22"/>
                <w:sz w:val="17"/>
                <w:szCs w:val="17"/>
                <w:lang w:eastAsia="en-CA"/>
              </w:rPr>
              <w:t>0</w:t>
            </w:r>
          </w:p>
        </w:tc>
      </w:tr>
      <w:tr w:rsidR="00BA4FF3" w:rsidRPr="00EE0850" w:rsidTr="00DE347C">
        <w:trPr>
          <w:trHeight w:val="261"/>
          <w:jc w:val="center"/>
        </w:trPr>
        <w:tc>
          <w:tcPr>
            <w:tcW w:w="0" w:type="auto"/>
            <w:tcBorders>
              <w:top w:val="nil"/>
              <w:left w:val="nil"/>
              <w:bottom w:val="nil"/>
              <w:right w:val="nil"/>
            </w:tcBorders>
            <w:shd w:val="clear" w:color="auto" w:fill="auto"/>
            <w:noWrap/>
            <w:vAlign w:val="center"/>
          </w:tcPr>
          <w:p w:rsidR="00DE347C" w:rsidRPr="00EE0850" w:rsidRDefault="00DE347C" w:rsidP="000C6220">
            <w:pPr>
              <w:spacing w:after="0" w:line="240" w:lineRule="auto"/>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DE347C" w:rsidRPr="00EE0850" w:rsidRDefault="00DE347C" w:rsidP="00BA4FF3">
            <w:pPr>
              <w:spacing w:after="0" w:line="240" w:lineRule="auto"/>
              <w:rPr>
                <w:color w:val="000000"/>
                <w:kern w:val="22"/>
                <w:sz w:val="17"/>
                <w:szCs w:val="17"/>
                <w:lang w:eastAsia="en-CA"/>
              </w:rPr>
            </w:pPr>
            <w:r w:rsidRPr="00EE0850">
              <w:rPr>
                <w:color w:val="000000"/>
                <w:kern w:val="22"/>
                <w:sz w:val="17"/>
                <w:szCs w:val="17"/>
                <w:lang w:eastAsia="en-CA"/>
              </w:rPr>
              <w:t xml:space="preserve">G. </w:t>
            </w:r>
            <w:r w:rsidR="00BA4FF3">
              <w:rPr>
                <w:color w:val="000000"/>
                <w:kern w:val="22"/>
                <w:sz w:val="17"/>
                <w:szCs w:val="17"/>
                <w:lang w:eastAsia="en-CA"/>
              </w:rPr>
              <w:t>Capacitación</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5</w:t>
            </w:r>
            <w:r w:rsidR="00BA4FF3">
              <w:rPr>
                <w:color w:val="000000"/>
                <w:kern w:val="22"/>
                <w:sz w:val="17"/>
                <w:szCs w:val="17"/>
                <w:lang w:eastAsia="en-CA"/>
              </w:rPr>
              <w:t>,</w:t>
            </w:r>
            <w:r w:rsidRPr="00EE0850">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DE347C" w:rsidRPr="00EE0850" w:rsidRDefault="00BA4FF3" w:rsidP="000C6220">
            <w:pPr>
              <w:spacing w:after="0" w:line="240" w:lineRule="auto"/>
              <w:jc w:val="right"/>
              <w:rPr>
                <w:color w:val="000000"/>
                <w:kern w:val="22"/>
                <w:sz w:val="17"/>
                <w:szCs w:val="17"/>
                <w:lang w:eastAsia="en-CA"/>
              </w:rPr>
            </w:pPr>
            <w:r>
              <w:rPr>
                <w:color w:val="000000"/>
                <w:kern w:val="22"/>
                <w:sz w:val="17"/>
                <w:szCs w:val="17"/>
                <w:lang w:eastAsia="en-CA"/>
              </w:rPr>
              <w:t>5,</w:t>
            </w:r>
            <w:r w:rsidR="00DE347C" w:rsidRPr="00EE0850">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10</w:t>
            </w:r>
            <w:r w:rsidR="00BA4FF3">
              <w:rPr>
                <w:color w:val="000000"/>
                <w:kern w:val="22"/>
                <w:sz w:val="17"/>
                <w:szCs w:val="17"/>
                <w:lang w:eastAsia="en-CA"/>
              </w:rPr>
              <w:t>,</w:t>
            </w:r>
            <w:r w:rsidRPr="00EE0850">
              <w:rPr>
                <w:color w:val="000000"/>
                <w:kern w:val="22"/>
                <w:sz w:val="17"/>
                <w:szCs w:val="17"/>
                <w:lang w:eastAsia="en-CA"/>
              </w:rPr>
              <w:t>0</w:t>
            </w:r>
          </w:p>
        </w:tc>
      </w:tr>
      <w:tr w:rsidR="00BA4FF3" w:rsidRPr="00EE0850" w:rsidTr="00DE347C">
        <w:trPr>
          <w:trHeight w:val="261"/>
          <w:jc w:val="center"/>
        </w:trPr>
        <w:tc>
          <w:tcPr>
            <w:tcW w:w="0" w:type="auto"/>
            <w:tcBorders>
              <w:top w:val="nil"/>
              <w:left w:val="nil"/>
              <w:bottom w:val="nil"/>
              <w:right w:val="nil"/>
            </w:tcBorders>
            <w:shd w:val="clear" w:color="auto" w:fill="auto"/>
            <w:noWrap/>
            <w:vAlign w:val="center"/>
          </w:tcPr>
          <w:p w:rsidR="00DE347C" w:rsidRPr="00EE0850" w:rsidRDefault="00DE347C" w:rsidP="000C6220">
            <w:pPr>
              <w:spacing w:after="0" w:line="240" w:lineRule="auto"/>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DE347C" w:rsidRPr="00BA4FF3" w:rsidRDefault="00DE347C" w:rsidP="000C6220">
            <w:pPr>
              <w:spacing w:after="0" w:line="240" w:lineRule="auto"/>
              <w:rPr>
                <w:color w:val="000000"/>
                <w:kern w:val="22"/>
                <w:sz w:val="17"/>
                <w:szCs w:val="17"/>
                <w:lang w:val="es-ES" w:eastAsia="en-CA"/>
              </w:rPr>
            </w:pPr>
            <w:r w:rsidRPr="00BA4FF3">
              <w:rPr>
                <w:color w:val="000000"/>
                <w:kern w:val="22"/>
                <w:sz w:val="17"/>
                <w:szCs w:val="17"/>
                <w:lang w:val="es-ES" w:eastAsia="en-CA"/>
              </w:rPr>
              <w:t xml:space="preserve">H. </w:t>
            </w:r>
            <w:r w:rsidR="00BA4FF3">
              <w:rPr>
                <w:color w:val="000000"/>
                <w:kern w:val="22"/>
                <w:sz w:val="17"/>
                <w:lang w:val="es-ES"/>
              </w:rPr>
              <w:t>Traducción del sitio web del mecanismo de facilitación/proyectos de sitio web</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65</w:t>
            </w:r>
            <w:r w:rsidR="00BA4FF3">
              <w:rPr>
                <w:color w:val="000000"/>
                <w:kern w:val="22"/>
                <w:sz w:val="17"/>
                <w:szCs w:val="17"/>
                <w:lang w:eastAsia="en-CA"/>
              </w:rPr>
              <w:t>,</w:t>
            </w:r>
            <w:r w:rsidRPr="00EE0850">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65</w:t>
            </w:r>
            <w:r w:rsidR="00BA4FF3">
              <w:rPr>
                <w:color w:val="000000"/>
                <w:kern w:val="22"/>
                <w:sz w:val="17"/>
                <w:szCs w:val="17"/>
                <w:lang w:eastAsia="en-CA"/>
              </w:rPr>
              <w:t>,</w:t>
            </w:r>
            <w:r w:rsidRPr="00EE0850">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130</w:t>
            </w:r>
            <w:r w:rsidR="00BA4FF3">
              <w:rPr>
                <w:color w:val="000000"/>
                <w:kern w:val="22"/>
                <w:sz w:val="17"/>
                <w:szCs w:val="17"/>
                <w:lang w:eastAsia="en-CA"/>
              </w:rPr>
              <w:t>,</w:t>
            </w:r>
            <w:r w:rsidRPr="00EE0850">
              <w:rPr>
                <w:color w:val="000000"/>
                <w:kern w:val="22"/>
                <w:sz w:val="17"/>
                <w:szCs w:val="17"/>
                <w:lang w:eastAsia="en-CA"/>
              </w:rPr>
              <w:t>0</w:t>
            </w:r>
          </w:p>
        </w:tc>
      </w:tr>
      <w:tr w:rsidR="00BA4FF3" w:rsidRPr="00EE0850" w:rsidTr="00DE347C">
        <w:trPr>
          <w:trHeight w:val="261"/>
          <w:jc w:val="center"/>
        </w:trPr>
        <w:tc>
          <w:tcPr>
            <w:tcW w:w="0" w:type="auto"/>
            <w:tcBorders>
              <w:top w:val="nil"/>
              <w:left w:val="nil"/>
              <w:bottom w:val="nil"/>
              <w:right w:val="nil"/>
            </w:tcBorders>
            <w:shd w:val="clear" w:color="auto" w:fill="auto"/>
            <w:noWrap/>
            <w:vAlign w:val="center"/>
          </w:tcPr>
          <w:p w:rsidR="00DE347C" w:rsidRPr="00EE0850" w:rsidRDefault="00DE347C" w:rsidP="000C6220">
            <w:pPr>
              <w:spacing w:after="0" w:line="240" w:lineRule="auto"/>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DE347C" w:rsidRPr="00EE0850" w:rsidRDefault="00DE347C" w:rsidP="00BA4FF3">
            <w:pPr>
              <w:spacing w:after="0" w:line="240" w:lineRule="auto"/>
              <w:rPr>
                <w:color w:val="000000"/>
                <w:kern w:val="22"/>
                <w:sz w:val="17"/>
                <w:szCs w:val="17"/>
                <w:lang w:eastAsia="en-CA"/>
              </w:rPr>
            </w:pPr>
            <w:r w:rsidRPr="00EE0850">
              <w:rPr>
                <w:color w:val="000000"/>
                <w:kern w:val="22"/>
                <w:sz w:val="17"/>
                <w:szCs w:val="17"/>
                <w:lang w:eastAsia="en-CA"/>
              </w:rPr>
              <w:t xml:space="preserve">I. </w:t>
            </w:r>
            <w:r w:rsidR="00BA4FF3">
              <w:rPr>
                <w:color w:val="000000"/>
                <w:kern w:val="22"/>
                <w:sz w:val="17"/>
                <w:szCs w:val="17"/>
                <w:lang w:eastAsia="en-CA"/>
              </w:rPr>
              <w:t>Reunione</w:t>
            </w:r>
            <w:r w:rsidRPr="00EE0850">
              <w:rPr>
                <w:color w:val="000000"/>
                <w:kern w:val="22"/>
                <w:sz w:val="17"/>
                <w:szCs w:val="17"/>
                <w:lang w:eastAsia="en-CA"/>
              </w:rPr>
              <w:t>s</w:t>
            </w:r>
            <w:r w:rsidRPr="00EE0850">
              <w:rPr>
                <w:color w:val="000000"/>
                <w:kern w:val="22"/>
                <w:sz w:val="17"/>
                <w:szCs w:val="17"/>
                <w:vertAlign w:val="superscript"/>
                <w:lang w:eastAsia="en-CA"/>
              </w:rPr>
              <w:t>1/2/3</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1 569</w:t>
            </w:r>
            <w:r w:rsidR="00BA4FF3">
              <w:rPr>
                <w:color w:val="000000"/>
                <w:kern w:val="22"/>
                <w:sz w:val="17"/>
                <w:szCs w:val="17"/>
                <w:lang w:eastAsia="en-CA"/>
              </w:rPr>
              <w:t>,</w:t>
            </w:r>
            <w:r w:rsidRPr="00EE0850">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2 119</w:t>
            </w:r>
            <w:r w:rsidR="00BA4FF3">
              <w:rPr>
                <w:color w:val="000000"/>
                <w:kern w:val="22"/>
                <w:sz w:val="17"/>
                <w:szCs w:val="17"/>
                <w:lang w:eastAsia="en-CA"/>
              </w:rPr>
              <w:t>,</w:t>
            </w:r>
            <w:r w:rsidRPr="00EE0850">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3 688</w:t>
            </w:r>
            <w:r w:rsidR="00BA4FF3">
              <w:rPr>
                <w:color w:val="000000"/>
                <w:kern w:val="22"/>
                <w:sz w:val="17"/>
                <w:szCs w:val="17"/>
                <w:lang w:eastAsia="en-CA"/>
              </w:rPr>
              <w:t>,</w:t>
            </w:r>
            <w:r w:rsidRPr="00EE0850">
              <w:rPr>
                <w:color w:val="000000"/>
                <w:kern w:val="22"/>
                <w:sz w:val="17"/>
                <w:szCs w:val="17"/>
                <w:lang w:eastAsia="en-CA"/>
              </w:rPr>
              <w:t>0</w:t>
            </w:r>
          </w:p>
        </w:tc>
      </w:tr>
      <w:tr w:rsidR="00BA4FF3" w:rsidRPr="00EE0850" w:rsidTr="00DE347C">
        <w:trPr>
          <w:trHeight w:val="261"/>
          <w:jc w:val="center"/>
        </w:trPr>
        <w:tc>
          <w:tcPr>
            <w:tcW w:w="0" w:type="auto"/>
            <w:tcBorders>
              <w:top w:val="nil"/>
              <w:left w:val="nil"/>
              <w:bottom w:val="nil"/>
              <w:right w:val="nil"/>
            </w:tcBorders>
            <w:shd w:val="clear" w:color="auto" w:fill="auto"/>
            <w:noWrap/>
            <w:vAlign w:val="center"/>
          </w:tcPr>
          <w:p w:rsidR="00DE347C" w:rsidRPr="00EE0850" w:rsidRDefault="00DE347C" w:rsidP="000C6220">
            <w:pPr>
              <w:spacing w:after="0" w:line="240" w:lineRule="auto"/>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DE347C" w:rsidRPr="00EE0850" w:rsidRDefault="00DE347C" w:rsidP="00BA4FF3">
            <w:pPr>
              <w:spacing w:after="0" w:line="240" w:lineRule="auto"/>
              <w:rPr>
                <w:color w:val="000000"/>
                <w:kern w:val="22"/>
                <w:sz w:val="17"/>
                <w:szCs w:val="17"/>
                <w:lang w:eastAsia="en-CA"/>
              </w:rPr>
            </w:pPr>
            <w:r w:rsidRPr="00EE0850">
              <w:rPr>
                <w:color w:val="000000"/>
                <w:kern w:val="22"/>
                <w:sz w:val="17"/>
                <w:szCs w:val="17"/>
                <w:lang w:eastAsia="en-CA"/>
              </w:rPr>
              <w:t xml:space="preserve">J. </w:t>
            </w:r>
            <w:r w:rsidR="00BA4FF3">
              <w:rPr>
                <w:color w:val="000000"/>
                <w:kern w:val="22"/>
                <w:sz w:val="17"/>
                <w:szCs w:val="17"/>
                <w:lang w:eastAsia="en-CA"/>
              </w:rPr>
              <w:t>Reuniones de expertos</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170</w:t>
            </w:r>
            <w:r w:rsidR="00BA4FF3">
              <w:rPr>
                <w:color w:val="000000"/>
                <w:kern w:val="22"/>
                <w:sz w:val="17"/>
                <w:szCs w:val="17"/>
                <w:lang w:eastAsia="en-CA"/>
              </w:rPr>
              <w:t>,</w:t>
            </w:r>
            <w:r w:rsidRPr="00EE0850">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150</w:t>
            </w:r>
            <w:r w:rsidR="00BA4FF3">
              <w:rPr>
                <w:color w:val="000000"/>
                <w:kern w:val="22"/>
                <w:sz w:val="17"/>
                <w:szCs w:val="17"/>
                <w:lang w:eastAsia="en-CA"/>
              </w:rPr>
              <w:t>,</w:t>
            </w:r>
            <w:r w:rsidRPr="00EE0850">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320</w:t>
            </w:r>
            <w:r w:rsidR="00BA4FF3">
              <w:rPr>
                <w:color w:val="000000"/>
                <w:kern w:val="22"/>
                <w:sz w:val="17"/>
                <w:szCs w:val="17"/>
                <w:lang w:eastAsia="en-CA"/>
              </w:rPr>
              <w:t>,</w:t>
            </w:r>
            <w:r w:rsidRPr="00EE0850">
              <w:rPr>
                <w:color w:val="000000"/>
                <w:kern w:val="22"/>
                <w:sz w:val="17"/>
                <w:szCs w:val="17"/>
                <w:lang w:eastAsia="en-CA"/>
              </w:rPr>
              <w:t>0</w:t>
            </w:r>
          </w:p>
        </w:tc>
      </w:tr>
      <w:tr w:rsidR="00BA4FF3" w:rsidRPr="00EE0850" w:rsidTr="00DE347C">
        <w:trPr>
          <w:trHeight w:val="261"/>
          <w:jc w:val="center"/>
        </w:trPr>
        <w:tc>
          <w:tcPr>
            <w:tcW w:w="0" w:type="auto"/>
            <w:tcBorders>
              <w:top w:val="nil"/>
              <w:left w:val="nil"/>
              <w:bottom w:val="nil"/>
              <w:right w:val="nil"/>
            </w:tcBorders>
            <w:shd w:val="clear" w:color="auto" w:fill="auto"/>
            <w:noWrap/>
            <w:vAlign w:val="center"/>
          </w:tcPr>
          <w:p w:rsidR="00DE347C" w:rsidRPr="00EE0850" w:rsidRDefault="00DE347C" w:rsidP="000C6220">
            <w:pPr>
              <w:spacing w:after="0" w:line="240" w:lineRule="auto"/>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DE347C" w:rsidRPr="00BA4FF3" w:rsidRDefault="00DE347C" w:rsidP="00BA4FF3">
            <w:pPr>
              <w:spacing w:after="0" w:line="240" w:lineRule="auto"/>
              <w:rPr>
                <w:color w:val="000000"/>
                <w:kern w:val="22"/>
                <w:sz w:val="17"/>
                <w:szCs w:val="17"/>
                <w:lang w:val="es-ES" w:eastAsia="en-CA"/>
              </w:rPr>
            </w:pPr>
            <w:r w:rsidRPr="00BA4FF3">
              <w:rPr>
                <w:color w:val="000000"/>
                <w:kern w:val="22"/>
                <w:sz w:val="17"/>
                <w:szCs w:val="17"/>
                <w:lang w:val="es-ES" w:eastAsia="en-CA"/>
              </w:rPr>
              <w:t xml:space="preserve">K. </w:t>
            </w:r>
            <w:r w:rsidR="00BA4FF3">
              <w:rPr>
                <w:kern w:val="22"/>
                <w:sz w:val="17"/>
                <w:lang w:val="es-ES"/>
              </w:rPr>
              <w:t xml:space="preserve">Reuniones extraordinarias sobre el período posterior  a </w:t>
            </w:r>
            <w:r w:rsidRPr="00BA4FF3">
              <w:rPr>
                <w:color w:val="000000"/>
                <w:kern w:val="22"/>
                <w:sz w:val="17"/>
                <w:szCs w:val="17"/>
                <w:lang w:val="es-ES" w:eastAsia="en-CA"/>
              </w:rPr>
              <w:t>2020</w:t>
            </w:r>
            <w:r w:rsidRPr="00BA4FF3">
              <w:rPr>
                <w:color w:val="000000"/>
                <w:kern w:val="22"/>
                <w:sz w:val="17"/>
                <w:szCs w:val="17"/>
                <w:vertAlign w:val="superscript"/>
                <w:lang w:val="es-ES" w:eastAsia="en-CA"/>
              </w:rPr>
              <w:t>4/</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kern w:val="22"/>
                <w:sz w:val="17"/>
                <w:szCs w:val="17"/>
                <w:lang w:eastAsia="en-CA"/>
              </w:rPr>
            </w:pPr>
            <w:r w:rsidRPr="00EE0850">
              <w:rPr>
                <w:kern w:val="22"/>
                <w:sz w:val="17"/>
                <w:szCs w:val="17"/>
                <w:lang w:eastAsia="en-CA"/>
              </w:rPr>
              <w:t>750</w:t>
            </w:r>
            <w:r w:rsidR="00BA4FF3">
              <w:rPr>
                <w:kern w:val="22"/>
                <w:sz w:val="17"/>
                <w:szCs w:val="17"/>
                <w:lang w:eastAsia="en-CA"/>
              </w:rPr>
              <w:t>,</w:t>
            </w:r>
            <w:r w:rsidRPr="00EE0850">
              <w:rPr>
                <w:kern w:val="22"/>
                <w:sz w:val="17"/>
                <w:szCs w:val="17"/>
                <w:lang w:eastAsia="en-CA"/>
              </w:rPr>
              <w:t>0</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kern w:val="22"/>
                <w:sz w:val="17"/>
                <w:szCs w:val="17"/>
                <w:lang w:eastAsia="en-CA"/>
              </w:rPr>
            </w:pPr>
            <w:r w:rsidRPr="00EE0850">
              <w:rPr>
                <w:kern w:val="22"/>
                <w:sz w:val="17"/>
                <w:szCs w:val="17"/>
                <w:lang w:eastAsia="en-CA"/>
              </w:rPr>
              <w:t>560</w:t>
            </w:r>
            <w:r w:rsidR="00BA4FF3">
              <w:rPr>
                <w:kern w:val="22"/>
                <w:sz w:val="17"/>
                <w:szCs w:val="17"/>
                <w:lang w:eastAsia="en-CA"/>
              </w:rPr>
              <w:t>,</w:t>
            </w:r>
            <w:r w:rsidRPr="00EE0850">
              <w:rPr>
                <w:kern w:val="22"/>
                <w:sz w:val="17"/>
                <w:szCs w:val="17"/>
                <w:lang w:eastAsia="en-CA"/>
              </w:rPr>
              <w:t>0</w:t>
            </w:r>
          </w:p>
        </w:tc>
        <w:tc>
          <w:tcPr>
            <w:tcW w:w="0" w:type="auto"/>
            <w:tcBorders>
              <w:top w:val="nil"/>
              <w:left w:val="nil"/>
              <w:bottom w:val="nil"/>
              <w:right w:val="nil"/>
            </w:tcBorders>
            <w:shd w:val="clear" w:color="auto" w:fill="auto"/>
            <w:vAlign w:val="center"/>
            <w:hideMark/>
          </w:tcPr>
          <w:p w:rsidR="00DE347C" w:rsidRPr="00EE0850" w:rsidRDefault="00DE347C" w:rsidP="00BA4FF3">
            <w:pPr>
              <w:spacing w:after="0" w:line="240" w:lineRule="auto"/>
              <w:jc w:val="right"/>
              <w:rPr>
                <w:color w:val="000000"/>
                <w:kern w:val="22"/>
                <w:sz w:val="17"/>
                <w:szCs w:val="17"/>
                <w:lang w:eastAsia="en-CA"/>
              </w:rPr>
            </w:pPr>
            <w:r w:rsidRPr="00EE0850">
              <w:rPr>
                <w:color w:val="000000"/>
                <w:kern w:val="22"/>
                <w:sz w:val="17"/>
                <w:szCs w:val="17"/>
                <w:lang w:eastAsia="en-CA"/>
              </w:rPr>
              <w:t>1 310</w:t>
            </w:r>
            <w:r w:rsidR="00BA4FF3">
              <w:rPr>
                <w:color w:val="000000"/>
                <w:kern w:val="22"/>
                <w:sz w:val="17"/>
                <w:szCs w:val="17"/>
                <w:lang w:eastAsia="en-CA"/>
              </w:rPr>
              <w:t>,</w:t>
            </w:r>
            <w:r w:rsidRPr="00EE0850">
              <w:rPr>
                <w:color w:val="000000"/>
                <w:kern w:val="22"/>
                <w:sz w:val="17"/>
                <w:szCs w:val="17"/>
                <w:lang w:eastAsia="en-CA"/>
              </w:rPr>
              <w:t>0</w:t>
            </w:r>
          </w:p>
        </w:tc>
      </w:tr>
      <w:tr w:rsidR="00BA4FF3" w:rsidRPr="00EE0850" w:rsidTr="00DE347C">
        <w:trPr>
          <w:trHeight w:val="261"/>
          <w:jc w:val="center"/>
        </w:trPr>
        <w:tc>
          <w:tcPr>
            <w:tcW w:w="0" w:type="auto"/>
            <w:tcBorders>
              <w:top w:val="nil"/>
              <w:left w:val="nil"/>
              <w:bottom w:val="nil"/>
              <w:right w:val="nil"/>
            </w:tcBorders>
            <w:shd w:val="clear" w:color="auto" w:fill="auto"/>
            <w:noWrap/>
            <w:vAlign w:val="center"/>
          </w:tcPr>
          <w:p w:rsidR="00DE347C" w:rsidRPr="00EE0850" w:rsidRDefault="00DE347C" w:rsidP="000C6220">
            <w:pPr>
              <w:spacing w:after="0" w:line="240" w:lineRule="auto"/>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DE347C" w:rsidRPr="007C2315" w:rsidRDefault="00DE347C" w:rsidP="000C6220">
            <w:pPr>
              <w:spacing w:after="0" w:line="240" w:lineRule="auto"/>
              <w:rPr>
                <w:color w:val="000000"/>
                <w:kern w:val="22"/>
                <w:sz w:val="17"/>
                <w:szCs w:val="17"/>
                <w:lang w:val="es-ES" w:eastAsia="en-CA"/>
              </w:rPr>
            </w:pPr>
            <w:r w:rsidRPr="007C2315">
              <w:rPr>
                <w:color w:val="000000"/>
                <w:kern w:val="22"/>
                <w:sz w:val="17"/>
                <w:szCs w:val="17"/>
                <w:lang w:val="es-ES" w:eastAsia="en-CA"/>
              </w:rPr>
              <w:t xml:space="preserve">L. </w:t>
            </w:r>
            <w:r w:rsidR="00BA4FF3">
              <w:rPr>
                <w:kern w:val="22"/>
                <w:sz w:val="17"/>
                <w:lang w:val="es-ES"/>
              </w:rPr>
              <w:t>Alquiler y gastos relacionado</w:t>
            </w:r>
            <w:r w:rsidR="00BA4FF3" w:rsidRPr="00534039">
              <w:rPr>
                <w:color w:val="000000"/>
                <w:kern w:val="22"/>
                <w:sz w:val="17"/>
                <w:szCs w:val="17"/>
                <w:lang w:val="es-ES" w:eastAsia="en-CA"/>
              </w:rPr>
              <w:t>s</w:t>
            </w:r>
            <w:r w:rsidRPr="007C2315">
              <w:rPr>
                <w:color w:val="000000"/>
                <w:kern w:val="22"/>
                <w:sz w:val="17"/>
                <w:szCs w:val="17"/>
                <w:vertAlign w:val="superscript"/>
                <w:lang w:val="es-ES" w:eastAsia="en-CA"/>
              </w:rPr>
              <w:t>5/</w:t>
            </w:r>
          </w:p>
        </w:tc>
        <w:tc>
          <w:tcPr>
            <w:tcW w:w="0" w:type="auto"/>
            <w:tcBorders>
              <w:top w:val="nil"/>
              <w:left w:val="nil"/>
              <w:bottom w:val="nil"/>
              <w:right w:val="nil"/>
            </w:tcBorders>
            <w:shd w:val="clear" w:color="auto" w:fill="auto"/>
            <w:vAlign w:val="center"/>
            <w:hideMark/>
          </w:tcPr>
          <w:p w:rsidR="00DE347C" w:rsidRPr="00EE0850" w:rsidRDefault="00DE347C" w:rsidP="007C2315">
            <w:pPr>
              <w:spacing w:after="0" w:line="240" w:lineRule="auto"/>
              <w:jc w:val="right"/>
              <w:rPr>
                <w:color w:val="000000"/>
                <w:kern w:val="22"/>
                <w:sz w:val="17"/>
                <w:szCs w:val="17"/>
                <w:lang w:eastAsia="en-CA"/>
              </w:rPr>
            </w:pPr>
            <w:r w:rsidRPr="00EE0850">
              <w:rPr>
                <w:color w:val="000000"/>
                <w:kern w:val="22"/>
                <w:sz w:val="17"/>
                <w:szCs w:val="17"/>
                <w:lang w:eastAsia="en-CA"/>
              </w:rPr>
              <w:t>1 229</w:t>
            </w:r>
            <w:r w:rsidR="007C2315">
              <w:rPr>
                <w:color w:val="000000"/>
                <w:kern w:val="22"/>
                <w:sz w:val="17"/>
                <w:szCs w:val="17"/>
                <w:lang w:eastAsia="en-CA"/>
              </w:rPr>
              <w:t>,</w:t>
            </w:r>
            <w:r w:rsidRPr="00EE0850">
              <w:rPr>
                <w:color w:val="000000"/>
                <w:kern w:val="22"/>
                <w:sz w:val="17"/>
                <w:szCs w:val="17"/>
                <w:lang w:eastAsia="en-CA"/>
              </w:rPr>
              <w:t>5</w:t>
            </w:r>
          </w:p>
        </w:tc>
        <w:tc>
          <w:tcPr>
            <w:tcW w:w="0" w:type="auto"/>
            <w:tcBorders>
              <w:top w:val="nil"/>
              <w:left w:val="nil"/>
              <w:bottom w:val="nil"/>
              <w:right w:val="nil"/>
            </w:tcBorders>
            <w:shd w:val="clear" w:color="auto" w:fill="auto"/>
            <w:vAlign w:val="center"/>
            <w:hideMark/>
          </w:tcPr>
          <w:p w:rsidR="00DE347C" w:rsidRPr="00EE0850" w:rsidRDefault="00DE347C" w:rsidP="007C2315">
            <w:pPr>
              <w:spacing w:after="0" w:line="240" w:lineRule="auto"/>
              <w:jc w:val="right"/>
              <w:rPr>
                <w:color w:val="000000"/>
                <w:kern w:val="22"/>
                <w:sz w:val="17"/>
                <w:szCs w:val="17"/>
                <w:lang w:eastAsia="en-CA"/>
              </w:rPr>
            </w:pPr>
            <w:r w:rsidRPr="00EE0850">
              <w:rPr>
                <w:color w:val="000000"/>
                <w:kern w:val="22"/>
                <w:sz w:val="17"/>
                <w:szCs w:val="17"/>
                <w:lang w:eastAsia="en-CA"/>
              </w:rPr>
              <w:t>1 423</w:t>
            </w:r>
            <w:r w:rsidR="007C2315">
              <w:rPr>
                <w:color w:val="000000"/>
                <w:kern w:val="22"/>
                <w:sz w:val="17"/>
                <w:szCs w:val="17"/>
                <w:lang w:eastAsia="en-CA"/>
              </w:rPr>
              <w:t>,</w:t>
            </w:r>
            <w:r w:rsidRPr="00EE0850">
              <w:rPr>
                <w:color w:val="000000"/>
                <w:kern w:val="22"/>
                <w:sz w:val="17"/>
                <w:szCs w:val="17"/>
                <w:lang w:eastAsia="en-CA"/>
              </w:rPr>
              <w:t>4</w:t>
            </w:r>
          </w:p>
        </w:tc>
        <w:tc>
          <w:tcPr>
            <w:tcW w:w="0" w:type="auto"/>
            <w:tcBorders>
              <w:top w:val="nil"/>
              <w:left w:val="nil"/>
              <w:bottom w:val="nil"/>
              <w:right w:val="nil"/>
            </w:tcBorders>
            <w:shd w:val="clear" w:color="auto" w:fill="auto"/>
            <w:vAlign w:val="center"/>
            <w:hideMark/>
          </w:tcPr>
          <w:p w:rsidR="00DE347C" w:rsidRPr="00EE0850" w:rsidRDefault="00DE347C" w:rsidP="007C2315">
            <w:pPr>
              <w:spacing w:after="0" w:line="240" w:lineRule="auto"/>
              <w:jc w:val="right"/>
              <w:rPr>
                <w:color w:val="000000"/>
                <w:kern w:val="22"/>
                <w:sz w:val="17"/>
                <w:szCs w:val="17"/>
                <w:lang w:eastAsia="en-CA"/>
              </w:rPr>
            </w:pPr>
            <w:r w:rsidRPr="00EE0850">
              <w:rPr>
                <w:color w:val="000000"/>
                <w:kern w:val="22"/>
                <w:sz w:val="17"/>
                <w:szCs w:val="17"/>
                <w:lang w:eastAsia="en-CA"/>
              </w:rPr>
              <w:t>2 652</w:t>
            </w:r>
            <w:r w:rsidR="007C2315">
              <w:rPr>
                <w:color w:val="000000"/>
                <w:kern w:val="22"/>
                <w:sz w:val="17"/>
                <w:szCs w:val="17"/>
                <w:lang w:eastAsia="en-CA"/>
              </w:rPr>
              <w:t>,</w:t>
            </w:r>
            <w:r w:rsidRPr="00EE0850">
              <w:rPr>
                <w:color w:val="000000"/>
                <w:kern w:val="22"/>
                <w:sz w:val="17"/>
                <w:szCs w:val="17"/>
                <w:lang w:eastAsia="en-CA"/>
              </w:rPr>
              <w:t>9</w:t>
            </w:r>
          </w:p>
        </w:tc>
      </w:tr>
      <w:tr w:rsidR="00BA4FF3" w:rsidRPr="00EE0850" w:rsidTr="00DE347C">
        <w:trPr>
          <w:trHeight w:val="261"/>
          <w:jc w:val="center"/>
        </w:trPr>
        <w:tc>
          <w:tcPr>
            <w:tcW w:w="0" w:type="auto"/>
            <w:tcBorders>
              <w:top w:val="nil"/>
              <w:left w:val="nil"/>
              <w:bottom w:val="nil"/>
              <w:right w:val="nil"/>
            </w:tcBorders>
            <w:shd w:val="clear" w:color="auto" w:fill="auto"/>
            <w:noWrap/>
            <w:vAlign w:val="center"/>
          </w:tcPr>
          <w:p w:rsidR="00DE347C" w:rsidRPr="00EE0850" w:rsidRDefault="00DE347C" w:rsidP="000C6220">
            <w:pPr>
              <w:spacing w:after="0" w:line="240" w:lineRule="auto"/>
              <w:jc w:val="right"/>
              <w:rPr>
                <w:color w:val="000000"/>
                <w:kern w:val="22"/>
                <w:sz w:val="17"/>
                <w:szCs w:val="17"/>
                <w:lang w:eastAsia="en-CA"/>
              </w:rPr>
            </w:pPr>
          </w:p>
        </w:tc>
        <w:tc>
          <w:tcPr>
            <w:tcW w:w="0" w:type="auto"/>
            <w:gridSpan w:val="2"/>
            <w:tcBorders>
              <w:top w:val="nil"/>
              <w:left w:val="nil"/>
              <w:bottom w:val="single" w:sz="4" w:space="0" w:color="auto"/>
              <w:right w:val="nil"/>
            </w:tcBorders>
            <w:shd w:val="clear" w:color="auto" w:fill="auto"/>
            <w:vAlign w:val="center"/>
            <w:hideMark/>
          </w:tcPr>
          <w:p w:rsidR="00DE347C" w:rsidRPr="007C2315" w:rsidRDefault="00DE347C" w:rsidP="000C6220">
            <w:pPr>
              <w:spacing w:after="0" w:line="240" w:lineRule="auto"/>
              <w:rPr>
                <w:color w:val="000000"/>
                <w:kern w:val="22"/>
                <w:sz w:val="17"/>
                <w:szCs w:val="17"/>
                <w:lang w:val="es-ES" w:eastAsia="en-CA"/>
              </w:rPr>
            </w:pPr>
            <w:r w:rsidRPr="007C2315">
              <w:rPr>
                <w:color w:val="000000"/>
                <w:kern w:val="22"/>
                <w:sz w:val="17"/>
                <w:szCs w:val="17"/>
                <w:lang w:val="es-ES" w:eastAsia="en-CA"/>
              </w:rPr>
              <w:t xml:space="preserve">M. </w:t>
            </w:r>
            <w:r w:rsidR="007C2315">
              <w:rPr>
                <w:color w:val="000000"/>
                <w:kern w:val="22"/>
                <w:sz w:val="17"/>
                <w:lang w:val="es-ES"/>
              </w:rPr>
              <w:t>Gastos generales de funcionamiento</w:t>
            </w:r>
          </w:p>
        </w:tc>
        <w:tc>
          <w:tcPr>
            <w:tcW w:w="0" w:type="auto"/>
            <w:tcBorders>
              <w:top w:val="nil"/>
              <w:left w:val="nil"/>
              <w:bottom w:val="nil"/>
              <w:right w:val="nil"/>
            </w:tcBorders>
            <w:shd w:val="clear" w:color="auto" w:fill="auto"/>
            <w:vAlign w:val="center"/>
            <w:hideMark/>
          </w:tcPr>
          <w:p w:rsidR="00DE347C" w:rsidRPr="00EE0850" w:rsidRDefault="00DE347C" w:rsidP="007C2315">
            <w:pPr>
              <w:spacing w:after="0" w:line="240" w:lineRule="auto"/>
              <w:jc w:val="right"/>
              <w:rPr>
                <w:color w:val="000000"/>
                <w:kern w:val="22"/>
                <w:sz w:val="17"/>
                <w:szCs w:val="17"/>
                <w:lang w:eastAsia="en-CA"/>
              </w:rPr>
            </w:pPr>
            <w:r w:rsidRPr="00EE0850">
              <w:rPr>
                <w:color w:val="000000"/>
                <w:kern w:val="22"/>
                <w:sz w:val="17"/>
                <w:szCs w:val="17"/>
                <w:lang w:eastAsia="en-CA"/>
              </w:rPr>
              <w:t>726</w:t>
            </w:r>
            <w:r w:rsidR="007C2315">
              <w:rPr>
                <w:color w:val="000000"/>
                <w:kern w:val="22"/>
                <w:sz w:val="17"/>
                <w:szCs w:val="17"/>
                <w:lang w:eastAsia="en-CA"/>
              </w:rPr>
              <w:t>,</w:t>
            </w:r>
            <w:r w:rsidRPr="00EE0850">
              <w:rPr>
                <w:color w:val="000000"/>
                <w:kern w:val="22"/>
                <w:sz w:val="17"/>
                <w:szCs w:val="17"/>
                <w:lang w:eastAsia="en-CA"/>
              </w:rPr>
              <w:t>6</w:t>
            </w:r>
          </w:p>
        </w:tc>
        <w:tc>
          <w:tcPr>
            <w:tcW w:w="0" w:type="auto"/>
            <w:tcBorders>
              <w:top w:val="nil"/>
              <w:left w:val="nil"/>
              <w:bottom w:val="nil"/>
              <w:right w:val="nil"/>
            </w:tcBorders>
            <w:shd w:val="clear" w:color="auto" w:fill="auto"/>
            <w:vAlign w:val="center"/>
            <w:hideMark/>
          </w:tcPr>
          <w:p w:rsidR="00DE347C" w:rsidRPr="00EE0850" w:rsidRDefault="00DE347C" w:rsidP="007C2315">
            <w:pPr>
              <w:spacing w:after="0" w:line="240" w:lineRule="auto"/>
              <w:jc w:val="right"/>
              <w:rPr>
                <w:color w:val="000000"/>
                <w:kern w:val="22"/>
                <w:sz w:val="17"/>
                <w:szCs w:val="17"/>
                <w:lang w:eastAsia="en-CA"/>
              </w:rPr>
            </w:pPr>
            <w:r w:rsidRPr="00EE0850">
              <w:rPr>
                <w:color w:val="000000"/>
                <w:kern w:val="22"/>
                <w:sz w:val="17"/>
                <w:szCs w:val="17"/>
                <w:lang w:eastAsia="en-CA"/>
              </w:rPr>
              <w:t>726</w:t>
            </w:r>
            <w:r w:rsidR="007C2315">
              <w:rPr>
                <w:color w:val="000000"/>
                <w:kern w:val="22"/>
                <w:sz w:val="17"/>
                <w:szCs w:val="17"/>
                <w:lang w:eastAsia="en-CA"/>
              </w:rPr>
              <w:t>,</w:t>
            </w:r>
            <w:r w:rsidRPr="00EE0850">
              <w:rPr>
                <w:color w:val="000000"/>
                <w:kern w:val="22"/>
                <w:sz w:val="17"/>
                <w:szCs w:val="17"/>
                <w:lang w:eastAsia="en-CA"/>
              </w:rPr>
              <w:t>6</w:t>
            </w:r>
          </w:p>
        </w:tc>
        <w:tc>
          <w:tcPr>
            <w:tcW w:w="0" w:type="auto"/>
            <w:tcBorders>
              <w:top w:val="nil"/>
              <w:left w:val="nil"/>
              <w:bottom w:val="nil"/>
              <w:right w:val="nil"/>
            </w:tcBorders>
            <w:shd w:val="clear" w:color="auto" w:fill="auto"/>
            <w:vAlign w:val="center"/>
            <w:hideMark/>
          </w:tcPr>
          <w:p w:rsidR="00DE347C" w:rsidRPr="00EE0850" w:rsidRDefault="00DE347C" w:rsidP="007C2315">
            <w:pPr>
              <w:spacing w:after="0" w:line="240" w:lineRule="auto"/>
              <w:jc w:val="right"/>
              <w:rPr>
                <w:color w:val="000000"/>
                <w:kern w:val="22"/>
                <w:sz w:val="17"/>
                <w:szCs w:val="17"/>
                <w:lang w:eastAsia="en-CA"/>
              </w:rPr>
            </w:pPr>
            <w:r w:rsidRPr="00EE0850">
              <w:rPr>
                <w:color w:val="000000"/>
                <w:kern w:val="22"/>
                <w:sz w:val="17"/>
                <w:szCs w:val="17"/>
                <w:lang w:eastAsia="en-CA"/>
              </w:rPr>
              <w:t>1 453</w:t>
            </w:r>
            <w:r w:rsidR="007C2315">
              <w:rPr>
                <w:color w:val="000000"/>
                <w:kern w:val="22"/>
                <w:sz w:val="17"/>
                <w:szCs w:val="17"/>
                <w:lang w:eastAsia="en-CA"/>
              </w:rPr>
              <w:t>,</w:t>
            </w:r>
            <w:r w:rsidRPr="00EE0850">
              <w:rPr>
                <w:color w:val="000000"/>
                <w:kern w:val="22"/>
                <w:sz w:val="17"/>
                <w:szCs w:val="17"/>
                <w:lang w:eastAsia="en-CA"/>
              </w:rPr>
              <w:t>2</w:t>
            </w:r>
          </w:p>
        </w:tc>
      </w:tr>
      <w:tr w:rsidR="00BA4FF3" w:rsidRPr="00EE0850" w:rsidTr="00DE347C">
        <w:trPr>
          <w:trHeight w:val="261"/>
          <w:jc w:val="center"/>
        </w:trPr>
        <w:tc>
          <w:tcPr>
            <w:tcW w:w="0" w:type="auto"/>
            <w:tcBorders>
              <w:top w:val="nil"/>
              <w:left w:val="nil"/>
              <w:bottom w:val="nil"/>
              <w:right w:val="nil"/>
            </w:tcBorders>
            <w:shd w:val="clear" w:color="auto" w:fill="auto"/>
            <w:noWrap/>
            <w:vAlign w:val="center"/>
            <w:hideMark/>
          </w:tcPr>
          <w:p w:rsidR="00DE347C" w:rsidRPr="00EE0850" w:rsidRDefault="00DE347C" w:rsidP="000C6220">
            <w:pPr>
              <w:spacing w:after="0" w:line="240" w:lineRule="auto"/>
              <w:jc w:val="right"/>
              <w:rPr>
                <w:b/>
                <w:bCs/>
                <w:color w:val="000000"/>
                <w:kern w:val="22"/>
                <w:sz w:val="17"/>
                <w:szCs w:val="17"/>
                <w:lang w:eastAsia="en-CA"/>
              </w:rPr>
            </w:pPr>
          </w:p>
        </w:tc>
        <w:tc>
          <w:tcPr>
            <w:tcW w:w="0" w:type="auto"/>
            <w:gridSpan w:val="2"/>
            <w:tcBorders>
              <w:top w:val="single" w:sz="4" w:space="0" w:color="auto"/>
              <w:left w:val="nil"/>
              <w:bottom w:val="single" w:sz="4" w:space="0" w:color="auto"/>
              <w:right w:val="nil"/>
            </w:tcBorders>
            <w:shd w:val="clear" w:color="auto" w:fill="auto"/>
            <w:vAlign w:val="center"/>
            <w:hideMark/>
          </w:tcPr>
          <w:p w:rsidR="00DE347C" w:rsidRPr="00EE0850" w:rsidRDefault="00DE347C" w:rsidP="000C6220">
            <w:pPr>
              <w:spacing w:after="0" w:line="240" w:lineRule="auto"/>
              <w:rPr>
                <w:b/>
                <w:bCs/>
                <w:kern w:val="22"/>
                <w:sz w:val="17"/>
                <w:szCs w:val="17"/>
                <w:lang w:eastAsia="en-CA"/>
              </w:rPr>
            </w:pPr>
            <w:r w:rsidRPr="00EE0850">
              <w:rPr>
                <w:b/>
                <w:bCs/>
                <w:kern w:val="22"/>
                <w:sz w:val="17"/>
                <w:szCs w:val="17"/>
                <w:lang w:eastAsia="en-CA"/>
              </w:rPr>
              <w:t>Subtotal (I)</w:t>
            </w:r>
          </w:p>
        </w:tc>
        <w:tc>
          <w:tcPr>
            <w:tcW w:w="0" w:type="auto"/>
            <w:tcBorders>
              <w:top w:val="single" w:sz="4" w:space="0" w:color="auto"/>
              <w:left w:val="nil"/>
              <w:bottom w:val="single" w:sz="4" w:space="0" w:color="auto"/>
              <w:right w:val="nil"/>
            </w:tcBorders>
            <w:shd w:val="clear" w:color="auto" w:fill="auto"/>
            <w:vAlign w:val="center"/>
            <w:hideMark/>
          </w:tcPr>
          <w:p w:rsidR="00DE347C" w:rsidRPr="00EE0850" w:rsidRDefault="00DE347C" w:rsidP="007C2315">
            <w:pPr>
              <w:spacing w:after="0" w:line="240" w:lineRule="auto"/>
              <w:jc w:val="right"/>
              <w:rPr>
                <w:b/>
                <w:bCs/>
                <w:kern w:val="22"/>
                <w:sz w:val="17"/>
                <w:szCs w:val="17"/>
                <w:lang w:eastAsia="en-CA"/>
              </w:rPr>
            </w:pPr>
            <w:r w:rsidRPr="00EE0850">
              <w:rPr>
                <w:b/>
                <w:bCs/>
                <w:kern w:val="22"/>
                <w:sz w:val="17"/>
                <w:szCs w:val="17"/>
                <w:lang w:eastAsia="en-CA"/>
              </w:rPr>
              <w:t>16 719</w:t>
            </w:r>
            <w:r w:rsidR="007C2315">
              <w:rPr>
                <w:b/>
                <w:bCs/>
                <w:kern w:val="22"/>
                <w:sz w:val="17"/>
                <w:szCs w:val="17"/>
                <w:lang w:eastAsia="en-CA"/>
              </w:rPr>
              <w:t>,</w:t>
            </w:r>
            <w:r w:rsidRPr="00EE0850">
              <w:rPr>
                <w:b/>
                <w:bCs/>
                <w:kern w:val="22"/>
                <w:sz w:val="17"/>
                <w:szCs w:val="17"/>
                <w:lang w:eastAsia="en-CA"/>
              </w:rPr>
              <w:t>0</w:t>
            </w:r>
          </w:p>
        </w:tc>
        <w:tc>
          <w:tcPr>
            <w:tcW w:w="0" w:type="auto"/>
            <w:tcBorders>
              <w:top w:val="single" w:sz="4" w:space="0" w:color="auto"/>
              <w:left w:val="nil"/>
              <w:bottom w:val="single" w:sz="4" w:space="0" w:color="auto"/>
              <w:right w:val="nil"/>
            </w:tcBorders>
            <w:shd w:val="clear" w:color="auto" w:fill="auto"/>
            <w:vAlign w:val="center"/>
            <w:hideMark/>
          </w:tcPr>
          <w:p w:rsidR="00DE347C" w:rsidRPr="00EE0850" w:rsidRDefault="00DE347C" w:rsidP="007C2315">
            <w:pPr>
              <w:spacing w:after="0" w:line="240" w:lineRule="auto"/>
              <w:jc w:val="right"/>
              <w:rPr>
                <w:b/>
                <w:bCs/>
                <w:kern w:val="22"/>
                <w:sz w:val="17"/>
                <w:szCs w:val="17"/>
                <w:lang w:eastAsia="en-CA"/>
              </w:rPr>
            </w:pPr>
            <w:r w:rsidRPr="00EE0850">
              <w:rPr>
                <w:b/>
                <w:bCs/>
                <w:kern w:val="22"/>
                <w:sz w:val="17"/>
                <w:szCs w:val="17"/>
                <w:lang w:eastAsia="en-CA"/>
              </w:rPr>
              <w:t>17 490</w:t>
            </w:r>
            <w:r w:rsidR="007C2315">
              <w:rPr>
                <w:b/>
                <w:bCs/>
                <w:kern w:val="22"/>
                <w:sz w:val="17"/>
                <w:szCs w:val="17"/>
                <w:lang w:eastAsia="en-CA"/>
              </w:rPr>
              <w:t>,</w:t>
            </w:r>
            <w:r w:rsidRPr="00EE0850">
              <w:rPr>
                <w:b/>
                <w:bCs/>
                <w:kern w:val="22"/>
                <w:sz w:val="17"/>
                <w:szCs w:val="17"/>
                <w:lang w:eastAsia="en-CA"/>
              </w:rPr>
              <w:t>6</w:t>
            </w:r>
          </w:p>
        </w:tc>
        <w:tc>
          <w:tcPr>
            <w:tcW w:w="0" w:type="auto"/>
            <w:tcBorders>
              <w:top w:val="single" w:sz="4" w:space="0" w:color="auto"/>
              <w:left w:val="nil"/>
              <w:bottom w:val="single" w:sz="4" w:space="0" w:color="auto"/>
              <w:right w:val="nil"/>
            </w:tcBorders>
            <w:shd w:val="clear" w:color="auto" w:fill="auto"/>
            <w:vAlign w:val="center"/>
            <w:hideMark/>
          </w:tcPr>
          <w:p w:rsidR="00DE347C" w:rsidRPr="00EE0850" w:rsidRDefault="00DE347C" w:rsidP="007C2315">
            <w:pPr>
              <w:spacing w:after="0" w:line="240" w:lineRule="auto"/>
              <w:jc w:val="right"/>
              <w:rPr>
                <w:b/>
                <w:bCs/>
                <w:kern w:val="22"/>
                <w:sz w:val="17"/>
                <w:szCs w:val="17"/>
                <w:lang w:eastAsia="en-CA"/>
              </w:rPr>
            </w:pPr>
            <w:r w:rsidRPr="00EE0850">
              <w:rPr>
                <w:b/>
                <w:bCs/>
                <w:kern w:val="22"/>
                <w:sz w:val="17"/>
                <w:szCs w:val="17"/>
                <w:lang w:eastAsia="en-CA"/>
              </w:rPr>
              <w:t>34 209</w:t>
            </w:r>
            <w:r w:rsidR="007C2315">
              <w:rPr>
                <w:b/>
                <w:bCs/>
                <w:kern w:val="22"/>
                <w:sz w:val="17"/>
                <w:szCs w:val="17"/>
                <w:lang w:eastAsia="en-CA"/>
              </w:rPr>
              <w:t>,</w:t>
            </w:r>
            <w:r w:rsidRPr="00EE0850">
              <w:rPr>
                <w:b/>
                <w:bCs/>
                <w:kern w:val="22"/>
                <w:sz w:val="17"/>
                <w:szCs w:val="17"/>
                <w:lang w:eastAsia="en-CA"/>
              </w:rPr>
              <w:t>6</w:t>
            </w:r>
          </w:p>
        </w:tc>
      </w:tr>
      <w:tr w:rsidR="00BA4FF3" w:rsidRPr="00EE0850" w:rsidTr="00DE347C">
        <w:trPr>
          <w:trHeight w:val="261"/>
          <w:jc w:val="center"/>
        </w:trPr>
        <w:tc>
          <w:tcPr>
            <w:tcW w:w="0" w:type="auto"/>
            <w:tcBorders>
              <w:top w:val="nil"/>
              <w:left w:val="nil"/>
              <w:bottom w:val="nil"/>
              <w:right w:val="nil"/>
            </w:tcBorders>
            <w:shd w:val="clear" w:color="auto" w:fill="auto"/>
            <w:noWrap/>
            <w:vAlign w:val="center"/>
            <w:hideMark/>
          </w:tcPr>
          <w:p w:rsidR="00DE347C" w:rsidRPr="00EE0850" w:rsidRDefault="00DE347C" w:rsidP="000C6220">
            <w:pPr>
              <w:spacing w:after="0" w:line="240" w:lineRule="auto"/>
              <w:jc w:val="right"/>
              <w:rPr>
                <w:b/>
                <w:bCs/>
                <w:color w:val="000000"/>
                <w:kern w:val="22"/>
                <w:sz w:val="17"/>
                <w:szCs w:val="17"/>
                <w:lang w:eastAsia="en-CA"/>
              </w:rPr>
            </w:pPr>
            <w:r w:rsidRPr="00EE0850">
              <w:rPr>
                <w:b/>
                <w:bCs/>
                <w:color w:val="000000"/>
                <w:kern w:val="22"/>
                <w:sz w:val="17"/>
                <w:szCs w:val="17"/>
                <w:lang w:eastAsia="en-CA"/>
              </w:rPr>
              <w:t>II</w:t>
            </w:r>
          </w:p>
        </w:tc>
        <w:tc>
          <w:tcPr>
            <w:tcW w:w="0" w:type="auto"/>
            <w:gridSpan w:val="2"/>
            <w:tcBorders>
              <w:top w:val="single" w:sz="4" w:space="0" w:color="auto"/>
              <w:left w:val="nil"/>
              <w:bottom w:val="nil"/>
              <w:right w:val="nil"/>
            </w:tcBorders>
            <w:shd w:val="clear" w:color="auto" w:fill="auto"/>
            <w:vAlign w:val="center"/>
            <w:hideMark/>
          </w:tcPr>
          <w:p w:rsidR="00DE347C" w:rsidRPr="007C2315" w:rsidRDefault="007C2315" w:rsidP="000C6220">
            <w:pPr>
              <w:spacing w:after="0" w:line="240" w:lineRule="auto"/>
              <w:rPr>
                <w:b/>
                <w:bCs/>
                <w:kern w:val="22"/>
                <w:sz w:val="17"/>
                <w:szCs w:val="17"/>
                <w:lang w:val="es-ES" w:eastAsia="en-CA"/>
              </w:rPr>
            </w:pPr>
            <w:r>
              <w:rPr>
                <w:b/>
                <w:kern w:val="22"/>
                <w:sz w:val="17"/>
                <w:lang w:val="es-ES"/>
              </w:rPr>
              <w:t xml:space="preserve">Gastos de apoyo a los programas </w:t>
            </w:r>
            <w:r w:rsidR="00DE347C" w:rsidRPr="007C2315">
              <w:rPr>
                <w:b/>
                <w:bCs/>
                <w:kern w:val="22"/>
                <w:sz w:val="17"/>
                <w:szCs w:val="17"/>
                <w:lang w:val="es-ES" w:eastAsia="en-CA"/>
              </w:rPr>
              <w:t>(13%)</w:t>
            </w:r>
          </w:p>
        </w:tc>
        <w:tc>
          <w:tcPr>
            <w:tcW w:w="0" w:type="auto"/>
            <w:tcBorders>
              <w:top w:val="nil"/>
              <w:left w:val="nil"/>
              <w:bottom w:val="nil"/>
              <w:right w:val="nil"/>
            </w:tcBorders>
            <w:shd w:val="clear" w:color="auto" w:fill="auto"/>
            <w:vAlign w:val="center"/>
            <w:hideMark/>
          </w:tcPr>
          <w:p w:rsidR="00DE347C" w:rsidRPr="00EE0850" w:rsidRDefault="00DE347C" w:rsidP="007C2315">
            <w:pPr>
              <w:spacing w:after="0" w:line="240" w:lineRule="auto"/>
              <w:jc w:val="right"/>
              <w:rPr>
                <w:kern w:val="22"/>
                <w:sz w:val="17"/>
                <w:szCs w:val="17"/>
                <w:lang w:eastAsia="en-CA"/>
              </w:rPr>
            </w:pPr>
            <w:r w:rsidRPr="00EE0850">
              <w:rPr>
                <w:kern w:val="22"/>
                <w:sz w:val="17"/>
                <w:szCs w:val="17"/>
                <w:lang w:eastAsia="en-CA"/>
              </w:rPr>
              <w:t>2 173</w:t>
            </w:r>
            <w:r w:rsidR="007C2315">
              <w:rPr>
                <w:kern w:val="22"/>
                <w:sz w:val="17"/>
                <w:szCs w:val="17"/>
                <w:lang w:eastAsia="en-CA"/>
              </w:rPr>
              <w:t>,</w:t>
            </w:r>
            <w:r w:rsidRPr="00EE0850">
              <w:rPr>
                <w:kern w:val="22"/>
                <w:sz w:val="17"/>
                <w:szCs w:val="17"/>
                <w:lang w:eastAsia="en-CA"/>
              </w:rPr>
              <w:t>5</w:t>
            </w:r>
          </w:p>
        </w:tc>
        <w:tc>
          <w:tcPr>
            <w:tcW w:w="0" w:type="auto"/>
            <w:tcBorders>
              <w:top w:val="nil"/>
              <w:left w:val="nil"/>
              <w:bottom w:val="nil"/>
              <w:right w:val="nil"/>
            </w:tcBorders>
            <w:shd w:val="clear" w:color="auto" w:fill="auto"/>
            <w:vAlign w:val="center"/>
            <w:hideMark/>
          </w:tcPr>
          <w:p w:rsidR="00DE347C" w:rsidRPr="00EE0850" w:rsidRDefault="00DE347C" w:rsidP="007C2315">
            <w:pPr>
              <w:spacing w:after="0" w:line="240" w:lineRule="auto"/>
              <w:jc w:val="right"/>
              <w:rPr>
                <w:kern w:val="22"/>
                <w:sz w:val="17"/>
                <w:szCs w:val="17"/>
                <w:lang w:eastAsia="en-CA"/>
              </w:rPr>
            </w:pPr>
            <w:r w:rsidRPr="00EE0850">
              <w:rPr>
                <w:kern w:val="22"/>
                <w:sz w:val="17"/>
                <w:szCs w:val="17"/>
                <w:lang w:eastAsia="en-CA"/>
              </w:rPr>
              <w:t>2 273</w:t>
            </w:r>
            <w:r w:rsidR="007C2315">
              <w:rPr>
                <w:kern w:val="22"/>
                <w:sz w:val="17"/>
                <w:szCs w:val="17"/>
                <w:lang w:eastAsia="en-CA"/>
              </w:rPr>
              <w:t>,</w:t>
            </w:r>
            <w:r w:rsidRPr="00EE0850">
              <w:rPr>
                <w:kern w:val="22"/>
                <w:sz w:val="17"/>
                <w:szCs w:val="17"/>
                <w:lang w:eastAsia="en-CA"/>
              </w:rPr>
              <w:t>8</w:t>
            </w:r>
          </w:p>
        </w:tc>
        <w:tc>
          <w:tcPr>
            <w:tcW w:w="0" w:type="auto"/>
            <w:tcBorders>
              <w:top w:val="nil"/>
              <w:left w:val="nil"/>
              <w:bottom w:val="nil"/>
              <w:right w:val="nil"/>
            </w:tcBorders>
            <w:shd w:val="clear" w:color="auto" w:fill="auto"/>
            <w:vAlign w:val="center"/>
            <w:hideMark/>
          </w:tcPr>
          <w:p w:rsidR="00DE347C" w:rsidRPr="00EE0850" w:rsidRDefault="00DE347C" w:rsidP="007C2315">
            <w:pPr>
              <w:spacing w:after="0" w:line="240" w:lineRule="auto"/>
              <w:jc w:val="right"/>
              <w:rPr>
                <w:kern w:val="22"/>
                <w:sz w:val="17"/>
                <w:szCs w:val="17"/>
                <w:lang w:eastAsia="en-CA"/>
              </w:rPr>
            </w:pPr>
            <w:r w:rsidRPr="00EE0850">
              <w:rPr>
                <w:kern w:val="22"/>
                <w:sz w:val="17"/>
                <w:szCs w:val="17"/>
                <w:lang w:eastAsia="en-CA"/>
              </w:rPr>
              <w:t>4 447</w:t>
            </w:r>
            <w:r w:rsidR="007C2315">
              <w:rPr>
                <w:kern w:val="22"/>
                <w:sz w:val="17"/>
                <w:szCs w:val="17"/>
                <w:lang w:eastAsia="en-CA"/>
              </w:rPr>
              <w:t>,</w:t>
            </w:r>
            <w:r w:rsidRPr="00EE0850">
              <w:rPr>
                <w:kern w:val="22"/>
                <w:sz w:val="17"/>
                <w:szCs w:val="17"/>
                <w:lang w:eastAsia="en-CA"/>
              </w:rPr>
              <w:t>2</w:t>
            </w:r>
          </w:p>
        </w:tc>
      </w:tr>
      <w:tr w:rsidR="00BA4FF3" w:rsidRPr="00EE0850" w:rsidTr="00DE347C">
        <w:trPr>
          <w:trHeight w:val="261"/>
          <w:jc w:val="center"/>
        </w:trPr>
        <w:tc>
          <w:tcPr>
            <w:tcW w:w="0" w:type="auto"/>
            <w:tcBorders>
              <w:top w:val="nil"/>
              <w:left w:val="nil"/>
              <w:bottom w:val="nil"/>
              <w:right w:val="nil"/>
            </w:tcBorders>
            <w:shd w:val="clear" w:color="auto" w:fill="auto"/>
            <w:noWrap/>
            <w:vAlign w:val="center"/>
            <w:hideMark/>
          </w:tcPr>
          <w:p w:rsidR="00DE347C" w:rsidRPr="00EE0850" w:rsidRDefault="00DE347C" w:rsidP="000C6220">
            <w:pPr>
              <w:spacing w:after="0" w:line="240" w:lineRule="auto"/>
              <w:jc w:val="right"/>
              <w:rPr>
                <w:b/>
                <w:bCs/>
                <w:color w:val="000000"/>
                <w:kern w:val="22"/>
                <w:sz w:val="17"/>
                <w:szCs w:val="17"/>
                <w:lang w:eastAsia="en-CA"/>
              </w:rPr>
            </w:pPr>
          </w:p>
        </w:tc>
        <w:tc>
          <w:tcPr>
            <w:tcW w:w="0" w:type="auto"/>
            <w:gridSpan w:val="2"/>
            <w:tcBorders>
              <w:top w:val="nil"/>
              <w:left w:val="nil"/>
              <w:bottom w:val="single" w:sz="4" w:space="0" w:color="auto"/>
              <w:right w:val="nil"/>
            </w:tcBorders>
            <w:shd w:val="clear" w:color="auto" w:fill="auto"/>
            <w:vAlign w:val="center"/>
            <w:hideMark/>
          </w:tcPr>
          <w:p w:rsidR="00DE347C" w:rsidRPr="00EE0850" w:rsidRDefault="00DE347C" w:rsidP="000C6220">
            <w:pPr>
              <w:spacing w:after="0" w:line="240" w:lineRule="auto"/>
              <w:rPr>
                <w:b/>
                <w:bCs/>
                <w:kern w:val="22"/>
                <w:sz w:val="17"/>
                <w:szCs w:val="17"/>
                <w:lang w:eastAsia="en-CA"/>
              </w:rPr>
            </w:pPr>
            <w:r w:rsidRPr="00EE0850">
              <w:rPr>
                <w:b/>
                <w:bCs/>
                <w:kern w:val="22"/>
                <w:sz w:val="17"/>
                <w:szCs w:val="17"/>
                <w:lang w:eastAsia="en-CA"/>
              </w:rPr>
              <w:t>Subtotal (I + II)</w:t>
            </w:r>
          </w:p>
        </w:tc>
        <w:tc>
          <w:tcPr>
            <w:tcW w:w="0" w:type="auto"/>
            <w:tcBorders>
              <w:top w:val="nil"/>
              <w:left w:val="nil"/>
              <w:bottom w:val="single" w:sz="4" w:space="0" w:color="auto"/>
              <w:right w:val="nil"/>
            </w:tcBorders>
            <w:shd w:val="clear" w:color="auto" w:fill="auto"/>
            <w:vAlign w:val="center"/>
            <w:hideMark/>
          </w:tcPr>
          <w:p w:rsidR="00DE347C" w:rsidRPr="00EE0850" w:rsidRDefault="00DE347C" w:rsidP="007C2315">
            <w:pPr>
              <w:spacing w:after="0" w:line="240" w:lineRule="auto"/>
              <w:jc w:val="right"/>
              <w:rPr>
                <w:b/>
                <w:bCs/>
                <w:kern w:val="22"/>
                <w:sz w:val="17"/>
                <w:szCs w:val="17"/>
                <w:lang w:eastAsia="en-CA"/>
              </w:rPr>
            </w:pPr>
            <w:r w:rsidRPr="00EE0850">
              <w:rPr>
                <w:b/>
                <w:bCs/>
                <w:kern w:val="22"/>
                <w:sz w:val="17"/>
                <w:szCs w:val="17"/>
                <w:lang w:eastAsia="en-CA"/>
              </w:rPr>
              <w:t>18 892</w:t>
            </w:r>
            <w:r w:rsidR="007C2315">
              <w:rPr>
                <w:b/>
                <w:bCs/>
                <w:kern w:val="22"/>
                <w:sz w:val="17"/>
                <w:szCs w:val="17"/>
                <w:lang w:eastAsia="en-CA"/>
              </w:rPr>
              <w:t>,</w:t>
            </w:r>
            <w:r w:rsidRPr="00EE0850">
              <w:rPr>
                <w:b/>
                <w:bCs/>
                <w:kern w:val="22"/>
                <w:sz w:val="17"/>
                <w:szCs w:val="17"/>
                <w:lang w:eastAsia="en-CA"/>
              </w:rPr>
              <w:t>4</w:t>
            </w:r>
          </w:p>
        </w:tc>
        <w:tc>
          <w:tcPr>
            <w:tcW w:w="0" w:type="auto"/>
            <w:tcBorders>
              <w:top w:val="nil"/>
              <w:left w:val="nil"/>
              <w:bottom w:val="single" w:sz="4" w:space="0" w:color="auto"/>
              <w:right w:val="nil"/>
            </w:tcBorders>
            <w:shd w:val="clear" w:color="auto" w:fill="auto"/>
            <w:vAlign w:val="center"/>
            <w:hideMark/>
          </w:tcPr>
          <w:p w:rsidR="00DE347C" w:rsidRPr="00EE0850" w:rsidRDefault="00DE347C" w:rsidP="007C2315">
            <w:pPr>
              <w:spacing w:after="0" w:line="240" w:lineRule="auto"/>
              <w:jc w:val="right"/>
              <w:rPr>
                <w:b/>
                <w:bCs/>
                <w:kern w:val="22"/>
                <w:sz w:val="17"/>
                <w:szCs w:val="17"/>
                <w:lang w:eastAsia="en-CA"/>
              </w:rPr>
            </w:pPr>
            <w:r w:rsidRPr="00EE0850">
              <w:rPr>
                <w:b/>
                <w:bCs/>
                <w:kern w:val="22"/>
                <w:sz w:val="17"/>
                <w:szCs w:val="17"/>
                <w:lang w:eastAsia="en-CA"/>
              </w:rPr>
              <w:t>19 764</w:t>
            </w:r>
            <w:r w:rsidR="007C2315">
              <w:rPr>
                <w:b/>
                <w:bCs/>
                <w:kern w:val="22"/>
                <w:sz w:val="17"/>
                <w:szCs w:val="17"/>
                <w:lang w:eastAsia="en-CA"/>
              </w:rPr>
              <w:t>,</w:t>
            </w:r>
            <w:r w:rsidRPr="00EE0850">
              <w:rPr>
                <w:b/>
                <w:bCs/>
                <w:kern w:val="22"/>
                <w:sz w:val="17"/>
                <w:szCs w:val="17"/>
                <w:lang w:eastAsia="en-CA"/>
              </w:rPr>
              <w:t>4</w:t>
            </w:r>
          </w:p>
        </w:tc>
        <w:tc>
          <w:tcPr>
            <w:tcW w:w="0" w:type="auto"/>
            <w:tcBorders>
              <w:top w:val="nil"/>
              <w:left w:val="nil"/>
              <w:bottom w:val="single" w:sz="4" w:space="0" w:color="auto"/>
              <w:right w:val="nil"/>
            </w:tcBorders>
            <w:shd w:val="clear" w:color="auto" w:fill="auto"/>
            <w:vAlign w:val="center"/>
            <w:hideMark/>
          </w:tcPr>
          <w:p w:rsidR="00DE347C" w:rsidRPr="00EE0850" w:rsidRDefault="00DE347C" w:rsidP="007C2315">
            <w:pPr>
              <w:spacing w:after="0" w:line="240" w:lineRule="auto"/>
              <w:jc w:val="right"/>
              <w:rPr>
                <w:b/>
                <w:bCs/>
                <w:kern w:val="22"/>
                <w:sz w:val="17"/>
                <w:szCs w:val="17"/>
                <w:lang w:eastAsia="en-CA"/>
              </w:rPr>
            </w:pPr>
            <w:r w:rsidRPr="00EE0850">
              <w:rPr>
                <w:b/>
                <w:bCs/>
                <w:kern w:val="22"/>
                <w:sz w:val="17"/>
                <w:szCs w:val="17"/>
                <w:lang w:eastAsia="en-CA"/>
              </w:rPr>
              <w:t>38 656</w:t>
            </w:r>
            <w:r w:rsidR="007C2315">
              <w:rPr>
                <w:b/>
                <w:bCs/>
                <w:kern w:val="22"/>
                <w:sz w:val="17"/>
                <w:szCs w:val="17"/>
                <w:lang w:eastAsia="en-CA"/>
              </w:rPr>
              <w:t>,</w:t>
            </w:r>
            <w:r w:rsidRPr="00EE0850">
              <w:rPr>
                <w:b/>
                <w:bCs/>
                <w:kern w:val="22"/>
                <w:sz w:val="17"/>
                <w:szCs w:val="17"/>
                <w:lang w:eastAsia="en-CA"/>
              </w:rPr>
              <w:t>8</w:t>
            </w:r>
          </w:p>
        </w:tc>
      </w:tr>
      <w:tr w:rsidR="00BA4FF3" w:rsidRPr="00EE0850" w:rsidTr="00DE347C">
        <w:trPr>
          <w:trHeight w:val="261"/>
          <w:jc w:val="center"/>
        </w:trPr>
        <w:tc>
          <w:tcPr>
            <w:tcW w:w="0" w:type="auto"/>
            <w:tcBorders>
              <w:top w:val="nil"/>
              <w:left w:val="nil"/>
              <w:bottom w:val="nil"/>
              <w:right w:val="nil"/>
            </w:tcBorders>
            <w:shd w:val="clear" w:color="auto" w:fill="auto"/>
            <w:noWrap/>
            <w:vAlign w:val="center"/>
            <w:hideMark/>
          </w:tcPr>
          <w:p w:rsidR="00DE347C" w:rsidRPr="00EE0850" w:rsidRDefault="00DE347C" w:rsidP="000C6220">
            <w:pPr>
              <w:spacing w:after="0" w:line="240" w:lineRule="auto"/>
              <w:jc w:val="right"/>
              <w:rPr>
                <w:b/>
                <w:bCs/>
                <w:color w:val="000000"/>
                <w:kern w:val="22"/>
                <w:sz w:val="17"/>
                <w:szCs w:val="17"/>
                <w:lang w:eastAsia="en-CA"/>
              </w:rPr>
            </w:pPr>
            <w:r w:rsidRPr="00EE0850">
              <w:rPr>
                <w:b/>
                <w:bCs/>
                <w:color w:val="000000"/>
                <w:kern w:val="22"/>
                <w:sz w:val="17"/>
                <w:szCs w:val="17"/>
                <w:lang w:eastAsia="en-CA"/>
              </w:rPr>
              <w:t>III</w:t>
            </w:r>
          </w:p>
        </w:tc>
        <w:tc>
          <w:tcPr>
            <w:tcW w:w="0" w:type="auto"/>
            <w:gridSpan w:val="2"/>
            <w:tcBorders>
              <w:top w:val="single" w:sz="4" w:space="0" w:color="auto"/>
              <w:left w:val="nil"/>
              <w:bottom w:val="nil"/>
              <w:right w:val="nil"/>
            </w:tcBorders>
            <w:shd w:val="clear" w:color="auto" w:fill="auto"/>
            <w:vAlign w:val="center"/>
            <w:hideMark/>
          </w:tcPr>
          <w:p w:rsidR="00DE347C" w:rsidRPr="00EE0850" w:rsidRDefault="007C2315" w:rsidP="000C6220">
            <w:pPr>
              <w:spacing w:after="0" w:line="240" w:lineRule="auto"/>
              <w:rPr>
                <w:kern w:val="22"/>
                <w:sz w:val="17"/>
                <w:szCs w:val="17"/>
                <w:lang w:eastAsia="en-CA"/>
              </w:rPr>
            </w:pPr>
            <w:r>
              <w:rPr>
                <w:kern w:val="22"/>
                <w:sz w:val="17"/>
                <w:szCs w:val="17"/>
                <w:lang w:eastAsia="en-CA"/>
              </w:rPr>
              <w:t>Reserva operacional</w:t>
            </w:r>
          </w:p>
        </w:tc>
        <w:tc>
          <w:tcPr>
            <w:tcW w:w="0" w:type="auto"/>
            <w:tcBorders>
              <w:top w:val="nil"/>
              <w:left w:val="nil"/>
              <w:bottom w:val="nil"/>
              <w:right w:val="nil"/>
            </w:tcBorders>
            <w:shd w:val="clear" w:color="auto" w:fill="auto"/>
            <w:vAlign w:val="center"/>
            <w:hideMark/>
          </w:tcPr>
          <w:p w:rsidR="00DE347C" w:rsidRPr="00EE0850" w:rsidRDefault="00DE347C" w:rsidP="007C2315">
            <w:pPr>
              <w:spacing w:after="0" w:line="240" w:lineRule="auto"/>
              <w:jc w:val="right"/>
              <w:rPr>
                <w:kern w:val="22"/>
                <w:sz w:val="17"/>
                <w:szCs w:val="17"/>
                <w:lang w:eastAsia="en-CA"/>
              </w:rPr>
            </w:pPr>
            <w:r w:rsidRPr="00EE0850">
              <w:rPr>
                <w:kern w:val="22"/>
                <w:sz w:val="17"/>
                <w:szCs w:val="17"/>
                <w:lang w:eastAsia="en-CA"/>
              </w:rPr>
              <w:t>56</w:t>
            </w:r>
            <w:r w:rsidR="007C2315">
              <w:rPr>
                <w:kern w:val="22"/>
                <w:sz w:val="17"/>
                <w:szCs w:val="17"/>
                <w:lang w:eastAsia="en-CA"/>
              </w:rPr>
              <w:t>,</w:t>
            </w:r>
            <w:r w:rsidRPr="00EE0850">
              <w:rPr>
                <w:kern w:val="22"/>
                <w:sz w:val="17"/>
                <w:szCs w:val="17"/>
                <w:lang w:eastAsia="en-CA"/>
              </w:rPr>
              <w:t>6</w:t>
            </w:r>
          </w:p>
        </w:tc>
        <w:tc>
          <w:tcPr>
            <w:tcW w:w="0" w:type="auto"/>
            <w:tcBorders>
              <w:top w:val="nil"/>
              <w:left w:val="nil"/>
              <w:bottom w:val="nil"/>
              <w:right w:val="nil"/>
            </w:tcBorders>
            <w:shd w:val="clear" w:color="auto" w:fill="auto"/>
            <w:vAlign w:val="center"/>
            <w:hideMark/>
          </w:tcPr>
          <w:p w:rsidR="00DE347C" w:rsidRPr="00EE0850" w:rsidRDefault="00DE347C" w:rsidP="007C2315">
            <w:pPr>
              <w:spacing w:after="0" w:line="240" w:lineRule="auto"/>
              <w:jc w:val="right"/>
              <w:rPr>
                <w:kern w:val="22"/>
                <w:sz w:val="17"/>
                <w:szCs w:val="17"/>
                <w:lang w:eastAsia="en-CA"/>
              </w:rPr>
            </w:pPr>
            <w:r w:rsidRPr="00EE0850">
              <w:rPr>
                <w:kern w:val="22"/>
                <w:sz w:val="17"/>
                <w:szCs w:val="17"/>
                <w:lang w:eastAsia="en-CA"/>
              </w:rPr>
              <w:t>130</w:t>
            </w:r>
            <w:r w:rsidR="007C2315">
              <w:rPr>
                <w:kern w:val="22"/>
                <w:sz w:val="17"/>
                <w:szCs w:val="17"/>
                <w:lang w:eastAsia="en-CA"/>
              </w:rPr>
              <w:t>,</w:t>
            </w:r>
            <w:r w:rsidRPr="00EE0850">
              <w:rPr>
                <w:kern w:val="22"/>
                <w:sz w:val="17"/>
                <w:szCs w:val="17"/>
                <w:lang w:eastAsia="en-CA"/>
              </w:rPr>
              <w:t>8</w:t>
            </w:r>
          </w:p>
        </w:tc>
        <w:tc>
          <w:tcPr>
            <w:tcW w:w="0" w:type="auto"/>
            <w:tcBorders>
              <w:top w:val="nil"/>
              <w:left w:val="nil"/>
              <w:bottom w:val="nil"/>
              <w:right w:val="nil"/>
            </w:tcBorders>
            <w:shd w:val="clear" w:color="auto" w:fill="auto"/>
            <w:vAlign w:val="center"/>
            <w:hideMark/>
          </w:tcPr>
          <w:p w:rsidR="00DE347C" w:rsidRPr="00EE0850" w:rsidRDefault="00DE347C" w:rsidP="007C2315">
            <w:pPr>
              <w:spacing w:after="0" w:line="240" w:lineRule="auto"/>
              <w:jc w:val="right"/>
              <w:rPr>
                <w:kern w:val="22"/>
                <w:sz w:val="17"/>
                <w:szCs w:val="17"/>
                <w:lang w:eastAsia="en-CA"/>
              </w:rPr>
            </w:pPr>
            <w:r w:rsidRPr="00EE0850">
              <w:rPr>
                <w:kern w:val="22"/>
                <w:sz w:val="17"/>
                <w:szCs w:val="17"/>
                <w:lang w:eastAsia="en-CA"/>
              </w:rPr>
              <w:t>187</w:t>
            </w:r>
            <w:r w:rsidR="007C2315">
              <w:rPr>
                <w:kern w:val="22"/>
                <w:sz w:val="17"/>
                <w:szCs w:val="17"/>
                <w:lang w:eastAsia="en-CA"/>
              </w:rPr>
              <w:t>,</w:t>
            </w:r>
            <w:r w:rsidRPr="00EE0850">
              <w:rPr>
                <w:kern w:val="22"/>
                <w:sz w:val="17"/>
                <w:szCs w:val="17"/>
                <w:lang w:eastAsia="en-CA"/>
              </w:rPr>
              <w:t>3</w:t>
            </w:r>
          </w:p>
        </w:tc>
      </w:tr>
      <w:tr w:rsidR="00BA4FF3" w:rsidRPr="00EE0850" w:rsidTr="00DE347C">
        <w:trPr>
          <w:trHeight w:val="261"/>
          <w:jc w:val="center"/>
        </w:trPr>
        <w:tc>
          <w:tcPr>
            <w:tcW w:w="0" w:type="auto"/>
            <w:tcBorders>
              <w:top w:val="nil"/>
              <w:left w:val="nil"/>
              <w:bottom w:val="nil"/>
              <w:right w:val="nil"/>
            </w:tcBorders>
            <w:shd w:val="clear" w:color="auto" w:fill="auto"/>
            <w:noWrap/>
            <w:vAlign w:val="center"/>
            <w:hideMark/>
          </w:tcPr>
          <w:p w:rsidR="00DE347C" w:rsidRPr="00EE0850" w:rsidRDefault="00DE347C" w:rsidP="000C6220">
            <w:pPr>
              <w:spacing w:after="0" w:line="240" w:lineRule="auto"/>
              <w:jc w:val="right"/>
              <w:rPr>
                <w:b/>
                <w:bCs/>
                <w:color w:val="000000"/>
                <w:kern w:val="22"/>
                <w:sz w:val="17"/>
                <w:szCs w:val="17"/>
                <w:lang w:eastAsia="en-CA"/>
              </w:rPr>
            </w:pPr>
          </w:p>
        </w:tc>
        <w:tc>
          <w:tcPr>
            <w:tcW w:w="0" w:type="auto"/>
            <w:gridSpan w:val="2"/>
            <w:tcBorders>
              <w:top w:val="nil"/>
              <w:left w:val="nil"/>
              <w:bottom w:val="single" w:sz="8" w:space="0" w:color="auto"/>
              <w:right w:val="nil"/>
            </w:tcBorders>
            <w:shd w:val="clear" w:color="auto" w:fill="auto"/>
            <w:vAlign w:val="center"/>
            <w:hideMark/>
          </w:tcPr>
          <w:p w:rsidR="00DE347C" w:rsidRPr="00EE0850" w:rsidRDefault="007C2315" w:rsidP="007C2315">
            <w:pPr>
              <w:spacing w:after="0" w:line="240" w:lineRule="auto"/>
              <w:rPr>
                <w:b/>
                <w:bCs/>
                <w:color w:val="000000"/>
                <w:kern w:val="22"/>
                <w:sz w:val="17"/>
                <w:szCs w:val="17"/>
                <w:lang w:eastAsia="en-CA"/>
              </w:rPr>
            </w:pPr>
            <w:r>
              <w:rPr>
                <w:b/>
                <w:bCs/>
                <w:color w:val="000000"/>
                <w:kern w:val="22"/>
                <w:sz w:val="17"/>
                <w:szCs w:val="17"/>
                <w:lang w:eastAsia="en-CA"/>
              </w:rPr>
              <w:t>Total general</w:t>
            </w:r>
            <w:r w:rsidR="00DE347C" w:rsidRPr="00EE0850">
              <w:rPr>
                <w:b/>
                <w:bCs/>
                <w:color w:val="000000"/>
                <w:kern w:val="22"/>
                <w:sz w:val="17"/>
                <w:szCs w:val="17"/>
                <w:lang w:eastAsia="en-CA"/>
              </w:rPr>
              <w:t xml:space="preserve"> (II + III)</w:t>
            </w:r>
          </w:p>
        </w:tc>
        <w:tc>
          <w:tcPr>
            <w:tcW w:w="0" w:type="auto"/>
            <w:tcBorders>
              <w:top w:val="nil"/>
              <w:left w:val="nil"/>
              <w:bottom w:val="single" w:sz="8" w:space="0" w:color="auto"/>
              <w:right w:val="nil"/>
            </w:tcBorders>
            <w:shd w:val="clear" w:color="auto" w:fill="auto"/>
            <w:vAlign w:val="center"/>
            <w:hideMark/>
          </w:tcPr>
          <w:p w:rsidR="00DE347C" w:rsidRPr="00EE0850" w:rsidRDefault="00DE347C" w:rsidP="007C2315">
            <w:pPr>
              <w:spacing w:after="0" w:line="240" w:lineRule="auto"/>
              <w:jc w:val="right"/>
              <w:rPr>
                <w:b/>
                <w:bCs/>
                <w:color w:val="000000"/>
                <w:kern w:val="22"/>
                <w:sz w:val="17"/>
                <w:szCs w:val="17"/>
                <w:lang w:eastAsia="en-CA"/>
              </w:rPr>
            </w:pPr>
            <w:r w:rsidRPr="00EE0850">
              <w:rPr>
                <w:b/>
                <w:bCs/>
                <w:color w:val="000000"/>
                <w:kern w:val="22"/>
                <w:sz w:val="17"/>
                <w:szCs w:val="17"/>
                <w:lang w:eastAsia="en-CA"/>
              </w:rPr>
              <w:t>18 949</w:t>
            </w:r>
            <w:r w:rsidR="007C2315">
              <w:rPr>
                <w:b/>
                <w:bCs/>
                <w:color w:val="000000"/>
                <w:kern w:val="22"/>
                <w:sz w:val="17"/>
                <w:szCs w:val="17"/>
                <w:lang w:eastAsia="en-CA"/>
              </w:rPr>
              <w:t>,</w:t>
            </w:r>
            <w:r w:rsidRPr="00EE0850">
              <w:rPr>
                <w:b/>
                <w:bCs/>
                <w:color w:val="000000"/>
                <w:kern w:val="22"/>
                <w:sz w:val="17"/>
                <w:szCs w:val="17"/>
                <w:lang w:eastAsia="en-CA"/>
              </w:rPr>
              <w:t>0</w:t>
            </w:r>
          </w:p>
        </w:tc>
        <w:tc>
          <w:tcPr>
            <w:tcW w:w="0" w:type="auto"/>
            <w:tcBorders>
              <w:top w:val="nil"/>
              <w:left w:val="nil"/>
              <w:bottom w:val="single" w:sz="8" w:space="0" w:color="auto"/>
              <w:right w:val="nil"/>
            </w:tcBorders>
            <w:shd w:val="clear" w:color="auto" w:fill="auto"/>
            <w:vAlign w:val="center"/>
            <w:hideMark/>
          </w:tcPr>
          <w:p w:rsidR="00DE347C" w:rsidRPr="00EE0850" w:rsidRDefault="00DE347C" w:rsidP="007C2315">
            <w:pPr>
              <w:spacing w:after="0" w:line="240" w:lineRule="auto"/>
              <w:jc w:val="right"/>
              <w:rPr>
                <w:b/>
                <w:bCs/>
                <w:color w:val="000000"/>
                <w:kern w:val="22"/>
                <w:sz w:val="17"/>
                <w:szCs w:val="17"/>
                <w:lang w:eastAsia="en-CA"/>
              </w:rPr>
            </w:pPr>
            <w:r w:rsidRPr="00EE0850">
              <w:rPr>
                <w:b/>
                <w:bCs/>
                <w:color w:val="000000"/>
                <w:kern w:val="22"/>
                <w:sz w:val="17"/>
                <w:szCs w:val="17"/>
                <w:lang w:eastAsia="en-CA"/>
              </w:rPr>
              <w:t>19 895</w:t>
            </w:r>
            <w:r w:rsidR="007C2315">
              <w:rPr>
                <w:b/>
                <w:bCs/>
                <w:color w:val="000000"/>
                <w:kern w:val="22"/>
                <w:sz w:val="17"/>
                <w:szCs w:val="17"/>
                <w:lang w:eastAsia="en-CA"/>
              </w:rPr>
              <w:t>,</w:t>
            </w:r>
            <w:r w:rsidRPr="00EE0850">
              <w:rPr>
                <w:b/>
                <w:bCs/>
                <w:color w:val="000000"/>
                <w:kern w:val="22"/>
                <w:sz w:val="17"/>
                <w:szCs w:val="17"/>
                <w:lang w:eastAsia="en-CA"/>
              </w:rPr>
              <w:t>1</w:t>
            </w:r>
          </w:p>
        </w:tc>
        <w:tc>
          <w:tcPr>
            <w:tcW w:w="0" w:type="auto"/>
            <w:tcBorders>
              <w:top w:val="nil"/>
              <w:left w:val="nil"/>
              <w:bottom w:val="single" w:sz="8" w:space="0" w:color="auto"/>
              <w:right w:val="nil"/>
            </w:tcBorders>
            <w:shd w:val="clear" w:color="auto" w:fill="auto"/>
            <w:vAlign w:val="center"/>
            <w:hideMark/>
          </w:tcPr>
          <w:p w:rsidR="00DE347C" w:rsidRPr="00EE0850" w:rsidRDefault="00DE347C" w:rsidP="007C2315">
            <w:pPr>
              <w:spacing w:after="0" w:line="240" w:lineRule="auto"/>
              <w:jc w:val="right"/>
              <w:rPr>
                <w:b/>
                <w:bCs/>
                <w:color w:val="000000"/>
                <w:kern w:val="22"/>
                <w:sz w:val="17"/>
                <w:szCs w:val="17"/>
                <w:lang w:eastAsia="en-CA"/>
              </w:rPr>
            </w:pPr>
            <w:r w:rsidRPr="00EE0850">
              <w:rPr>
                <w:b/>
                <w:bCs/>
                <w:color w:val="000000"/>
                <w:kern w:val="22"/>
                <w:sz w:val="17"/>
                <w:szCs w:val="17"/>
                <w:lang w:eastAsia="en-CA"/>
              </w:rPr>
              <w:t>38 844</w:t>
            </w:r>
            <w:r w:rsidR="007C2315">
              <w:rPr>
                <w:b/>
                <w:bCs/>
                <w:color w:val="000000"/>
                <w:kern w:val="22"/>
                <w:sz w:val="17"/>
                <w:szCs w:val="17"/>
                <w:lang w:eastAsia="en-CA"/>
              </w:rPr>
              <w:t>,</w:t>
            </w:r>
            <w:r w:rsidRPr="00EE0850">
              <w:rPr>
                <w:b/>
                <w:bCs/>
                <w:color w:val="000000"/>
                <w:kern w:val="22"/>
                <w:sz w:val="17"/>
                <w:szCs w:val="17"/>
                <w:lang w:eastAsia="en-CA"/>
              </w:rPr>
              <w:t>1</w:t>
            </w:r>
          </w:p>
        </w:tc>
      </w:tr>
      <w:tr w:rsidR="00BA4FF3" w:rsidRPr="00EE0850" w:rsidTr="00DE347C">
        <w:trPr>
          <w:trHeight w:val="432"/>
          <w:jc w:val="center"/>
        </w:trPr>
        <w:tc>
          <w:tcPr>
            <w:tcW w:w="0" w:type="auto"/>
            <w:tcBorders>
              <w:top w:val="nil"/>
              <w:left w:val="nil"/>
              <w:bottom w:val="nil"/>
              <w:right w:val="nil"/>
            </w:tcBorders>
            <w:shd w:val="clear" w:color="auto" w:fill="auto"/>
            <w:noWrap/>
            <w:vAlign w:val="center"/>
            <w:hideMark/>
          </w:tcPr>
          <w:p w:rsidR="00DE347C" w:rsidRPr="00EE0850" w:rsidRDefault="00DE347C" w:rsidP="000C6220">
            <w:pPr>
              <w:spacing w:after="0" w:line="240" w:lineRule="auto"/>
              <w:jc w:val="right"/>
              <w:rPr>
                <w:color w:val="000000"/>
                <w:kern w:val="22"/>
                <w:sz w:val="17"/>
                <w:szCs w:val="17"/>
                <w:lang w:eastAsia="en-CA"/>
              </w:rPr>
            </w:pPr>
          </w:p>
        </w:tc>
        <w:tc>
          <w:tcPr>
            <w:tcW w:w="0" w:type="auto"/>
            <w:gridSpan w:val="2"/>
            <w:tcBorders>
              <w:top w:val="single" w:sz="8" w:space="0" w:color="auto"/>
              <w:left w:val="nil"/>
              <w:bottom w:val="single" w:sz="8" w:space="0" w:color="auto"/>
              <w:right w:val="nil"/>
            </w:tcBorders>
            <w:shd w:val="clear" w:color="auto" w:fill="auto"/>
            <w:vAlign w:val="center"/>
            <w:hideMark/>
          </w:tcPr>
          <w:p w:rsidR="00DE347C" w:rsidRPr="007C2315" w:rsidRDefault="007C2315" w:rsidP="000C6220">
            <w:pPr>
              <w:spacing w:after="0" w:line="240" w:lineRule="auto"/>
              <w:jc w:val="left"/>
              <w:rPr>
                <w:kern w:val="22"/>
                <w:sz w:val="17"/>
                <w:szCs w:val="17"/>
                <w:lang w:val="es-ES" w:eastAsia="en-CA"/>
              </w:rPr>
            </w:pPr>
            <w:r>
              <w:rPr>
                <w:kern w:val="22"/>
                <w:sz w:val="17"/>
                <w:lang w:val="es-ES"/>
              </w:rPr>
              <w:t xml:space="preserve">Porcentaje del presupuesto integrado que corresponde al Protocolo de </w:t>
            </w:r>
            <w:r w:rsidRPr="00BA7F10">
              <w:rPr>
                <w:kern w:val="22"/>
                <w:sz w:val="17"/>
                <w:szCs w:val="17"/>
                <w:lang w:val="es-ES" w:eastAsia="en-CA"/>
              </w:rPr>
              <w:t>Nagoya</w:t>
            </w:r>
            <w:r>
              <w:rPr>
                <w:kern w:val="22"/>
                <w:sz w:val="17"/>
                <w:szCs w:val="17"/>
                <w:lang w:val="es-ES" w:eastAsia="en-CA"/>
              </w:rPr>
              <w:t xml:space="preserve">  </w:t>
            </w:r>
            <w:r w:rsidRPr="00BA7F10">
              <w:rPr>
                <w:kern w:val="22"/>
                <w:sz w:val="17"/>
                <w:szCs w:val="17"/>
                <w:lang w:val="es-ES" w:eastAsia="en-CA"/>
              </w:rPr>
              <w:t>(11%)</w:t>
            </w:r>
          </w:p>
        </w:tc>
        <w:tc>
          <w:tcPr>
            <w:tcW w:w="0" w:type="auto"/>
            <w:tcBorders>
              <w:top w:val="nil"/>
              <w:left w:val="nil"/>
              <w:bottom w:val="single" w:sz="8" w:space="0" w:color="auto"/>
              <w:right w:val="nil"/>
            </w:tcBorders>
            <w:shd w:val="clear" w:color="auto" w:fill="auto"/>
            <w:vAlign w:val="center"/>
            <w:hideMark/>
          </w:tcPr>
          <w:p w:rsidR="00DE347C" w:rsidRPr="00EE0850" w:rsidRDefault="00DE347C" w:rsidP="007C2315">
            <w:pPr>
              <w:spacing w:after="0" w:line="240" w:lineRule="auto"/>
              <w:jc w:val="right"/>
              <w:rPr>
                <w:kern w:val="22"/>
                <w:sz w:val="17"/>
                <w:szCs w:val="17"/>
                <w:lang w:eastAsia="en-CA"/>
              </w:rPr>
            </w:pPr>
            <w:r w:rsidRPr="00EE0850">
              <w:rPr>
                <w:kern w:val="22"/>
                <w:sz w:val="17"/>
                <w:szCs w:val="17"/>
                <w:lang w:eastAsia="en-CA"/>
              </w:rPr>
              <w:t>2 084</w:t>
            </w:r>
            <w:r w:rsidR="007C2315">
              <w:rPr>
                <w:kern w:val="22"/>
                <w:sz w:val="17"/>
                <w:szCs w:val="17"/>
                <w:lang w:eastAsia="en-CA"/>
              </w:rPr>
              <w:t>,</w:t>
            </w:r>
            <w:r w:rsidRPr="00EE0850">
              <w:rPr>
                <w:kern w:val="22"/>
                <w:sz w:val="17"/>
                <w:szCs w:val="17"/>
                <w:lang w:eastAsia="en-CA"/>
              </w:rPr>
              <w:t xml:space="preserve">4 </w:t>
            </w:r>
          </w:p>
        </w:tc>
        <w:tc>
          <w:tcPr>
            <w:tcW w:w="0" w:type="auto"/>
            <w:tcBorders>
              <w:top w:val="nil"/>
              <w:left w:val="nil"/>
              <w:bottom w:val="single" w:sz="8" w:space="0" w:color="auto"/>
              <w:right w:val="nil"/>
            </w:tcBorders>
            <w:shd w:val="clear" w:color="auto" w:fill="auto"/>
            <w:vAlign w:val="center"/>
            <w:hideMark/>
          </w:tcPr>
          <w:p w:rsidR="00DE347C" w:rsidRPr="00EE0850" w:rsidRDefault="00DE347C" w:rsidP="007C2315">
            <w:pPr>
              <w:spacing w:after="0" w:line="240" w:lineRule="auto"/>
              <w:jc w:val="right"/>
              <w:rPr>
                <w:kern w:val="22"/>
                <w:sz w:val="17"/>
                <w:szCs w:val="17"/>
                <w:lang w:eastAsia="en-CA"/>
              </w:rPr>
            </w:pPr>
            <w:r w:rsidRPr="00EE0850">
              <w:rPr>
                <w:kern w:val="22"/>
                <w:sz w:val="17"/>
                <w:szCs w:val="17"/>
                <w:lang w:eastAsia="en-CA"/>
              </w:rPr>
              <w:t>2 188</w:t>
            </w:r>
            <w:r w:rsidR="007C2315">
              <w:rPr>
                <w:kern w:val="22"/>
                <w:sz w:val="17"/>
                <w:szCs w:val="17"/>
                <w:lang w:eastAsia="en-CA"/>
              </w:rPr>
              <w:t>,</w:t>
            </w:r>
            <w:r w:rsidRPr="00EE0850">
              <w:rPr>
                <w:kern w:val="22"/>
                <w:sz w:val="17"/>
                <w:szCs w:val="17"/>
                <w:lang w:eastAsia="en-CA"/>
              </w:rPr>
              <w:t xml:space="preserve">5 </w:t>
            </w:r>
          </w:p>
        </w:tc>
        <w:tc>
          <w:tcPr>
            <w:tcW w:w="0" w:type="auto"/>
            <w:tcBorders>
              <w:top w:val="nil"/>
              <w:left w:val="nil"/>
              <w:bottom w:val="single" w:sz="8" w:space="0" w:color="auto"/>
              <w:right w:val="nil"/>
            </w:tcBorders>
            <w:shd w:val="clear" w:color="auto" w:fill="auto"/>
            <w:vAlign w:val="center"/>
            <w:hideMark/>
          </w:tcPr>
          <w:p w:rsidR="00DE347C" w:rsidRPr="00EE0850" w:rsidRDefault="00DE347C" w:rsidP="007C2315">
            <w:pPr>
              <w:spacing w:after="0" w:line="240" w:lineRule="auto"/>
              <w:jc w:val="right"/>
              <w:rPr>
                <w:kern w:val="22"/>
                <w:sz w:val="17"/>
                <w:szCs w:val="17"/>
                <w:lang w:eastAsia="en-CA"/>
              </w:rPr>
            </w:pPr>
            <w:r w:rsidRPr="00EE0850">
              <w:rPr>
                <w:kern w:val="22"/>
                <w:sz w:val="17"/>
                <w:szCs w:val="17"/>
                <w:lang w:eastAsia="en-CA"/>
              </w:rPr>
              <w:t>4 272</w:t>
            </w:r>
            <w:r w:rsidR="007C2315">
              <w:rPr>
                <w:kern w:val="22"/>
                <w:sz w:val="17"/>
                <w:szCs w:val="17"/>
                <w:lang w:eastAsia="en-CA"/>
              </w:rPr>
              <w:t>,</w:t>
            </w:r>
            <w:r w:rsidRPr="00EE0850">
              <w:rPr>
                <w:kern w:val="22"/>
                <w:sz w:val="17"/>
                <w:szCs w:val="17"/>
                <w:lang w:eastAsia="en-CA"/>
              </w:rPr>
              <w:t xml:space="preserve">9 </w:t>
            </w:r>
          </w:p>
        </w:tc>
      </w:tr>
      <w:tr w:rsidR="00BA4FF3" w:rsidRPr="00EE0850" w:rsidTr="00DE347C">
        <w:trPr>
          <w:trHeight w:val="261"/>
          <w:jc w:val="center"/>
        </w:trPr>
        <w:tc>
          <w:tcPr>
            <w:tcW w:w="0" w:type="auto"/>
            <w:tcBorders>
              <w:top w:val="nil"/>
              <w:left w:val="nil"/>
              <w:bottom w:val="nil"/>
              <w:right w:val="nil"/>
            </w:tcBorders>
            <w:shd w:val="clear" w:color="auto" w:fill="auto"/>
            <w:noWrap/>
            <w:vAlign w:val="center"/>
            <w:hideMark/>
          </w:tcPr>
          <w:p w:rsidR="00DE347C" w:rsidRPr="00EE0850" w:rsidRDefault="00DE347C" w:rsidP="000C6220">
            <w:pPr>
              <w:spacing w:after="0" w:line="240" w:lineRule="auto"/>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DE347C" w:rsidRPr="007C2315" w:rsidRDefault="007C2315" w:rsidP="007C2315">
            <w:pPr>
              <w:spacing w:after="0" w:line="240" w:lineRule="auto"/>
              <w:rPr>
                <w:kern w:val="22"/>
                <w:sz w:val="17"/>
                <w:szCs w:val="17"/>
                <w:lang w:val="es-ES" w:eastAsia="en-CA"/>
              </w:rPr>
            </w:pPr>
            <w:r w:rsidRPr="007C2315">
              <w:rPr>
                <w:kern w:val="22"/>
                <w:sz w:val="17"/>
                <w:szCs w:val="17"/>
                <w:u w:val="single"/>
                <w:lang w:val="es-ES" w:eastAsia="en-CA"/>
              </w:rPr>
              <w:t>M</w:t>
            </w:r>
            <w:r w:rsidR="00DE347C" w:rsidRPr="007C2315">
              <w:rPr>
                <w:kern w:val="22"/>
                <w:sz w:val="17"/>
                <w:szCs w:val="17"/>
                <w:u w:val="single"/>
                <w:lang w:val="es-ES" w:eastAsia="en-CA"/>
              </w:rPr>
              <w:t>e</w:t>
            </w:r>
            <w:r w:rsidRPr="007C2315">
              <w:rPr>
                <w:kern w:val="22"/>
                <w:sz w:val="17"/>
                <w:szCs w:val="17"/>
                <w:u w:val="single"/>
                <w:lang w:val="es-ES" w:eastAsia="en-CA"/>
              </w:rPr>
              <w:t>no</w:t>
            </w:r>
            <w:r w:rsidR="00DE347C" w:rsidRPr="007C2315">
              <w:rPr>
                <w:kern w:val="22"/>
                <w:sz w:val="17"/>
                <w:szCs w:val="17"/>
                <w:u w:val="single"/>
                <w:lang w:val="es-ES" w:eastAsia="en-CA"/>
              </w:rPr>
              <w:t>s</w:t>
            </w:r>
            <w:r w:rsidR="00DE347C" w:rsidRPr="007C2315">
              <w:rPr>
                <w:kern w:val="22"/>
                <w:sz w:val="17"/>
                <w:szCs w:val="17"/>
                <w:lang w:val="es-ES" w:eastAsia="en-CA"/>
              </w:rPr>
              <w:t xml:space="preserve"> </w:t>
            </w:r>
            <w:r w:rsidRPr="00BA7F10">
              <w:rPr>
                <w:kern w:val="22"/>
                <w:sz w:val="17"/>
                <w:szCs w:val="17"/>
                <w:lang w:val="es-ES" w:eastAsia="en-CA"/>
              </w:rPr>
              <w:t xml:space="preserve">la </w:t>
            </w:r>
            <w:r>
              <w:rPr>
                <w:kern w:val="22"/>
                <w:sz w:val="17"/>
                <w:lang w:val="es-ES"/>
              </w:rPr>
              <w:t>contribución del país anfitrión</w:t>
            </w:r>
            <w:r w:rsidR="00DE347C" w:rsidRPr="007C2315">
              <w:rPr>
                <w:kern w:val="22"/>
                <w:sz w:val="17"/>
                <w:szCs w:val="17"/>
                <w:vertAlign w:val="superscript"/>
                <w:lang w:val="es-ES" w:eastAsia="en-CA"/>
              </w:rPr>
              <w:t>5/</w:t>
            </w:r>
          </w:p>
        </w:tc>
        <w:tc>
          <w:tcPr>
            <w:tcW w:w="0" w:type="auto"/>
            <w:tcBorders>
              <w:top w:val="nil"/>
              <w:left w:val="nil"/>
              <w:bottom w:val="nil"/>
              <w:right w:val="nil"/>
            </w:tcBorders>
            <w:shd w:val="clear" w:color="auto" w:fill="auto"/>
            <w:vAlign w:val="center"/>
            <w:hideMark/>
          </w:tcPr>
          <w:p w:rsidR="00DE347C" w:rsidRPr="00EE0850" w:rsidRDefault="00DE347C" w:rsidP="007C2315">
            <w:pPr>
              <w:spacing w:after="0" w:line="240" w:lineRule="auto"/>
              <w:jc w:val="right"/>
              <w:rPr>
                <w:kern w:val="22"/>
                <w:sz w:val="17"/>
                <w:szCs w:val="17"/>
                <w:lang w:eastAsia="en-CA"/>
              </w:rPr>
            </w:pPr>
            <w:r w:rsidRPr="00EE0850">
              <w:rPr>
                <w:kern w:val="22"/>
                <w:sz w:val="17"/>
                <w:szCs w:val="17"/>
                <w:lang w:eastAsia="en-CA"/>
              </w:rPr>
              <w:t>(135</w:t>
            </w:r>
            <w:r w:rsidR="007C2315">
              <w:rPr>
                <w:kern w:val="22"/>
                <w:sz w:val="17"/>
                <w:szCs w:val="17"/>
                <w:lang w:eastAsia="en-CA"/>
              </w:rPr>
              <w:t>,</w:t>
            </w:r>
            <w:r w:rsidRPr="00EE0850">
              <w:rPr>
                <w:kern w:val="22"/>
                <w:sz w:val="17"/>
                <w:szCs w:val="17"/>
                <w:lang w:eastAsia="en-CA"/>
              </w:rPr>
              <w:t>2)</w:t>
            </w:r>
          </w:p>
        </w:tc>
        <w:tc>
          <w:tcPr>
            <w:tcW w:w="0" w:type="auto"/>
            <w:tcBorders>
              <w:top w:val="nil"/>
              <w:left w:val="nil"/>
              <w:bottom w:val="nil"/>
              <w:right w:val="nil"/>
            </w:tcBorders>
            <w:shd w:val="clear" w:color="auto" w:fill="auto"/>
            <w:vAlign w:val="center"/>
            <w:hideMark/>
          </w:tcPr>
          <w:p w:rsidR="00DE347C" w:rsidRPr="00EE0850" w:rsidRDefault="00DE347C" w:rsidP="007C2315">
            <w:pPr>
              <w:spacing w:after="0" w:line="240" w:lineRule="auto"/>
              <w:jc w:val="right"/>
              <w:rPr>
                <w:kern w:val="22"/>
                <w:sz w:val="17"/>
                <w:szCs w:val="17"/>
                <w:lang w:eastAsia="en-CA"/>
              </w:rPr>
            </w:pPr>
            <w:r w:rsidRPr="00EE0850">
              <w:rPr>
                <w:kern w:val="22"/>
                <w:sz w:val="17"/>
                <w:szCs w:val="17"/>
                <w:lang w:eastAsia="en-CA"/>
              </w:rPr>
              <w:t>(156</w:t>
            </w:r>
            <w:r w:rsidR="007C2315">
              <w:rPr>
                <w:kern w:val="22"/>
                <w:sz w:val="17"/>
                <w:szCs w:val="17"/>
                <w:lang w:eastAsia="en-CA"/>
              </w:rPr>
              <w:t>,</w:t>
            </w:r>
            <w:r w:rsidRPr="00EE0850">
              <w:rPr>
                <w:kern w:val="22"/>
                <w:sz w:val="17"/>
                <w:szCs w:val="17"/>
                <w:lang w:eastAsia="en-CA"/>
              </w:rPr>
              <w:t>6)</w:t>
            </w:r>
          </w:p>
        </w:tc>
        <w:tc>
          <w:tcPr>
            <w:tcW w:w="0" w:type="auto"/>
            <w:tcBorders>
              <w:top w:val="nil"/>
              <w:left w:val="nil"/>
              <w:bottom w:val="nil"/>
              <w:right w:val="nil"/>
            </w:tcBorders>
            <w:shd w:val="clear" w:color="auto" w:fill="auto"/>
            <w:vAlign w:val="center"/>
            <w:hideMark/>
          </w:tcPr>
          <w:p w:rsidR="00DE347C" w:rsidRPr="00EE0850" w:rsidRDefault="00DE347C" w:rsidP="007C2315">
            <w:pPr>
              <w:spacing w:after="0" w:line="240" w:lineRule="auto"/>
              <w:jc w:val="right"/>
              <w:rPr>
                <w:kern w:val="22"/>
                <w:sz w:val="17"/>
                <w:szCs w:val="17"/>
                <w:lang w:eastAsia="en-CA"/>
              </w:rPr>
            </w:pPr>
            <w:r w:rsidRPr="00EE0850">
              <w:rPr>
                <w:kern w:val="22"/>
                <w:sz w:val="17"/>
                <w:szCs w:val="17"/>
                <w:lang w:eastAsia="en-CA"/>
              </w:rPr>
              <w:t>(291</w:t>
            </w:r>
            <w:r w:rsidR="007C2315">
              <w:rPr>
                <w:kern w:val="22"/>
                <w:sz w:val="17"/>
                <w:szCs w:val="17"/>
                <w:lang w:eastAsia="en-CA"/>
              </w:rPr>
              <w:t>,</w:t>
            </w:r>
            <w:r w:rsidRPr="00EE0850">
              <w:rPr>
                <w:kern w:val="22"/>
                <w:sz w:val="17"/>
                <w:szCs w:val="17"/>
                <w:lang w:eastAsia="en-CA"/>
              </w:rPr>
              <w:t>8)</w:t>
            </w:r>
          </w:p>
        </w:tc>
      </w:tr>
      <w:tr w:rsidR="00BA4FF3" w:rsidRPr="00EE0850" w:rsidTr="00DE347C">
        <w:trPr>
          <w:trHeight w:val="261"/>
          <w:jc w:val="center"/>
        </w:trPr>
        <w:tc>
          <w:tcPr>
            <w:tcW w:w="0" w:type="auto"/>
            <w:tcBorders>
              <w:top w:val="nil"/>
              <w:left w:val="nil"/>
              <w:bottom w:val="nil"/>
              <w:right w:val="nil"/>
            </w:tcBorders>
            <w:shd w:val="clear" w:color="auto" w:fill="auto"/>
            <w:noWrap/>
            <w:vAlign w:val="center"/>
            <w:hideMark/>
          </w:tcPr>
          <w:p w:rsidR="00DE347C" w:rsidRPr="00EE0850" w:rsidRDefault="00DE347C" w:rsidP="000C6220">
            <w:pPr>
              <w:spacing w:after="0" w:line="240" w:lineRule="auto"/>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DE347C" w:rsidRPr="007C2315" w:rsidRDefault="007C2315" w:rsidP="007C2315">
            <w:pPr>
              <w:spacing w:after="0" w:line="240" w:lineRule="auto"/>
              <w:rPr>
                <w:kern w:val="22"/>
                <w:sz w:val="17"/>
                <w:szCs w:val="17"/>
                <w:lang w:val="es-ES" w:eastAsia="en-CA"/>
              </w:rPr>
            </w:pPr>
            <w:r w:rsidRPr="007C2315">
              <w:rPr>
                <w:kern w:val="22"/>
                <w:sz w:val="17"/>
                <w:szCs w:val="17"/>
                <w:u w:val="single"/>
                <w:lang w:val="es-ES" w:eastAsia="en-CA"/>
              </w:rPr>
              <w:t>M</w:t>
            </w:r>
            <w:r w:rsidR="00DE347C" w:rsidRPr="007C2315">
              <w:rPr>
                <w:kern w:val="22"/>
                <w:sz w:val="17"/>
                <w:szCs w:val="17"/>
                <w:u w:val="single"/>
                <w:lang w:val="es-ES" w:eastAsia="en-CA"/>
              </w:rPr>
              <w:t>e</w:t>
            </w:r>
            <w:r w:rsidRPr="007C2315">
              <w:rPr>
                <w:kern w:val="22"/>
                <w:sz w:val="17"/>
                <w:szCs w:val="17"/>
                <w:u w:val="single"/>
                <w:lang w:val="es-ES" w:eastAsia="en-CA"/>
              </w:rPr>
              <w:t>no</w:t>
            </w:r>
            <w:r w:rsidR="00DE347C" w:rsidRPr="007C2315">
              <w:rPr>
                <w:kern w:val="22"/>
                <w:sz w:val="17"/>
                <w:szCs w:val="17"/>
                <w:u w:val="single"/>
                <w:lang w:val="es-ES" w:eastAsia="en-CA"/>
              </w:rPr>
              <w:t>s</w:t>
            </w:r>
            <w:r w:rsidR="00DE347C" w:rsidRPr="007C2315">
              <w:rPr>
                <w:kern w:val="22"/>
                <w:sz w:val="17"/>
                <w:szCs w:val="17"/>
                <w:lang w:val="es-ES" w:eastAsia="en-CA"/>
              </w:rPr>
              <w:t xml:space="preserve"> </w:t>
            </w:r>
            <w:r w:rsidRPr="00BA7F10">
              <w:rPr>
                <w:kern w:val="22"/>
                <w:sz w:val="17"/>
                <w:szCs w:val="17"/>
                <w:lang w:val="es-ES" w:eastAsia="en-CA"/>
              </w:rPr>
              <w:t xml:space="preserve">el empleo </w:t>
            </w:r>
            <w:r>
              <w:rPr>
                <w:kern w:val="22"/>
                <w:sz w:val="17"/>
                <w:lang w:val="es-ES"/>
              </w:rPr>
              <w:t>de fondos de reserva para reuniones extraordinarias</w:t>
            </w:r>
            <w:r w:rsidR="00DE347C" w:rsidRPr="007C2315">
              <w:rPr>
                <w:kern w:val="22"/>
                <w:sz w:val="17"/>
                <w:szCs w:val="17"/>
                <w:vertAlign w:val="superscript"/>
                <w:lang w:val="es-ES" w:eastAsia="en-CA"/>
              </w:rPr>
              <w:t>/4</w:t>
            </w:r>
          </w:p>
        </w:tc>
        <w:tc>
          <w:tcPr>
            <w:tcW w:w="0" w:type="auto"/>
            <w:tcBorders>
              <w:top w:val="nil"/>
              <w:left w:val="nil"/>
              <w:bottom w:val="nil"/>
              <w:right w:val="nil"/>
            </w:tcBorders>
            <w:shd w:val="clear" w:color="auto" w:fill="auto"/>
            <w:vAlign w:val="center"/>
            <w:hideMark/>
          </w:tcPr>
          <w:p w:rsidR="00DE347C" w:rsidRPr="00EE0850" w:rsidRDefault="00DE347C" w:rsidP="007C2315">
            <w:pPr>
              <w:spacing w:after="0" w:line="240" w:lineRule="auto"/>
              <w:jc w:val="right"/>
              <w:rPr>
                <w:kern w:val="22"/>
                <w:sz w:val="17"/>
                <w:szCs w:val="17"/>
                <w:lang w:eastAsia="en-CA"/>
              </w:rPr>
            </w:pPr>
            <w:r w:rsidRPr="00EE0850">
              <w:rPr>
                <w:kern w:val="22"/>
                <w:sz w:val="17"/>
                <w:szCs w:val="17"/>
                <w:lang w:eastAsia="en-CA"/>
              </w:rPr>
              <w:t>(93</w:t>
            </w:r>
            <w:r w:rsidR="007C2315">
              <w:rPr>
                <w:kern w:val="22"/>
                <w:sz w:val="17"/>
                <w:szCs w:val="17"/>
                <w:lang w:eastAsia="en-CA"/>
              </w:rPr>
              <w:t>,</w:t>
            </w:r>
            <w:r w:rsidRPr="00EE0850">
              <w:rPr>
                <w:kern w:val="22"/>
                <w:sz w:val="17"/>
                <w:szCs w:val="17"/>
                <w:lang w:eastAsia="en-CA"/>
              </w:rPr>
              <w:t>2)</w:t>
            </w:r>
          </w:p>
        </w:tc>
        <w:tc>
          <w:tcPr>
            <w:tcW w:w="0" w:type="auto"/>
            <w:tcBorders>
              <w:top w:val="nil"/>
              <w:left w:val="nil"/>
              <w:bottom w:val="nil"/>
              <w:right w:val="nil"/>
            </w:tcBorders>
            <w:shd w:val="clear" w:color="auto" w:fill="auto"/>
            <w:vAlign w:val="center"/>
            <w:hideMark/>
          </w:tcPr>
          <w:p w:rsidR="00DE347C" w:rsidRPr="00EE0850" w:rsidRDefault="00DE347C" w:rsidP="007C2315">
            <w:pPr>
              <w:spacing w:after="0" w:line="240" w:lineRule="auto"/>
              <w:jc w:val="right"/>
              <w:rPr>
                <w:kern w:val="22"/>
                <w:sz w:val="17"/>
                <w:szCs w:val="17"/>
                <w:lang w:eastAsia="en-CA"/>
              </w:rPr>
            </w:pPr>
            <w:r w:rsidRPr="00EE0850">
              <w:rPr>
                <w:kern w:val="22"/>
                <w:sz w:val="17"/>
                <w:szCs w:val="17"/>
                <w:lang w:eastAsia="en-CA"/>
              </w:rPr>
              <w:t>(69</w:t>
            </w:r>
            <w:r w:rsidR="007C2315">
              <w:rPr>
                <w:kern w:val="22"/>
                <w:sz w:val="17"/>
                <w:szCs w:val="17"/>
                <w:lang w:eastAsia="en-CA"/>
              </w:rPr>
              <w:t>,</w:t>
            </w:r>
            <w:r w:rsidRPr="00EE0850">
              <w:rPr>
                <w:kern w:val="22"/>
                <w:sz w:val="17"/>
                <w:szCs w:val="17"/>
                <w:lang w:eastAsia="en-CA"/>
              </w:rPr>
              <w:t>6)</w:t>
            </w:r>
          </w:p>
        </w:tc>
        <w:tc>
          <w:tcPr>
            <w:tcW w:w="0" w:type="auto"/>
            <w:tcBorders>
              <w:top w:val="nil"/>
              <w:left w:val="nil"/>
              <w:bottom w:val="nil"/>
              <w:right w:val="nil"/>
            </w:tcBorders>
            <w:shd w:val="clear" w:color="auto" w:fill="auto"/>
            <w:vAlign w:val="center"/>
            <w:hideMark/>
          </w:tcPr>
          <w:p w:rsidR="00DE347C" w:rsidRPr="00EE0850" w:rsidRDefault="00DE347C" w:rsidP="007C2315">
            <w:pPr>
              <w:spacing w:after="0" w:line="240" w:lineRule="auto"/>
              <w:jc w:val="right"/>
              <w:rPr>
                <w:kern w:val="22"/>
                <w:sz w:val="17"/>
                <w:szCs w:val="17"/>
                <w:lang w:eastAsia="en-CA"/>
              </w:rPr>
            </w:pPr>
            <w:r w:rsidRPr="00EE0850">
              <w:rPr>
                <w:kern w:val="22"/>
                <w:sz w:val="17"/>
                <w:szCs w:val="17"/>
                <w:lang w:eastAsia="en-CA"/>
              </w:rPr>
              <w:t>(162</w:t>
            </w:r>
            <w:r w:rsidR="007C2315">
              <w:rPr>
                <w:kern w:val="22"/>
                <w:sz w:val="17"/>
                <w:szCs w:val="17"/>
                <w:lang w:eastAsia="en-CA"/>
              </w:rPr>
              <w:t>,</w:t>
            </w:r>
            <w:r w:rsidRPr="00EE0850">
              <w:rPr>
                <w:kern w:val="22"/>
                <w:sz w:val="17"/>
                <w:szCs w:val="17"/>
                <w:lang w:eastAsia="en-CA"/>
              </w:rPr>
              <w:t>8)</w:t>
            </w:r>
          </w:p>
        </w:tc>
      </w:tr>
      <w:tr w:rsidR="00BA4FF3" w:rsidRPr="00EE0850" w:rsidTr="00DE347C">
        <w:trPr>
          <w:trHeight w:val="261"/>
          <w:jc w:val="center"/>
        </w:trPr>
        <w:tc>
          <w:tcPr>
            <w:tcW w:w="0" w:type="auto"/>
            <w:tcBorders>
              <w:top w:val="nil"/>
              <w:left w:val="nil"/>
              <w:bottom w:val="nil"/>
              <w:right w:val="nil"/>
            </w:tcBorders>
            <w:shd w:val="clear" w:color="auto" w:fill="auto"/>
            <w:noWrap/>
            <w:vAlign w:val="center"/>
            <w:hideMark/>
          </w:tcPr>
          <w:p w:rsidR="00DE347C" w:rsidRPr="00EE0850" w:rsidRDefault="00DE347C" w:rsidP="000C6220">
            <w:pPr>
              <w:spacing w:after="0" w:line="240" w:lineRule="auto"/>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DE347C" w:rsidRPr="007C2315" w:rsidRDefault="007C2315" w:rsidP="007C2315">
            <w:pPr>
              <w:spacing w:after="0" w:line="240" w:lineRule="auto"/>
              <w:rPr>
                <w:kern w:val="22"/>
                <w:sz w:val="17"/>
                <w:szCs w:val="17"/>
                <w:lang w:val="es-ES" w:eastAsia="en-CA"/>
              </w:rPr>
            </w:pPr>
            <w:r w:rsidRPr="007C2315">
              <w:rPr>
                <w:kern w:val="22"/>
                <w:sz w:val="17"/>
                <w:szCs w:val="17"/>
                <w:u w:val="single"/>
                <w:lang w:val="es-ES" w:eastAsia="en-CA"/>
              </w:rPr>
              <w:t>M</w:t>
            </w:r>
            <w:r w:rsidR="00DE347C" w:rsidRPr="007C2315">
              <w:rPr>
                <w:kern w:val="22"/>
                <w:sz w:val="17"/>
                <w:szCs w:val="17"/>
                <w:u w:val="single"/>
                <w:lang w:val="es-ES" w:eastAsia="en-CA"/>
              </w:rPr>
              <w:t>e</w:t>
            </w:r>
            <w:r w:rsidRPr="007C2315">
              <w:rPr>
                <w:kern w:val="22"/>
                <w:sz w:val="17"/>
                <w:szCs w:val="17"/>
                <w:u w:val="single"/>
                <w:lang w:val="es-ES" w:eastAsia="en-CA"/>
              </w:rPr>
              <w:t>no</w:t>
            </w:r>
            <w:r w:rsidR="00DE347C" w:rsidRPr="007C2315">
              <w:rPr>
                <w:kern w:val="22"/>
                <w:sz w:val="17"/>
                <w:szCs w:val="17"/>
                <w:u w:val="single"/>
                <w:lang w:val="es-ES" w:eastAsia="en-CA"/>
              </w:rPr>
              <w:t>s</w:t>
            </w:r>
            <w:r w:rsidR="00DE347C" w:rsidRPr="007C2315">
              <w:rPr>
                <w:kern w:val="22"/>
                <w:sz w:val="17"/>
                <w:szCs w:val="17"/>
                <w:lang w:val="es-ES" w:eastAsia="en-CA"/>
              </w:rPr>
              <w:t xml:space="preserve"> </w:t>
            </w:r>
            <w:r w:rsidRPr="00BA7F10">
              <w:rPr>
                <w:kern w:val="22"/>
                <w:sz w:val="17"/>
                <w:szCs w:val="17"/>
                <w:lang w:val="es-ES" w:eastAsia="en-CA"/>
              </w:rPr>
              <w:t xml:space="preserve">el empleo de </w:t>
            </w:r>
            <w:r>
              <w:rPr>
                <w:kern w:val="22"/>
                <w:sz w:val="17"/>
                <w:lang w:val="es-ES"/>
              </w:rPr>
              <w:t>fondos de reserva de años anteriores</w:t>
            </w:r>
          </w:p>
        </w:tc>
        <w:tc>
          <w:tcPr>
            <w:tcW w:w="0" w:type="auto"/>
            <w:tcBorders>
              <w:top w:val="nil"/>
              <w:left w:val="nil"/>
              <w:bottom w:val="nil"/>
              <w:right w:val="nil"/>
            </w:tcBorders>
            <w:shd w:val="clear" w:color="auto" w:fill="auto"/>
            <w:vAlign w:val="center"/>
            <w:hideMark/>
          </w:tcPr>
          <w:p w:rsidR="00DE347C" w:rsidRPr="00EE0850" w:rsidRDefault="00DE347C" w:rsidP="007C2315">
            <w:pPr>
              <w:spacing w:after="0" w:line="240" w:lineRule="auto"/>
              <w:jc w:val="right"/>
              <w:rPr>
                <w:kern w:val="22"/>
                <w:sz w:val="17"/>
                <w:szCs w:val="17"/>
                <w:lang w:eastAsia="en-CA"/>
              </w:rPr>
            </w:pPr>
            <w:r w:rsidRPr="00EE0850">
              <w:rPr>
                <w:kern w:val="22"/>
                <w:sz w:val="17"/>
                <w:szCs w:val="17"/>
                <w:lang w:eastAsia="en-CA"/>
              </w:rPr>
              <w:t>(94</w:t>
            </w:r>
            <w:r w:rsidR="007C2315">
              <w:rPr>
                <w:kern w:val="22"/>
                <w:sz w:val="17"/>
                <w:szCs w:val="17"/>
                <w:lang w:eastAsia="en-CA"/>
              </w:rPr>
              <w:t>,</w:t>
            </w:r>
            <w:r w:rsidRPr="00EE0850">
              <w:rPr>
                <w:kern w:val="22"/>
                <w:sz w:val="17"/>
                <w:szCs w:val="17"/>
                <w:lang w:eastAsia="en-CA"/>
              </w:rPr>
              <w:t>9)</w:t>
            </w:r>
          </w:p>
        </w:tc>
        <w:tc>
          <w:tcPr>
            <w:tcW w:w="0" w:type="auto"/>
            <w:tcBorders>
              <w:top w:val="nil"/>
              <w:left w:val="nil"/>
              <w:bottom w:val="nil"/>
              <w:right w:val="nil"/>
            </w:tcBorders>
            <w:shd w:val="clear" w:color="auto" w:fill="auto"/>
            <w:vAlign w:val="center"/>
            <w:hideMark/>
          </w:tcPr>
          <w:p w:rsidR="00DE347C" w:rsidRPr="00EE0850" w:rsidRDefault="00DE347C" w:rsidP="007C2315">
            <w:pPr>
              <w:spacing w:after="0" w:line="240" w:lineRule="auto"/>
              <w:jc w:val="right"/>
              <w:rPr>
                <w:kern w:val="22"/>
                <w:sz w:val="17"/>
                <w:szCs w:val="17"/>
                <w:lang w:eastAsia="en-CA"/>
              </w:rPr>
            </w:pPr>
            <w:r w:rsidRPr="00EE0850">
              <w:rPr>
                <w:kern w:val="22"/>
                <w:sz w:val="17"/>
                <w:szCs w:val="17"/>
                <w:lang w:eastAsia="en-CA"/>
              </w:rPr>
              <w:t>(94</w:t>
            </w:r>
            <w:r w:rsidR="007C2315">
              <w:rPr>
                <w:kern w:val="22"/>
                <w:sz w:val="17"/>
                <w:szCs w:val="17"/>
                <w:lang w:eastAsia="en-CA"/>
              </w:rPr>
              <w:t>,</w:t>
            </w:r>
            <w:r w:rsidRPr="00EE0850">
              <w:rPr>
                <w:kern w:val="22"/>
                <w:sz w:val="17"/>
                <w:szCs w:val="17"/>
                <w:lang w:eastAsia="en-CA"/>
              </w:rPr>
              <w:t>9)</w:t>
            </w:r>
          </w:p>
        </w:tc>
        <w:tc>
          <w:tcPr>
            <w:tcW w:w="0" w:type="auto"/>
            <w:tcBorders>
              <w:top w:val="nil"/>
              <w:left w:val="nil"/>
              <w:bottom w:val="nil"/>
              <w:right w:val="nil"/>
            </w:tcBorders>
            <w:shd w:val="clear" w:color="auto" w:fill="auto"/>
            <w:vAlign w:val="center"/>
            <w:hideMark/>
          </w:tcPr>
          <w:p w:rsidR="00DE347C" w:rsidRPr="00EE0850" w:rsidRDefault="00DE347C" w:rsidP="007C2315">
            <w:pPr>
              <w:spacing w:after="0" w:line="240" w:lineRule="auto"/>
              <w:jc w:val="right"/>
              <w:rPr>
                <w:kern w:val="22"/>
                <w:sz w:val="17"/>
                <w:szCs w:val="17"/>
                <w:lang w:eastAsia="en-CA"/>
              </w:rPr>
            </w:pPr>
            <w:r w:rsidRPr="00EE0850">
              <w:rPr>
                <w:kern w:val="22"/>
                <w:sz w:val="17"/>
                <w:szCs w:val="17"/>
                <w:lang w:eastAsia="en-CA"/>
              </w:rPr>
              <w:t>(189</w:t>
            </w:r>
            <w:r w:rsidR="007C2315">
              <w:rPr>
                <w:kern w:val="22"/>
                <w:sz w:val="17"/>
                <w:szCs w:val="17"/>
                <w:lang w:eastAsia="en-CA"/>
              </w:rPr>
              <w:t>,</w:t>
            </w:r>
            <w:r w:rsidRPr="00EE0850">
              <w:rPr>
                <w:kern w:val="22"/>
                <w:sz w:val="17"/>
                <w:szCs w:val="17"/>
                <w:lang w:eastAsia="en-CA"/>
              </w:rPr>
              <w:t>9)</w:t>
            </w:r>
          </w:p>
        </w:tc>
      </w:tr>
      <w:tr w:rsidR="00BA4FF3" w:rsidRPr="00EE0850" w:rsidTr="00DE347C">
        <w:trPr>
          <w:trHeight w:val="261"/>
          <w:jc w:val="center"/>
        </w:trPr>
        <w:tc>
          <w:tcPr>
            <w:tcW w:w="0" w:type="auto"/>
            <w:tcBorders>
              <w:top w:val="nil"/>
              <w:left w:val="nil"/>
              <w:bottom w:val="nil"/>
              <w:right w:val="nil"/>
            </w:tcBorders>
            <w:shd w:val="clear" w:color="auto" w:fill="auto"/>
            <w:noWrap/>
            <w:vAlign w:val="center"/>
            <w:hideMark/>
          </w:tcPr>
          <w:p w:rsidR="00DE347C" w:rsidRPr="00EE0850" w:rsidRDefault="00DE347C" w:rsidP="000C6220">
            <w:pPr>
              <w:spacing w:after="0" w:line="240" w:lineRule="auto"/>
              <w:jc w:val="right"/>
              <w:rPr>
                <w:color w:val="000000"/>
                <w:kern w:val="22"/>
                <w:sz w:val="17"/>
                <w:szCs w:val="17"/>
                <w:lang w:eastAsia="en-CA"/>
              </w:rPr>
            </w:pPr>
          </w:p>
        </w:tc>
        <w:tc>
          <w:tcPr>
            <w:tcW w:w="0" w:type="auto"/>
            <w:gridSpan w:val="2"/>
            <w:tcBorders>
              <w:top w:val="nil"/>
              <w:left w:val="nil"/>
              <w:bottom w:val="single" w:sz="4" w:space="0" w:color="auto"/>
              <w:right w:val="nil"/>
            </w:tcBorders>
            <w:shd w:val="clear" w:color="auto" w:fill="auto"/>
            <w:vAlign w:val="center"/>
            <w:hideMark/>
          </w:tcPr>
          <w:p w:rsidR="00DE347C" w:rsidRPr="007C2315" w:rsidRDefault="007C2315" w:rsidP="000C6220">
            <w:pPr>
              <w:spacing w:after="0" w:line="240" w:lineRule="auto"/>
              <w:rPr>
                <w:b/>
                <w:bCs/>
                <w:kern w:val="22"/>
                <w:sz w:val="17"/>
                <w:szCs w:val="17"/>
                <w:lang w:val="es-ES" w:eastAsia="en-CA"/>
              </w:rPr>
            </w:pPr>
            <w:r>
              <w:rPr>
                <w:b/>
                <w:kern w:val="22"/>
                <w:sz w:val="17"/>
                <w:lang w:val="es-ES"/>
              </w:rPr>
              <w:t>Total neto (monto dividido entre las Partes)</w:t>
            </w:r>
          </w:p>
        </w:tc>
        <w:tc>
          <w:tcPr>
            <w:tcW w:w="0" w:type="auto"/>
            <w:tcBorders>
              <w:top w:val="nil"/>
              <w:left w:val="nil"/>
              <w:bottom w:val="single" w:sz="4" w:space="0" w:color="auto"/>
              <w:right w:val="nil"/>
            </w:tcBorders>
            <w:shd w:val="clear" w:color="auto" w:fill="auto"/>
            <w:vAlign w:val="center"/>
            <w:hideMark/>
          </w:tcPr>
          <w:p w:rsidR="00DE347C" w:rsidRPr="00EE0850" w:rsidRDefault="00DE347C" w:rsidP="007C2315">
            <w:pPr>
              <w:spacing w:after="0" w:line="240" w:lineRule="auto"/>
              <w:jc w:val="right"/>
              <w:rPr>
                <w:b/>
                <w:bCs/>
                <w:kern w:val="22"/>
                <w:sz w:val="17"/>
                <w:szCs w:val="17"/>
                <w:lang w:eastAsia="en-CA"/>
              </w:rPr>
            </w:pPr>
            <w:r w:rsidRPr="00EE0850">
              <w:rPr>
                <w:b/>
                <w:bCs/>
                <w:kern w:val="22"/>
                <w:sz w:val="17"/>
                <w:szCs w:val="17"/>
                <w:lang w:eastAsia="en-CA"/>
              </w:rPr>
              <w:t>1 761</w:t>
            </w:r>
            <w:r w:rsidR="007C2315">
              <w:rPr>
                <w:b/>
                <w:bCs/>
                <w:kern w:val="22"/>
                <w:sz w:val="17"/>
                <w:szCs w:val="17"/>
                <w:lang w:eastAsia="en-CA"/>
              </w:rPr>
              <w:t>,</w:t>
            </w:r>
            <w:r w:rsidRPr="00EE0850">
              <w:rPr>
                <w:b/>
                <w:bCs/>
                <w:kern w:val="22"/>
                <w:sz w:val="17"/>
                <w:szCs w:val="17"/>
                <w:lang w:eastAsia="en-CA"/>
              </w:rPr>
              <w:t>0</w:t>
            </w:r>
          </w:p>
        </w:tc>
        <w:tc>
          <w:tcPr>
            <w:tcW w:w="0" w:type="auto"/>
            <w:tcBorders>
              <w:top w:val="nil"/>
              <w:left w:val="nil"/>
              <w:bottom w:val="single" w:sz="4" w:space="0" w:color="auto"/>
              <w:right w:val="nil"/>
            </w:tcBorders>
            <w:shd w:val="clear" w:color="auto" w:fill="auto"/>
            <w:vAlign w:val="center"/>
            <w:hideMark/>
          </w:tcPr>
          <w:p w:rsidR="00DE347C" w:rsidRPr="00EE0850" w:rsidRDefault="00DE347C" w:rsidP="007C2315">
            <w:pPr>
              <w:spacing w:after="0" w:line="240" w:lineRule="auto"/>
              <w:jc w:val="right"/>
              <w:rPr>
                <w:b/>
                <w:bCs/>
                <w:kern w:val="22"/>
                <w:sz w:val="17"/>
                <w:szCs w:val="17"/>
                <w:lang w:eastAsia="en-CA"/>
              </w:rPr>
            </w:pPr>
            <w:r w:rsidRPr="00EE0850">
              <w:rPr>
                <w:b/>
                <w:bCs/>
                <w:kern w:val="22"/>
                <w:sz w:val="17"/>
                <w:szCs w:val="17"/>
                <w:lang w:eastAsia="en-CA"/>
              </w:rPr>
              <w:t>1 867</w:t>
            </w:r>
            <w:r w:rsidR="007C2315">
              <w:rPr>
                <w:b/>
                <w:bCs/>
                <w:kern w:val="22"/>
                <w:sz w:val="17"/>
                <w:szCs w:val="17"/>
                <w:lang w:eastAsia="en-CA"/>
              </w:rPr>
              <w:t>,</w:t>
            </w:r>
            <w:r w:rsidRPr="00EE0850">
              <w:rPr>
                <w:b/>
                <w:bCs/>
                <w:kern w:val="22"/>
                <w:sz w:val="17"/>
                <w:szCs w:val="17"/>
                <w:lang w:eastAsia="en-CA"/>
              </w:rPr>
              <w:t>3</w:t>
            </w:r>
          </w:p>
        </w:tc>
        <w:tc>
          <w:tcPr>
            <w:tcW w:w="0" w:type="auto"/>
            <w:tcBorders>
              <w:top w:val="nil"/>
              <w:left w:val="nil"/>
              <w:bottom w:val="single" w:sz="4" w:space="0" w:color="auto"/>
              <w:right w:val="nil"/>
            </w:tcBorders>
            <w:shd w:val="clear" w:color="auto" w:fill="auto"/>
            <w:vAlign w:val="center"/>
            <w:hideMark/>
          </w:tcPr>
          <w:p w:rsidR="00DE347C" w:rsidRPr="00EE0850" w:rsidRDefault="00DE347C" w:rsidP="007C2315">
            <w:pPr>
              <w:spacing w:after="0" w:line="240" w:lineRule="auto"/>
              <w:jc w:val="right"/>
              <w:rPr>
                <w:b/>
                <w:bCs/>
                <w:kern w:val="22"/>
                <w:sz w:val="17"/>
                <w:szCs w:val="17"/>
                <w:lang w:eastAsia="en-CA"/>
              </w:rPr>
            </w:pPr>
            <w:r w:rsidRPr="00EE0850">
              <w:rPr>
                <w:b/>
                <w:bCs/>
                <w:kern w:val="22"/>
                <w:sz w:val="17"/>
                <w:szCs w:val="17"/>
                <w:lang w:eastAsia="en-CA"/>
              </w:rPr>
              <w:t>3 628</w:t>
            </w:r>
            <w:r w:rsidR="007C2315">
              <w:rPr>
                <w:b/>
                <w:bCs/>
                <w:kern w:val="22"/>
                <w:sz w:val="17"/>
                <w:szCs w:val="17"/>
                <w:lang w:eastAsia="en-CA"/>
              </w:rPr>
              <w:t>,</w:t>
            </w:r>
            <w:r w:rsidRPr="00EE0850">
              <w:rPr>
                <w:b/>
                <w:bCs/>
                <w:kern w:val="22"/>
                <w:sz w:val="17"/>
                <w:szCs w:val="17"/>
                <w:lang w:eastAsia="en-CA"/>
              </w:rPr>
              <w:t>3</w:t>
            </w:r>
          </w:p>
        </w:tc>
      </w:tr>
      <w:tr w:rsidR="007C2315" w:rsidRPr="00EE0850" w:rsidTr="00DE347C">
        <w:trPr>
          <w:trHeight w:val="288"/>
          <w:jc w:val="center"/>
        </w:trPr>
        <w:tc>
          <w:tcPr>
            <w:tcW w:w="0" w:type="auto"/>
            <w:tcBorders>
              <w:top w:val="nil"/>
              <w:left w:val="nil"/>
              <w:bottom w:val="nil"/>
              <w:right w:val="nil"/>
            </w:tcBorders>
            <w:shd w:val="clear" w:color="auto" w:fill="auto"/>
            <w:noWrap/>
            <w:vAlign w:val="center"/>
            <w:hideMark/>
          </w:tcPr>
          <w:p w:rsidR="00DE347C" w:rsidRPr="00EE0850" w:rsidRDefault="00DE347C" w:rsidP="000C6220">
            <w:pPr>
              <w:spacing w:after="0" w:line="240" w:lineRule="auto"/>
              <w:jc w:val="right"/>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rsidR="00DE347C" w:rsidRPr="00EE0850" w:rsidRDefault="00DE347C" w:rsidP="000C6220">
            <w:pPr>
              <w:spacing w:after="0" w:line="240" w:lineRule="auto"/>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rsidR="00DE347C" w:rsidRPr="00EE0850" w:rsidRDefault="00DE347C" w:rsidP="000C6220">
            <w:pPr>
              <w:spacing w:after="0" w:line="240" w:lineRule="auto"/>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rsidR="00DE347C" w:rsidRPr="00EE0850" w:rsidRDefault="00DE347C" w:rsidP="000C6220">
            <w:pPr>
              <w:spacing w:after="0" w:line="240" w:lineRule="auto"/>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rsidR="00DE347C" w:rsidRPr="00EE0850" w:rsidRDefault="00DE347C" w:rsidP="000C6220">
            <w:pPr>
              <w:spacing w:after="0" w:line="240" w:lineRule="auto"/>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rsidR="00DE347C" w:rsidRPr="00EE0850" w:rsidRDefault="00DE347C" w:rsidP="000C6220">
            <w:pPr>
              <w:spacing w:after="0" w:line="240" w:lineRule="auto"/>
              <w:rPr>
                <w:color w:val="000000"/>
                <w:kern w:val="22"/>
                <w:sz w:val="16"/>
                <w:szCs w:val="16"/>
                <w:lang w:eastAsia="en-CA"/>
              </w:rPr>
            </w:pPr>
          </w:p>
        </w:tc>
      </w:tr>
      <w:tr w:rsidR="00773106" w:rsidRPr="00024C71" w:rsidTr="00773106">
        <w:trPr>
          <w:cantSplit/>
          <w:trHeight w:val="113"/>
          <w:jc w:val="center"/>
        </w:trPr>
        <w:tc>
          <w:tcPr>
            <w:tcW w:w="0" w:type="auto"/>
            <w:tcBorders>
              <w:top w:val="nil"/>
              <w:left w:val="nil"/>
              <w:bottom w:val="nil"/>
              <w:right w:val="nil"/>
            </w:tcBorders>
            <w:shd w:val="clear" w:color="auto" w:fill="auto"/>
            <w:noWrap/>
            <w:vAlign w:val="center"/>
            <w:hideMark/>
          </w:tcPr>
          <w:p w:rsidR="00DE347C" w:rsidRPr="00EE0850" w:rsidRDefault="00DE347C" w:rsidP="000C6220">
            <w:pPr>
              <w:spacing w:after="0" w:line="240" w:lineRule="auto"/>
              <w:jc w:val="right"/>
              <w:rPr>
                <w:color w:val="000000"/>
                <w:kern w:val="22"/>
                <w:sz w:val="16"/>
                <w:szCs w:val="16"/>
                <w:lang w:eastAsia="en-CA"/>
              </w:rPr>
            </w:pPr>
          </w:p>
        </w:tc>
        <w:tc>
          <w:tcPr>
            <w:tcW w:w="0" w:type="auto"/>
            <w:gridSpan w:val="5"/>
            <w:tcBorders>
              <w:top w:val="nil"/>
              <w:left w:val="nil"/>
              <w:bottom w:val="nil"/>
              <w:right w:val="nil"/>
            </w:tcBorders>
            <w:shd w:val="clear" w:color="auto" w:fill="auto"/>
            <w:vAlign w:val="center"/>
            <w:hideMark/>
          </w:tcPr>
          <w:p w:rsidR="00DE347C" w:rsidRPr="007C2315" w:rsidRDefault="00DE347C" w:rsidP="000C6220">
            <w:pPr>
              <w:spacing w:after="0" w:line="240" w:lineRule="auto"/>
              <w:rPr>
                <w:color w:val="000000"/>
                <w:kern w:val="22"/>
                <w:sz w:val="16"/>
                <w:szCs w:val="16"/>
                <w:lang w:val="es-ES" w:eastAsia="en-CA"/>
              </w:rPr>
            </w:pPr>
            <w:r w:rsidRPr="007C2315">
              <w:rPr>
                <w:color w:val="000000"/>
                <w:kern w:val="22"/>
                <w:sz w:val="16"/>
                <w:szCs w:val="16"/>
                <w:lang w:val="es-ES" w:eastAsia="en-CA"/>
              </w:rPr>
              <w:t xml:space="preserve">1/ </w:t>
            </w:r>
            <w:r w:rsidR="007C2315" w:rsidRPr="00BA7F10">
              <w:rPr>
                <w:color w:val="000000"/>
                <w:kern w:val="22"/>
                <w:sz w:val="16"/>
                <w:szCs w:val="16"/>
                <w:lang w:val="es-ES" w:eastAsia="en-CA"/>
              </w:rPr>
              <w:t xml:space="preserve">Reuniones </w:t>
            </w:r>
            <w:r w:rsidR="007C2315">
              <w:rPr>
                <w:kern w:val="22"/>
                <w:sz w:val="16"/>
                <w:lang w:val="es-ES"/>
              </w:rPr>
              <w:t>ordinarias financiadas con cargo al presupuesto básico</w:t>
            </w:r>
            <w:r w:rsidRPr="007C2315">
              <w:rPr>
                <w:color w:val="000000"/>
                <w:kern w:val="22"/>
                <w:sz w:val="16"/>
                <w:szCs w:val="16"/>
                <w:lang w:val="es-ES" w:eastAsia="en-CA"/>
              </w:rPr>
              <w:t>:</w:t>
            </w:r>
          </w:p>
        </w:tc>
      </w:tr>
      <w:tr w:rsidR="00773106" w:rsidRPr="00024C71" w:rsidTr="00773106">
        <w:trPr>
          <w:cantSplit/>
          <w:trHeight w:val="113"/>
          <w:jc w:val="center"/>
        </w:trPr>
        <w:tc>
          <w:tcPr>
            <w:tcW w:w="0" w:type="auto"/>
            <w:tcBorders>
              <w:top w:val="nil"/>
              <w:left w:val="nil"/>
              <w:bottom w:val="nil"/>
              <w:right w:val="nil"/>
            </w:tcBorders>
            <w:shd w:val="clear" w:color="auto" w:fill="auto"/>
            <w:noWrap/>
            <w:vAlign w:val="center"/>
            <w:hideMark/>
          </w:tcPr>
          <w:p w:rsidR="00DE347C" w:rsidRPr="007C2315" w:rsidRDefault="00DE347C" w:rsidP="000C6220">
            <w:pPr>
              <w:spacing w:after="0" w:line="240" w:lineRule="auto"/>
              <w:jc w:val="right"/>
              <w:rPr>
                <w:color w:val="000000"/>
                <w:kern w:val="22"/>
                <w:sz w:val="16"/>
                <w:szCs w:val="16"/>
                <w:lang w:val="es-ES" w:eastAsia="en-CA"/>
              </w:rPr>
            </w:pPr>
          </w:p>
        </w:tc>
        <w:tc>
          <w:tcPr>
            <w:tcW w:w="0" w:type="auto"/>
            <w:gridSpan w:val="5"/>
            <w:tcBorders>
              <w:top w:val="nil"/>
              <w:left w:val="nil"/>
              <w:bottom w:val="nil"/>
              <w:right w:val="nil"/>
            </w:tcBorders>
            <w:shd w:val="clear" w:color="auto" w:fill="auto"/>
            <w:noWrap/>
            <w:hideMark/>
          </w:tcPr>
          <w:p w:rsidR="00DE347C" w:rsidRPr="007C2315" w:rsidRDefault="00DE347C" w:rsidP="000C6220">
            <w:pPr>
              <w:spacing w:after="0" w:line="240" w:lineRule="auto"/>
              <w:jc w:val="left"/>
              <w:rPr>
                <w:color w:val="000000"/>
                <w:kern w:val="22"/>
                <w:sz w:val="16"/>
                <w:szCs w:val="16"/>
                <w:lang w:val="es-ES" w:eastAsia="en-CA"/>
              </w:rPr>
            </w:pPr>
            <w:r w:rsidRPr="007C2315">
              <w:rPr>
                <w:color w:val="000000"/>
                <w:kern w:val="22"/>
                <w:sz w:val="16"/>
                <w:szCs w:val="16"/>
                <w:lang w:val="es-ES" w:eastAsia="en-CA"/>
              </w:rPr>
              <w:t xml:space="preserve">- </w:t>
            </w:r>
            <w:r w:rsidR="007C2315" w:rsidRPr="00BA7F10">
              <w:rPr>
                <w:color w:val="000000"/>
                <w:kern w:val="22"/>
                <w:sz w:val="16"/>
                <w:szCs w:val="16"/>
                <w:lang w:val="es-ES" w:eastAsia="en-CA"/>
              </w:rPr>
              <w:t xml:space="preserve">11ª reunión </w:t>
            </w:r>
            <w:r w:rsidR="007C2315">
              <w:rPr>
                <w:color w:val="000000"/>
                <w:kern w:val="22"/>
                <w:sz w:val="16"/>
                <w:lang w:val="es-ES"/>
              </w:rPr>
              <w:t>del Grupo de Trabajo Especial sobre el Artículo 8 j) y Disposiciones Conexas</w:t>
            </w:r>
            <w:r w:rsidRPr="007C2315">
              <w:rPr>
                <w:color w:val="000000"/>
                <w:kern w:val="22"/>
                <w:sz w:val="16"/>
                <w:szCs w:val="16"/>
                <w:lang w:val="es-ES" w:eastAsia="en-CA"/>
              </w:rPr>
              <w:t>.</w:t>
            </w:r>
          </w:p>
        </w:tc>
      </w:tr>
      <w:tr w:rsidR="00773106" w:rsidRPr="00024C71" w:rsidTr="00773106">
        <w:trPr>
          <w:cantSplit/>
          <w:trHeight w:val="113"/>
          <w:jc w:val="center"/>
        </w:trPr>
        <w:tc>
          <w:tcPr>
            <w:tcW w:w="0" w:type="auto"/>
            <w:tcBorders>
              <w:top w:val="nil"/>
              <w:left w:val="nil"/>
              <w:bottom w:val="nil"/>
              <w:right w:val="nil"/>
            </w:tcBorders>
            <w:shd w:val="clear" w:color="auto" w:fill="auto"/>
            <w:noWrap/>
            <w:vAlign w:val="center"/>
            <w:hideMark/>
          </w:tcPr>
          <w:p w:rsidR="00DE347C" w:rsidRPr="007C2315" w:rsidRDefault="00DE347C" w:rsidP="000C6220">
            <w:pPr>
              <w:spacing w:after="0" w:line="240" w:lineRule="auto"/>
              <w:jc w:val="right"/>
              <w:rPr>
                <w:color w:val="000000"/>
                <w:kern w:val="22"/>
                <w:sz w:val="16"/>
                <w:szCs w:val="16"/>
                <w:lang w:val="es-ES" w:eastAsia="en-CA"/>
              </w:rPr>
            </w:pPr>
          </w:p>
        </w:tc>
        <w:tc>
          <w:tcPr>
            <w:tcW w:w="0" w:type="auto"/>
            <w:gridSpan w:val="5"/>
            <w:tcBorders>
              <w:top w:val="nil"/>
              <w:left w:val="nil"/>
              <w:bottom w:val="nil"/>
              <w:right w:val="nil"/>
            </w:tcBorders>
            <w:shd w:val="clear" w:color="auto" w:fill="auto"/>
            <w:noWrap/>
            <w:hideMark/>
          </w:tcPr>
          <w:p w:rsidR="00DE347C" w:rsidRPr="007C2315" w:rsidRDefault="00DE347C" w:rsidP="000C6220">
            <w:pPr>
              <w:spacing w:after="0" w:line="240" w:lineRule="auto"/>
              <w:jc w:val="left"/>
              <w:rPr>
                <w:color w:val="000000"/>
                <w:kern w:val="22"/>
                <w:sz w:val="16"/>
                <w:szCs w:val="16"/>
                <w:lang w:val="es-ES" w:eastAsia="en-CA"/>
              </w:rPr>
            </w:pPr>
            <w:r w:rsidRPr="007C2315">
              <w:rPr>
                <w:color w:val="000000"/>
                <w:kern w:val="22"/>
                <w:sz w:val="16"/>
                <w:szCs w:val="16"/>
                <w:lang w:val="es-ES" w:eastAsia="en-CA"/>
              </w:rPr>
              <w:t xml:space="preserve">- </w:t>
            </w:r>
            <w:r w:rsidR="007C2315">
              <w:rPr>
                <w:color w:val="000000"/>
                <w:kern w:val="22"/>
                <w:sz w:val="16"/>
                <w:lang w:val="es-ES"/>
              </w:rPr>
              <w:t>Reuniones 23ª y 24ª </w:t>
            </w:r>
            <w:r w:rsidR="007C2315">
              <w:rPr>
                <w:color w:val="000000"/>
                <w:kern w:val="20"/>
                <w:sz w:val="16"/>
                <w:lang w:val="es-ES"/>
              </w:rPr>
              <w:t xml:space="preserve"> del Órgano Subsidiario de Asesoramiento Científico, Técnico y Tecnológico</w:t>
            </w:r>
            <w:r w:rsidRPr="007C2315">
              <w:rPr>
                <w:color w:val="000000"/>
                <w:kern w:val="22"/>
                <w:sz w:val="16"/>
                <w:szCs w:val="16"/>
                <w:lang w:val="es-ES" w:eastAsia="en-CA"/>
              </w:rPr>
              <w:t>.</w:t>
            </w:r>
          </w:p>
        </w:tc>
      </w:tr>
      <w:tr w:rsidR="00773106" w:rsidRPr="00024C71" w:rsidTr="00773106">
        <w:trPr>
          <w:cantSplit/>
          <w:trHeight w:val="113"/>
          <w:jc w:val="center"/>
        </w:trPr>
        <w:tc>
          <w:tcPr>
            <w:tcW w:w="0" w:type="auto"/>
            <w:tcBorders>
              <w:top w:val="nil"/>
              <w:left w:val="nil"/>
              <w:bottom w:val="nil"/>
              <w:right w:val="nil"/>
            </w:tcBorders>
            <w:shd w:val="clear" w:color="auto" w:fill="auto"/>
            <w:noWrap/>
            <w:vAlign w:val="center"/>
            <w:hideMark/>
          </w:tcPr>
          <w:p w:rsidR="00DE347C" w:rsidRPr="007C2315" w:rsidRDefault="00DE347C" w:rsidP="000C6220">
            <w:pPr>
              <w:spacing w:after="0" w:line="240" w:lineRule="auto"/>
              <w:jc w:val="right"/>
              <w:rPr>
                <w:color w:val="000000"/>
                <w:kern w:val="22"/>
                <w:sz w:val="16"/>
                <w:szCs w:val="16"/>
                <w:lang w:val="es-ES" w:eastAsia="en-CA"/>
              </w:rPr>
            </w:pPr>
          </w:p>
        </w:tc>
        <w:tc>
          <w:tcPr>
            <w:tcW w:w="0" w:type="auto"/>
            <w:gridSpan w:val="5"/>
            <w:tcBorders>
              <w:top w:val="nil"/>
              <w:left w:val="nil"/>
              <w:bottom w:val="nil"/>
              <w:right w:val="nil"/>
            </w:tcBorders>
            <w:shd w:val="clear" w:color="auto" w:fill="auto"/>
            <w:noWrap/>
            <w:hideMark/>
          </w:tcPr>
          <w:p w:rsidR="00DE347C" w:rsidRPr="007C2315" w:rsidRDefault="00DE347C" w:rsidP="000C6220">
            <w:pPr>
              <w:spacing w:after="0" w:line="240" w:lineRule="auto"/>
              <w:jc w:val="left"/>
              <w:rPr>
                <w:color w:val="000000"/>
                <w:kern w:val="22"/>
                <w:sz w:val="16"/>
                <w:szCs w:val="16"/>
                <w:lang w:val="es-ES" w:eastAsia="en-CA"/>
              </w:rPr>
            </w:pPr>
            <w:r w:rsidRPr="007C2315">
              <w:rPr>
                <w:color w:val="000000"/>
                <w:kern w:val="22"/>
                <w:sz w:val="16"/>
                <w:szCs w:val="16"/>
                <w:lang w:val="es-ES" w:eastAsia="en-CA"/>
              </w:rPr>
              <w:t xml:space="preserve">- </w:t>
            </w:r>
            <w:r w:rsidR="007C2315" w:rsidRPr="00BA7F10">
              <w:rPr>
                <w:color w:val="000000"/>
                <w:kern w:val="22"/>
                <w:sz w:val="16"/>
                <w:szCs w:val="16"/>
                <w:lang w:val="es-ES" w:eastAsia="en-CA"/>
              </w:rPr>
              <w:t xml:space="preserve">3ª </w:t>
            </w:r>
            <w:r w:rsidR="007C2315">
              <w:rPr>
                <w:color w:val="000000"/>
                <w:kern w:val="22"/>
                <w:sz w:val="16"/>
                <w:lang w:val="es-ES"/>
              </w:rPr>
              <w:t>reunión del Órgano Subsidiario sobre la Aplicación</w:t>
            </w:r>
            <w:r w:rsidRPr="007C2315">
              <w:rPr>
                <w:color w:val="000000"/>
                <w:kern w:val="22"/>
                <w:sz w:val="16"/>
                <w:szCs w:val="16"/>
                <w:lang w:val="es-ES" w:eastAsia="en-CA"/>
              </w:rPr>
              <w:t>.</w:t>
            </w:r>
          </w:p>
        </w:tc>
      </w:tr>
      <w:tr w:rsidR="00773106" w:rsidRPr="00024C71" w:rsidTr="00773106">
        <w:trPr>
          <w:cantSplit/>
          <w:trHeight w:val="113"/>
          <w:jc w:val="center"/>
        </w:trPr>
        <w:tc>
          <w:tcPr>
            <w:tcW w:w="0" w:type="auto"/>
            <w:tcBorders>
              <w:top w:val="nil"/>
              <w:left w:val="nil"/>
              <w:bottom w:val="nil"/>
              <w:right w:val="nil"/>
            </w:tcBorders>
            <w:shd w:val="clear" w:color="auto" w:fill="auto"/>
            <w:noWrap/>
            <w:vAlign w:val="center"/>
            <w:hideMark/>
          </w:tcPr>
          <w:p w:rsidR="00DE347C" w:rsidRPr="007C2315" w:rsidRDefault="00DE347C" w:rsidP="000C6220">
            <w:pPr>
              <w:spacing w:after="0" w:line="240" w:lineRule="auto"/>
              <w:jc w:val="right"/>
              <w:rPr>
                <w:color w:val="000000"/>
                <w:kern w:val="22"/>
                <w:sz w:val="16"/>
                <w:szCs w:val="16"/>
                <w:lang w:val="es-ES" w:eastAsia="en-CA"/>
              </w:rPr>
            </w:pPr>
          </w:p>
        </w:tc>
        <w:tc>
          <w:tcPr>
            <w:tcW w:w="0" w:type="auto"/>
            <w:gridSpan w:val="5"/>
            <w:tcBorders>
              <w:top w:val="nil"/>
              <w:left w:val="nil"/>
              <w:bottom w:val="nil"/>
              <w:right w:val="nil"/>
            </w:tcBorders>
            <w:shd w:val="clear" w:color="auto" w:fill="auto"/>
            <w:noWrap/>
            <w:hideMark/>
          </w:tcPr>
          <w:p w:rsidR="00DE347C" w:rsidRPr="007C2315" w:rsidRDefault="00DE347C" w:rsidP="000C6220">
            <w:pPr>
              <w:spacing w:after="0" w:line="240" w:lineRule="auto"/>
              <w:jc w:val="left"/>
              <w:rPr>
                <w:color w:val="000000"/>
                <w:kern w:val="22"/>
                <w:sz w:val="16"/>
                <w:szCs w:val="16"/>
                <w:lang w:val="es-ES" w:eastAsia="en-CA"/>
              </w:rPr>
            </w:pPr>
            <w:r w:rsidRPr="007C2315">
              <w:rPr>
                <w:color w:val="000000"/>
                <w:kern w:val="22"/>
                <w:sz w:val="16"/>
                <w:szCs w:val="16"/>
                <w:lang w:val="es-ES" w:eastAsia="en-CA"/>
              </w:rPr>
              <w:t xml:space="preserve">- </w:t>
            </w:r>
            <w:r w:rsidR="007C2315" w:rsidRPr="00BA7F10">
              <w:rPr>
                <w:color w:val="000000"/>
                <w:kern w:val="22"/>
                <w:sz w:val="16"/>
                <w:szCs w:val="16"/>
                <w:lang w:val="es-ES" w:eastAsia="en-CA"/>
              </w:rPr>
              <w:t xml:space="preserve">15ª </w:t>
            </w:r>
            <w:r w:rsidR="007C2315">
              <w:rPr>
                <w:color w:val="000000"/>
                <w:kern w:val="22"/>
                <w:sz w:val="16"/>
                <w:lang w:val="es-ES"/>
              </w:rPr>
              <w:t>reunión de la Conferencia de las Partes en el Convenio / 10ª reunión de las Partes en el Protocolo de Cartagena / 4ª reunión de las Partes en el Protocolo de Nagoya celebradas en forma concurrente</w:t>
            </w:r>
            <w:r w:rsidRPr="007C2315">
              <w:rPr>
                <w:color w:val="000000"/>
                <w:kern w:val="22"/>
                <w:sz w:val="16"/>
                <w:szCs w:val="16"/>
                <w:lang w:val="es-ES" w:eastAsia="en-CA"/>
              </w:rPr>
              <w:t>.</w:t>
            </w:r>
          </w:p>
        </w:tc>
      </w:tr>
      <w:tr w:rsidR="00773106" w:rsidRPr="00024C71" w:rsidTr="00773106">
        <w:trPr>
          <w:cantSplit/>
          <w:trHeight w:val="113"/>
          <w:jc w:val="center"/>
        </w:trPr>
        <w:tc>
          <w:tcPr>
            <w:tcW w:w="0" w:type="auto"/>
            <w:tcBorders>
              <w:top w:val="nil"/>
              <w:left w:val="nil"/>
              <w:bottom w:val="nil"/>
              <w:right w:val="nil"/>
            </w:tcBorders>
            <w:shd w:val="clear" w:color="auto" w:fill="auto"/>
            <w:noWrap/>
            <w:vAlign w:val="center"/>
            <w:hideMark/>
          </w:tcPr>
          <w:p w:rsidR="00DE347C" w:rsidRPr="007C2315" w:rsidRDefault="00DE347C" w:rsidP="000C6220">
            <w:pPr>
              <w:spacing w:after="0" w:line="240" w:lineRule="auto"/>
              <w:jc w:val="right"/>
              <w:rPr>
                <w:color w:val="000000"/>
                <w:kern w:val="22"/>
                <w:sz w:val="16"/>
                <w:szCs w:val="16"/>
                <w:lang w:val="es-ES" w:eastAsia="en-CA"/>
              </w:rPr>
            </w:pPr>
          </w:p>
        </w:tc>
        <w:tc>
          <w:tcPr>
            <w:tcW w:w="0" w:type="auto"/>
            <w:gridSpan w:val="5"/>
            <w:tcBorders>
              <w:top w:val="nil"/>
              <w:left w:val="nil"/>
              <w:bottom w:val="nil"/>
              <w:right w:val="nil"/>
            </w:tcBorders>
            <w:shd w:val="clear" w:color="auto" w:fill="auto"/>
            <w:vAlign w:val="center"/>
            <w:hideMark/>
          </w:tcPr>
          <w:p w:rsidR="00DE347C" w:rsidRPr="007C2315" w:rsidRDefault="00DE347C" w:rsidP="000C6220">
            <w:pPr>
              <w:spacing w:after="0" w:line="240" w:lineRule="auto"/>
              <w:rPr>
                <w:color w:val="000000"/>
                <w:kern w:val="22"/>
                <w:sz w:val="16"/>
                <w:szCs w:val="16"/>
                <w:lang w:val="es-ES" w:eastAsia="en-CA"/>
              </w:rPr>
            </w:pPr>
            <w:r w:rsidRPr="007C2315">
              <w:rPr>
                <w:color w:val="000000"/>
                <w:kern w:val="22"/>
                <w:sz w:val="16"/>
                <w:szCs w:val="16"/>
                <w:lang w:val="es-ES" w:eastAsia="en-CA"/>
              </w:rPr>
              <w:t xml:space="preserve">2/ </w:t>
            </w:r>
            <w:r w:rsidR="007C2315" w:rsidRPr="00BA7F10">
              <w:rPr>
                <w:color w:val="000000"/>
                <w:kern w:val="22"/>
                <w:sz w:val="16"/>
                <w:lang w:val="es-ES"/>
              </w:rPr>
              <w:t>OSACTT-23 (3 días) y 11ª</w:t>
            </w:r>
            <w:r w:rsidR="007C2315" w:rsidRPr="00BA7F10">
              <w:rPr>
                <w:color w:val="000000"/>
                <w:kern w:val="22"/>
                <w:sz w:val="16"/>
                <w:szCs w:val="16"/>
                <w:lang w:val="es-ES" w:eastAsia="en-CA"/>
              </w:rPr>
              <w:t xml:space="preserve"> Art. 8 j) (3 días) </w:t>
            </w:r>
            <w:r w:rsidR="007C2315">
              <w:rPr>
                <w:color w:val="000000"/>
                <w:kern w:val="22"/>
                <w:sz w:val="16"/>
                <w:lang w:val="es-ES"/>
              </w:rPr>
              <w:t>celebradas en forma consecutiva en 2019. OSACTT-24 (6 días) y OSA-3 (5 días) a celebrarse en forma consecutiva en 2020</w:t>
            </w:r>
            <w:r w:rsidRPr="007C2315">
              <w:rPr>
                <w:color w:val="000000"/>
                <w:kern w:val="22"/>
                <w:sz w:val="16"/>
                <w:szCs w:val="16"/>
                <w:lang w:val="es-ES" w:eastAsia="en-CA"/>
              </w:rPr>
              <w:t>.</w:t>
            </w:r>
          </w:p>
        </w:tc>
      </w:tr>
      <w:tr w:rsidR="00773106" w:rsidRPr="00024C71" w:rsidTr="00773106">
        <w:trPr>
          <w:cantSplit/>
          <w:trHeight w:val="113"/>
          <w:jc w:val="center"/>
        </w:trPr>
        <w:tc>
          <w:tcPr>
            <w:tcW w:w="0" w:type="auto"/>
            <w:tcBorders>
              <w:top w:val="nil"/>
              <w:left w:val="nil"/>
              <w:bottom w:val="nil"/>
              <w:right w:val="nil"/>
            </w:tcBorders>
            <w:shd w:val="clear" w:color="auto" w:fill="auto"/>
            <w:noWrap/>
            <w:vAlign w:val="center"/>
            <w:hideMark/>
          </w:tcPr>
          <w:p w:rsidR="00DE347C" w:rsidRPr="007C2315" w:rsidRDefault="00DE347C" w:rsidP="000C6220">
            <w:pPr>
              <w:spacing w:after="0" w:line="240" w:lineRule="auto"/>
              <w:jc w:val="right"/>
              <w:rPr>
                <w:color w:val="000000"/>
                <w:kern w:val="22"/>
                <w:sz w:val="16"/>
                <w:szCs w:val="16"/>
                <w:lang w:val="es-ES" w:eastAsia="en-CA"/>
              </w:rPr>
            </w:pPr>
          </w:p>
        </w:tc>
        <w:tc>
          <w:tcPr>
            <w:tcW w:w="0" w:type="auto"/>
            <w:gridSpan w:val="5"/>
            <w:tcBorders>
              <w:top w:val="nil"/>
              <w:left w:val="nil"/>
              <w:bottom w:val="nil"/>
              <w:right w:val="nil"/>
            </w:tcBorders>
            <w:shd w:val="clear" w:color="auto" w:fill="auto"/>
            <w:vAlign w:val="center"/>
            <w:hideMark/>
          </w:tcPr>
          <w:p w:rsidR="00DE347C" w:rsidRPr="007C2315" w:rsidRDefault="00DE347C" w:rsidP="000C6220">
            <w:pPr>
              <w:spacing w:after="0" w:line="240" w:lineRule="auto"/>
              <w:rPr>
                <w:color w:val="000000"/>
                <w:kern w:val="22"/>
                <w:sz w:val="16"/>
                <w:szCs w:val="16"/>
                <w:lang w:val="es-ES" w:eastAsia="en-CA"/>
              </w:rPr>
            </w:pPr>
            <w:r w:rsidRPr="007C2315">
              <w:rPr>
                <w:color w:val="000000"/>
                <w:kern w:val="22"/>
                <w:sz w:val="16"/>
                <w:szCs w:val="16"/>
                <w:lang w:val="es-ES" w:eastAsia="en-CA"/>
              </w:rPr>
              <w:t xml:space="preserve">3/ </w:t>
            </w:r>
            <w:r w:rsidR="007C2315" w:rsidRPr="00BA7F10">
              <w:rPr>
                <w:color w:val="000000"/>
                <w:kern w:val="22"/>
                <w:sz w:val="16"/>
                <w:szCs w:val="16"/>
                <w:lang w:val="es-ES" w:eastAsia="en-CA"/>
              </w:rPr>
              <w:t>P</w:t>
            </w:r>
            <w:r w:rsidR="007C2315">
              <w:rPr>
                <w:color w:val="000000"/>
                <w:kern w:val="22"/>
                <w:sz w:val="16"/>
                <w:lang w:val="es-ES"/>
              </w:rPr>
              <w:t>resupuesto para las COP-15/COP-MOP 10 y COP-MOP 4 divido en partes iguales entre los dos años del bienio</w:t>
            </w:r>
            <w:r w:rsidRPr="007C2315">
              <w:rPr>
                <w:color w:val="000000"/>
                <w:kern w:val="22"/>
                <w:sz w:val="16"/>
                <w:szCs w:val="16"/>
                <w:lang w:val="es-ES" w:eastAsia="en-CA"/>
              </w:rPr>
              <w:t>.</w:t>
            </w:r>
          </w:p>
        </w:tc>
      </w:tr>
      <w:tr w:rsidR="00773106" w:rsidRPr="00024C71" w:rsidTr="00773106">
        <w:trPr>
          <w:cantSplit/>
          <w:trHeight w:val="113"/>
          <w:jc w:val="center"/>
        </w:trPr>
        <w:tc>
          <w:tcPr>
            <w:tcW w:w="0" w:type="auto"/>
            <w:tcBorders>
              <w:top w:val="nil"/>
              <w:left w:val="nil"/>
              <w:bottom w:val="nil"/>
              <w:right w:val="nil"/>
            </w:tcBorders>
            <w:shd w:val="clear" w:color="auto" w:fill="auto"/>
            <w:noWrap/>
            <w:vAlign w:val="center"/>
            <w:hideMark/>
          </w:tcPr>
          <w:p w:rsidR="00DE347C" w:rsidRPr="007C2315" w:rsidRDefault="00DE347C" w:rsidP="000C6220">
            <w:pPr>
              <w:spacing w:after="0" w:line="240" w:lineRule="auto"/>
              <w:jc w:val="right"/>
              <w:rPr>
                <w:color w:val="000000"/>
                <w:kern w:val="22"/>
                <w:sz w:val="16"/>
                <w:szCs w:val="16"/>
                <w:lang w:val="es-ES" w:eastAsia="en-CA"/>
              </w:rPr>
            </w:pPr>
          </w:p>
        </w:tc>
        <w:tc>
          <w:tcPr>
            <w:tcW w:w="0" w:type="auto"/>
            <w:gridSpan w:val="5"/>
            <w:tcBorders>
              <w:top w:val="nil"/>
              <w:left w:val="nil"/>
              <w:bottom w:val="nil"/>
              <w:right w:val="nil"/>
            </w:tcBorders>
            <w:shd w:val="clear" w:color="auto" w:fill="auto"/>
            <w:vAlign w:val="center"/>
            <w:hideMark/>
          </w:tcPr>
          <w:p w:rsidR="00DE347C" w:rsidRPr="007C2315" w:rsidRDefault="00DE347C" w:rsidP="000C6220">
            <w:pPr>
              <w:spacing w:after="0" w:line="240" w:lineRule="auto"/>
              <w:rPr>
                <w:color w:val="000000"/>
                <w:kern w:val="22"/>
                <w:sz w:val="16"/>
                <w:szCs w:val="16"/>
                <w:lang w:val="es-ES" w:eastAsia="en-CA"/>
              </w:rPr>
            </w:pPr>
            <w:r w:rsidRPr="007C2315">
              <w:rPr>
                <w:color w:val="000000"/>
                <w:kern w:val="22"/>
                <w:sz w:val="16"/>
                <w:szCs w:val="16"/>
                <w:lang w:val="es-ES" w:eastAsia="en-CA"/>
              </w:rPr>
              <w:t xml:space="preserve">4/ </w:t>
            </w:r>
            <w:r w:rsidR="007C2315" w:rsidRPr="00BA7F10">
              <w:rPr>
                <w:color w:val="000000"/>
                <w:kern w:val="22"/>
                <w:sz w:val="16"/>
                <w:szCs w:val="16"/>
                <w:lang w:val="es-ES" w:eastAsia="en-CA"/>
              </w:rPr>
              <w:t xml:space="preserve">Dos </w:t>
            </w:r>
            <w:r w:rsidR="007C2315">
              <w:rPr>
                <w:color w:val="000000"/>
                <w:kern w:val="22"/>
                <w:sz w:val="16"/>
                <w:lang w:val="es-ES"/>
              </w:rPr>
              <w:t>reuniones extraordinarias independientes, de 5 días cada una, más 2 días adicionales para la OSACTT-23</w:t>
            </w:r>
          </w:p>
        </w:tc>
      </w:tr>
      <w:tr w:rsidR="00773106" w:rsidRPr="00EE0850" w:rsidTr="00773106">
        <w:trPr>
          <w:cantSplit/>
          <w:trHeight w:val="113"/>
          <w:jc w:val="center"/>
        </w:trPr>
        <w:tc>
          <w:tcPr>
            <w:tcW w:w="0" w:type="auto"/>
            <w:tcBorders>
              <w:top w:val="nil"/>
              <w:left w:val="nil"/>
              <w:bottom w:val="nil"/>
              <w:right w:val="nil"/>
            </w:tcBorders>
            <w:shd w:val="clear" w:color="auto" w:fill="auto"/>
            <w:noWrap/>
            <w:vAlign w:val="center"/>
            <w:hideMark/>
          </w:tcPr>
          <w:p w:rsidR="00DE347C" w:rsidRPr="007C2315" w:rsidRDefault="00DE347C" w:rsidP="000C6220">
            <w:pPr>
              <w:spacing w:after="0" w:line="240" w:lineRule="auto"/>
              <w:jc w:val="right"/>
              <w:rPr>
                <w:color w:val="000000"/>
                <w:kern w:val="22"/>
                <w:sz w:val="16"/>
                <w:szCs w:val="16"/>
                <w:lang w:val="es-ES" w:eastAsia="en-CA"/>
              </w:rPr>
            </w:pPr>
          </w:p>
        </w:tc>
        <w:tc>
          <w:tcPr>
            <w:tcW w:w="0" w:type="auto"/>
            <w:gridSpan w:val="5"/>
            <w:tcBorders>
              <w:top w:val="nil"/>
              <w:left w:val="nil"/>
              <w:bottom w:val="nil"/>
              <w:right w:val="nil"/>
            </w:tcBorders>
            <w:shd w:val="clear" w:color="auto" w:fill="auto"/>
            <w:vAlign w:val="center"/>
            <w:hideMark/>
          </w:tcPr>
          <w:p w:rsidR="00DE347C" w:rsidRPr="00EE0850" w:rsidRDefault="00DE347C" w:rsidP="007C2315">
            <w:pPr>
              <w:spacing w:after="0" w:line="240" w:lineRule="auto"/>
              <w:rPr>
                <w:color w:val="000000"/>
                <w:kern w:val="22"/>
                <w:sz w:val="16"/>
                <w:szCs w:val="16"/>
                <w:lang w:eastAsia="en-CA"/>
              </w:rPr>
            </w:pPr>
            <w:r w:rsidRPr="00EE0850">
              <w:rPr>
                <w:color w:val="000000"/>
                <w:kern w:val="22"/>
                <w:sz w:val="16"/>
                <w:szCs w:val="16"/>
                <w:lang w:eastAsia="en-CA"/>
              </w:rPr>
              <w:t>5/ Indicativ</w:t>
            </w:r>
            <w:r w:rsidR="007C2315">
              <w:rPr>
                <w:color w:val="000000"/>
                <w:kern w:val="22"/>
                <w:sz w:val="16"/>
                <w:szCs w:val="16"/>
                <w:lang w:eastAsia="en-CA"/>
              </w:rPr>
              <w:t>o</w:t>
            </w:r>
            <w:r w:rsidRPr="00EE0850">
              <w:rPr>
                <w:color w:val="000000"/>
                <w:kern w:val="22"/>
                <w:sz w:val="16"/>
                <w:szCs w:val="16"/>
                <w:lang w:eastAsia="en-CA"/>
              </w:rPr>
              <w:t>.</w:t>
            </w:r>
          </w:p>
        </w:tc>
      </w:tr>
    </w:tbl>
    <w:p w:rsidR="003438E6" w:rsidRPr="00EE0850" w:rsidRDefault="003438E6">
      <w:pPr>
        <w:jc w:val="left"/>
        <w:rPr>
          <w:kern w:val="22"/>
        </w:rPr>
      </w:pPr>
    </w:p>
    <w:p w:rsidR="00DE347C" w:rsidRPr="00EE0850" w:rsidRDefault="00DE347C">
      <w:pPr>
        <w:jc w:val="left"/>
        <w:rPr>
          <w:kern w:val="22"/>
        </w:rPr>
        <w:sectPr w:rsidR="00DE347C" w:rsidRPr="00EE0850" w:rsidSect="003438E6">
          <w:headerReference w:type="even" r:id="rId25"/>
          <w:headerReference w:type="default" r:id="rId26"/>
          <w:footerReference w:type="even" r:id="rId27"/>
          <w:footerReference w:type="default" r:id="rId28"/>
          <w:type w:val="continuous"/>
          <w:pgSz w:w="12242" w:h="15842" w:code="1"/>
          <w:pgMar w:top="1138" w:right="1138" w:bottom="1022" w:left="1138" w:header="403" w:footer="720" w:gutter="0"/>
          <w:cols w:space="720"/>
          <w:titlePg/>
          <w:docGrid w:linePitch="299"/>
        </w:sectPr>
      </w:pPr>
    </w:p>
    <w:p w:rsidR="00DE347C" w:rsidRPr="007E294E" w:rsidRDefault="007E294E" w:rsidP="000C6220">
      <w:pPr>
        <w:spacing w:line="240" w:lineRule="auto"/>
        <w:jc w:val="left"/>
        <w:rPr>
          <w:b/>
          <w:kern w:val="22"/>
          <w:lang w:val="es-ES"/>
        </w:rPr>
      </w:pPr>
      <w:r w:rsidRPr="007E294E">
        <w:rPr>
          <w:b/>
          <w:kern w:val="22"/>
          <w:lang w:val="es-ES"/>
        </w:rPr>
        <w:lastRenderedPageBreak/>
        <w:t xml:space="preserve">Cuadro </w:t>
      </w:r>
      <w:r w:rsidR="00DE347C" w:rsidRPr="007E294E">
        <w:rPr>
          <w:b/>
          <w:kern w:val="22"/>
          <w:lang w:val="es-ES"/>
        </w:rPr>
        <w:t xml:space="preserve">2. </w:t>
      </w:r>
      <w:r>
        <w:rPr>
          <w:b/>
          <w:kern w:val="22"/>
          <w:lang w:val="es-ES"/>
        </w:rPr>
        <w:t>Contribuciones al Fondo Fiduciario para el Protocolo de Nagoya sobre Acceso y Participación en los Beneficios para el bienio 2019-202</w:t>
      </w:r>
      <w:r w:rsidR="00DE347C" w:rsidRPr="007E294E">
        <w:rPr>
          <w:b/>
          <w:kern w:val="22"/>
          <w:lang w:val="es-ES"/>
        </w:rPr>
        <w:t>0</w:t>
      </w:r>
      <w:r w:rsidR="00DE347C" w:rsidRPr="00EE0850">
        <w:rPr>
          <w:rStyle w:val="Refdenotaalpie"/>
          <w:kern w:val="18"/>
          <w:sz w:val="22"/>
          <w:szCs w:val="22"/>
          <w:u w:val="none"/>
          <w:vertAlign w:val="superscript"/>
        </w:rPr>
        <w:footnoteReference w:id="28"/>
      </w:r>
    </w:p>
    <w:p w:rsidR="00DE347C" w:rsidRPr="007E294E" w:rsidRDefault="00DE347C" w:rsidP="000C6220">
      <w:pPr>
        <w:spacing w:after="0" w:line="240" w:lineRule="auto"/>
        <w:rPr>
          <w:kern w:val="22"/>
          <w:lang w:val="es-ES"/>
        </w:rPr>
      </w:pPr>
    </w:p>
    <w:tbl>
      <w:tblPr>
        <w:tblW w:w="0" w:type="auto"/>
        <w:jc w:val="center"/>
        <w:tblLayout w:type="fixed"/>
        <w:tblLook w:val="04A0"/>
      </w:tblPr>
      <w:tblGrid>
        <w:gridCol w:w="5617"/>
        <w:gridCol w:w="1597"/>
        <w:gridCol w:w="1597"/>
        <w:gridCol w:w="1597"/>
        <w:gridCol w:w="1597"/>
        <w:gridCol w:w="1598"/>
      </w:tblGrid>
      <w:tr w:rsidR="00D15055" w:rsidRPr="006F1C66" w:rsidTr="00D15055">
        <w:trPr>
          <w:cantSplit/>
          <w:tblHeader/>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jc w:val="center"/>
              <w:rPr>
                <w:b/>
                <w:bCs/>
                <w:sz w:val="24"/>
                <w:lang w:eastAsia="en-CA"/>
              </w:rPr>
            </w:pPr>
            <w:r w:rsidRPr="006F1C66">
              <w:rPr>
                <w:b/>
                <w:bCs/>
                <w:sz w:val="24"/>
                <w:lang w:eastAsia="en-CA"/>
              </w:rPr>
              <w:t>Part</w:t>
            </w:r>
            <w:r>
              <w:rPr>
                <w:b/>
                <w:bCs/>
                <w:sz w:val="24"/>
                <w:lang w:eastAsia="en-CA"/>
              </w:rPr>
              <w:t>e</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D15055" w:rsidRDefault="00D15055" w:rsidP="00D15055">
            <w:pPr>
              <w:spacing w:line="240" w:lineRule="auto"/>
              <w:jc w:val="center"/>
              <w:rPr>
                <w:b/>
                <w:lang w:val="es-ES"/>
              </w:rPr>
            </w:pPr>
            <w:r>
              <w:rPr>
                <w:b/>
                <w:lang w:val="es-ES"/>
              </w:rPr>
              <w:t>Escala de cuotas</w:t>
            </w:r>
          </w:p>
          <w:p w:rsidR="00D15055" w:rsidRPr="006F1C66" w:rsidRDefault="00D15055" w:rsidP="00D15055">
            <w:pPr>
              <w:spacing w:line="240" w:lineRule="auto"/>
              <w:jc w:val="center"/>
              <w:rPr>
                <w:b/>
                <w:bCs/>
                <w:sz w:val="24"/>
                <w:lang w:eastAsia="en-CA"/>
              </w:rPr>
            </w:pPr>
            <w:r>
              <w:rPr>
                <w:b/>
                <w:bCs/>
                <w:sz w:val="24"/>
                <w:lang w:eastAsia="en-CA"/>
              </w:rPr>
              <w:t xml:space="preserve"> </w:t>
            </w:r>
            <w:r w:rsidRPr="006F1C66">
              <w:rPr>
                <w:b/>
                <w:bCs/>
                <w:sz w:val="24"/>
                <w:lang w:eastAsia="en-CA"/>
              </w:rPr>
              <w:t>2016-2018</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D15055" w:rsidRPr="00A87EE5" w:rsidRDefault="00D15055" w:rsidP="00D15055">
            <w:pPr>
              <w:spacing w:line="240" w:lineRule="auto"/>
              <w:jc w:val="center"/>
              <w:rPr>
                <w:b/>
                <w:bCs/>
                <w:sz w:val="24"/>
                <w:lang w:val="es-ES" w:eastAsia="en-CA"/>
              </w:rPr>
            </w:pPr>
            <w:r w:rsidRPr="00A87EE5">
              <w:rPr>
                <w:b/>
                <w:bCs/>
                <w:sz w:val="24"/>
                <w:lang w:val="es-ES" w:eastAsia="en-CA"/>
              </w:rPr>
              <w:t>Escala con tope del 22%, en la que ningún país menos adelantado paga más del</w:t>
            </w:r>
            <w:r>
              <w:rPr>
                <w:b/>
                <w:bCs/>
                <w:sz w:val="24"/>
                <w:lang w:val="es-ES" w:eastAsia="en-CA"/>
              </w:rPr>
              <w:t xml:space="preserve"> </w:t>
            </w:r>
            <w:r w:rsidRPr="00A87EE5">
              <w:rPr>
                <w:b/>
                <w:bCs/>
                <w:sz w:val="24"/>
                <w:lang w:val="es-ES" w:eastAsia="en-CA"/>
              </w:rPr>
              <w:t>0</w:t>
            </w:r>
            <w:r>
              <w:rPr>
                <w:b/>
                <w:bCs/>
                <w:sz w:val="24"/>
                <w:lang w:val="es-ES" w:eastAsia="en-CA"/>
              </w:rPr>
              <w:t>,</w:t>
            </w:r>
            <w:r w:rsidRPr="00A87EE5">
              <w:rPr>
                <w:b/>
                <w:bCs/>
                <w:sz w:val="24"/>
                <w:lang w:val="es-ES" w:eastAsia="en-CA"/>
              </w:rPr>
              <w:t>01%</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D15055" w:rsidRPr="00A87EE5" w:rsidRDefault="00D15055" w:rsidP="00D15055">
            <w:pPr>
              <w:spacing w:line="240" w:lineRule="auto"/>
              <w:jc w:val="center"/>
              <w:rPr>
                <w:b/>
                <w:bCs/>
                <w:sz w:val="24"/>
                <w:lang w:val="es-ES" w:eastAsia="en-CA"/>
              </w:rPr>
            </w:pPr>
            <w:r w:rsidRPr="00A87EE5">
              <w:rPr>
                <w:b/>
                <w:bCs/>
                <w:sz w:val="24"/>
                <w:lang w:val="es-ES" w:eastAsia="en-CA"/>
              </w:rPr>
              <w:t>Contribución al 1 de enero de 2019</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D15055" w:rsidRPr="00A87EE5" w:rsidRDefault="00D15055" w:rsidP="00D15055">
            <w:pPr>
              <w:spacing w:line="240" w:lineRule="auto"/>
              <w:jc w:val="center"/>
              <w:rPr>
                <w:b/>
                <w:bCs/>
                <w:sz w:val="24"/>
                <w:lang w:val="es-ES" w:eastAsia="en-CA"/>
              </w:rPr>
            </w:pPr>
            <w:r w:rsidRPr="00A87EE5">
              <w:rPr>
                <w:b/>
                <w:bCs/>
                <w:sz w:val="24"/>
                <w:lang w:val="es-ES" w:eastAsia="en-CA"/>
              </w:rPr>
              <w:t>Contribución al 1 de enero de 2020</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D15055" w:rsidRPr="006F1C66" w:rsidRDefault="00D15055" w:rsidP="00D15055">
            <w:pPr>
              <w:spacing w:line="240" w:lineRule="auto"/>
              <w:jc w:val="center"/>
              <w:rPr>
                <w:b/>
                <w:bCs/>
                <w:sz w:val="24"/>
                <w:lang w:eastAsia="en-CA"/>
              </w:rPr>
            </w:pPr>
            <w:r w:rsidRPr="006F1C66">
              <w:rPr>
                <w:b/>
                <w:bCs/>
                <w:sz w:val="24"/>
                <w:lang w:eastAsia="en-CA"/>
              </w:rPr>
              <w:t>Total 2019-2020</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Afganist</w:t>
            </w:r>
            <w:r>
              <w:rPr>
                <w:sz w:val="24"/>
                <w:lang w:eastAsia="en-CA"/>
              </w:rPr>
              <w:t>á</w:t>
            </w:r>
            <w:r w:rsidRPr="006F1C66">
              <w:rPr>
                <w:sz w:val="24"/>
                <w:lang w:eastAsia="en-CA"/>
              </w:rPr>
              <w:t>n</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011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195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207</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402</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Albania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008</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015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260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276</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536</w:t>
            </w:r>
          </w:p>
        </w:tc>
      </w:tr>
      <w:tr w:rsidR="00D15055" w:rsidRPr="006F1C66" w:rsidTr="00D15055">
        <w:trPr>
          <w:cantSplit/>
          <w:trHeight w:val="302"/>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Pr>
                <w:sz w:val="24"/>
                <w:lang w:eastAsia="en-CA"/>
              </w:rPr>
              <w:t>Alemania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w:t>
            </w:r>
            <w:r>
              <w:rPr>
                <w:sz w:val="24"/>
                <w:lang w:eastAsia="en-CA"/>
              </w:rPr>
              <w:t>,</w:t>
            </w:r>
            <w:r w:rsidRPr="006F1C66">
              <w:rPr>
                <w:sz w:val="24"/>
                <w:lang w:eastAsia="en-CA"/>
              </w:rPr>
              <w:t>389</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11</w:t>
            </w:r>
            <w:r>
              <w:rPr>
                <w:sz w:val="24"/>
                <w:lang w:eastAsia="en-CA"/>
              </w:rPr>
              <w:t>,</w:t>
            </w:r>
            <w:r w:rsidRPr="006F1C66">
              <w:rPr>
                <w:sz w:val="24"/>
                <w:lang w:eastAsia="en-CA"/>
              </w:rPr>
              <w:t>805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207</w:t>
            </w:r>
            <w:r>
              <w:rPr>
                <w:color w:val="000000"/>
                <w:sz w:val="24"/>
                <w:lang w:eastAsia="en-CA"/>
              </w:rPr>
              <w:t xml:space="preserve"> </w:t>
            </w:r>
            <w:r w:rsidRPr="006F1C66">
              <w:rPr>
                <w:color w:val="000000"/>
                <w:sz w:val="24"/>
                <w:lang w:eastAsia="en-CA"/>
              </w:rPr>
              <w:t>881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220</w:t>
            </w:r>
            <w:r>
              <w:rPr>
                <w:color w:val="000000"/>
                <w:sz w:val="24"/>
                <w:lang w:eastAsia="en-CA"/>
              </w:rPr>
              <w:t xml:space="preserve"> </w:t>
            </w:r>
            <w:r w:rsidRPr="006F1C66">
              <w:rPr>
                <w:color w:val="000000"/>
                <w:sz w:val="24"/>
                <w:lang w:eastAsia="en-CA"/>
              </w:rPr>
              <w:t>438</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428</w:t>
            </w:r>
            <w:r>
              <w:rPr>
                <w:sz w:val="24"/>
                <w:lang w:eastAsia="en-CA"/>
              </w:rPr>
              <w:t xml:space="preserve"> </w:t>
            </w:r>
            <w:r w:rsidRPr="006F1C66">
              <w:rPr>
                <w:sz w:val="24"/>
                <w:lang w:eastAsia="en-CA"/>
              </w:rPr>
              <w:t>319</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Angola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363</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 xml:space="preserve">Antigua </w:t>
            </w:r>
            <w:r>
              <w:rPr>
                <w:sz w:val="24"/>
                <w:lang w:eastAsia="en-CA"/>
              </w:rPr>
              <w:t>y</w:t>
            </w:r>
            <w:r w:rsidRPr="006F1C66">
              <w:rPr>
                <w:sz w:val="24"/>
                <w:lang w:eastAsia="en-CA"/>
              </w:rPr>
              <w:t xml:space="preserve"> Barbuda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134</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Argentina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892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Pr>
                <w:sz w:val="24"/>
                <w:lang w:eastAsia="en-CA"/>
              </w:rPr>
              <w:t>1,</w:t>
            </w:r>
            <w:r w:rsidRPr="006F1C66">
              <w:rPr>
                <w:sz w:val="24"/>
                <w:lang w:eastAsia="en-CA"/>
              </w:rPr>
              <w:t>648</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29</w:t>
            </w:r>
            <w:r>
              <w:rPr>
                <w:color w:val="000000"/>
                <w:sz w:val="24"/>
                <w:lang w:eastAsia="en-CA"/>
              </w:rPr>
              <w:t xml:space="preserve"> </w:t>
            </w:r>
            <w:r w:rsidRPr="006F1C66">
              <w:rPr>
                <w:color w:val="000000"/>
                <w:sz w:val="24"/>
                <w:lang w:eastAsia="en-CA"/>
              </w:rPr>
              <w:t>023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30</w:t>
            </w:r>
            <w:r>
              <w:rPr>
                <w:color w:val="000000"/>
                <w:sz w:val="24"/>
                <w:lang w:eastAsia="en-CA"/>
              </w:rPr>
              <w:t xml:space="preserve"> </w:t>
            </w:r>
            <w:r w:rsidRPr="006F1C66">
              <w:rPr>
                <w:color w:val="000000"/>
                <w:sz w:val="24"/>
                <w:lang w:eastAsia="en-CA"/>
              </w:rPr>
              <w:t>776</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59</w:t>
            </w:r>
            <w:r>
              <w:rPr>
                <w:sz w:val="24"/>
                <w:lang w:eastAsia="en-CA"/>
              </w:rPr>
              <w:t xml:space="preserve"> </w:t>
            </w:r>
            <w:r w:rsidRPr="006F1C66">
              <w:rPr>
                <w:sz w:val="24"/>
                <w:lang w:eastAsia="en-CA"/>
              </w:rPr>
              <w:t>800</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Austria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720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w:t>
            </w:r>
            <w:r>
              <w:rPr>
                <w:sz w:val="24"/>
                <w:lang w:eastAsia="en-CA"/>
              </w:rPr>
              <w:t>,</w:t>
            </w:r>
            <w:r w:rsidRPr="006F1C66">
              <w:rPr>
                <w:sz w:val="24"/>
                <w:lang w:eastAsia="en-CA"/>
              </w:rPr>
              <w:t>330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23</w:t>
            </w:r>
            <w:r>
              <w:rPr>
                <w:color w:val="000000"/>
                <w:sz w:val="24"/>
                <w:lang w:eastAsia="en-CA"/>
              </w:rPr>
              <w:t xml:space="preserve"> </w:t>
            </w:r>
            <w:r w:rsidRPr="006F1C66">
              <w:rPr>
                <w:color w:val="000000"/>
                <w:sz w:val="24"/>
                <w:lang w:eastAsia="en-CA"/>
              </w:rPr>
              <w:t>427</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24</w:t>
            </w:r>
            <w:r>
              <w:rPr>
                <w:color w:val="000000"/>
                <w:sz w:val="24"/>
                <w:lang w:eastAsia="en-CA"/>
              </w:rPr>
              <w:t xml:space="preserve"> </w:t>
            </w:r>
            <w:r w:rsidRPr="006F1C66">
              <w:rPr>
                <w:color w:val="000000"/>
                <w:sz w:val="24"/>
                <w:lang w:eastAsia="en-CA"/>
              </w:rPr>
              <w:t>842</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48</w:t>
            </w:r>
            <w:r>
              <w:rPr>
                <w:sz w:val="24"/>
                <w:lang w:eastAsia="en-CA"/>
              </w:rPr>
              <w:t xml:space="preserve"> </w:t>
            </w:r>
            <w:r w:rsidRPr="006F1C66">
              <w:rPr>
                <w:sz w:val="24"/>
                <w:lang w:eastAsia="en-CA"/>
              </w:rPr>
              <w:t>269</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Belar</w:t>
            </w:r>
            <w:r>
              <w:rPr>
                <w:sz w:val="24"/>
                <w:lang w:eastAsia="en-CA"/>
              </w:rPr>
              <w:t>ús</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056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Pr>
                <w:sz w:val="24"/>
                <w:lang w:eastAsia="en-CA"/>
              </w:rPr>
              <w:t>0,</w:t>
            </w:r>
            <w:r w:rsidRPr="006F1C66">
              <w:rPr>
                <w:sz w:val="24"/>
                <w:lang w:eastAsia="en-CA"/>
              </w:rPr>
              <w:t>103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822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932</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3</w:t>
            </w:r>
            <w:r>
              <w:rPr>
                <w:sz w:val="24"/>
                <w:lang w:eastAsia="en-CA"/>
              </w:rPr>
              <w:t xml:space="preserve"> </w:t>
            </w:r>
            <w:r w:rsidRPr="006F1C66">
              <w:rPr>
                <w:sz w:val="24"/>
                <w:lang w:eastAsia="en-CA"/>
              </w:rPr>
              <w:t>754</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B</w:t>
            </w:r>
            <w:r>
              <w:rPr>
                <w:sz w:val="24"/>
                <w:lang w:eastAsia="en-CA"/>
              </w:rPr>
              <w:t>élgica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885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w:t>
            </w:r>
            <w:r>
              <w:rPr>
                <w:sz w:val="24"/>
                <w:lang w:eastAsia="en-CA"/>
              </w:rPr>
              <w:t>,</w:t>
            </w:r>
            <w:r w:rsidRPr="006F1C66">
              <w:rPr>
                <w:sz w:val="24"/>
                <w:lang w:eastAsia="en-CA"/>
              </w:rPr>
              <w:t>635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28</w:t>
            </w:r>
            <w:r>
              <w:rPr>
                <w:color w:val="000000"/>
                <w:sz w:val="24"/>
                <w:lang w:eastAsia="en-CA"/>
              </w:rPr>
              <w:t xml:space="preserve"> </w:t>
            </w:r>
            <w:r w:rsidRPr="006F1C66">
              <w:rPr>
                <w:color w:val="000000"/>
                <w:sz w:val="24"/>
                <w:lang w:eastAsia="en-CA"/>
              </w:rPr>
              <w:t>796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30</w:t>
            </w:r>
            <w:r>
              <w:rPr>
                <w:color w:val="000000"/>
                <w:sz w:val="24"/>
                <w:lang w:eastAsia="en-CA"/>
              </w:rPr>
              <w:t xml:space="preserve"> </w:t>
            </w:r>
            <w:r w:rsidRPr="006F1C66">
              <w:rPr>
                <w:color w:val="000000"/>
                <w:sz w:val="24"/>
                <w:lang w:eastAsia="en-CA"/>
              </w:rPr>
              <w:t>535</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59</w:t>
            </w:r>
            <w:r>
              <w:rPr>
                <w:sz w:val="24"/>
                <w:lang w:eastAsia="en-CA"/>
              </w:rPr>
              <w:t xml:space="preserve"> </w:t>
            </w:r>
            <w:r w:rsidRPr="006F1C66">
              <w:rPr>
                <w:sz w:val="24"/>
                <w:lang w:eastAsia="en-CA"/>
              </w:rPr>
              <w:t>330</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Benin</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201</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Bhut</w:t>
            </w:r>
            <w:r>
              <w:rPr>
                <w:sz w:val="24"/>
                <w:lang w:eastAsia="en-CA"/>
              </w:rPr>
              <w:t>án</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67</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Bolivia (</w:t>
            </w:r>
            <w:r w:rsidRPr="00B22EE4">
              <w:rPr>
                <w:sz w:val="24"/>
                <w:lang w:eastAsia="en-CA"/>
              </w:rPr>
              <w:t>Estado Plurinacional de</w:t>
            </w:r>
            <w:r w:rsidRPr="006F1C66">
              <w:rPr>
                <w:sz w:val="24"/>
                <w:lang w:eastAsia="en-CA"/>
              </w:rPr>
              <w:t>)</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012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022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390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414</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804</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Botswana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014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026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456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483</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939</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Bulgaria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045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083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464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553</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3</w:t>
            </w:r>
            <w:r>
              <w:rPr>
                <w:sz w:val="24"/>
                <w:lang w:eastAsia="en-CA"/>
              </w:rPr>
              <w:t xml:space="preserve"> </w:t>
            </w:r>
            <w:r w:rsidRPr="006F1C66">
              <w:rPr>
                <w:sz w:val="24"/>
                <w:lang w:eastAsia="en-CA"/>
              </w:rPr>
              <w:t>017</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lastRenderedPageBreak/>
              <w:t>Burkina Faso</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268</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Burundi</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67</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Cambo</w:t>
            </w:r>
            <w:r>
              <w:rPr>
                <w:sz w:val="24"/>
                <w:lang w:eastAsia="en-CA"/>
              </w:rPr>
              <w:t>ya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268</w:t>
            </w:r>
          </w:p>
        </w:tc>
      </w:tr>
      <w:tr w:rsidR="00D15055" w:rsidRPr="006F1C66" w:rsidTr="00D15055">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Camer</w:t>
            </w:r>
            <w:r>
              <w:rPr>
                <w:sz w:val="24"/>
                <w:lang w:eastAsia="en-CA"/>
              </w:rPr>
              <w:t>ún</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018</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325</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345</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670</w:t>
            </w:r>
          </w:p>
        </w:tc>
      </w:tr>
      <w:tr w:rsidR="00D15055" w:rsidRPr="006F1C66" w:rsidTr="00D15055">
        <w:trPr>
          <w:cantSplit/>
          <w:trHeight w:val="240"/>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DF0EC5" w:rsidRDefault="00D15055" w:rsidP="00D15055">
            <w:pPr>
              <w:spacing w:line="240" w:lineRule="auto"/>
              <w:rPr>
                <w:sz w:val="24"/>
                <w:lang w:eastAsia="en-CA"/>
              </w:rPr>
            </w:pPr>
            <w:r w:rsidRPr="00DF0EC5">
              <w:rPr>
                <w:sz w:val="24"/>
                <w:lang w:eastAsia="en-CA"/>
              </w:rPr>
              <w:t>Chad</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009</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163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173</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335</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Pr>
                <w:sz w:val="24"/>
                <w:lang w:eastAsia="en-CA"/>
              </w:rPr>
              <w:t>Chequia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344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636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11</w:t>
            </w:r>
            <w:r>
              <w:rPr>
                <w:color w:val="000000"/>
                <w:sz w:val="24"/>
                <w:lang w:eastAsia="en-CA"/>
              </w:rPr>
              <w:t xml:space="preserve"> </w:t>
            </w:r>
            <w:r w:rsidRPr="006F1C66">
              <w:rPr>
                <w:color w:val="000000"/>
                <w:sz w:val="24"/>
                <w:lang w:eastAsia="en-CA"/>
              </w:rPr>
              <w:t>193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11</w:t>
            </w:r>
            <w:r>
              <w:rPr>
                <w:color w:val="000000"/>
                <w:sz w:val="24"/>
                <w:lang w:eastAsia="en-CA"/>
              </w:rPr>
              <w:t xml:space="preserve"> </w:t>
            </w:r>
            <w:r w:rsidRPr="006F1C66">
              <w:rPr>
                <w:color w:val="000000"/>
                <w:sz w:val="24"/>
                <w:lang w:eastAsia="en-CA"/>
              </w:rPr>
              <w:t>869</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23</w:t>
            </w:r>
            <w:r>
              <w:rPr>
                <w:sz w:val="24"/>
                <w:lang w:eastAsia="en-CA"/>
              </w:rPr>
              <w:t xml:space="preserve"> </w:t>
            </w:r>
            <w:r w:rsidRPr="006F1C66">
              <w:rPr>
                <w:sz w:val="24"/>
                <w:lang w:eastAsia="en-CA"/>
              </w:rPr>
              <w:t>062</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China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7</w:t>
            </w:r>
            <w:r>
              <w:rPr>
                <w:sz w:val="24"/>
                <w:lang w:eastAsia="en-CA"/>
              </w:rPr>
              <w:t>,</w:t>
            </w:r>
            <w:r w:rsidRPr="006F1C66">
              <w:rPr>
                <w:sz w:val="24"/>
                <w:lang w:eastAsia="en-CA"/>
              </w:rPr>
              <w:t>921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14</w:t>
            </w:r>
            <w:r>
              <w:rPr>
                <w:sz w:val="24"/>
                <w:lang w:eastAsia="en-CA"/>
              </w:rPr>
              <w:t>,</w:t>
            </w:r>
            <w:r w:rsidRPr="006F1C66">
              <w:rPr>
                <w:sz w:val="24"/>
                <w:lang w:eastAsia="en-CA"/>
              </w:rPr>
              <w:t>636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257</w:t>
            </w:r>
            <w:r>
              <w:rPr>
                <w:color w:val="000000"/>
                <w:sz w:val="24"/>
                <w:lang w:eastAsia="en-CA"/>
              </w:rPr>
              <w:t xml:space="preserve"> </w:t>
            </w:r>
            <w:r w:rsidRPr="006F1C66">
              <w:rPr>
                <w:color w:val="000000"/>
                <w:sz w:val="24"/>
                <w:lang w:eastAsia="en-CA"/>
              </w:rPr>
              <w:t>728</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273</w:t>
            </w:r>
            <w:r>
              <w:rPr>
                <w:color w:val="000000"/>
                <w:sz w:val="24"/>
                <w:lang w:eastAsia="en-CA"/>
              </w:rPr>
              <w:t xml:space="preserve"> </w:t>
            </w:r>
            <w:r w:rsidRPr="006F1C66">
              <w:rPr>
                <w:color w:val="000000"/>
                <w:sz w:val="24"/>
                <w:lang w:eastAsia="en-CA"/>
              </w:rPr>
              <w:t>296</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531</w:t>
            </w:r>
            <w:r>
              <w:rPr>
                <w:sz w:val="24"/>
                <w:lang w:eastAsia="en-CA"/>
              </w:rPr>
              <w:t xml:space="preserve"> </w:t>
            </w:r>
            <w:r w:rsidRPr="006F1C66">
              <w:rPr>
                <w:sz w:val="24"/>
                <w:lang w:eastAsia="en-CA"/>
              </w:rPr>
              <w:t>024</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Comor</w:t>
            </w:r>
            <w:r>
              <w:rPr>
                <w:sz w:val="24"/>
                <w:lang w:eastAsia="en-CA"/>
              </w:rPr>
              <w:t>a</w:t>
            </w:r>
            <w:r w:rsidRPr="006F1C66">
              <w:rPr>
                <w:sz w:val="24"/>
                <w:lang w:eastAsia="en-CA"/>
              </w:rPr>
              <w:t>s</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67</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Congo</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011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195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207</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402</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Cote d</w:t>
            </w:r>
            <w:r>
              <w:rPr>
                <w:sz w:val="24"/>
                <w:lang w:eastAsia="en-CA"/>
              </w:rPr>
              <w:t>’</w:t>
            </w:r>
            <w:r w:rsidRPr="006F1C66">
              <w:rPr>
                <w:sz w:val="24"/>
                <w:lang w:eastAsia="en-CA"/>
              </w:rPr>
              <w:t>Ivoire</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009</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017</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293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311</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603</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Croa</w:t>
            </w:r>
            <w:r>
              <w:rPr>
                <w:sz w:val="24"/>
                <w:lang w:eastAsia="en-CA"/>
              </w:rPr>
              <w:t>c</w:t>
            </w:r>
            <w:r w:rsidRPr="006F1C66">
              <w:rPr>
                <w:sz w:val="24"/>
                <w:lang w:eastAsia="en-CA"/>
              </w:rPr>
              <w:t>ia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099</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183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w:t>
            </w:r>
            <w:r>
              <w:rPr>
                <w:color w:val="000000"/>
                <w:sz w:val="24"/>
                <w:lang w:eastAsia="en-CA"/>
              </w:rPr>
              <w:t xml:space="preserve"> </w:t>
            </w:r>
            <w:r w:rsidRPr="006F1C66">
              <w:rPr>
                <w:color w:val="000000"/>
                <w:sz w:val="24"/>
                <w:lang w:eastAsia="en-CA"/>
              </w:rPr>
              <w:t>221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w:t>
            </w:r>
            <w:r>
              <w:rPr>
                <w:color w:val="000000"/>
                <w:sz w:val="24"/>
                <w:lang w:eastAsia="en-CA"/>
              </w:rPr>
              <w:t xml:space="preserve"> </w:t>
            </w:r>
            <w:r w:rsidRPr="006F1C66">
              <w:rPr>
                <w:color w:val="000000"/>
                <w:sz w:val="24"/>
                <w:lang w:eastAsia="en-CA"/>
              </w:rPr>
              <w:t>416</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w:t>
            </w:r>
            <w:r>
              <w:rPr>
                <w:sz w:val="24"/>
                <w:lang w:eastAsia="en-CA"/>
              </w:rPr>
              <w:t xml:space="preserve"> </w:t>
            </w:r>
            <w:r w:rsidRPr="006F1C66">
              <w:rPr>
                <w:sz w:val="24"/>
                <w:lang w:eastAsia="en-CA"/>
              </w:rPr>
              <w:t>637</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Cuba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065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120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w:t>
            </w:r>
            <w:r>
              <w:rPr>
                <w:color w:val="000000"/>
                <w:sz w:val="24"/>
                <w:lang w:eastAsia="en-CA"/>
              </w:rPr>
              <w:t xml:space="preserve"> </w:t>
            </w:r>
            <w:r w:rsidRPr="006F1C66">
              <w:rPr>
                <w:color w:val="000000"/>
                <w:sz w:val="24"/>
                <w:lang w:eastAsia="en-CA"/>
              </w:rPr>
              <w:t>115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w:t>
            </w:r>
            <w:r>
              <w:rPr>
                <w:color w:val="000000"/>
                <w:sz w:val="24"/>
                <w:lang w:eastAsia="en-CA"/>
              </w:rPr>
              <w:t xml:space="preserve"> </w:t>
            </w:r>
            <w:r w:rsidRPr="006F1C66">
              <w:rPr>
                <w:color w:val="000000"/>
                <w:sz w:val="24"/>
                <w:lang w:eastAsia="en-CA"/>
              </w:rPr>
              <w:t>243</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4</w:t>
            </w:r>
            <w:r>
              <w:rPr>
                <w:sz w:val="24"/>
                <w:lang w:eastAsia="en-CA"/>
              </w:rPr>
              <w:t xml:space="preserve"> </w:t>
            </w:r>
            <w:r w:rsidRPr="006F1C66">
              <w:rPr>
                <w:sz w:val="24"/>
                <w:lang w:eastAsia="en-CA"/>
              </w:rPr>
              <w:t>358</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1060B2" w:rsidRDefault="00D15055" w:rsidP="00D15055">
            <w:pPr>
              <w:spacing w:line="240" w:lineRule="auto"/>
              <w:rPr>
                <w:color w:val="FF0000"/>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1060B2" w:rsidRDefault="00D15055" w:rsidP="00D15055">
            <w:pPr>
              <w:spacing w:line="240" w:lineRule="auto"/>
              <w:rPr>
                <w:color w:val="FF0000"/>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D</w:t>
            </w:r>
            <w:r>
              <w:rPr>
                <w:sz w:val="24"/>
                <w:lang w:eastAsia="en-CA"/>
              </w:rPr>
              <w:t>inamarca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584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w:t>
            </w:r>
            <w:r>
              <w:rPr>
                <w:sz w:val="24"/>
                <w:lang w:eastAsia="en-CA"/>
              </w:rPr>
              <w:t>,</w:t>
            </w:r>
            <w:r w:rsidRPr="006F1C66">
              <w:rPr>
                <w:sz w:val="24"/>
                <w:lang w:eastAsia="en-CA"/>
              </w:rPr>
              <w:t>079</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19</w:t>
            </w:r>
            <w:r>
              <w:rPr>
                <w:color w:val="000000"/>
                <w:sz w:val="24"/>
                <w:lang w:eastAsia="en-CA"/>
              </w:rPr>
              <w:t xml:space="preserve"> </w:t>
            </w:r>
            <w:r w:rsidRPr="006F1C66">
              <w:rPr>
                <w:color w:val="000000"/>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20</w:t>
            </w:r>
            <w:r>
              <w:rPr>
                <w:color w:val="000000"/>
                <w:sz w:val="24"/>
                <w:lang w:eastAsia="en-CA"/>
              </w:rPr>
              <w:t xml:space="preserve"> </w:t>
            </w:r>
            <w:r w:rsidRPr="006F1C66">
              <w:rPr>
                <w:color w:val="000000"/>
                <w:sz w:val="24"/>
                <w:lang w:eastAsia="en-CA"/>
              </w:rPr>
              <w:t>150</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39</w:t>
            </w:r>
            <w:r>
              <w:rPr>
                <w:sz w:val="24"/>
                <w:lang w:eastAsia="en-CA"/>
              </w:rPr>
              <w:t xml:space="preserve"> </w:t>
            </w:r>
            <w:r w:rsidRPr="006F1C66">
              <w:rPr>
                <w:sz w:val="24"/>
                <w:lang w:eastAsia="en-CA"/>
              </w:rPr>
              <w:t>151</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Djibouti</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67</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8A4C41" w:rsidRDefault="00D15055" w:rsidP="00D15055">
            <w:pPr>
              <w:spacing w:line="240" w:lineRule="auto"/>
              <w:rPr>
                <w:sz w:val="24"/>
                <w:lang w:eastAsia="en-CA"/>
              </w:rPr>
            </w:pPr>
            <w:r w:rsidRPr="008A4C41">
              <w:rPr>
                <w:sz w:val="24"/>
                <w:lang w:eastAsia="en-CA"/>
              </w:rPr>
              <w:t>Ecuador</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067</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124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w:t>
            </w:r>
            <w:r>
              <w:rPr>
                <w:color w:val="000000"/>
                <w:sz w:val="24"/>
                <w:lang w:eastAsia="en-CA"/>
              </w:rPr>
              <w:t xml:space="preserve"> </w:t>
            </w:r>
            <w:r w:rsidRPr="006F1C66">
              <w:rPr>
                <w:color w:val="000000"/>
                <w:sz w:val="24"/>
                <w:lang w:eastAsia="en-CA"/>
              </w:rPr>
              <w:t>180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w:t>
            </w:r>
            <w:r>
              <w:rPr>
                <w:color w:val="000000"/>
                <w:sz w:val="24"/>
                <w:lang w:eastAsia="en-CA"/>
              </w:rPr>
              <w:t xml:space="preserve"> </w:t>
            </w:r>
            <w:r w:rsidRPr="006F1C66">
              <w:rPr>
                <w:color w:val="000000"/>
                <w:sz w:val="24"/>
                <w:lang w:eastAsia="en-CA"/>
              </w:rPr>
              <w:t>312</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4</w:t>
            </w:r>
            <w:r>
              <w:rPr>
                <w:sz w:val="24"/>
                <w:lang w:eastAsia="en-CA"/>
              </w:rPr>
              <w:t xml:space="preserve"> </w:t>
            </w:r>
            <w:r w:rsidRPr="006F1C66">
              <w:rPr>
                <w:sz w:val="24"/>
                <w:lang w:eastAsia="en-CA"/>
              </w:rPr>
              <w:t>492</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E</w:t>
            </w:r>
            <w:r>
              <w:rPr>
                <w:sz w:val="24"/>
                <w:lang w:eastAsia="en-CA"/>
              </w:rPr>
              <w:t>gipto</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152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281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4</w:t>
            </w:r>
            <w:r>
              <w:rPr>
                <w:color w:val="000000"/>
                <w:sz w:val="24"/>
                <w:lang w:eastAsia="en-CA"/>
              </w:rPr>
              <w:t xml:space="preserve"> </w:t>
            </w:r>
            <w:r w:rsidRPr="006F1C66">
              <w:rPr>
                <w:color w:val="000000"/>
                <w:sz w:val="24"/>
                <w:lang w:eastAsia="en-CA"/>
              </w:rPr>
              <w:t>946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5</w:t>
            </w:r>
            <w:r>
              <w:rPr>
                <w:color w:val="000000"/>
                <w:sz w:val="24"/>
                <w:lang w:eastAsia="en-CA"/>
              </w:rPr>
              <w:t xml:space="preserve"> </w:t>
            </w:r>
            <w:r w:rsidRPr="006F1C66">
              <w:rPr>
                <w:color w:val="000000"/>
                <w:sz w:val="24"/>
                <w:lang w:eastAsia="en-CA"/>
              </w:rPr>
              <w:t>244</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10</w:t>
            </w:r>
            <w:r>
              <w:rPr>
                <w:sz w:val="24"/>
                <w:lang w:eastAsia="en-CA"/>
              </w:rPr>
              <w:t xml:space="preserve"> </w:t>
            </w:r>
            <w:r w:rsidRPr="006F1C66">
              <w:rPr>
                <w:sz w:val="24"/>
                <w:lang w:eastAsia="en-CA"/>
              </w:rPr>
              <w:t>190</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Pr>
                <w:sz w:val="24"/>
                <w:lang w:eastAsia="en-CA"/>
              </w:rPr>
              <w:t>Emiratos Árabes Unidos</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604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w:t>
            </w:r>
            <w:r>
              <w:rPr>
                <w:sz w:val="24"/>
                <w:lang w:eastAsia="en-CA"/>
              </w:rPr>
              <w:t>,</w:t>
            </w:r>
            <w:r w:rsidRPr="006F1C66">
              <w:rPr>
                <w:sz w:val="24"/>
                <w:lang w:eastAsia="en-CA"/>
              </w:rPr>
              <w:t>116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19</w:t>
            </w:r>
            <w:r>
              <w:rPr>
                <w:color w:val="000000"/>
                <w:sz w:val="24"/>
                <w:lang w:eastAsia="en-CA"/>
              </w:rPr>
              <w:t xml:space="preserve"> </w:t>
            </w:r>
            <w:r w:rsidRPr="006F1C66">
              <w:rPr>
                <w:color w:val="000000"/>
                <w:sz w:val="24"/>
                <w:lang w:eastAsia="en-CA"/>
              </w:rPr>
              <w:t>653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20</w:t>
            </w:r>
            <w:r>
              <w:rPr>
                <w:color w:val="000000"/>
                <w:sz w:val="24"/>
                <w:lang w:eastAsia="en-CA"/>
              </w:rPr>
              <w:t xml:space="preserve"> </w:t>
            </w:r>
            <w:r w:rsidRPr="006F1C66">
              <w:rPr>
                <w:color w:val="000000"/>
                <w:sz w:val="24"/>
                <w:lang w:eastAsia="en-CA"/>
              </w:rPr>
              <w:t>840</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40</w:t>
            </w:r>
            <w:r>
              <w:rPr>
                <w:sz w:val="24"/>
                <w:lang w:eastAsia="en-CA"/>
              </w:rPr>
              <w:t xml:space="preserve"> </w:t>
            </w:r>
            <w:r w:rsidRPr="006F1C66">
              <w:rPr>
                <w:sz w:val="24"/>
                <w:lang w:eastAsia="en-CA"/>
              </w:rPr>
              <w:t>492</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Default="00D15055" w:rsidP="00D15055">
            <w:pPr>
              <w:spacing w:line="240" w:lineRule="auto"/>
              <w:rPr>
                <w:sz w:val="24"/>
                <w:lang w:eastAsia="en-CA"/>
              </w:rPr>
            </w:pPr>
            <w:r>
              <w:rPr>
                <w:sz w:val="24"/>
                <w:lang w:eastAsia="en-CA"/>
              </w:rPr>
              <w:t>Eslovaquia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160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296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5</w:t>
            </w:r>
            <w:r>
              <w:rPr>
                <w:color w:val="000000"/>
                <w:sz w:val="24"/>
                <w:lang w:eastAsia="en-CA"/>
              </w:rPr>
              <w:t xml:space="preserve"> </w:t>
            </w:r>
            <w:r w:rsidRPr="006F1C66">
              <w:rPr>
                <w:color w:val="000000"/>
                <w:sz w:val="24"/>
                <w:lang w:eastAsia="en-CA"/>
              </w:rPr>
              <w:t>206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5</w:t>
            </w:r>
            <w:r>
              <w:rPr>
                <w:color w:val="000000"/>
                <w:sz w:val="24"/>
                <w:lang w:eastAsia="en-CA"/>
              </w:rPr>
              <w:t xml:space="preserve"> </w:t>
            </w:r>
            <w:r w:rsidRPr="006F1C66">
              <w:rPr>
                <w:color w:val="000000"/>
                <w:sz w:val="24"/>
                <w:lang w:eastAsia="en-CA"/>
              </w:rPr>
              <w:t>520</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10</w:t>
            </w:r>
            <w:r>
              <w:rPr>
                <w:sz w:val="24"/>
                <w:lang w:eastAsia="en-CA"/>
              </w:rPr>
              <w:t xml:space="preserve"> </w:t>
            </w:r>
            <w:r w:rsidRPr="006F1C66">
              <w:rPr>
                <w:sz w:val="24"/>
                <w:lang w:eastAsia="en-CA"/>
              </w:rPr>
              <w:t>726</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Pr>
                <w:sz w:val="24"/>
                <w:lang w:eastAsia="en-CA"/>
              </w:rPr>
              <w:lastRenderedPageBreak/>
              <w:t>España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2</w:t>
            </w:r>
            <w:r>
              <w:rPr>
                <w:sz w:val="24"/>
                <w:lang w:eastAsia="en-CA"/>
              </w:rPr>
              <w:t>,</w:t>
            </w:r>
            <w:r w:rsidRPr="006F1C66">
              <w:rPr>
                <w:sz w:val="24"/>
                <w:lang w:eastAsia="en-CA"/>
              </w:rPr>
              <w:t>443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Pr>
                <w:sz w:val="24"/>
                <w:lang w:eastAsia="en-CA"/>
              </w:rPr>
              <w:t>4,</w:t>
            </w:r>
            <w:r w:rsidRPr="006F1C66">
              <w:rPr>
                <w:sz w:val="24"/>
                <w:lang w:eastAsia="en-CA"/>
              </w:rPr>
              <w:t>514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79</w:t>
            </w:r>
            <w:r>
              <w:rPr>
                <w:color w:val="000000"/>
                <w:sz w:val="24"/>
                <w:lang w:eastAsia="en-CA"/>
              </w:rPr>
              <w:t xml:space="preserve"> </w:t>
            </w:r>
            <w:r w:rsidRPr="006F1C66">
              <w:rPr>
                <w:color w:val="000000"/>
                <w:sz w:val="24"/>
                <w:lang w:eastAsia="en-CA"/>
              </w:rPr>
              <w:t>489</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84</w:t>
            </w:r>
            <w:r>
              <w:rPr>
                <w:color w:val="000000"/>
                <w:sz w:val="24"/>
                <w:lang w:eastAsia="en-CA"/>
              </w:rPr>
              <w:t xml:space="preserve"> </w:t>
            </w:r>
            <w:r w:rsidRPr="006F1C66">
              <w:rPr>
                <w:color w:val="000000"/>
                <w:sz w:val="24"/>
                <w:lang w:eastAsia="en-CA"/>
              </w:rPr>
              <w:t>290</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163</w:t>
            </w:r>
            <w:r>
              <w:rPr>
                <w:sz w:val="24"/>
                <w:lang w:eastAsia="en-CA"/>
              </w:rPr>
              <w:t xml:space="preserve"> </w:t>
            </w:r>
            <w:r w:rsidRPr="006F1C66">
              <w:rPr>
                <w:sz w:val="24"/>
                <w:lang w:eastAsia="en-CA"/>
              </w:rPr>
              <w:t>779</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E</w:t>
            </w:r>
            <w:r>
              <w:rPr>
                <w:sz w:val="24"/>
                <w:lang w:eastAsia="en-CA"/>
              </w:rPr>
              <w:t>swatani</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134</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Etiop</w:t>
            </w:r>
            <w:r>
              <w:rPr>
                <w:sz w:val="24"/>
                <w:lang w:eastAsia="en-CA"/>
              </w:rPr>
              <w:t>í</w:t>
            </w:r>
            <w:r w:rsidRPr="006F1C66">
              <w:rPr>
                <w:sz w:val="24"/>
                <w:lang w:eastAsia="en-CA"/>
              </w:rPr>
              <w:t>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363</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Fiji</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201</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Pr>
                <w:sz w:val="24"/>
                <w:lang w:eastAsia="en-CA"/>
              </w:rPr>
              <w:t>Filipinas</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165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305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5</w:t>
            </w:r>
            <w:r>
              <w:rPr>
                <w:color w:val="000000"/>
                <w:sz w:val="24"/>
                <w:lang w:eastAsia="en-CA"/>
              </w:rPr>
              <w:t xml:space="preserve"> </w:t>
            </w:r>
            <w:r w:rsidRPr="006F1C66">
              <w:rPr>
                <w:color w:val="000000"/>
                <w:sz w:val="24"/>
                <w:lang w:eastAsia="en-CA"/>
              </w:rPr>
              <w:t>369</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5</w:t>
            </w:r>
            <w:r>
              <w:rPr>
                <w:color w:val="000000"/>
                <w:sz w:val="24"/>
                <w:lang w:eastAsia="en-CA"/>
              </w:rPr>
              <w:t xml:space="preserve"> </w:t>
            </w:r>
            <w:r w:rsidRPr="006F1C66">
              <w:rPr>
                <w:color w:val="000000"/>
                <w:sz w:val="24"/>
                <w:lang w:eastAsia="en-CA"/>
              </w:rPr>
              <w:t>693</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11</w:t>
            </w:r>
            <w:r>
              <w:rPr>
                <w:sz w:val="24"/>
                <w:lang w:eastAsia="en-CA"/>
              </w:rPr>
              <w:t xml:space="preserve"> </w:t>
            </w:r>
            <w:r w:rsidRPr="006F1C66">
              <w:rPr>
                <w:sz w:val="24"/>
                <w:lang w:eastAsia="en-CA"/>
              </w:rPr>
              <w:t>062</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Finland</w:t>
            </w:r>
            <w:r>
              <w:rPr>
                <w:sz w:val="24"/>
                <w:lang w:eastAsia="en-CA"/>
              </w:rPr>
              <w:t>ia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456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843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14</w:t>
            </w:r>
            <w:r>
              <w:rPr>
                <w:color w:val="000000"/>
                <w:sz w:val="24"/>
                <w:lang w:eastAsia="en-CA"/>
              </w:rPr>
              <w:t xml:space="preserve"> </w:t>
            </w:r>
            <w:r w:rsidRPr="006F1C66">
              <w:rPr>
                <w:color w:val="000000"/>
                <w:sz w:val="24"/>
                <w:lang w:eastAsia="en-CA"/>
              </w:rPr>
              <w:t>837</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15</w:t>
            </w:r>
            <w:r>
              <w:rPr>
                <w:color w:val="000000"/>
                <w:sz w:val="24"/>
                <w:lang w:eastAsia="en-CA"/>
              </w:rPr>
              <w:t xml:space="preserve"> </w:t>
            </w:r>
            <w:r w:rsidRPr="006F1C66">
              <w:rPr>
                <w:color w:val="000000"/>
                <w:sz w:val="24"/>
                <w:lang w:eastAsia="en-CA"/>
              </w:rPr>
              <w:t>733</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30</w:t>
            </w:r>
            <w:r>
              <w:rPr>
                <w:sz w:val="24"/>
                <w:lang w:eastAsia="en-CA"/>
              </w:rPr>
              <w:t xml:space="preserve"> </w:t>
            </w:r>
            <w:r w:rsidRPr="006F1C66">
              <w:rPr>
                <w:sz w:val="24"/>
                <w:lang w:eastAsia="en-CA"/>
              </w:rPr>
              <w:t>570</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Franc</w:t>
            </w:r>
            <w:r>
              <w:rPr>
                <w:sz w:val="24"/>
                <w:lang w:eastAsia="en-CA"/>
              </w:rPr>
              <w:t>ia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4</w:t>
            </w:r>
            <w:r>
              <w:rPr>
                <w:sz w:val="24"/>
                <w:lang w:eastAsia="en-CA"/>
              </w:rPr>
              <w:t>,</w:t>
            </w:r>
            <w:r w:rsidRPr="006F1C66">
              <w:rPr>
                <w:sz w:val="24"/>
                <w:lang w:eastAsia="en-CA"/>
              </w:rPr>
              <w:t>859</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8</w:t>
            </w:r>
            <w:r>
              <w:rPr>
                <w:sz w:val="24"/>
                <w:lang w:eastAsia="en-CA"/>
              </w:rPr>
              <w:t>,</w:t>
            </w:r>
            <w:r w:rsidRPr="006F1C66">
              <w:rPr>
                <w:sz w:val="24"/>
                <w:lang w:eastAsia="en-CA"/>
              </w:rPr>
              <w:t>978</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158</w:t>
            </w:r>
            <w:r>
              <w:rPr>
                <w:color w:val="000000"/>
                <w:sz w:val="24"/>
                <w:lang w:eastAsia="en-CA"/>
              </w:rPr>
              <w:t xml:space="preserve"> </w:t>
            </w:r>
            <w:r w:rsidRPr="006F1C66">
              <w:rPr>
                <w:color w:val="000000"/>
                <w:sz w:val="24"/>
                <w:lang w:eastAsia="en-CA"/>
              </w:rPr>
              <w:t>099</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167</w:t>
            </w:r>
            <w:r>
              <w:rPr>
                <w:color w:val="000000"/>
                <w:sz w:val="24"/>
                <w:lang w:eastAsia="en-CA"/>
              </w:rPr>
              <w:t xml:space="preserve"> </w:t>
            </w:r>
            <w:r w:rsidRPr="006F1C66">
              <w:rPr>
                <w:color w:val="000000"/>
                <w:sz w:val="24"/>
                <w:lang w:eastAsia="en-CA"/>
              </w:rPr>
              <w:t>649</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325</w:t>
            </w:r>
            <w:r>
              <w:rPr>
                <w:sz w:val="24"/>
                <w:lang w:eastAsia="en-CA"/>
              </w:rPr>
              <w:t xml:space="preserve"> </w:t>
            </w:r>
            <w:r w:rsidRPr="006F1C66">
              <w:rPr>
                <w:sz w:val="24"/>
                <w:lang w:eastAsia="en-CA"/>
              </w:rPr>
              <w:t>747</w:t>
            </w:r>
          </w:p>
        </w:tc>
      </w:tr>
      <w:tr w:rsidR="00D15055" w:rsidRPr="006F1C66" w:rsidTr="00D15055">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Gab</w:t>
            </w:r>
            <w:r>
              <w:rPr>
                <w:sz w:val="24"/>
                <w:lang w:eastAsia="en-CA"/>
              </w:rPr>
              <w:t>ón</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017</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031</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553</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587</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w:t>
            </w:r>
            <w:r>
              <w:rPr>
                <w:sz w:val="24"/>
                <w:lang w:eastAsia="en-CA"/>
              </w:rPr>
              <w:t xml:space="preserve"> </w:t>
            </w:r>
            <w:r w:rsidRPr="006F1C66">
              <w:rPr>
                <w:sz w:val="24"/>
                <w:lang w:eastAsia="en-CA"/>
              </w:rPr>
              <w:t>140</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Gambia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67</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1060B2" w:rsidRDefault="00D15055" w:rsidP="00D15055">
            <w:pPr>
              <w:spacing w:line="240" w:lineRule="auto"/>
              <w:rPr>
                <w:color w:val="FF0000"/>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Guatemala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028</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Pr>
                <w:sz w:val="24"/>
                <w:lang w:eastAsia="en-CA"/>
              </w:rPr>
              <w:t>0,</w:t>
            </w:r>
            <w:r w:rsidRPr="006F1C66">
              <w:rPr>
                <w:sz w:val="24"/>
                <w:lang w:eastAsia="en-CA"/>
              </w:rPr>
              <w:t>052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911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966</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w:t>
            </w:r>
            <w:r>
              <w:rPr>
                <w:sz w:val="24"/>
                <w:lang w:eastAsia="en-CA"/>
              </w:rPr>
              <w:t xml:space="preserve"> </w:t>
            </w:r>
            <w:r w:rsidRPr="006F1C66">
              <w:rPr>
                <w:sz w:val="24"/>
                <w:lang w:eastAsia="en-CA"/>
              </w:rPr>
              <w:t>877</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Guinea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134</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Guinea-Bissau</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67</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Guyana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134</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Honduras</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008</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015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260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276</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536</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Hung</w:t>
            </w:r>
            <w:r>
              <w:rPr>
                <w:sz w:val="24"/>
                <w:lang w:eastAsia="en-CA"/>
              </w:rPr>
              <w:t>ría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161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297</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5</w:t>
            </w:r>
            <w:r>
              <w:rPr>
                <w:color w:val="000000"/>
                <w:sz w:val="24"/>
                <w:lang w:eastAsia="en-CA"/>
              </w:rPr>
              <w:t xml:space="preserve"> </w:t>
            </w:r>
            <w:r w:rsidRPr="006F1C66">
              <w:rPr>
                <w:color w:val="000000"/>
                <w:sz w:val="24"/>
                <w:lang w:eastAsia="en-CA"/>
              </w:rPr>
              <w:t>239</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5</w:t>
            </w:r>
            <w:r>
              <w:rPr>
                <w:color w:val="000000"/>
                <w:sz w:val="24"/>
                <w:lang w:eastAsia="en-CA"/>
              </w:rPr>
              <w:t xml:space="preserve"> </w:t>
            </w:r>
            <w:r w:rsidRPr="006F1C66">
              <w:rPr>
                <w:color w:val="000000"/>
                <w:sz w:val="24"/>
                <w:lang w:eastAsia="en-CA"/>
              </w:rPr>
              <w:t>555</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10</w:t>
            </w:r>
            <w:r>
              <w:rPr>
                <w:sz w:val="24"/>
                <w:lang w:eastAsia="en-CA"/>
              </w:rPr>
              <w:t xml:space="preserve"> </w:t>
            </w:r>
            <w:r w:rsidRPr="006F1C66">
              <w:rPr>
                <w:sz w:val="24"/>
                <w:lang w:eastAsia="en-CA"/>
              </w:rPr>
              <w:t>793</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India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737</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w:t>
            </w:r>
            <w:r>
              <w:rPr>
                <w:sz w:val="24"/>
                <w:lang w:eastAsia="en-CA"/>
              </w:rPr>
              <w:t>,</w:t>
            </w:r>
            <w:r w:rsidRPr="006F1C66">
              <w:rPr>
                <w:sz w:val="24"/>
                <w:lang w:eastAsia="en-CA"/>
              </w:rPr>
              <w:t>362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23</w:t>
            </w:r>
            <w:r>
              <w:rPr>
                <w:color w:val="000000"/>
                <w:sz w:val="24"/>
                <w:lang w:eastAsia="en-CA"/>
              </w:rPr>
              <w:t xml:space="preserve"> </w:t>
            </w:r>
            <w:r w:rsidRPr="006F1C66">
              <w:rPr>
                <w:color w:val="000000"/>
                <w:sz w:val="24"/>
                <w:lang w:eastAsia="en-CA"/>
              </w:rPr>
              <w:t>980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25</w:t>
            </w:r>
            <w:r>
              <w:rPr>
                <w:color w:val="000000"/>
                <w:sz w:val="24"/>
                <w:lang w:eastAsia="en-CA"/>
              </w:rPr>
              <w:t xml:space="preserve"> </w:t>
            </w:r>
            <w:r w:rsidRPr="006F1C66">
              <w:rPr>
                <w:color w:val="000000"/>
                <w:sz w:val="24"/>
                <w:lang w:eastAsia="en-CA"/>
              </w:rPr>
              <w:t>428</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49</w:t>
            </w:r>
            <w:r>
              <w:rPr>
                <w:sz w:val="24"/>
                <w:lang w:eastAsia="en-CA"/>
              </w:rPr>
              <w:t xml:space="preserve"> </w:t>
            </w:r>
            <w:r w:rsidRPr="006F1C66">
              <w:rPr>
                <w:sz w:val="24"/>
                <w:lang w:eastAsia="en-CA"/>
              </w:rPr>
              <w:t>408</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Indonesia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504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931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16</w:t>
            </w:r>
            <w:r>
              <w:rPr>
                <w:color w:val="000000"/>
                <w:sz w:val="24"/>
                <w:lang w:eastAsia="en-CA"/>
              </w:rPr>
              <w:t xml:space="preserve"> </w:t>
            </w:r>
            <w:r w:rsidRPr="006F1C66">
              <w:rPr>
                <w:color w:val="000000"/>
                <w:sz w:val="24"/>
                <w:lang w:eastAsia="en-CA"/>
              </w:rPr>
              <w:t>399</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17</w:t>
            </w:r>
            <w:r>
              <w:rPr>
                <w:color w:val="000000"/>
                <w:sz w:val="24"/>
                <w:lang w:eastAsia="en-CA"/>
              </w:rPr>
              <w:t xml:space="preserve"> </w:t>
            </w:r>
            <w:r w:rsidRPr="006F1C66">
              <w:rPr>
                <w:color w:val="000000"/>
                <w:sz w:val="24"/>
                <w:lang w:eastAsia="en-CA"/>
              </w:rPr>
              <w:t>389</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33</w:t>
            </w:r>
            <w:r>
              <w:rPr>
                <w:sz w:val="24"/>
                <w:lang w:eastAsia="en-CA"/>
              </w:rPr>
              <w:t xml:space="preserve"> </w:t>
            </w:r>
            <w:r w:rsidRPr="006F1C66">
              <w:rPr>
                <w:sz w:val="24"/>
                <w:lang w:eastAsia="en-CA"/>
              </w:rPr>
              <w:t>788</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Pr>
                <w:sz w:val="24"/>
                <w:lang w:eastAsia="en-CA"/>
              </w:rPr>
              <w:t>Islas Marshall</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67</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lastRenderedPageBreak/>
              <w:t>Jap</w:t>
            </w:r>
            <w:r>
              <w:rPr>
                <w:sz w:val="24"/>
                <w:lang w:eastAsia="en-CA"/>
              </w:rPr>
              <w:t>ó</w:t>
            </w:r>
            <w:r w:rsidRPr="006F1C66">
              <w:rPr>
                <w:sz w:val="24"/>
                <w:lang w:eastAsia="en-CA"/>
              </w:rPr>
              <w:t>n</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9</w:t>
            </w:r>
            <w:r>
              <w:rPr>
                <w:sz w:val="24"/>
                <w:lang w:eastAsia="en-CA"/>
              </w:rPr>
              <w:t>,</w:t>
            </w:r>
            <w:r w:rsidRPr="006F1C66">
              <w:rPr>
                <w:sz w:val="24"/>
                <w:lang w:eastAsia="en-CA"/>
              </w:rPr>
              <w:t>680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17</w:t>
            </w:r>
            <w:r>
              <w:rPr>
                <w:sz w:val="24"/>
                <w:lang w:eastAsia="en-CA"/>
              </w:rPr>
              <w:t>,</w:t>
            </w:r>
            <w:r w:rsidRPr="006F1C66">
              <w:rPr>
                <w:sz w:val="24"/>
                <w:lang w:eastAsia="en-CA"/>
              </w:rPr>
              <w:t>886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314</w:t>
            </w:r>
            <w:r>
              <w:rPr>
                <w:color w:val="000000"/>
                <w:sz w:val="24"/>
                <w:lang w:eastAsia="en-CA"/>
              </w:rPr>
              <w:t xml:space="preserve"> </w:t>
            </w:r>
            <w:r w:rsidRPr="006F1C66">
              <w:rPr>
                <w:color w:val="000000"/>
                <w:sz w:val="24"/>
                <w:lang w:eastAsia="en-CA"/>
              </w:rPr>
              <w:t>961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333</w:t>
            </w:r>
            <w:r>
              <w:rPr>
                <w:color w:val="000000"/>
                <w:sz w:val="24"/>
                <w:lang w:eastAsia="en-CA"/>
              </w:rPr>
              <w:t xml:space="preserve"> </w:t>
            </w:r>
            <w:r w:rsidRPr="006F1C66">
              <w:rPr>
                <w:color w:val="000000"/>
                <w:sz w:val="24"/>
                <w:lang w:eastAsia="en-CA"/>
              </w:rPr>
              <w:t>986</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648</w:t>
            </w:r>
            <w:r>
              <w:rPr>
                <w:sz w:val="24"/>
                <w:lang w:eastAsia="en-CA"/>
              </w:rPr>
              <w:t xml:space="preserve"> </w:t>
            </w:r>
            <w:r w:rsidRPr="006F1C66">
              <w:rPr>
                <w:sz w:val="24"/>
                <w:lang w:eastAsia="en-CA"/>
              </w:rPr>
              <w:t>947</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Jordan</w:t>
            </w:r>
            <w:r>
              <w:rPr>
                <w:sz w:val="24"/>
                <w:lang w:eastAsia="en-CA"/>
              </w:rPr>
              <w:t>ia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020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037</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651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690</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w:t>
            </w:r>
            <w:r>
              <w:rPr>
                <w:sz w:val="24"/>
                <w:lang w:eastAsia="en-CA"/>
              </w:rPr>
              <w:t xml:space="preserve"> </w:t>
            </w:r>
            <w:r w:rsidRPr="006F1C66">
              <w:rPr>
                <w:sz w:val="24"/>
                <w:lang w:eastAsia="en-CA"/>
              </w:rPr>
              <w:t>341</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Kaza</w:t>
            </w:r>
            <w:r>
              <w:rPr>
                <w:sz w:val="24"/>
                <w:lang w:eastAsia="en-CA"/>
              </w:rPr>
              <w:t>jstán</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191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353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6</w:t>
            </w:r>
            <w:r>
              <w:rPr>
                <w:color w:val="000000"/>
                <w:sz w:val="24"/>
                <w:lang w:eastAsia="en-CA"/>
              </w:rPr>
              <w:t xml:space="preserve"> </w:t>
            </w:r>
            <w:r w:rsidRPr="006F1C66">
              <w:rPr>
                <w:color w:val="000000"/>
                <w:sz w:val="24"/>
                <w:lang w:eastAsia="en-CA"/>
              </w:rPr>
              <w:t>215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6</w:t>
            </w:r>
            <w:r>
              <w:rPr>
                <w:color w:val="000000"/>
                <w:sz w:val="24"/>
                <w:lang w:eastAsia="en-CA"/>
              </w:rPr>
              <w:t xml:space="preserve"> </w:t>
            </w:r>
            <w:r w:rsidRPr="006F1C66">
              <w:rPr>
                <w:color w:val="000000"/>
                <w:sz w:val="24"/>
                <w:lang w:eastAsia="en-CA"/>
              </w:rPr>
              <w:t>590</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12</w:t>
            </w:r>
            <w:r>
              <w:rPr>
                <w:sz w:val="24"/>
                <w:lang w:eastAsia="en-CA"/>
              </w:rPr>
              <w:t xml:space="preserve"> </w:t>
            </w:r>
            <w:r w:rsidRPr="006F1C66">
              <w:rPr>
                <w:sz w:val="24"/>
                <w:lang w:eastAsia="en-CA"/>
              </w:rPr>
              <w:t>805</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Kenya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018</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033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586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621</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w:t>
            </w:r>
            <w:r>
              <w:rPr>
                <w:sz w:val="24"/>
                <w:lang w:eastAsia="en-CA"/>
              </w:rPr>
              <w:t xml:space="preserve"> </w:t>
            </w:r>
            <w:r w:rsidRPr="006F1C66">
              <w:rPr>
                <w:sz w:val="24"/>
                <w:lang w:eastAsia="en-CA"/>
              </w:rPr>
              <w:t>207</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Pr>
                <w:sz w:val="24"/>
                <w:lang w:eastAsia="en-CA"/>
              </w:rPr>
              <w:t>Kirguistán</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134</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Kuwait</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285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527</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9</w:t>
            </w:r>
            <w:r>
              <w:rPr>
                <w:color w:val="000000"/>
                <w:sz w:val="24"/>
                <w:lang w:eastAsia="en-CA"/>
              </w:rPr>
              <w:t xml:space="preserve"> </w:t>
            </w:r>
            <w:r w:rsidRPr="006F1C66">
              <w:rPr>
                <w:color w:val="000000"/>
                <w:sz w:val="24"/>
                <w:lang w:eastAsia="en-CA"/>
              </w:rPr>
              <w:t>273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9</w:t>
            </w:r>
            <w:r>
              <w:rPr>
                <w:color w:val="000000"/>
                <w:sz w:val="24"/>
                <w:lang w:eastAsia="en-CA"/>
              </w:rPr>
              <w:t xml:space="preserve"> </w:t>
            </w:r>
            <w:r w:rsidRPr="006F1C66">
              <w:rPr>
                <w:color w:val="000000"/>
                <w:sz w:val="24"/>
                <w:lang w:eastAsia="en-CA"/>
              </w:rPr>
              <w:t>833</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19</w:t>
            </w:r>
            <w:r>
              <w:rPr>
                <w:sz w:val="24"/>
                <w:lang w:eastAsia="en-CA"/>
              </w:rPr>
              <w:t xml:space="preserve"> </w:t>
            </w:r>
            <w:r w:rsidRPr="006F1C66">
              <w:rPr>
                <w:sz w:val="24"/>
                <w:lang w:eastAsia="en-CA"/>
              </w:rPr>
              <w:t>106</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D96D25" w:rsidRDefault="00D15055" w:rsidP="00D15055">
            <w:pPr>
              <w:spacing w:line="240" w:lineRule="auto"/>
              <w:rPr>
                <w:sz w:val="24"/>
                <w:lang w:eastAsia="en-CA"/>
              </w:rPr>
            </w:pPr>
            <w:r w:rsidRPr="00D96D25">
              <w:rPr>
                <w:sz w:val="24"/>
                <w:lang w:eastAsia="en-CA"/>
              </w:rPr>
              <w:t>Lesotho</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67</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D96D25" w:rsidRDefault="00D15055" w:rsidP="00D15055">
            <w:pPr>
              <w:spacing w:line="240" w:lineRule="auto"/>
              <w:rPr>
                <w:sz w:val="24"/>
                <w:lang w:eastAsia="en-CA"/>
              </w:rPr>
            </w:pPr>
            <w:r w:rsidRPr="00D96D25">
              <w:rPr>
                <w:sz w:val="24"/>
                <w:lang w:eastAsia="en-CA"/>
              </w:rPr>
              <w:t>Líbano</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046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085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497</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587</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3</w:t>
            </w:r>
            <w:r>
              <w:rPr>
                <w:sz w:val="24"/>
                <w:lang w:eastAsia="en-CA"/>
              </w:rPr>
              <w:t xml:space="preserve"> </w:t>
            </w:r>
            <w:r w:rsidRPr="006F1C66">
              <w:rPr>
                <w:sz w:val="24"/>
                <w:lang w:eastAsia="en-CA"/>
              </w:rPr>
              <w:t>084</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L</w:t>
            </w:r>
            <w:r>
              <w:rPr>
                <w:sz w:val="24"/>
                <w:lang w:eastAsia="en-CA"/>
              </w:rPr>
              <w:t>iberia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67</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D96D25" w:rsidRDefault="00D15055" w:rsidP="00D15055">
            <w:pPr>
              <w:spacing w:line="240" w:lineRule="auto"/>
              <w:rPr>
                <w:sz w:val="24"/>
                <w:lang w:eastAsia="en-CA"/>
              </w:rPr>
            </w:pPr>
            <w:r w:rsidRPr="00D96D25">
              <w:rPr>
                <w:sz w:val="24"/>
                <w:lang w:eastAsia="en-CA"/>
              </w:rPr>
              <w:t>Luxemburgo</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064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Pr>
                <w:sz w:val="24"/>
                <w:lang w:eastAsia="en-CA"/>
              </w:rPr>
              <w:t>0,</w:t>
            </w:r>
            <w:r w:rsidRPr="006F1C66">
              <w:rPr>
                <w:sz w:val="24"/>
                <w:lang w:eastAsia="en-CA"/>
              </w:rPr>
              <w:t>118</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w:t>
            </w:r>
            <w:r>
              <w:rPr>
                <w:color w:val="000000"/>
                <w:sz w:val="24"/>
                <w:lang w:eastAsia="en-CA"/>
              </w:rPr>
              <w:t xml:space="preserve"> </w:t>
            </w:r>
            <w:r w:rsidRPr="006F1C66">
              <w:rPr>
                <w:color w:val="000000"/>
                <w:sz w:val="24"/>
                <w:lang w:eastAsia="en-CA"/>
              </w:rPr>
              <w:t>082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w:t>
            </w:r>
            <w:r>
              <w:rPr>
                <w:color w:val="000000"/>
                <w:sz w:val="24"/>
                <w:lang w:eastAsia="en-CA"/>
              </w:rPr>
              <w:t xml:space="preserve"> </w:t>
            </w:r>
            <w:r w:rsidRPr="006F1C66">
              <w:rPr>
                <w:color w:val="000000"/>
                <w:sz w:val="24"/>
                <w:lang w:eastAsia="en-CA"/>
              </w:rPr>
              <w:t>208</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4</w:t>
            </w:r>
            <w:r>
              <w:rPr>
                <w:sz w:val="24"/>
                <w:lang w:eastAsia="en-CA"/>
              </w:rPr>
              <w:t xml:space="preserve"> </w:t>
            </w:r>
            <w:r w:rsidRPr="006F1C66">
              <w:rPr>
                <w:sz w:val="24"/>
                <w:lang w:eastAsia="en-CA"/>
              </w:rPr>
              <w:t>291</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Madagascar</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201</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D96D25" w:rsidRDefault="00D15055" w:rsidP="00D15055">
            <w:pPr>
              <w:spacing w:line="240" w:lineRule="auto"/>
              <w:rPr>
                <w:sz w:val="24"/>
                <w:lang w:eastAsia="en-CA"/>
              </w:rPr>
            </w:pPr>
            <w:r w:rsidRPr="00D96D25">
              <w:rPr>
                <w:sz w:val="24"/>
                <w:lang w:eastAsia="en-CA"/>
              </w:rPr>
              <w:t>Malawi</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134</w:t>
            </w:r>
          </w:p>
        </w:tc>
      </w:tr>
      <w:tr w:rsidR="00D15055" w:rsidRPr="006F1C66" w:rsidTr="00D15055">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Pr>
                <w:sz w:val="24"/>
                <w:lang w:eastAsia="en-CA"/>
              </w:rPr>
              <w:t>Malí</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003</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006</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98</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104</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201</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Pr>
                <w:sz w:val="24"/>
                <w:lang w:eastAsia="en-CA"/>
              </w:rPr>
              <w:t>Malta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016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030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521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552</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w:t>
            </w:r>
            <w:r>
              <w:rPr>
                <w:sz w:val="24"/>
                <w:lang w:eastAsia="en-CA"/>
              </w:rPr>
              <w:t xml:space="preserve"> </w:t>
            </w:r>
            <w:r w:rsidRPr="006F1C66">
              <w:rPr>
                <w:sz w:val="24"/>
                <w:lang w:eastAsia="en-CA"/>
              </w:rPr>
              <w:t>073</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Pr>
                <w:sz w:val="24"/>
                <w:lang w:eastAsia="en-CA"/>
              </w:rPr>
              <w:t>Mauricio</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012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Pr>
                <w:sz w:val="24"/>
                <w:lang w:eastAsia="en-CA"/>
              </w:rPr>
              <w:t>0,</w:t>
            </w:r>
            <w:r w:rsidRPr="006F1C66">
              <w:rPr>
                <w:sz w:val="24"/>
                <w:lang w:eastAsia="en-CA"/>
              </w:rPr>
              <w:t>022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390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414</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804</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D96D25" w:rsidRDefault="00D15055" w:rsidP="00D15055">
            <w:pPr>
              <w:spacing w:line="240" w:lineRule="auto"/>
              <w:rPr>
                <w:sz w:val="24"/>
                <w:lang w:eastAsia="en-CA"/>
              </w:rPr>
            </w:pPr>
            <w:r w:rsidRPr="00D96D25">
              <w:rPr>
                <w:sz w:val="24"/>
                <w:lang w:eastAsia="en-CA"/>
              </w:rPr>
              <w:t>Mauritania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134</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1B184B" w:rsidRDefault="00D15055" w:rsidP="00D15055">
            <w:pPr>
              <w:spacing w:line="240" w:lineRule="auto"/>
              <w:rPr>
                <w:sz w:val="24"/>
                <w:lang w:eastAsia="en-CA"/>
              </w:rPr>
            </w:pPr>
            <w:r w:rsidRPr="001B184B">
              <w:rPr>
                <w:sz w:val="24"/>
                <w:lang w:eastAsia="en-CA"/>
              </w:rPr>
              <w:t xml:space="preserve">México </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w:t>
            </w:r>
            <w:r>
              <w:rPr>
                <w:sz w:val="24"/>
                <w:lang w:eastAsia="en-CA"/>
              </w:rPr>
              <w:t>,</w:t>
            </w:r>
            <w:r w:rsidRPr="006F1C66">
              <w:rPr>
                <w:sz w:val="24"/>
                <w:lang w:eastAsia="en-CA"/>
              </w:rPr>
              <w:t>435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2</w:t>
            </w:r>
            <w:r>
              <w:rPr>
                <w:sz w:val="24"/>
                <w:lang w:eastAsia="en-CA"/>
              </w:rPr>
              <w:t>,</w:t>
            </w:r>
            <w:r w:rsidRPr="006F1C66">
              <w:rPr>
                <w:sz w:val="24"/>
                <w:lang w:eastAsia="en-CA"/>
              </w:rPr>
              <w:t>651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46</w:t>
            </w:r>
            <w:r>
              <w:rPr>
                <w:color w:val="000000"/>
                <w:sz w:val="24"/>
                <w:lang w:eastAsia="en-CA"/>
              </w:rPr>
              <w:t xml:space="preserve"> </w:t>
            </w:r>
            <w:r w:rsidRPr="006F1C66">
              <w:rPr>
                <w:color w:val="000000"/>
                <w:sz w:val="24"/>
                <w:lang w:eastAsia="en-CA"/>
              </w:rPr>
              <w:t>691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49</w:t>
            </w:r>
            <w:r>
              <w:rPr>
                <w:color w:val="000000"/>
                <w:sz w:val="24"/>
                <w:lang w:eastAsia="en-CA"/>
              </w:rPr>
              <w:t xml:space="preserve"> </w:t>
            </w:r>
            <w:r w:rsidRPr="006F1C66">
              <w:rPr>
                <w:color w:val="000000"/>
                <w:sz w:val="24"/>
                <w:lang w:eastAsia="en-CA"/>
              </w:rPr>
              <w:t>511</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96</w:t>
            </w:r>
            <w:r>
              <w:rPr>
                <w:sz w:val="24"/>
                <w:lang w:eastAsia="en-CA"/>
              </w:rPr>
              <w:t xml:space="preserve"> </w:t>
            </w:r>
            <w:r w:rsidRPr="006F1C66">
              <w:rPr>
                <w:sz w:val="24"/>
                <w:lang w:eastAsia="en-CA"/>
              </w:rPr>
              <w:t>202</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1B184B" w:rsidRDefault="00D15055" w:rsidP="00D15055">
            <w:pPr>
              <w:spacing w:line="240" w:lineRule="auto"/>
              <w:rPr>
                <w:sz w:val="24"/>
                <w:lang w:eastAsia="en-CA"/>
              </w:rPr>
            </w:pPr>
            <w:r w:rsidRPr="001B184B">
              <w:rPr>
                <w:sz w:val="24"/>
                <w:lang w:eastAsia="en-CA"/>
              </w:rPr>
              <w:t>Micronesia (Estados Federados de)</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67</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lastRenderedPageBreak/>
              <w:t>M</w:t>
            </w:r>
            <w:r>
              <w:rPr>
                <w:sz w:val="24"/>
                <w:lang w:eastAsia="en-CA"/>
              </w:rPr>
              <w:t>ongolia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Pr>
                <w:sz w:val="24"/>
                <w:lang w:eastAsia="en-CA"/>
              </w:rPr>
              <w:t>0,</w:t>
            </w:r>
            <w:r w:rsidRPr="006F1C66">
              <w:rPr>
                <w:sz w:val="24"/>
                <w:lang w:eastAsia="en-CA"/>
              </w:rPr>
              <w:t>009</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163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173</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335</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M</w:t>
            </w:r>
            <w:r>
              <w:rPr>
                <w:sz w:val="24"/>
                <w:lang w:eastAsia="en-CA"/>
              </w:rPr>
              <w:t>ozambique</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Pr>
                <w:sz w:val="24"/>
                <w:lang w:eastAsia="en-CA"/>
              </w:rPr>
              <w:t>0,</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Pr>
                <w:sz w:val="24"/>
                <w:lang w:eastAsia="en-CA"/>
              </w:rPr>
              <w:t>0,</w:t>
            </w:r>
            <w:r w:rsidRPr="006F1C66">
              <w:rPr>
                <w:sz w:val="24"/>
                <w:lang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268</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M</w:t>
            </w:r>
            <w:r>
              <w:rPr>
                <w:sz w:val="24"/>
                <w:lang w:eastAsia="en-CA"/>
              </w:rPr>
              <w:t>yanmar</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363</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CF3DB4" w:rsidRDefault="00D15055" w:rsidP="00D15055">
            <w:pPr>
              <w:spacing w:line="240" w:lineRule="auto"/>
              <w:rPr>
                <w:sz w:val="24"/>
                <w:lang w:eastAsia="en-CA"/>
              </w:rPr>
            </w:pPr>
            <w:r w:rsidRPr="00CF3DB4">
              <w:rPr>
                <w:sz w:val="24"/>
                <w:lang w:eastAsia="en-CA"/>
              </w:rPr>
              <w:t>Namibia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018</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325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345</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670</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CF3DB4" w:rsidRDefault="00D15055" w:rsidP="00D15055">
            <w:pPr>
              <w:spacing w:line="240" w:lineRule="auto"/>
              <w:rPr>
                <w:sz w:val="24"/>
                <w:lang w:eastAsia="en-CA"/>
              </w:rPr>
            </w:pPr>
            <w:r w:rsidRPr="00CF3DB4">
              <w:rPr>
                <w:sz w:val="24"/>
                <w:lang w:eastAsia="en-CA"/>
              </w:rPr>
              <w:t>Níger</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134</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CF3DB4" w:rsidRDefault="00D15055" w:rsidP="00D15055">
            <w:pPr>
              <w:spacing w:line="240" w:lineRule="auto"/>
              <w:rPr>
                <w:sz w:val="24"/>
                <w:lang w:eastAsia="en-CA"/>
              </w:rPr>
            </w:pPr>
            <w:r w:rsidRPr="00CF3DB4">
              <w:rPr>
                <w:sz w:val="24"/>
                <w:lang w:eastAsia="en-CA"/>
              </w:rPr>
              <w:t>Noruega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849</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w:t>
            </w:r>
            <w:r>
              <w:rPr>
                <w:sz w:val="24"/>
                <w:lang w:eastAsia="en-CA"/>
              </w:rPr>
              <w:t>,</w:t>
            </w:r>
            <w:r w:rsidRPr="006F1C66">
              <w:rPr>
                <w:sz w:val="24"/>
                <w:lang w:eastAsia="en-CA"/>
              </w:rPr>
              <w:t>569</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27</w:t>
            </w:r>
            <w:r>
              <w:rPr>
                <w:color w:val="000000"/>
                <w:sz w:val="24"/>
                <w:lang w:eastAsia="en-CA"/>
              </w:rPr>
              <w:t xml:space="preserve"> </w:t>
            </w:r>
            <w:r w:rsidRPr="006F1C66">
              <w:rPr>
                <w:color w:val="000000"/>
                <w:sz w:val="24"/>
                <w:lang w:eastAsia="en-CA"/>
              </w:rPr>
              <w:t>624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29</w:t>
            </w:r>
            <w:r>
              <w:rPr>
                <w:color w:val="000000"/>
                <w:sz w:val="24"/>
                <w:lang w:eastAsia="en-CA"/>
              </w:rPr>
              <w:t xml:space="preserve"> </w:t>
            </w:r>
            <w:r w:rsidRPr="006F1C66">
              <w:rPr>
                <w:color w:val="000000"/>
                <w:sz w:val="24"/>
                <w:lang w:eastAsia="en-CA"/>
              </w:rPr>
              <w:t>293</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56</w:t>
            </w:r>
            <w:r>
              <w:rPr>
                <w:sz w:val="24"/>
                <w:lang w:eastAsia="en-CA"/>
              </w:rPr>
              <w:t xml:space="preserve"> </w:t>
            </w:r>
            <w:r w:rsidRPr="006F1C66">
              <w:rPr>
                <w:sz w:val="24"/>
                <w:lang w:eastAsia="en-CA"/>
              </w:rPr>
              <w:t>917</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Pr>
                <w:sz w:val="24"/>
                <w:lang w:eastAsia="en-CA"/>
              </w:rPr>
              <w:t>Países Bajos</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w:t>
            </w:r>
            <w:r>
              <w:rPr>
                <w:sz w:val="24"/>
                <w:lang w:eastAsia="en-CA"/>
              </w:rPr>
              <w:t>,</w:t>
            </w:r>
            <w:r w:rsidRPr="006F1C66">
              <w:rPr>
                <w:sz w:val="24"/>
                <w:lang w:eastAsia="en-CA"/>
              </w:rPr>
              <w:t>482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2</w:t>
            </w:r>
            <w:r>
              <w:rPr>
                <w:sz w:val="24"/>
                <w:lang w:eastAsia="en-CA"/>
              </w:rPr>
              <w:t>,</w:t>
            </w:r>
            <w:r w:rsidRPr="006F1C66">
              <w:rPr>
                <w:sz w:val="24"/>
                <w:lang w:eastAsia="en-CA"/>
              </w:rPr>
              <w:t>738</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48</w:t>
            </w:r>
            <w:r>
              <w:rPr>
                <w:color w:val="000000"/>
                <w:sz w:val="24"/>
                <w:lang w:eastAsia="en-CA"/>
              </w:rPr>
              <w:t xml:space="preserve"> </w:t>
            </w:r>
            <w:r w:rsidRPr="006F1C66">
              <w:rPr>
                <w:color w:val="000000"/>
                <w:sz w:val="24"/>
                <w:lang w:eastAsia="en-CA"/>
              </w:rPr>
              <w:t>220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51</w:t>
            </w:r>
            <w:r>
              <w:rPr>
                <w:color w:val="000000"/>
                <w:sz w:val="24"/>
                <w:lang w:eastAsia="en-CA"/>
              </w:rPr>
              <w:t xml:space="preserve"> </w:t>
            </w:r>
            <w:r w:rsidRPr="006F1C66">
              <w:rPr>
                <w:color w:val="000000"/>
                <w:sz w:val="24"/>
                <w:lang w:eastAsia="en-CA"/>
              </w:rPr>
              <w:t>133</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99</w:t>
            </w:r>
            <w:r>
              <w:rPr>
                <w:sz w:val="24"/>
                <w:lang w:eastAsia="en-CA"/>
              </w:rPr>
              <w:t xml:space="preserve"> </w:t>
            </w:r>
            <w:r w:rsidRPr="006F1C66">
              <w:rPr>
                <w:sz w:val="24"/>
                <w:lang w:eastAsia="en-CA"/>
              </w:rPr>
              <w:t>353</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Pakist</w:t>
            </w:r>
            <w:r>
              <w:rPr>
                <w:sz w:val="24"/>
                <w:lang w:eastAsia="en-CA"/>
              </w:rPr>
              <w:t>án</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093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172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w:t>
            </w:r>
            <w:r>
              <w:rPr>
                <w:color w:val="000000"/>
                <w:sz w:val="24"/>
                <w:lang w:eastAsia="en-CA"/>
              </w:rPr>
              <w:t xml:space="preserve"> </w:t>
            </w:r>
            <w:r w:rsidRPr="006F1C66">
              <w:rPr>
                <w:color w:val="000000"/>
                <w:sz w:val="24"/>
                <w:lang w:eastAsia="en-CA"/>
              </w:rPr>
              <w:t>026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w:t>
            </w:r>
            <w:r>
              <w:rPr>
                <w:color w:val="000000"/>
                <w:sz w:val="24"/>
                <w:lang w:eastAsia="en-CA"/>
              </w:rPr>
              <w:t xml:space="preserve"> </w:t>
            </w:r>
            <w:r w:rsidRPr="006F1C66">
              <w:rPr>
                <w:color w:val="000000"/>
                <w:sz w:val="24"/>
                <w:lang w:eastAsia="en-CA"/>
              </w:rPr>
              <w:t>209</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w:t>
            </w:r>
            <w:r>
              <w:rPr>
                <w:sz w:val="24"/>
                <w:lang w:eastAsia="en-CA"/>
              </w:rPr>
              <w:t xml:space="preserve"> </w:t>
            </w:r>
            <w:r w:rsidRPr="006F1C66">
              <w:rPr>
                <w:sz w:val="24"/>
                <w:lang w:eastAsia="en-CA"/>
              </w:rPr>
              <w:t>235</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Palau</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67</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Panam</w:t>
            </w:r>
            <w:r>
              <w:rPr>
                <w:sz w:val="24"/>
                <w:lang w:eastAsia="en-CA"/>
              </w:rPr>
              <w:t>á</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034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063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106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173</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2</w:t>
            </w:r>
            <w:r>
              <w:rPr>
                <w:sz w:val="24"/>
                <w:lang w:eastAsia="en-CA"/>
              </w:rPr>
              <w:t xml:space="preserve"> </w:t>
            </w:r>
            <w:r w:rsidRPr="006F1C66">
              <w:rPr>
                <w:sz w:val="24"/>
                <w:lang w:eastAsia="en-CA"/>
              </w:rPr>
              <w:t>279</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Per</w:t>
            </w:r>
            <w:r>
              <w:rPr>
                <w:sz w:val="24"/>
                <w:lang w:eastAsia="en-CA"/>
              </w:rPr>
              <w:t>ú</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136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251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4</w:t>
            </w:r>
            <w:r>
              <w:rPr>
                <w:color w:val="000000"/>
                <w:sz w:val="24"/>
                <w:lang w:eastAsia="en-CA"/>
              </w:rPr>
              <w:t xml:space="preserve"> </w:t>
            </w:r>
            <w:r w:rsidRPr="006F1C66">
              <w:rPr>
                <w:color w:val="000000"/>
                <w:sz w:val="24"/>
                <w:lang w:eastAsia="en-CA"/>
              </w:rPr>
              <w:t>425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4</w:t>
            </w:r>
            <w:r>
              <w:rPr>
                <w:color w:val="000000"/>
                <w:sz w:val="24"/>
                <w:lang w:eastAsia="en-CA"/>
              </w:rPr>
              <w:t xml:space="preserve"> </w:t>
            </w:r>
            <w:r w:rsidRPr="006F1C66">
              <w:rPr>
                <w:color w:val="000000"/>
                <w:sz w:val="24"/>
                <w:lang w:eastAsia="en-CA"/>
              </w:rPr>
              <w:t>692</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9</w:t>
            </w:r>
            <w:r>
              <w:rPr>
                <w:sz w:val="24"/>
                <w:lang w:eastAsia="en-CA"/>
              </w:rPr>
              <w:t xml:space="preserve"> </w:t>
            </w:r>
            <w:r w:rsidRPr="006F1C66">
              <w:rPr>
                <w:sz w:val="24"/>
                <w:lang w:eastAsia="en-CA"/>
              </w:rPr>
              <w:t>117</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CF3DB4" w:rsidRDefault="00D15055" w:rsidP="00D15055">
            <w:pPr>
              <w:spacing w:line="240" w:lineRule="auto"/>
              <w:rPr>
                <w:sz w:val="24"/>
                <w:lang w:eastAsia="en-CA"/>
              </w:rPr>
            </w:pPr>
            <w:r w:rsidRPr="00CF3DB4">
              <w:rPr>
                <w:sz w:val="24"/>
                <w:lang w:eastAsia="en-CA"/>
              </w:rPr>
              <w:t>Portugal</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392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724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12</w:t>
            </w:r>
            <w:r>
              <w:rPr>
                <w:color w:val="000000"/>
                <w:sz w:val="24"/>
                <w:lang w:eastAsia="en-CA"/>
              </w:rPr>
              <w:t xml:space="preserve"> </w:t>
            </w:r>
            <w:r w:rsidRPr="006F1C66">
              <w:rPr>
                <w:color w:val="000000"/>
                <w:sz w:val="24"/>
                <w:lang w:eastAsia="en-CA"/>
              </w:rPr>
              <w:t>755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13</w:t>
            </w:r>
            <w:r>
              <w:rPr>
                <w:color w:val="000000"/>
                <w:sz w:val="24"/>
                <w:lang w:eastAsia="en-CA"/>
              </w:rPr>
              <w:t xml:space="preserve"> </w:t>
            </w:r>
            <w:r w:rsidRPr="006F1C66">
              <w:rPr>
                <w:color w:val="000000"/>
                <w:sz w:val="24"/>
                <w:lang w:eastAsia="en-CA"/>
              </w:rPr>
              <w:t>525</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26</w:t>
            </w:r>
            <w:r>
              <w:rPr>
                <w:sz w:val="24"/>
                <w:lang w:eastAsia="en-CA"/>
              </w:rPr>
              <w:t xml:space="preserve"> </w:t>
            </w:r>
            <w:r w:rsidRPr="006F1C66">
              <w:rPr>
                <w:sz w:val="24"/>
                <w:lang w:eastAsia="en-CA"/>
              </w:rPr>
              <w:t>280</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Pr>
                <w:sz w:val="24"/>
                <w:lang w:eastAsia="en-CA"/>
              </w:rPr>
              <w:t>Qatar</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269</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497</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8</w:t>
            </w:r>
            <w:r>
              <w:rPr>
                <w:color w:val="000000"/>
                <w:sz w:val="24"/>
                <w:lang w:eastAsia="en-CA"/>
              </w:rPr>
              <w:t xml:space="preserve"> </w:t>
            </w:r>
            <w:r w:rsidRPr="006F1C66">
              <w:rPr>
                <w:color w:val="000000"/>
                <w:sz w:val="24"/>
                <w:lang w:eastAsia="en-CA"/>
              </w:rPr>
              <w:t>753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9</w:t>
            </w:r>
            <w:r>
              <w:rPr>
                <w:color w:val="000000"/>
                <w:sz w:val="24"/>
                <w:lang w:eastAsia="en-CA"/>
              </w:rPr>
              <w:t xml:space="preserve"> </w:t>
            </w:r>
            <w:r w:rsidRPr="006F1C66">
              <w:rPr>
                <w:color w:val="000000"/>
                <w:sz w:val="24"/>
                <w:lang w:eastAsia="en-CA"/>
              </w:rPr>
              <w:t>281</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18</w:t>
            </w:r>
            <w:r>
              <w:rPr>
                <w:sz w:val="24"/>
                <w:lang w:eastAsia="en-CA"/>
              </w:rPr>
              <w:t xml:space="preserve"> </w:t>
            </w:r>
            <w:r w:rsidRPr="006F1C66">
              <w:rPr>
                <w:sz w:val="24"/>
                <w:lang w:eastAsia="en-CA"/>
              </w:rPr>
              <w:t>034</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CF3DB4" w:rsidRDefault="00D15055" w:rsidP="00D15055">
            <w:pPr>
              <w:spacing w:line="240" w:lineRule="auto"/>
              <w:rPr>
                <w:sz w:val="24"/>
                <w:lang w:val="es-ES" w:eastAsia="en-CA"/>
              </w:rPr>
            </w:pPr>
            <w:r w:rsidRPr="00CF3DB4">
              <w:rPr>
                <w:sz w:val="24"/>
                <w:lang w:val="es-ES" w:eastAsia="en-CA"/>
              </w:rPr>
              <w:t>Reino Unido de Gran Bretaña e Irlanda del Norte</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CF3DB4" w:rsidRDefault="00D15055" w:rsidP="00D15055">
            <w:pPr>
              <w:spacing w:line="240" w:lineRule="auto"/>
              <w:jc w:val="right"/>
              <w:rPr>
                <w:sz w:val="24"/>
                <w:lang w:eastAsia="en-CA"/>
              </w:rPr>
            </w:pPr>
            <w:r w:rsidRPr="00CF3DB4">
              <w:rPr>
                <w:sz w:val="24"/>
                <w:lang w:eastAsia="en-CA"/>
              </w:rPr>
              <w:t>4,463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CF3DB4" w:rsidRDefault="00D15055" w:rsidP="00D15055">
            <w:pPr>
              <w:spacing w:line="240" w:lineRule="auto"/>
              <w:jc w:val="right"/>
              <w:rPr>
                <w:sz w:val="24"/>
                <w:lang w:eastAsia="en-CA"/>
              </w:rPr>
            </w:pPr>
            <w:r w:rsidRPr="00CF3DB4">
              <w:rPr>
                <w:sz w:val="24"/>
                <w:lang w:eastAsia="en-CA"/>
              </w:rPr>
              <w:t>8,246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CF3DB4" w:rsidRDefault="00D15055" w:rsidP="00D15055">
            <w:pPr>
              <w:spacing w:line="240" w:lineRule="auto"/>
              <w:jc w:val="right"/>
              <w:rPr>
                <w:sz w:val="24"/>
                <w:lang w:eastAsia="en-CA"/>
              </w:rPr>
            </w:pPr>
            <w:r w:rsidRPr="00CF3DB4">
              <w:rPr>
                <w:sz w:val="24"/>
                <w:lang w:eastAsia="en-CA"/>
              </w:rPr>
              <w:t>145 214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CF3DB4" w:rsidRDefault="00D15055" w:rsidP="00D15055">
            <w:pPr>
              <w:spacing w:line="240" w:lineRule="auto"/>
              <w:jc w:val="right"/>
              <w:rPr>
                <w:sz w:val="24"/>
                <w:lang w:eastAsia="en-CA"/>
              </w:rPr>
            </w:pPr>
            <w:r w:rsidRPr="00CF3DB4">
              <w:rPr>
                <w:sz w:val="24"/>
                <w:lang w:eastAsia="en-CA"/>
              </w:rPr>
              <w:t>153 986</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CF3DB4" w:rsidRDefault="00D15055" w:rsidP="00D15055">
            <w:pPr>
              <w:spacing w:line="240" w:lineRule="auto"/>
              <w:jc w:val="right"/>
              <w:rPr>
                <w:sz w:val="24"/>
                <w:lang w:eastAsia="en-CA"/>
              </w:rPr>
            </w:pPr>
            <w:r w:rsidRPr="00CF3DB4">
              <w:rPr>
                <w:sz w:val="24"/>
                <w:lang w:eastAsia="en-CA"/>
              </w:rPr>
              <w:t>299 200</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CF3DB4" w:rsidRDefault="00D15055" w:rsidP="00D15055">
            <w:pPr>
              <w:spacing w:line="240" w:lineRule="auto"/>
              <w:rPr>
                <w:sz w:val="24"/>
                <w:lang w:eastAsia="en-CA"/>
              </w:rPr>
            </w:pPr>
            <w:r w:rsidRPr="00CF3DB4">
              <w:rPr>
                <w:sz w:val="24"/>
                <w:lang w:eastAsia="en-CA"/>
              </w:rPr>
              <w:t>República Árabe Siria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024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044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781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828</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w:t>
            </w:r>
            <w:r>
              <w:rPr>
                <w:sz w:val="24"/>
                <w:lang w:eastAsia="en-CA"/>
              </w:rPr>
              <w:t xml:space="preserve"> </w:t>
            </w:r>
            <w:r w:rsidRPr="006F1C66">
              <w:rPr>
                <w:sz w:val="24"/>
                <w:lang w:eastAsia="en-CA"/>
              </w:rPr>
              <w:t>609</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CF3DB4" w:rsidRDefault="00D15055" w:rsidP="00D15055">
            <w:pPr>
              <w:spacing w:line="240" w:lineRule="auto"/>
              <w:rPr>
                <w:sz w:val="24"/>
                <w:lang w:eastAsia="en-CA"/>
              </w:rPr>
            </w:pPr>
            <w:r w:rsidRPr="00CF3DB4">
              <w:rPr>
                <w:sz w:val="24"/>
                <w:lang w:eastAsia="en-CA"/>
              </w:rPr>
              <w:t>República Centroafricana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67</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CF3DB4" w:rsidRDefault="00D15055" w:rsidP="00D15055">
            <w:pPr>
              <w:spacing w:line="240" w:lineRule="auto"/>
              <w:rPr>
                <w:sz w:val="24"/>
                <w:lang w:eastAsia="en-CA"/>
              </w:rPr>
            </w:pPr>
            <w:r w:rsidRPr="00CF3DB4">
              <w:rPr>
                <w:sz w:val="24"/>
                <w:lang w:eastAsia="en-CA"/>
              </w:rPr>
              <w:t>República de Corea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2</w:t>
            </w:r>
            <w:r>
              <w:rPr>
                <w:sz w:val="24"/>
                <w:lang w:eastAsia="en-CA"/>
              </w:rPr>
              <w:t>,</w:t>
            </w:r>
            <w:r w:rsidRPr="006F1C66">
              <w:rPr>
                <w:sz w:val="24"/>
                <w:lang w:eastAsia="en-CA"/>
              </w:rPr>
              <w:t>039</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3</w:t>
            </w:r>
            <w:r>
              <w:rPr>
                <w:sz w:val="24"/>
                <w:lang w:eastAsia="en-CA"/>
              </w:rPr>
              <w:t>,</w:t>
            </w:r>
            <w:r w:rsidRPr="006F1C66">
              <w:rPr>
                <w:sz w:val="24"/>
                <w:lang w:eastAsia="en-CA"/>
              </w:rPr>
              <w:t>767</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66</w:t>
            </w:r>
            <w:r>
              <w:rPr>
                <w:color w:val="000000"/>
                <w:sz w:val="24"/>
                <w:lang w:eastAsia="en-CA"/>
              </w:rPr>
              <w:t xml:space="preserve"> </w:t>
            </w:r>
            <w:r w:rsidRPr="006F1C66">
              <w:rPr>
                <w:color w:val="000000"/>
                <w:sz w:val="24"/>
                <w:lang w:eastAsia="en-CA"/>
              </w:rPr>
              <w:t>344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70</w:t>
            </w:r>
            <w:r>
              <w:rPr>
                <w:color w:val="000000"/>
                <w:sz w:val="24"/>
                <w:lang w:eastAsia="en-CA"/>
              </w:rPr>
              <w:t xml:space="preserve"> </w:t>
            </w:r>
            <w:r w:rsidRPr="006F1C66">
              <w:rPr>
                <w:color w:val="000000"/>
                <w:sz w:val="24"/>
                <w:lang w:eastAsia="en-CA"/>
              </w:rPr>
              <w:t>351</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136</w:t>
            </w:r>
            <w:r>
              <w:rPr>
                <w:sz w:val="24"/>
                <w:lang w:eastAsia="en-CA"/>
              </w:rPr>
              <w:t xml:space="preserve"> </w:t>
            </w:r>
            <w:r w:rsidRPr="006F1C66">
              <w:rPr>
                <w:sz w:val="24"/>
                <w:lang w:eastAsia="en-CA"/>
              </w:rPr>
              <w:t>695</w:t>
            </w:r>
          </w:p>
        </w:tc>
      </w:tr>
      <w:tr w:rsidR="00D15055" w:rsidRPr="006F1C66" w:rsidTr="00D15055">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055" w:rsidRPr="00CF3DB4" w:rsidRDefault="00D15055" w:rsidP="00D15055">
            <w:pPr>
              <w:spacing w:line="240" w:lineRule="auto"/>
              <w:rPr>
                <w:sz w:val="24"/>
                <w:lang w:eastAsia="en-CA"/>
              </w:rPr>
            </w:pPr>
            <w:r w:rsidRPr="00CF3DB4">
              <w:rPr>
                <w:sz w:val="24"/>
                <w:lang w:eastAsia="en-CA"/>
              </w:rPr>
              <w:t>República de Moldova</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007</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130</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138</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268</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CD5AA9" w:rsidRDefault="00D15055" w:rsidP="00D15055">
            <w:pPr>
              <w:spacing w:line="240" w:lineRule="auto"/>
              <w:rPr>
                <w:sz w:val="24"/>
                <w:lang w:eastAsia="en-CA"/>
              </w:rPr>
            </w:pPr>
            <w:r w:rsidRPr="00CD5AA9">
              <w:rPr>
                <w:sz w:val="24"/>
                <w:lang w:eastAsia="en-CA"/>
              </w:rPr>
              <w:lastRenderedPageBreak/>
              <w:t>República Democrática del Congo</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008</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363</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CD5AA9" w:rsidRDefault="00D15055" w:rsidP="00D15055">
            <w:pPr>
              <w:spacing w:line="240" w:lineRule="auto"/>
              <w:rPr>
                <w:sz w:val="24"/>
                <w:lang w:eastAsia="en-CA"/>
              </w:rPr>
            </w:pPr>
            <w:r>
              <w:rPr>
                <w:sz w:val="24"/>
                <w:lang w:eastAsia="en-CA"/>
              </w:rPr>
              <w:t xml:space="preserve">República </w:t>
            </w:r>
            <w:r w:rsidRPr="00CF3DB4">
              <w:rPr>
                <w:sz w:val="24"/>
                <w:lang w:eastAsia="en-CA"/>
              </w:rPr>
              <w:t>Democrática Popular Lao</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201</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Pr>
                <w:sz w:val="24"/>
                <w:lang w:eastAsia="en-CA"/>
              </w:rPr>
              <w:t>República Dominicana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046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Pr>
                <w:sz w:val="24"/>
                <w:lang w:eastAsia="en-CA"/>
              </w:rPr>
              <w:t>0,</w:t>
            </w:r>
            <w:r w:rsidRPr="006F1C66">
              <w:rPr>
                <w:sz w:val="24"/>
                <w:lang w:eastAsia="en-CA"/>
              </w:rPr>
              <w:t>085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497</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587</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3</w:t>
            </w:r>
            <w:r>
              <w:rPr>
                <w:sz w:val="24"/>
                <w:lang w:eastAsia="en-CA"/>
              </w:rPr>
              <w:t xml:space="preserve"> </w:t>
            </w:r>
            <w:r w:rsidRPr="006F1C66">
              <w:rPr>
                <w:sz w:val="24"/>
                <w:lang w:eastAsia="en-CA"/>
              </w:rPr>
              <w:t>084</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Default="00D15055" w:rsidP="00D15055">
            <w:pPr>
              <w:spacing w:line="240" w:lineRule="auto"/>
              <w:rPr>
                <w:sz w:val="24"/>
                <w:lang w:eastAsia="en-CA"/>
              </w:rPr>
            </w:pPr>
            <w:r>
              <w:rPr>
                <w:sz w:val="24"/>
                <w:lang w:eastAsia="en-CA"/>
              </w:rPr>
              <w:t>República Unida de Tanzanía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018</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325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345</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670</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Rwanda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134</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 xml:space="preserve">Saint Kitts </w:t>
            </w:r>
            <w:r>
              <w:rPr>
                <w:sz w:val="24"/>
                <w:lang w:eastAsia="en-CA"/>
              </w:rPr>
              <w:t>y</w:t>
            </w:r>
            <w:r w:rsidRPr="006F1C66">
              <w:rPr>
                <w:sz w:val="24"/>
                <w:lang w:eastAsia="en-CA"/>
              </w:rPr>
              <w:t xml:space="preserve"> Nevis</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67</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Samoa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67</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S</w:t>
            </w:r>
            <w:r>
              <w:rPr>
                <w:sz w:val="24"/>
                <w:lang w:eastAsia="en-CA"/>
              </w:rPr>
              <w:t xml:space="preserve">anto </w:t>
            </w:r>
            <w:r w:rsidRPr="006F1C66">
              <w:rPr>
                <w:sz w:val="24"/>
                <w:lang w:eastAsia="en-CA"/>
              </w:rPr>
              <w:t>Tom</w:t>
            </w:r>
            <w:r>
              <w:rPr>
                <w:sz w:val="24"/>
                <w:lang w:eastAsia="en-CA"/>
              </w:rPr>
              <w:t>é y Prí</w:t>
            </w:r>
            <w:r w:rsidRPr="006F1C66">
              <w:rPr>
                <w:sz w:val="24"/>
                <w:lang w:eastAsia="en-CA"/>
              </w:rPr>
              <w:t>ncipe</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67</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Senegal</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005</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009</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163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173</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335</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Seychelles</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67</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Sierra Leon</w:t>
            </w:r>
            <w:r>
              <w:rPr>
                <w:sz w:val="24"/>
                <w:lang w:eastAsia="en-CA"/>
              </w:rPr>
              <w:t>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67</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S</w:t>
            </w:r>
            <w:r>
              <w:rPr>
                <w:sz w:val="24"/>
                <w:lang w:eastAsia="en-CA"/>
              </w:rPr>
              <w:t>udáfrica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364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673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11</w:t>
            </w:r>
            <w:r>
              <w:rPr>
                <w:color w:val="000000"/>
                <w:sz w:val="24"/>
                <w:lang w:eastAsia="en-CA"/>
              </w:rPr>
              <w:t xml:space="preserve"> </w:t>
            </w:r>
            <w:r w:rsidRPr="006F1C66">
              <w:rPr>
                <w:color w:val="000000"/>
                <w:sz w:val="24"/>
                <w:lang w:eastAsia="en-CA"/>
              </w:rPr>
              <w:t>844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12</w:t>
            </w:r>
            <w:r>
              <w:rPr>
                <w:color w:val="000000"/>
                <w:sz w:val="24"/>
                <w:lang w:eastAsia="en-CA"/>
              </w:rPr>
              <w:t xml:space="preserve"> </w:t>
            </w:r>
            <w:r w:rsidRPr="006F1C66">
              <w:rPr>
                <w:color w:val="000000"/>
                <w:sz w:val="24"/>
                <w:lang w:eastAsia="en-CA"/>
              </w:rPr>
              <w:t>559</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24</w:t>
            </w:r>
            <w:r>
              <w:rPr>
                <w:sz w:val="24"/>
                <w:lang w:eastAsia="en-CA"/>
              </w:rPr>
              <w:t xml:space="preserve"> </w:t>
            </w:r>
            <w:r w:rsidRPr="006F1C66">
              <w:rPr>
                <w:sz w:val="24"/>
                <w:lang w:eastAsia="en-CA"/>
              </w:rPr>
              <w:t>403</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EA75C1" w:rsidRDefault="00D15055" w:rsidP="00D15055">
            <w:pPr>
              <w:spacing w:line="240" w:lineRule="auto"/>
              <w:rPr>
                <w:color w:val="FF0000"/>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Sud</w:t>
            </w:r>
            <w:r>
              <w:rPr>
                <w:sz w:val="24"/>
                <w:lang w:eastAsia="en-CA"/>
              </w:rPr>
              <w:t>á</w:t>
            </w:r>
            <w:r w:rsidRPr="006F1C66">
              <w:rPr>
                <w:sz w:val="24"/>
                <w:lang w:eastAsia="en-CA"/>
              </w:rPr>
              <w:t>n</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363</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S</w:t>
            </w:r>
            <w:r>
              <w:rPr>
                <w:sz w:val="24"/>
                <w:lang w:eastAsia="en-CA"/>
              </w:rPr>
              <w:t>uecia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956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w:t>
            </w:r>
            <w:r>
              <w:rPr>
                <w:sz w:val="24"/>
                <w:lang w:eastAsia="en-CA"/>
              </w:rPr>
              <w:t>,</w:t>
            </w:r>
            <w:r w:rsidRPr="006F1C66">
              <w:rPr>
                <w:sz w:val="24"/>
                <w:lang w:eastAsia="en-CA"/>
              </w:rPr>
              <w:t>766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31</w:t>
            </w:r>
            <w:r>
              <w:rPr>
                <w:color w:val="000000"/>
                <w:sz w:val="24"/>
                <w:lang w:eastAsia="en-CA"/>
              </w:rPr>
              <w:t xml:space="preserve"> </w:t>
            </w:r>
            <w:r w:rsidRPr="006F1C66">
              <w:rPr>
                <w:color w:val="000000"/>
                <w:sz w:val="24"/>
                <w:lang w:eastAsia="en-CA"/>
              </w:rPr>
              <w:t>106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32</w:t>
            </w:r>
            <w:r>
              <w:rPr>
                <w:color w:val="000000"/>
                <w:sz w:val="24"/>
                <w:lang w:eastAsia="en-CA"/>
              </w:rPr>
              <w:t xml:space="preserve"> </w:t>
            </w:r>
            <w:r w:rsidRPr="006F1C66">
              <w:rPr>
                <w:color w:val="000000"/>
                <w:sz w:val="24"/>
                <w:lang w:eastAsia="en-CA"/>
              </w:rPr>
              <w:t>985</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64</w:t>
            </w:r>
            <w:r>
              <w:rPr>
                <w:sz w:val="24"/>
                <w:lang w:eastAsia="en-CA"/>
              </w:rPr>
              <w:t xml:space="preserve"> </w:t>
            </w:r>
            <w:r w:rsidRPr="006F1C66">
              <w:rPr>
                <w:sz w:val="24"/>
                <w:lang w:eastAsia="en-CA"/>
              </w:rPr>
              <w:t>090</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S</w:t>
            </w:r>
            <w:r>
              <w:rPr>
                <w:sz w:val="24"/>
                <w:lang w:eastAsia="en-CA"/>
              </w:rPr>
              <w:t>uiza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1</w:t>
            </w:r>
            <w:r>
              <w:rPr>
                <w:sz w:val="24"/>
                <w:lang w:eastAsia="en-CA"/>
              </w:rPr>
              <w:t>,</w:t>
            </w:r>
            <w:r w:rsidRPr="006F1C66">
              <w:rPr>
                <w:sz w:val="24"/>
                <w:lang w:eastAsia="en-CA"/>
              </w:rPr>
              <w:t>140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2</w:t>
            </w:r>
            <w:r>
              <w:rPr>
                <w:sz w:val="24"/>
                <w:lang w:eastAsia="en-CA"/>
              </w:rPr>
              <w:t>,</w:t>
            </w:r>
            <w:r w:rsidRPr="006F1C66">
              <w:rPr>
                <w:sz w:val="24"/>
                <w:lang w:eastAsia="en-CA"/>
              </w:rPr>
              <w:t>106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37</w:t>
            </w:r>
            <w:r>
              <w:rPr>
                <w:color w:val="000000"/>
                <w:sz w:val="24"/>
                <w:lang w:eastAsia="en-CA"/>
              </w:rPr>
              <w:t xml:space="preserve"> </w:t>
            </w:r>
            <w:r w:rsidRPr="006F1C66">
              <w:rPr>
                <w:color w:val="000000"/>
                <w:sz w:val="24"/>
                <w:lang w:eastAsia="en-CA"/>
              </w:rPr>
              <w:t>093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39</w:t>
            </w:r>
            <w:r>
              <w:rPr>
                <w:color w:val="000000"/>
                <w:sz w:val="24"/>
                <w:lang w:eastAsia="en-CA"/>
              </w:rPr>
              <w:t xml:space="preserve"> </w:t>
            </w:r>
            <w:r w:rsidRPr="006F1C66">
              <w:rPr>
                <w:color w:val="000000"/>
                <w:sz w:val="24"/>
                <w:lang w:eastAsia="en-CA"/>
              </w:rPr>
              <w:t>333</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76</w:t>
            </w:r>
            <w:r>
              <w:rPr>
                <w:sz w:val="24"/>
                <w:lang w:eastAsia="en-CA"/>
              </w:rPr>
              <w:t xml:space="preserve"> </w:t>
            </w:r>
            <w:r w:rsidRPr="006F1C66">
              <w:rPr>
                <w:sz w:val="24"/>
                <w:lang w:eastAsia="en-CA"/>
              </w:rPr>
              <w:t>426</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EA75C1" w:rsidRDefault="00D15055" w:rsidP="00D15055">
            <w:pPr>
              <w:spacing w:line="240" w:lineRule="auto"/>
              <w:rPr>
                <w:color w:val="FF0000"/>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Ta</w:t>
            </w:r>
            <w:r>
              <w:rPr>
                <w:sz w:val="24"/>
                <w:lang w:eastAsia="en-CA"/>
              </w:rPr>
              <w:t>y</w:t>
            </w:r>
            <w:r w:rsidRPr="006F1C66">
              <w:rPr>
                <w:sz w:val="24"/>
                <w:lang w:eastAsia="en-CA"/>
              </w:rPr>
              <w:t>ikist</w:t>
            </w:r>
            <w:r>
              <w:rPr>
                <w:sz w:val="24"/>
                <w:lang w:eastAsia="en-CA"/>
              </w:rPr>
              <w:t>á</w:t>
            </w:r>
            <w:r w:rsidRPr="006F1C66">
              <w:rPr>
                <w:sz w:val="24"/>
                <w:lang w:eastAsia="en-CA"/>
              </w:rPr>
              <w:t>n</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268</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Togo</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67</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Tuvalu</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67</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lastRenderedPageBreak/>
              <w:t>Uganda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009</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Pr>
                <w:sz w:val="24"/>
                <w:lang w:eastAsia="en-CA"/>
              </w:rPr>
              <w:t>0,</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363</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Pr>
                <w:sz w:val="24"/>
                <w:lang w:eastAsia="en-CA"/>
              </w:rPr>
              <w:t>Unión Europea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2</w:t>
            </w:r>
            <w:r>
              <w:rPr>
                <w:sz w:val="24"/>
                <w:lang w:eastAsia="en-CA"/>
              </w:rPr>
              <w:t>,</w:t>
            </w:r>
            <w:r w:rsidRPr="006F1C66">
              <w:rPr>
                <w:sz w:val="24"/>
                <w:lang w:eastAsia="en-CA"/>
              </w:rPr>
              <w:t>500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44</w:t>
            </w:r>
            <w:r>
              <w:rPr>
                <w:color w:val="000000"/>
                <w:sz w:val="24"/>
                <w:lang w:eastAsia="en-CA"/>
              </w:rPr>
              <w:t xml:space="preserve"> </w:t>
            </w:r>
            <w:r w:rsidRPr="006F1C66">
              <w:rPr>
                <w:color w:val="000000"/>
                <w:sz w:val="24"/>
                <w:lang w:eastAsia="en-CA"/>
              </w:rPr>
              <w:t>024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46</w:t>
            </w:r>
            <w:r>
              <w:rPr>
                <w:color w:val="000000"/>
                <w:sz w:val="24"/>
                <w:lang w:eastAsia="en-CA"/>
              </w:rPr>
              <w:t xml:space="preserve"> </w:t>
            </w:r>
            <w:r w:rsidRPr="006F1C66">
              <w:rPr>
                <w:color w:val="000000"/>
                <w:sz w:val="24"/>
                <w:lang w:eastAsia="en-CA"/>
              </w:rPr>
              <w:t>683</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90</w:t>
            </w:r>
            <w:r>
              <w:rPr>
                <w:sz w:val="24"/>
                <w:lang w:eastAsia="en-CA"/>
              </w:rPr>
              <w:t xml:space="preserve"> </w:t>
            </w:r>
            <w:r w:rsidRPr="006F1C66">
              <w:rPr>
                <w:sz w:val="24"/>
                <w:lang w:eastAsia="en-CA"/>
              </w:rPr>
              <w:t>708</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Uruguay</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079</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146</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w:t>
            </w:r>
            <w:r>
              <w:rPr>
                <w:color w:val="000000"/>
                <w:sz w:val="24"/>
                <w:lang w:eastAsia="en-CA"/>
              </w:rPr>
              <w:t xml:space="preserve"> </w:t>
            </w:r>
            <w:r w:rsidRPr="006F1C66">
              <w:rPr>
                <w:color w:val="000000"/>
                <w:sz w:val="24"/>
                <w:lang w:eastAsia="en-CA"/>
              </w:rPr>
              <w:t>570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w:t>
            </w:r>
            <w:r>
              <w:rPr>
                <w:color w:val="000000"/>
                <w:sz w:val="24"/>
                <w:lang w:eastAsia="en-CA"/>
              </w:rPr>
              <w:t xml:space="preserve"> </w:t>
            </w:r>
            <w:r w:rsidRPr="006F1C66">
              <w:rPr>
                <w:color w:val="000000"/>
                <w:sz w:val="24"/>
                <w:lang w:eastAsia="en-CA"/>
              </w:rPr>
              <w:t>726</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5</w:t>
            </w:r>
            <w:r>
              <w:rPr>
                <w:sz w:val="24"/>
                <w:lang w:eastAsia="en-CA"/>
              </w:rPr>
              <w:t xml:space="preserve"> </w:t>
            </w:r>
            <w:r w:rsidRPr="006F1C66">
              <w:rPr>
                <w:sz w:val="24"/>
                <w:lang w:eastAsia="en-CA"/>
              </w:rPr>
              <w:t>296</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Vanuatu</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67</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Viet Nam</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058</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107</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887</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w:t>
            </w:r>
            <w:r>
              <w:rPr>
                <w:color w:val="000000"/>
                <w:sz w:val="24"/>
                <w:lang w:eastAsia="en-CA"/>
              </w:rPr>
              <w:t xml:space="preserve"> </w:t>
            </w:r>
            <w:r w:rsidRPr="006F1C66">
              <w:rPr>
                <w:color w:val="000000"/>
                <w:sz w:val="24"/>
                <w:lang w:eastAsia="en-CA"/>
              </w:rPr>
              <w:t>001</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3</w:t>
            </w:r>
            <w:r>
              <w:rPr>
                <w:sz w:val="24"/>
                <w:lang w:eastAsia="en-CA"/>
              </w:rPr>
              <w:t xml:space="preserve"> </w:t>
            </w:r>
            <w:r w:rsidRPr="006F1C66">
              <w:rPr>
                <w:sz w:val="24"/>
                <w:lang w:eastAsia="en-CA"/>
              </w:rPr>
              <w:t>888</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Zambia</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013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228</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242</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469</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sz w:val="24"/>
                <w:lang w:eastAsia="en-CA"/>
              </w:rPr>
            </w:pPr>
            <w:r w:rsidRPr="006F1C66">
              <w:rPr>
                <w:sz w:val="24"/>
                <w:lang w:eastAsia="en-CA"/>
              </w:rPr>
              <w:t>Zimbabwe</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Pr>
                <w:sz w:val="24"/>
                <w:lang w:eastAsia="en-CA"/>
              </w:rPr>
              <w:t>0,</w:t>
            </w:r>
            <w:r w:rsidRPr="006F1C66">
              <w:rPr>
                <w:sz w:val="24"/>
                <w:lang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color w:val="000000"/>
                <w:sz w:val="24"/>
                <w:lang w:eastAsia="en-CA"/>
              </w:rPr>
            </w:pPr>
            <w:r w:rsidRPr="006F1C66">
              <w:rPr>
                <w:color w:val="000000"/>
                <w:sz w:val="24"/>
                <w:lang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sz w:val="24"/>
                <w:lang w:eastAsia="en-CA"/>
              </w:rPr>
            </w:pPr>
            <w:r w:rsidRPr="006F1C66">
              <w:rPr>
                <w:sz w:val="24"/>
                <w:lang w:eastAsia="en-CA"/>
              </w:rPr>
              <w:t>268</w:t>
            </w:r>
          </w:p>
        </w:tc>
      </w:tr>
      <w:tr w:rsidR="00D15055" w:rsidRPr="006F1C66" w:rsidTr="00D15055">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15055" w:rsidRPr="006F1C66" w:rsidRDefault="00D15055" w:rsidP="00D15055">
            <w:pPr>
              <w:spacing w:line="240" w:lineRule="auto"/>
              <w:rPr>
                <w:b/>
                <w:bCs/>
                <w:sz w:val="24"/>
                <w:lang w:eastAsia="en-CA"/>
              </w:rPr>
            </w:pPr>
            <w:r w:rsidRPr="006F1C66">
              <w:rPr>
                <w:b/>
                <w:bCs/>
                <w:sz w:val="24"/>
                <w:lang w:eastAsia="en-CA"/>
              </w:rPr>
              <w:t>Total</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b/>
                <w:bCs/>
                <w:color w:val="000000"/>
                <w:sz w:val="24"/>
                <w:lang w:eastAsia="en-CA"/>
              </w:rPr>
            </w:pPr>
            <w:r w:rsidRPr="006F1C66">
              <w:rPr>
                <w:b/>
                <w:bCs/>
                <w:color w:val="000000"/>
                <w:sz w:val="24"/>
                <w:lang w:eastAsia="en-CA"/>
              </w:rPr>
              <w:t>52</w:t>
            </w:r>
            <w:r>
              <w:rPr>
                <w:b/>
                <w:bCs/>
                <w:color w:val="000000"/>
                <w:sz w:val="24"/>
                <w:lang w:eastAsia="en-CA"/>
              </w:rPr>
              <w:t>,</w:t>
            </w:r>
            <w:r w:rsidRPr="006F1C66">
              <w:rPr>
                <w:b/>
                <w:bCs/>
                <w:color w:val="000000"/>
                <w:sz w:val="24"/>
                <w:lang w:eastAsia="en-CA"/>
              </w:rPr>
              <w:t>793</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b/>
                <w:bCs/>
                <w:color w:val="000000"/>
                <w:sz w:val="24"/>
                <w:lang w:eastAsia="en-CA"/>
              </w:rPr>
            </w:pPr>
            <w:r w:rsidRPr="006F1C66">
              <w:rPr>
                <w:b/>
                <w:bCs/>
                <w:color w:val="000000"/>
                <w:sz w:val="24"/>
                <w:lang w:eastAsia="en-CA"/>
              </w:rPr>
              <w:t>100</w:t>
            </w:r>
            <w:r>
              <w:rPr>
                <w:b/>
                <w:bCs/>
                <w:color w:val="000000"/>
                <w:sz w:val="24"/>
                <w:lang w:eastAsia="en-CA"/>
              </w:rPr>
              <w:t>,</w:t>
            </w:r>
            <w:r w:rsidRPr="006F1C66">
              <w:rPr>
                <w:b/>
                <w:bCs/>
                <w:color w:val="000000"/>
                <w:sz w:val="24"/>
                <w:lang w:eastAsia="en-CA"/>
              </w:rPr>
              <w:t>000</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b/>
                <w:bCs/>
                <w:color w:val="000000"/>
                <w:sz w:val="24"/>
                <w:lang w:eastAsia="en-CA"/>
              </w:rPr>
            </w:pPr>
            <w:r w:rsidRPr="006F1C66">
              <w:rPr>
                <w:b/>
                <w:bCs/>
                <w:color w:val="000000"/>
                <w:sz w:val="24"/>
                <w:lang w:eastAsia="en-CA"/>
              </w:rPr>
              <w:t>1</w:t>
            </w:r>
            <w:r>
              <w:rPr>
                <w:b/>
                <w:bCs/>
                <w:color w:val="000000"/>
                <w:sz w:val="24"/>
                <w:lang w:eastAsia="en-CA"/>
              </w:rPr>
              <w:t xml:space="preserve"> </w:t>
            </w:r>
            <w:r w:rsidRPr="006F1C66">
              <w:rPr>
                <w:b/>
                <w:bCs/>
                <w:color w:val="000000"/>
                <w:sz w:val="24"/>
                <w:lang w:eastAsia="en-CA"/>
              </w:rPr>
              <w:t>760</w:t>
            </w:r>
            <w:r>
              <w:rPr>
                <w:b/>
                <w:bCs/>
                <w:color w:val="000000"/>
                <w:sz w:val="24"/>
                <w:lang w:eastAsia="en-CA"/>
              </w:rPr>
              <w:t xml:space="preserve"> </w:t>
            </w:r>
            <w:r w:rsidRPr="006F1C66">
              <w:rPr>
                <w:b/>
                <w:bCs/>
                <w:color w:val="000000"/>
                <w:sz w:val="24"/>
                <w:lang w:eastAsia="en-CA"/>
              </w:rPr>
              <w:t>968</w:t>
            </w:r>
          </w:p>
        </w:tc>
        <w:tc>
          <w:tcPr>
            <w:tcW w:w="1597"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b/>
                <w:bCs/>
                <w:color w:val="000000"/>
                <w:sz w:val="24"/>
                <w:lang w:eastAsia="en-CA"/>
              </w:rPr>
            </w:pPr>
            <w:r w:rsidRPr="006F1C66">
              <w:rPr>
                <w:b/>
                <w:bCs/>
                <w:color w:val="000000"/>
                <w:sz w:val="24"/>
                <w:lang w:eastAsia="en-CA"/>
              </w:rPr>
              <w:t>1</w:t>
            </w:r>
            <w:r>
              <w:rPr>
                <w:b/>
                <w:bCs/>
                <w:color w:val="000000"/>
                <w:sz w:val="24"/>
                <w:lang w:eastAsia="en-CA"/>
              </w:rPr>
              <w:t xml:space="preserve"> </w:t>
            </w:r>
            <w:r w:rsidRPr="006F1C66">
              <w:rPr>
                <w:b/>
                <w:bCs/>
                <w:color w:val="000000"/>
                <w:sz w:val="24"/>
                <w:lang w:eastAsia="en-CA"/>
              </w:rPr>
              <w:t>867</w:t>
            </w:r>
            <w:r>
              <w:rPr>
                <w:b/>
                <w:bCs/>
                <w:color w:val="000000"/>
                <w:sz w:val="24"/>
                <w:lang w:eastAsia="en-CA"/>
              </w:rPr>
              <w:t xml:space="preserve"> </w:t>
            </w:r>
            <w:r w:rsidRPr="006F1C66">
              <w:rPr>
                <w:b/>
                <w:bCs/>
                <w:color w:val="000000"/>
                <w:sz w:val="24"/>
                <w:lang w:eastAsia="en-CA"/>
              </w:rPr>
              <w:t>338</w:t>
            </w:r>
          </w:p>
        </w:tc>
        <w:tc>
          <w:tcPr>
            <w:tcW w:w="1598" w:type="dxa"/>
            <w:tcBorders>
              <w:top w:val="nil"/>
              <w:left w:val="nil"/>
              <w:bottom w:val="single" w:sz="4" w:space="0" w:color="auto"/>
              <w:right w:val="single" w:sz="4" w:space="0" w:color="auto"/>
            </w:tcBorders>
            <w:shd w:val="clear" w:color="auto" w:fill="auto"/>
            <w:noWrap/>
            <w:vAlign w:val="center"/>
            <w:hideMark/>
          </w:tcPr>
          <w:p w:rsidR="00D15055" w:rsidRPr="006F1C66" w:rsidRDefault="00D15055" w:rsidP="00D15055">
            <w:pPr>
              <w:spacing w:line="240" w:lineRule="auto"/>
              <w:jc w:val="right"/>
              <w:rPr>
                <w:b/>
                <w:bCs/>
                <w:color w:val="000000"/>
                <w:sz w:val="24"/>
                <w:lang w:eastAsia="en-CA"/>
              </w:rPr>
            </w:pPr>
            <w:r w:rsidRPr="006F1C66">
              <w:rPr>
                <w:b/>
                <w:bCs/>
                <w:color w:val="000000"/>
                <w:sz w:val="24"/>
                <w:lang w:eastAsia="en-CA"/>
              </w:rPr>
              <w:t>3</w:t>
            </w:r>
            <w:r>
              <w:rPr>
                <w:b/>
                <w:bCs/>
                <w:color w:val="000000"/>
                <w:sz w:val="24"/>
                <w:lang w:eastAsia="en-CA"/>
              </w:rPr>
              <w:t xml:space="preserve"> </w:t>
            </w:r>
            <w:r w:rsidRPr="006F1C66">
              <w:rPr>
                <w:b/>
                <w:bCs/>
                <w:color w:val="000000"/>
                <w:sz w:val="24"/>
                <w:lang w:eastAsia="en-CA"/>
              </w:rPr>
              <w:t>628</w:t>
            </w:r>
            <w:r>
              <w:rPr>
                <w:b/>
                <w:bCs/>
                <w:color w:val="000000"/>
                <w:sz w:val="24"/>
                <w:lang w:eastAsia="en-CA"/>
              </w:rPr>
              <w:t xml:space="preserve"> </w:t>
            </w:r>
            <w:r w:rsidRPr="006F1C66">
              <w:rPr>
                <w:b/>
                <w:bCs/>
                <w:color w:val="000000"/>
                <w:sz w:val="24"/>
                <w:lang w:eastAsia="en-CA"/>
              </w:rPr>
              <w:t>306</w:t>
            </w:r>
          </w:p>
        </w:tc>
      </w:tr>
    </w:tbl>
    <w:p w:rsidR="00DE347C" w:rsidRPr="007E294E" w:rsidRDefault="00DE347C">
      <w:pPr>
        <w:jc w:val="left"/>
        <w:rPr>
          <w:kern w:val="22"/>
          <w:lang w:val="es-ES"/>
        </w:rPr>
      </w:pPr>
    </w:p>
    <w:p w:rsidR="00DE347C" w:rsidRPr="007E294E" w:rsidRDefault="00DE347C" w:rsidP="00DE347C">
      <w:pPr>
        <w:shd w:val="clear" w:color="auto" w:fill="FFFFFF" w:themeFill="background1"/>
        <w:jc w:val="center"/>
        <w:rPr>
          <w:kern w:val="22"/>
          <w:lang w:val="es-ES"/>
        </w:rPr>
      </w:pPr>
    </w:p>
    <w:p w:rsidR="003438E6" w:rsidRPr="007E294E" w:rsidRDefault="003438E6">
      <w:pPr>
        <w:jc w:val="left"/>
        <w:rPr>
          <w:lang w:val="es-ES"/>
        </w:rPr>
        <w:sectPr w:rsidR="003438E6" w:rsidRPr="007E294E" w:rsidSect="008635B2">
          <w:headerReference w:type="first" r:id="rId29"/>
          <w:pgSz w:w="15842" w:h="12242" w:orient="landscape" w:code="1"/>
          <w:pgMar w:top="1138" w:right="1138" w:bottom="1138" w:left="1022" w:header="403" w:footer="720" w:gutter="0"/>
          <w:cols w:space="720"/>
          <w:docGrid w:linePitch="299"/>
        </w:sectPr>
      </w:pPr>
    </w:p>
    <w:p w:rsidR="00682B7B" w:rsidRPr="007E294E" w:rsidRDefault="00682B7B">
      <w:pPr>
        <w:jc w:val="left"/>
        <w:rPr>
          <w:lang w:val="es-ES"/>
        </w:rPr>
      </w:pPr>
    </w:p>
    <w:p w:rsidR="003438E6" w:rsidRPr="007E294E" w:rsidRDefault="003438E6" w:rsidP="003A15C6">
      <w:pPr>
        <w:pStyle w:val="Heading1report"/>
        <w:numPr>
          <w:ilvl w:val="0"/>
          <w:numId w:val="0"/>
        </w:numPr>
        <w:rPr>
          <w:rFonts w:hint="eastAsia"/>
          <w:lang w:val="es-ES"/>
        </w:rPr>
        <w:sectPr w:rsidR="003438E6" w:rsidRPr="007E294E" w:rsidSect="000C6220">
          <w:headerReference w:type="even" r:id="rId30"/>
          <w:headerReference w:type="first" r:id="rId31"/>
          <w:pgSz w:w="12242" w:h="15842" w:code="1"/>
          <w:pgMar w:top="1138" w:right="1138" w:bottom="1022" w:left="1138" w:header="403" w:footer="720" w:gutter="0"/>
          <w:cols w:num="3" w:space="720"/>
          <w:docGrid w:linePitch="299"/>
        </w:sectPr>
      </w:pPr>
      <w:bookmarkStart w:id="19" w:name="_Toc256217"/>
    </w:p>
    <w:p w:rsidR="00F729B5" w:rsidRPr="00D15055" w:rsidRDefault="00F729B5" w:rsidP="000C6220">
      <w:pPr>
        <w:pStyle w:val="Heading1report"/>
        <w:numPr>
          <w:ilvl w:val="0"/>
          <w:numId w:val="0"/>
        </w:numPr>
        <w:spacing w:before="120" w:line="240" w:lineRule="auto"/>
        <w:rPr>
          <w:rFonts w:ascii="Times New Roman" w:hAnsi="Times New Roman" w:cs="Times New Roman"/>
          <w:lang w:val="es-ES"/>
        </w:rPr>
      </w:pPr>
      <w:r w:rsidRPr="00D15055">
        <w:rPr>
          <w:rFonts w:ascii="Times New Roman" w:hAnsi="Times New Roman" w:cs="Times New Roman" w:hint="eastAsia"/>
          <w:lang w:val="es-ES"/>
        </w:rPr>
        <w:lastRenderedPageBreak/>
        <w:t>II.</w:t>
      </w:r>
      <w:r w:rsidRPr="00D15055">
        <w:rPr>
          <w:rFonts w:ascii="Times New Roman" w:hAnsi="Times New Roman" w:cs="Times New Roman" w:hint="eastAsia"/>
          <w:lang w:val="es-ES"/>
        </w:rPr>
        <w:tab/>
        <w:t>AC</w:t>
      </w:r>
      <w:r w:rsidR="00D15055" w:rsidRPr="00D15055">
        <w:rPr>
          <w:rFonts w:ascii="Times New Roman" w:hAnsi="Times New Roman" w:cs="Times New Roman"/>
          <w:lang w:val="es-ES"/>
        </w:rPr>
        <w:t>TAS DE LA REUNIÓN</w:t>
      </w:r>
      <w:bookmarkEnd w:id="19"/>
    </w:p>
    <w:p w:rsidR="006B7FB5" w:rsidRPr="00D15055" w:rsidRDefault="006B7FB5" w:rsidP="000C6220">
      <w:pPr>
        <w:pStyle w:val="Ttulo2"/>
        <w:spacing w:before="120" w:line="240" w:lineRule="auto"/>
        <w:rPr>
          <w:lang w:val="es-ES"/>
        </w:rPr>
      </w:pPr>
      <w:r w:rsidRPr="00D15055">
        <w:rPr>
          <w:lang w:val="es-ES"/>
        </w:rPr>
        <w:t>A.</w:t>
      </w:r>
      <w:r w:rsidRPr="00D15055">
        <w:rPr>
          <w:lang w:val="es-ES"/>
        </w:rPr>
        <w:tab/>
      </w:r>
      <w:r w:rsidR="00D15055" w:rsidRPr="00D15055">
        <w:rPr>
          <w:lang w:val="es-ES"/>
        </w:rPr>
        <w:t>Antecedentes</w:t>
      </w:r>
    </w:p>
    <w:p w:rsidR="004C648F" w:rsidRPr="007025E5" w:rsidRDefault="00D15055" w:rsidP="000C6220">
      <w:pPr>
        <w:pStyle w:val="Para1"/>
        <w:tabs>
          <w:tab w:val="clear" w:pos="360"/>
          <w:tab w:val="clear" w:pos="567"/>
          <w:tab w:val="clear" w:pos="2912"/>
        </w:tabs>
        <w:spacing w:line="240" w:lineRule="auto"/>
        <w:rPr>
          <w:lang w:val="es-ES"/>
        </w:rPr>
      </w:pPr>
      <w:bookmarkStart w:id="20" w:name="_Hlk530336722"/>
      <w:r w:rsidRPr="007025E5">
        <w:rPr>
          <w:rFonts w:eastAsia="MS Mincho"/>
          <w:kern w:val="22"/>
          <w:szCs w:val="22"/>
          <w:lang w:val="es-ES"/>
        </w:rPr>
        <w:t xml:space="preserve">Tras el ofrecimiento del Gobierno de Egipto, que fue acogido </w:t>
      </w:r>
      <w:r w:rsidRPr="007025E5">
        <w:rPr>
          <w:rFonts w:eastAsia="MS Mincho"/>
          <w:color w:val="000000"/>
          <w:kern w:val="22"/>
          <w:lang w:val="es-ES"/>
        </w:rPr>
        <w:t>con beneplácito por la Conferencia de las Partes en el Convenio sobre la Diversidad Biológica en la decisión</w:t>
      </w:r>
      <w:r w:rsidRPr="007025E5">
        <w:rPr>
          <w:rFonts w:eastAsia="MS Mincho"/>
          <w:lang w:val="es-ES"/>
        </w:rPr>
        <w:t xml:space="preserve"> </w:t>
      </w:r>
      <w:hyperlink r:id="rId32" w:history="1">
        <w:r w:rsidR="00DA4DAF" w:rsidRPr="007025E5">
          <w:rPr>
            <w:rStyle w:val="Hipervnculo"/>
            <w:color w:val="auto"/>
            <w:sz w:val="22"/>
            <w:u w:val="none"/>
            <w:lang w:val="es-ES"/>
          </w:rPr>
          <w:t>XIII/33</w:t>
        </w:r>
      </w:hyperlink>
      <w:r w:rsidR="00DA4DAF" w:rsidRPr="007025E5">
        <w:rPr>
          <w:lang w:val="es-ES"/>
        </w:rPr>
        <w:t>,</w:t>
      </w:r>
      <w:bookmarkEnd w:id="20"/>
      <w:r w:rsidR="00DA4DAF" w:rsidRPr="007025E5">
        <w:rPr>
          <w:lang w:val="es-ES"/>
        </w:rPr>
        <w:t xml:space="preserve"> </w:t>
      </w:r>
      <w:bookmarkStart w:id="21" w:name="_Hlk530373832"/>
      <w:r w:rsidRPr="007025E5">
        <w:rPr>
          <w:lang w:val="es-ES"/>
        </w:rPr>
        <w:t>y</w:t>
      </w:r>
      <w:r w:rsidR="00DA4DAF" w:rsidRPr="007025E5">
        <w:rPr>
          <w:lang w:val="es-ES"/>
        </w:rPr>
        <w:t xml:space="preserve"> </w:t>
      </w:r>
      <w:r w:rsidR="007025E5" w:rsidRPr="007025E5">
        <w:rPr>
          <w:lang w:val="es-ES"/>
        </w:rPr>
        <w:t xml:space="preserve">de conformidad con el párrafo 6 del artículo </w:t>
      </w:r>
      <w:r w:rsidR="004C648F" w:rsidRPr="007025E5">
        <w:rPr>
          <w:lang w:val="es-ES"/>
        </w:rPr>
        <w:t>26</w:t>
      </w:r>
      <w:r w:rsidR="007025E5" w:rsidRPr="007025E5">
        <w:rPr>
          <w:lang w:val="es-ES"/>
        </w:rPr>
        <w:t xml:space="preserve"> del Protocolo de </w:t>
      </w:r>
      <w:r w:rsidR="004C648F" w:rsidRPr="007025E5">
        <w:rPr>
          <w:lang w:val="es-ES"/>
        </w:rPr>
        <w:t xml:space="preserve">Nagoya </w:t>
      </w:r>
      <w:r w:rsidR="007025E5" w:rsidRPr="007025E5">
        <w:rPr>
          <w:lang w:val="es-ES"/>
        </w:rPr>
        <w:t xml:space="preserve">sobre </w:t>
      </w:r>
      <w:bookmarkEnd w:id="21"/>
      <w:r w:rsidR="007025E5" w:rsidRPr="001B5065">
        <w:rPr>
          <w:rFonts w:eastAsia="MS Mincho"/>
          <w:kern w:val="22"/>
          <w:szCs w:val="22"/>
          <w:lang w:val="es-ES"/>
        </w:rPr>
        <w:t xml:space="preserve">Acceso a los Recursos Genéticos y Participación Justa y Equitativa en los Beneficios que se Deriven de su Utilización </w:t>
      </w:r>
      <w:r w:rsidR="00E40A63">
        <w:rPr>
          <w:rFonts w:eastAsia="MS Mincho"/>
          <w:kern w:val="22"/>
          <w:szCs w:val="22"/>
          <w:lang w:val="es-ES"/>
        </w:rPr>
        <w:t>a</w:t>
      </w:r>
      <w:r w:rsidR="007025E5">
        <w:rPr>
          <w:rFonts w:eastAsia="MS Mincho"/>
          <w:kern w:val="22"/>
          <w:szCs w:val="22"/>
          <w:lang w:val="es-ES"/>
        </w:rPr>
        <w:t>l Convenio sobre la Diversidad Biológica</w:t>
      </w:r>
      <w:r w:rsidR="004C648F" w:rsidRPr="007025E5">
        <w:rPr>
          <w:lang w:val="es-ES"/>
        </w:rPr>
        <w:t xml:space="preserve">, </w:t>
      </w:r>
      <w:r w:rsidR="007025E5">
        <w:rPr>
          <w:lang w:val="es-ES"/>
        </w:rPr>
        <w:t xml:space="preserve">la tercera reunión de la </w:t>
      </w:r>
      <w:r w:rsidR="004C648F" w:rsidRPr="007025E5">
        <w:rPr>
          <w:lang w:val="es-ES"/>
        </w:rPr>
        <w:t>Conferenc</w:t>
      </w:r>
      <w:r w:rsidR="007025E5">
        <w:rPr>
          <w:lang w:val="es-ES"/>
        </w:rPr>
        <w:t xml:space="preserve">ia de las Partes que actúa como reunión de las Partes en el Protocolo de </w:t>
      </w:r>
      <w:r w:rsidR="004C648F" w:rsidRPr="007025E5">
        <w:rPr>
          <w:lang w:val="es-ES"/>
        </w:rPr>
        <w:t xml:space="preserve">Nagoya </w:t>
      </w:r>
      <w:r w:rsidR="007025E5">
        <w:rPr>
          <w:lang w:val="es-ES"/>
        </w:rPr>
        <w:t xml:space="preserve">se celebró en </w:t>
      </w:r>
      <w:r w:rsidR="004A6ECD" w:rsidRPr="007025E5">
        <w:rPr>
          <w:lang w:val="es-ES"/>
        </w:rPr>
        <w:t>Sharm El-Sheikh, Eg</w:t>
      </w:r>
      <w:r w:rsidR="007025E5">
        <w:rPr>
          <w:lang w:val="es-ES"/>
        </w:rPr>
        <w:t>ipto, del 1</w:t>
      </w:r>
      <w:r w:rsidR="004A6ECD" w:rsidRPr="007025E5">
        <w:rPr>
          <w:lang w:val="es-ES"/>
        </w:rPr>
        <w:t xml:space="preserve">7 </w:t>
      </w:r>
      <w:r w:rsidR="007025E5">
        <w:rPr>
          <w:lang w:val="es-ES"/>
        </w:rPr>
        <w:t>al</w:t>
      </w:r>
      <w:r w:rsidR="004A6ECD" w:rsidRPr="007025E5">
        <w:rPr>
          <w:lang w:val="es-ES"/>
        </w:rPr>
        <w:t xml:space="preserve"> 29</w:t>
      </w:r>
      <w:r w:rsidR="007025E5">
        <w:rPr>
          <w:lang w:val="es-ES"/>
        </w:rPr>
        <w:t xml:space="preserve"> de noviembre de </w:t>
      </w:r>
      <w:r w:rsidR="004A6ECD" w:rsidRPr="007025E5">
        <w:rPr>
          <w:lang w:val="es-ES"/>
        </w:rPr>
        <w:t xml:space="preserve">2018, </w:t>
      </w:r>
      <w:r w:rsidR="007025E5" w:rsidRPr="001B5065">
        <w:rPr>
          <w:rFonts w:eastAsia="MS Mincho"/>
          <w:kern w:val="22"/>
          <w:szCs w:val="22"/>
          <w:lang w:val="es-ES"/>
        </w:rPr>
        <w:t xml:space="preserve">en forma concurrente con </w:t>
      </w:r>
      <w:r w:rsidR="007025E5">
        <w:rPr>
          <w:rFonts w:eastAsia="MS Mincho"/>
          <w:kern w:val="22"/>
          <w:szCs w:val="22"/>
          <w:lang w:val="es-ES"/>
        </w:rPr>
        <w:t>la 14ª reunión de la Conferencia de las Partes</w:t>
      </w:r>
      <w:r w:rsidR="004C648F" w:rsidRPr="007025E5">
        <w:rPr>
          <w:lang w:val="es-ES"/>
        </w:rPr>
        <w:t>.</w:t>
      </w:r>
    </w:p>
    <w:p w:rsidR="00DA4DAF" w:rsidRPr="00EE0850" w:rsidRDefault="00DA4DAF" w:rsidP="000C6220">
      <w:pPr>
        <w:pStyle w:val="Ttulo2"/>
        <w:spacing w:before="120" w:line="240" w:lineRule="auto"/>
      </w:pPr>
      <w:r w:rsidRPr="00EE0850">
        <w:t>B.</w:t>
      </w:r>
      <w:r w:rsidRPr="00EE0850">
        <w:tab/>
        <w:t>A</w:t>
      </w:r>
      <w:r w:rsidR="00E40A63">
        <w:t>sistentes</w:t>
      </w:r>
    </w:p>
    <w:p w:rsidR="003438E6" w:rsidRPr="00EF6BA0" w:rsidRDefault="00E40A63" w:rsidP="000C6220">
      <w:pPr>
        <w:pStyle w:val="Para1"/>
        <w:tabs>
          <w:tab w:val="clear" w:pos="360"/>
          <w:tab w:val="clear" w:pos="567"/>
          <w:tab w:val="clear" w:pos="2912"/>
        </w:tabs>
        <w:spacing w:line="240" w:lineRule="auto"/>
        <w:rPr>
          <w:lang w:val="es-ES"/>
        </w:rPr>
      </w:pPr>
      <w:r w:rsidRPr="00E40A63">
        <w:rPr>
          <w:lang w:val="es-ES"/>
        </w:rPr>
        <w:t xml:space="preserve">Se </w:t>
      </w:r>
      <w:r w:rsidRPr="00250169">
        <w:rPr>
          <w:rFonts w:eastAsia="MS Mincho"/>
          <w:lang w:val="es-ES"/>
        </w:rPr>
        <w:t>invitó a todos los Estados a participar en la reunión. Asistieron las siguientes Partes en el Protocolo de Nagoya</w:t>
      </w:r>
      <w:r w:rsidR="00DA4DAF" w:rsidRPr="00EF6BA0">
        <w:rPr>
          <w:lang w:val="es-ES"/>
        </w:rPr>
        <w:t>:</w:t>
      </w:r>
    </w:p>
    <w:p w:rsidR="001D4A8D" w:rsidRPr="00EF6BA0" w:rsidRDefault="001D4A8D" w:rsidP="000C6220">
      <w:pPr>
        <w:pStyle w:val="Para1"/>
        <w:numPr>
          <w:ilvl w:val="0"/>
          <w:numId w:val="0"/>
        </w:numPr>
        <w:tabs>
          <w:tab w:val="clear" w:pos="567"/>
          <w:tab w:val="clear" w:pos="2912"/>
        </w:tabs>
        <w:spacing w:line="240" w:lineRule="auto"/>
        <w:rPr>
          <w:lang w:val="es-ES"/>
        </w:rPr>
        <w:sectPr w:rsidR="001D4A8D" w:rsidRPr="00EF6BA0" w:rsidSect="000C6220">
          <w:type w:val="continuous"/>
          <w:pgSz w:w="12242" w:h="15842" w:code="1"/>
          <w:pgMar w:top="1138" w:right="1138" w:bottom="1022" w:left="1138" w:header="403" w:footer="720" w:gutter="0"/>
          <w:cols w:space="720"/>
          <w:titlePg/>
          <w:docGrid w:linePitch="299"/>
        </w:sectPr>
      </w:pPr>
    </w:p>
    <w:p w:rsidR="00AA2E04" w:rsidRPr="004F0658" w:rsidRDefault="00AA2E04" w:rsidP="000C6220">
      <w:pPr>
        <w:pStyle w:val="Para1"/>
        <w:numPr>
          <w:ilvl w:val="0"/>
          <w:numId w:val="0"/>
        </w:numPr>
        <w:spacing w:line="240" w:lineRule="auto"/>
        <w:rPr>
          <w:szCs w:val="22"/>
          <w:lang w:val="es-ES"/>
        </w:rPr>
      </w:pPr>
      <w:r w:rsidRPr="004F0658">
        <w:rPr>
          <w:szCs w:val="22"/>
          <w:lang w:val="es-ES"/>
        </w:rPr>
        <w:lastRenderedPageBreak/>
        <w:t>Afganist</w:t>
      </w:r>
      <w:r w:rsidR="00EF6BA0">
        <w:rPr>
          <w:szCs w:val="22"/>
          <w:lang w:val="es-ES"/>
        </w:rPr>
        <w:t>á</w:t>
      </w:r>
      <w:r w:rsidRPr="004F0658">
        <w:rPr>
          <w:szCs w:val="22"/>
          <w:lang w:val="es-ES"/>
        </w:rPr>
        <w:t>n</w:t>
      </w:r>
    </w:p>
    <w:p w:rsidR="00AA2E04" w:rsidRDefault="00AA2E04" w:rsidP="000C6220">
      <w:pPr>
        <w:pStyle w:val="Para1"/>
        <w:numPr>
          <w:ilvl w:val="0"/>
          <w:numId w:val="0"/>
        </w:numPr>
        <w:spacing w:before="0" w:after="0" w:line="240" w:lineRule="auto"/>
        <w:rPr>
          <w:szCs w:val="22"/>
          <w:lang w:val="es-ES"/>
        </w:rPr>
      </w:pPr>
      <w:r w:rsidRPr="004F0658">
        <w:rPr>
          <w:szCs w:val="22"/>
          <w:lang w:val="es-ES"/>
        </w:rPr>
        <w:t>Albania</w:t>
      </w:r>
    </w:p>
    <w:p w:rsidR="004F123A" w:rsidRPr="004F0658" w:rsidRDefault="004F123A" w:rsidP="000C6220">
      <w:pPr>
        <w:pStyle w:val="Para1"/>
        <w:numPr>
          <w:ilvl w:val="0"/>
          <w:numId w:val="0"/>
        </w:numPr>
        <w:spacing w:before="0" w:after="0" w:line="240" w:lineRule="auto"/>
        <w:rPr>
          <w:szCs w:val="22"/>
          <w:lang w:val="es-ES"/>
        </w:rPr>
      </w:pPr>
      <w:r>
        <w:rPr>
          <w:szCs w:val="22"/>
          <w:lang w:val="es-ES"/>
        </w:rPr>
        <w:t>Alemania</w:t>
      </w:r>
    </w:p>
    <w:p w:rsidR="00AA2E04" w:rsidRPr="004F0658" w:rsidRDefault="00AA2E04" w:rsidP="000C6220">
      <w:pPr>
        <w:pStyle w:val="Para1"/>
        <w:numPr>
          <w:ilvl w:val="0"/>
          <w:numId w:val="0"/>
        </w:numPr>
        <w:spacing w:before="0" w:after="0" w:line="240" w:lineRule="auto"/>
        <w:ind w:left="284" w:hanging="284"/>
        <w:jc w:val="left"/>
        <w:rPr>
          <w:kern w:val="22"/>
          <w:szCs w:val="22"/>
          <w:lang w:val="es-ES"/>
        </w:rPr>
      </w:pPr>
      <w:r w:rsidRPr="004F0658">
        <w:rPr>
          <w:kern w:val="22"/>
          <w:szCs w:val="22"/>
          <w:lang w:val="es-ES"/>
        </w:rPr>
        <w:t>Angola</w:t>
      </w:r>
    </w:p>
    <w:p w:rsidR="00AA2E04" w:rsidRPr="004F0658" w:rsidRDefault="00AA2E04" w:rsidP="000C6220">
      <w:pPr>
        <w:pStyle w:val="Para1"/>
        <w:numPr>
          <w:ilvl w:val="0"/>
          <w:numId w:val="0"/>
        </w:numPr>
        <w:spacing w:before="0" w:after="0" w:line="240" w:lineRule="auto"/>
        <w:ind w:left="284" w:hanging="284"/>
        <w:jc w:val="left"/>
        <w:rPr>
          <w:kern w:val="22"/>
          <w:szCs w:val="22"/>
          <w:lang w:val="es-ES"/>
        </w:rPr>
      </w:pPr>
      <w:r w:rsidRPr="004F0658">
        <w:rPr>
          <w:kern w:val="22"/>
          <w:szCs w:val="22"/>
          <w:lang w:val="es-ES"/>
        </w:rPr>
        <w:t xml:space="preserve">Antigua </w:t>
      </w:r>
      <w:r w:rsidR="00EF6BA0">
        <w:rPr>
          <w:kern w:val="22"/>
          <w:szCs w:val="22"/>
          <w:lang w:val="es-ES"/>
        </w:rPr>
        <w:t>y</w:t>
      </w:r>
      <w:r w:rsidRPr="004F0658">
        <w:rPr>
          <w:kern w:val="22"/>
          <w:szCs w:val="22"/>
          <w:lang w:val="es-ES"/>
        </w:rPr>
        <w:t xml:space="preserve"> Barbuda</w:t>
      </w:r>
    </w:p>
    <w:p w:rsidR="00A808D0" w:rsidRPr="004F0658" w:rsidRDefault="00AA2E04" w:rsidP="000C6220">
      <w:pPr>
        <w:pStyle w:val="Para1"/>
        <w:numPr>
          <w:ilvl w:val="0"/>
          <w:numId w:val="0"/>
        </w:numPr>
        <w:spacing w:before="0" w:after="0" w:line="240" w:lineRule="auto"/>
        <w:ind w:left="284" w:hanging="284"/>
        <w:jc w:val="left"/>
        <w:rPr>
          <w:kern w:val="22"/>
          <w:szCs w:val="22"/>
          <w:lang w:val="es-ES"/>
        </w:rPr>
      </w:pPr>
      <w:r w:rsidRPr="004F0658">
        <w:rPr>
          <w:kern w:val="22"/>
          <w:szCs w:val="22"/>
          <w:lang w:val="es-ES"/>
        </w:rPr>
        <w:t>Argentina</w:t>
      </w:r>
    </w:p>
    <w:p w:rsidR="00AA2E04" w:rsidRPr="000A36A5" w:rsidRDefault="00AA2E04" w:rsidP="000C6220">
      <w:pPr>
        <w:pStyle w:val="Para1"/>
        <w:numPr>
          <w:ilvl w:val="0"/>
          <w:numId w:val="0"/>
        </w:numPr>
        <w:spacing w:before="0" w:after="0" w:line="240" w:lineRule="auto"/>
        <w:ind w:left="284" w:hanging="284"/>
        <w:jc w:val="left"/>
        <w:rPr>
          <w:kern w:val="22"/>
          <w:szCs w:val="22"/>
          <w:lang w:val="es-ES"/>
        </w:rPr>
      </w:pPr>
      <w:r w:rsidRPr="000A36A5">
        <w:rPr>
          <w:kern w:val="22"/>
          <w:szCs w:val="22"/>
          <w:lang w:val="es-ES"/>
        </w:rPr>
        <w:t>Austria</w:t>
      </w:r>
    </w:p>
    <w:p w:rsidR="00AA2E04" w:rsidRPr="000A36A5" w:rsidRDefault="00AA2E04"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Belar</w:t>
      </w:r>
      <w:r w:rsidR="00EF6BA0" w:rsidRPr="000A36A5">
        <w:rPr>
          <w:rFonts w:eastAsia="Times New Roman"/>
          <w:snapToGrid w:val="0"/>
          <w:kern w:val="22"/>
          <w:szCs w:val="22"/>
          <w:lang w:val="es-ES"/>
        </w:rPr>
        <w:t>ú</w:t>
      </w:r>
      <w:r w:rsidRPr="000A36A5">
        <w:rPr>
          <w:rFonts w:eastAsia="Times New Roman"/>
          <w:snapToGrid w:val="0"/>
          <w:kern w:val="22"/>
          <w:szCs w:val="22"/>
          <w:lang w:val="es-ES"/>
        </w:rPr>
        <w:t>s</w:t>
      </w:r>
    </w:p>
    <w:p w:rsidR="00AA2E04" w:rsidRPr="000A36A5" w:rsidRDefault="00AA2E04"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B</w:t>
      </w:r>
      <w:r w:rsidR="00EF6BA0" w:rsidRPr="000A36A5">
        <w:rPr>
          <w:rFonts w:eastAsia="Times New Roman"/>
          <w:snapToGrid w:val="0"/>
          <w:kern w:val="22"/>
          <w:szCs w:val="22"/>
          <w:lang w:val="es-ES"/>
        </w:rPr>
        <w:t>élgica</w:t>
      </w:r>
    </w:p>
    <w:p w:rsidR="00AA2E04" w:rsidRPr="000A36A5" w:rsidRDefault="00AA2E04"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Benin</w:t>
      </w:r>
    </w:p>
    <w:p w:rsidR="00AA2E04" w:rsidRPr="00EF6BA0" w:rsidRDefault="00AA2E04" w:rsidP="000C6220">
      <w:pPr>
        <w:tabs>
          <w:tab w:val="left" w:pos="567"/>
        </w:tabs>
        <w:spacing w:after="0" w:line="240" w:lineRule="auto"/>
        <w:ind w:left="284" w:hanging="284"/>
        <w:jc w:val="left"/>
        <w:rPr>
          <w:rFonts w:eastAsia="Times New Roman"/>
          <w:snapToGrid w:val="0"/>
          <w:kern w:val="22"/>
          <w:szCs w:val="22"/>
          <w:lang w:val="es-ES"/>
        </w:rPr>
      </w:pPr>
      <w:r w:rsidRPr="00EF6BA0">
        <w:rPr>
          <w:rFonts w:eastAsia="Times New Roman"/>
          <w:snapToGrid w:val="0"/>
          <w:kern w:val="22"/>
          <w:szCs w:val="22"/>
          <w:lang w:val="es-ES"/>
        </w:rPr>
        <w:t>Bhut</w:t>
      </w:r>
      <w:r w:rsidR="00EF6BA0" w:rsidRPr="00EF6BA0">
        <w:rPr>
          <w:rFonts w:eastAsia="Times New Roman"/>
          <w:snapToGrid w:val="0"/>
          <w:kern w:val="22"/>
          <w:szCs w:val="22"/>
          <w:lang w:val="es-ES"/>
        </w:rPr>
        <w:t>á</w:t>
      </w:r>
      <w:r w:rsidRPr="00EF6BA0">
        <w:rPr>
          <w:rFonts w:eastAsia="Times New Roman"/>
          <w:snapToGrid w:val="0"/>
          <w:kern w:val="22"/>
          <w:szCs w:val="22"/>
          <w:lang w:val="es-ES"/>
        </w:rPr>
        <w:t>n</w:t>
      </w:r>
    </w:p>
    <w:p w:rsidR="00AA2E04" w:rsidRPr="00EF6BA0" w:rsidRDefault="00AA2E04" w:rsidP="000C6220">
      <w:pPr>
        <w:tabs>
          <w:tab w:val="left" w:pos="567"/>
        </w:tabs>
        <w:spacing w:after="0" w:line="240" w:lineRule="auto"/>
        <w:ind w:left="284" w:hanging="284"/>
        <w:jc w:val="left"/>
        <w:rPr>
          <w:rFonts w:eastAsia="Times New Roman"/>
          <w:snapToGrid w:val="0"/>
          <w:kern w:val="22"/>
          <w:szCs w:val="22"/>
          <w:lang w:val="es-ES"/>
        </w:rPr>
      </w:pPr>
      <w:r w:rsidRPr="00EF6BA0">
        <w:rPr>
          <w:rFonts w:eastAsia="Times New Roman"/>
          <w:snapToGrid w:val="0"/>
          <w:kern w:val="22"/>
          <w:szCs w:val="22"/>
          <w:lang w:val="es-ES"/>
        </w:rPr>
        <w:t>Bolivia (</w:t>
      </w:r>
      <w:r w:rsidR="00EF6BA0" w:rsidRPr="00EF6BA0">
        <w:rPr>
          <w:rFonts w:eastAsia="Times New Roman"/>
          <w:snapToGrid w:val="0"/>
          <w:kern w:val="22"/>
          <w:szCs w:val="22"/>
          <w:lang w:val="es-ES"/>
        </w:rPr>
        <w:t xml:space="preserve">Estado </w:t>
      </w:r>
      <w:r w:rsidRPr="00EF6BA0">
        <w:rPr>
          <w:rFonts w:eastAsia="Times New Roman"/>
          <w:snapToGrid w:val="0"/>
          <w:kern w:val="22"/>
          <w:szCs w:val="22"/>
          <w:lang w:val="es-ES"/>
        </w:rPr>
        <w:t>Plurina</w:t>
      </w:r>
      <w:r w:rsidR="00EF6BA0" w:rsidRPr="00EF6BA0">
        <w:rPr>
          <w:rFonts w:eastAsia="Times New Roman"/>
          <w:snapToGrid w:val="0"/>
          <w:kern w:val="22"/>
          <w:szCs w:val="22"/>
          <w:lang w:val="es-ES"/>
        </w:rPr>
        <w:t>c</w:t>
      </w:r>
      <w:r w:rsidRPr="00EF6BA0">
        <w:rPr>
          <w:rFonts w:eastAsia="Times New Roman"/>
          <w:snapToGrid w:val="0"/>
          <w:kern w:val="22"/>
          <w:szCs w:val="22"/>
          <w:lang w:val="es-ES"/>
        </w:rPr>
        <w:t>ional</w:t>
      </w:r>
      <w:r w:rsidR="00EF6BA0" w:rsidRPr="00EF6BA0">
        <w:rPr>
          <w:rFonts w:eastAsia="Times New Roman"/>
          <w:snapToGrid w:val="0"/>
          <w:kern w:val="22"/>
          <w:szCs w:val="22"/>
          <w:lang w:val="es-ES"/>
        </w:rPr>
        <w:t xml:space="preserve"> de</w:t>
      </w:r>
      <w:r w:rsidRPr="00EF6BA0">
        <w:rPr>
          <w:rFonts w:eastAsia="Times New Roman"/>
          <w:snapToGrid w:val="0"/>
          <w:kern w:val="22"/>
          <w:szCs w:val="22"/>
          <w:lang w:val="es-ES"/>
        </w:rPr>
        <w:t>)</w:t>
      </w:r>
    </w:p>
    <w:p w:rsidR="00AA2E04" w:rsidRPr="004F0658" w:rsidRDefault="00AA2E04" w:rsidP="000C6220">
      <w:pPr>
        <w:pStyle w:val="Para1"/>
        <w:numPr>
          <w:ilvl w:val="0"/>
          <w:numId w:val="0"/>
        </w:numPr>
        <w:spacing w:before="0" w:after="0" w:line="240" w:lineRule="auto"/>
        <w:ind w:left="284" w:hanging="284"/>
        <w:jc w:val="left"/>
        <w:rPr>
          <w:kern w:val="22"/>
          <w:szCs w:val="22"/>
          <w:lang w:val="es-ES"/>
        </w:rPr>
      </w:pPr>
      <w:r w:rsidRPr="004F0658">
        <w:rPr>
          <w:kern w:val="22"/>
          <w:szCs w:val="22"/>
          <w:lang w:val="es-ES"/>
        </w:rPr>
        <w:t>Botswana</w:t>
      </w:r>
    </w:p>
    <w:p w:rsidR="00A44021" w:rsidRPr="004F0658" w:rsidRDefault="00A44021" w:rsidP="000C6220">
      <w:pPr>
        <w:tabs>
          <w:tab w:val="left" w:pos="567"/>
        </w:tabs>
        <w:spacing w:after="0" w:line="240" w:lineRule="auto"/>
        <w:ind w:left="284" w:hanging="284"/>
        <w:jc w:val="left"/>
        <w:rPr>
          <w:rFonts w:eastAsia="Times New Roman"/>
          <w:snapToGrid w:val="0"/>
          <w:kern w:val="22"/>
          <w:szCs w:val="22"/>
          <w:lang w:val="es-ES"/>
        </w:rPr>
      </w:pPr>
      <w:r w:rsidRPr="004F0658">
        <w:rPr>
          <w:rFonts w:eastAsia="Times New Roman"/>
          <w:snapToGrid w:val="0"/>
          <w:kern w:val="22"/>
          <w:szCs w:val="22"/>
          <w:lang w:val="es-ES"/>
        </w:rPr>
        <w:t>Bulgaria</w:t>
      </w:r>
    </w:p>
    <w:p w:rsidR="00A44021" w:rsidRPr="004F0658" w:rsidRDefault="00A44021" w:rsidP="000C6220">
      <w:pPr>
        <w:tabs>
          <w:tab w:val="left" w:pos="567"/>
        </w:tabs>
        <w:spacing w:after="0" w:line="240" w:lineRule="auto"/>
        <w:ind w:left="284" w:hanging="284"/>
        <w:jc w:val="left"/>
        <w:rPr>
          <w:rFonts w:eastAsia="Times New Roman"/>
          <w:snapToGrid w:val="0"/>
          <w:kern w:val="22"/>
          <w:szCs w:val="22"/>
          <w:lang w:val="es-ES"/>
        </w:rPr>
      </w:pPr>
      <w:r w:rsidRPr="004F0658">
        <w:rPr>
          <w:rFonts w:eastAsia="Times New Roman"/>
          <w:snapToGrid w:val="0"/>
          <w:kern w:val="22"/>
          <w:szCs w:val="22"/>
          <w:lang w:val="es-ES"/>
        </w:rPr>
        <w:t>Burkina Faso</w:t>
      </w:r>
    </w:p>
    <w:p w:rsidR="00AA2E04" w:rsidRPr="004F0658" w:rsidRDefault="00A44021" w:rsidP="000C6220">
      <w:pPr>
        <w:pStyle w:val="Para1"/>
        <w:numPr>
          <w:ilvl w:val="0"/>
          <w:numId w:val="0"/>
        </w:numPr>
        <w:spacing w:before="0" w:after="0" w:line="240" w:lineRule="auto"/>
        <w:ind w:left="284" w:hanging="284"/>
        <w:jc w:val="left"/>
        <w:rPr>
          <w:rFonts w:eastAsia="Times New Roman"/>
          <w:kern w:val="22"/>
          <w:szCs w:val="22"/>
          <w:lang w:val="es-ES"/>
        </w:rPr>
      </w:pPr>
      <w:r w:rsidRPr="004F0658">
        <w:rPr>
          <w:rFonts w:eastAsia="Times New Roman"/>
          <w:kern w:val="22"/>
          <w:szCs w:val="22"/>
          <w:lang w:val="es-ES"/>
        </w:rPr>
        <w:t>Burundi</w:t>
      </w:r>
    </w:p>
    <w:p w:rsidR="00A44021" w:rsidRPr="004F0658" w:rsidRDefault="00A44021" w:rsidP="000C6220">
      <w:pPr>
        <w:pStyle w:val="Para1"/>
        <w:numPr>
          <w:ilvl w:val="0"/>
          <w:numId w:val="0"/>
        </w:numPr>
        <w:spacing w:before="0" w:after="0" w:line="240" w:lineRule="auto"/>
        <w:ind w:left="284" w:hanging="284"/>
        <w:jc w:val="left"/>
        <w:rPr>
          <w:kern w:val="22"/>
          <w:szCs w:val="22"/>
          <w:lang w:val="es-ES"/>
        </w:rPr>
      </w:pPr>
      <w:r w:rsidRPr="004F0658">
        <w:rPr>
          <w:kern w:val="22"/>
          <w:szCs w:val="22"/>
          <w:lang w:val="es-ES"/>
        </w:rPr>
        <w:t>Cambo</w:t>
      </w:r>
      <w:r w:rsidR="00EF6BA0">
        <w:rPr>
          <w:kern w:val="22"/>
          <w:szCs w:val="22"/>
          <w:lang w:val="es-ES"/>
        </w:rPr>
        <w:t>y</w:t>
      </w:r>
      <w:r w:rsidRPr="004F0658">
        <w:rPr>
          <w:kern w:val="22"/>
          <w:szCs w:val="22"/>
          <w:lang w:val="es-ES"/>
        </w:rPr>
        <w:t>a</w:t>
      </w:r>
    </w:p>
    <w:p w:rsidR="00A44021" w:rsidRPr="000A36A5" w:rsidRDefault="00A44021" w:rsidP="000C6220">
      <w:pPr>
        <w:pStyle w:val="Para1"/>
        <w:numPr>
          <w:ilvl w:val="0"/>
          <w:numId w:val="0"/>
        </w:numPr>
        <w:spacing w:before="0" w:after="0" w:line="240" w:lineRule="auto"/>
        <w:ind w:left="284" w:hanging="284"/>
        <w:jc w:val="left"/>
        <w:rPr>
          <w:kern w:val="22"/>
          <w:szCs w:val="22"/>
          <w:lang w:val="es-ES"/>
        </w:rPr>
      </w:pPr>
      <w:r w:rsidRPr="000A36A5">
        <w:rPr>
          <w:kern w:val="22"/>
          <w:szCs w:val="22"/>
          <w:lang w:val="es-ES"/>
        </w:rPr>
        <w:t>Camer</w:t>
      </w:r>
      <w:r w:rsidR="00EF6BA0" w:rsidRPr="000A36A5">
        <w:rPr>
          <w:kern w:val="22"/>
          <w:szCs w:val="22"/>
          <w:lang w:val="es-ES"/>
        </w:rPr>
        <w:t>ú</w:t>
      </w:r>
      <w:r w:rsidRPr="000A36A5">
        <w:rPr>
          <w:kern w:val="22"/>
          <w:szCs w:val="22"/>
          <w:lang w:val="es-ES"/>
        </w:rPr>
        <w:t>n</w:t>
      </w:r>
    </w:p>
    <w:p w:rsidR="00A44021" w:rsidRPr="000A36A5" w:rsidRDefault="00A44021" w:rsidP="000C6220">
      <w:pPr>
        <w:pStyle w:val="Para1"/>
        <w:numPr>
          <w:ilvl w:val="0"/>
          <w:numId w:val="0"/>
        </w:numPr>
        <w:spacing w:before="0" w:after="0" w:line="240" w:lineRule="auto"/>
        <w:ind w:left="284" w:hanging="284"/>
        <w:jc w:val="left"/>
        <w:rPr>
          <w:kern w:val="22"/>
          <w:szCs w:val="22"/>
          <w:lang w:val="es-ES"/>
        </w:rPr>
      </w:pPr>
      <w:r w:rsidRPr="000A36A5">
        <w:rPr>
          <w:kern w:val="22"/>
          <w:szCs w:val="22"/>
          <w:lang w:val="es-ES"/>
        </w:rPr>
        <w:t>Chad</w:t>
      </w:r>
    </w:p>
    <w:p w:rsidR="00EF6BA0" w:rsidRPr="000A36A5" w:rsidRDefault="00EF6BA0" w:rsidP="000C6220">
      <w:pPr>
        <w:pStyle w:val="Para1"/>
        <w:numPr>
          <w:ilvl w:val="0"/>
          <w:numId w:val="0"/>
        </w:numPr>
        <w:spacing w:before="0" w:after="0" w:line="240" w:lineRule="auto"/>
        <w:ind w:left="284" w:hanging="284"/>
        <w:jc w:val="left"/>
        <w:rPr>
          <w:kern w:val="22"/>
          <w:szCs w:val="22"/>
          <w:lang w:val="es-ES"/>
        </w:rPr>
      </w:pPr>
      <w:r w:rsidRPr="000A36A5">
        <w:rPr>
          <w:kern w:val="22"/>
          <w:szCs w:val="22"/>
          <w:lang w:val="es-ES"/>
        </w:rPr>
        <w:t>Chequia</w:t>
      </w:r>
    </w:p>
    <w:p w:rsidR="00A44021" w:rsidRPr="000A36A5" w:rsidRDefault="00A44021" w:rsidP="000C6220">
      <w:pPr>
        <w:pStyle w:val="Para1"/>
        <w:numPr>
          <w:ilvl w:val="0"/>
          <w:numId w:val="0"/>
        </w:numPr>
        <w:spacing w:before="0" w:after="0" w:line="240" w:lineRule="auto"/>
        <w:ind w:left="284" w:hanging="284"/>
        <w:jc w:val="left"/>
        <w:rPr>
          <w:kern w:val="22"/>
          <w:szCs w:val="22"/>
          <w:lang w:val="es-ES"/>
        </w:rPr>
      </w:pPr>
      <w:r w:rsidRPr="000A36A5">
        <w:rPr>
          <w:kern w:val="22"/>
          <w:szCs w:val="22"/>
          <w:lang w:val="es-ES"/>
        </w:rPr>
        <w:t>China</w:t>
      </w:r>
    </w:p>
    <w:p w:rsidR="00A44021" w:rsidRPr="004F0658" w:rsidRDefault="00A44021" w:rsidP="000C6220">
      <w:pPr>
        <w:pStyle w:val="Para1"/>
        <w:numPr>
          <w:ilvl w:val="0"/>
          <w:numId w:val="0"/>
        </w:numPr>
        <w:spacing w:before="0" w:after="0" w:line="240" w:lineRule="auto"/>
        <w:ind w:left="284" w:hanging="284"/>
        <w:jc w:val="left"/>
        <w:rPr>
          <w:kern w:val="22"/>
          <w:szCs w:val="22"/>
          <w:lang w:val="es-ES"/>
        </w:rPr>
      </w:pPr>
      <w:r w:rsidRPr="004F0658">
        <w:rPr>
          <w:kern w:val="22"/>
          <w:szCs w:val="22"/>
          <w:lang w:val="es-ES"/>
        </w:rPr>
        <w:t>Comor</w:t>
      </w:r>
      <w:r w:rsidR="00EF6BA0">
        <w:rPr>
          <w:kern w:val="22"/>
          <w:szCs w:val="22"/>
          <w:lang w:val="es-ES"/>
        </w:rPr>
        <w:t>a</w:t>
      </w:r>
      <w:r w:rsidRPr="004F0658">
        <w:rPr>
          <w:kern w:val="22"/>
          <w:szCs w:val="22"/>
          <w:lang w:val="es-ES"/>
        </w:rPr>
        <w:t>s</w:t>
      </w:r>
    </w:p>
    <w:p w:rsidR="00A44021" w:rsidRDefault="00A44021" w:rsidP="000C6220">
      <w:pPr>
        <w:pStyle w:val="Para1"/>
        <w:numPr>
          <w:ilvl w:val="0"/>
          <w:numId w:val="0"/>
        </w:numPr>
        <w:spacing w:before="0" w:after="0" w:line="240" w:lineRule="auto"/>
        <w:ind w:left="284" w:hanging="284"/>
        <w:jc w:val="left"/>
        <w:rPr>
          <w:kern w:val="22"/>
          <w:szCs w:val="22"/>
          <w:lang w:val="es-ES"/>
        </w:rPr>
      </w:pPr>
      <w:r w:rsidRPr="004F0658">
        <w:rPr>
          <w:kern w:val="22"/>
          <w:szCs w:val="22"/>
          <w:lang w:val="es-ES"/>
        </w:rPr>
        <w:t>Congo</w:t>
      </w:r>
    </w:p>
    <w:p w:rsidR="00EF6BA0" w:rsidRPr="004F0658" w:rsidRDefault="00EF6BA0" w:rsidP="000C6220">
      <w:pPr>
        <w:pStyle w:val="Para1"/>
        <w:numPr>
          <w:ilvl w:val="0"/>
          <w:numId w:val="0"/>
        </w:numPr>
        <w:spacing w:before="0" w:after="0" w:line="240" w:lineRule="auto"/>
        <w:ind w:left="284" w:hanging="284"/>
        <w:jc w:val="left"/>
        <w:rPr>
          <w:kern w:val="22"/>
          <w:szCs w:val="22"/>
          <w:lang w:val="es-ES"/>
        </w:rPr>
      </w:pPr>
      <w:r w:rsidRPr="004F0658">
        <w:rPr>
          <w:kern w:val="22"/>
          <w:szCs w:val="22"/>
          <w:lang w:val="es-ES"/>
        </w:rPr>
        <w:t>Côte d’Ivoire</w:t>
      </w:r>
    </w:p>
    <w:p w:rsidR="00A44021" w:rsidRPr="004F0658" w:rsidRDefault="00A44021" w:rsidP="000C6220">
      <w:pPr>
        <w:pStyle w:val="Para1"/>
        <w:numPr>
          <w:ilvl w:val="0"/>
          <w:numId w:val="0"/>
        </w:numPr>
        <w:spacing w:before="0" w:after="0" w:line="240" w:lineRule="auto"/>
        <w:ind w:left="284" w:hanging="284"/>
        <w:jc w:val="left"/>
        <w:rPr>
          <w:kern w:val="22"/>
          <w:szCs w:val="22"/>
          <w:lang w:val="es-ES"/>
        </w:rPr>
      </w:pPr>
      <w:r w:rsidRPr="004F0658">
        <w:rPr>
          <w:kern w:val="22"/>
          <w:szCs w:val="22"/>
          <w:lang w:val="es-ES"/>
        </w:rPr>
        <w:t>Croa</w:t>
      </w:r>
      <w:r w:rsidR="00EF6BA0">
        <w:rPr>
          <w:kern w:val="22"/>
          <w:szCs w:val="22"/>
          <w:lang w:val="es-ES"/>
        </w:rPr>
        <w:t>c</w:t>
      </w:r>
      <w:r w:rsidRPr="004F0658">
        <w:rPr>
          <w:kern w:val="22"/>
          <w:szCs w:val="22"/>
          <w:lang w:val="es-ES"/>
        </w:rPr>
        <w:t>ia</w:t>
      </w:r>
    </w:p>
    <w:p w:rsidR="00A44021" w:rsidRPr="004F0658" w:rsidRDefault="00A44021" w:rsidP="000C6220">
      <w:pPr>
        <w:pStyle w:val="Para1"/>
        <w:numPr>
          <w:ilvl w:val="0"/>
          <w:numId w:val="0"/>
        </w:numPr>
        <w:spacing w:before="0" w:after="0" w:line="240" w:lineRule="auto"/>
        <w:ind w:left="284" w:hanging="284"/>
        <w:jc w:val="left"/>
        <w:rPr>
          <w:kern w:val="22"/>
          <w:szCs w:val="22"/>
          <w:lang w:val="es-ES"/>
        </w:rPr>
      </w:pPr>
      <w:r w:rsidRPr="004F0658">
        <w:rPr>
          <w:kern w:val="22"/>
          <w:szCs w:val="22"/>
          <w:lang w:val="es-ES"/>
        </w:rPr>
        <w:t>Cuba</w:t>
      </w:r>
    </w:p>
    <w:p w:rsidR="00A44021" w:rsidRPr="000A36A5" w:rsidRDefault="00A44021"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D</w:t>
      </w:r>
      <w:r w:rsidR="004F123A" w:rsidRPr="000A36A5">
        <w:rPr>
          <w:rFonts w:eastAsia="Times New Roman"/>
          <w:snapToGrid w:val="0"/>
          <w:kern w:val="22"/>
          <w:szCs w:val="22"/>
          <w:lang w:val="es-ES"/>
        </w:rPr>
        <w:t>inamarca</w:t>
      </w:r>
    </w:p>
    <w:p w:rsidR="00A44021" w:rsidRPr="000A36A5" w:rsidRDefault="00A44021"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Djibouti</w:t>
      </w:r>
    </w:p>
    <w:p w:rsidR="00A44021" w:rsidRPr="000A36A5" w:rsidRDefault="00A44021"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Ecuador</w:t>
      </w:r>
    </w:p>
    <w:p w:rsidR="00A44021" w:rsidRPr="000A36A5" w:rsidRDefault="00A44021"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Eg</w:t>
      </w:r>
      <w:r w:rsidR="004F123A" w:rsidRPr="000A36A5">
        <w:rPr>
          <w:rFonts w:eastAsia="Times New Roman"/>
          <w:snapToGrid w:val="0"/>
          <w:kern w:val="22"/>
          <w:szCs w:val="22"/>
          <w:lang w:val="es-ES"/>
        </w:rPr>
        <w:t>ipto</w:t>
      </w:r>
    </w:p>
    <w:p w:rsidR="004F123A" w:rsidRPr="000A36A5" w:rsidRDefault="004F123A"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Emiratos Árabes Unidos</w:t>
      </w:r>
    </w:p>
    <w:p w:rsidR="004F123A" w:rsidRPr="000A36A5" w:rsidRDefault="004F123A"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Eslovaquia</w:t>
      </w:r>
    </w:p>
    <w:p w:rsidR="004F123A" w:rsidRPr="000A36A5" w:rsidRDefault="004F123A"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España</w:t>
      </w:r>
    </w:p>
    <w:p w:rsidR="00A44021" w:rsidRPr="000A36A5" w:rsidRDefault="00A44021"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Eswatini</w:t>
      </w:r>
    </w:p>
    <w:p w:rsidR="00A44021" w:rsidRPr="000A36A5" w:rsidRDefault="00A44021"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Etiop</w:t>
      </w:r>
      <w:r w:rsidR="004F123A" w:rsidRPr="000A36A5">
        <w:rPr>
          <w:rFonts w:eastAsia="Times New Roman"/>
          <w:snapToGrid w:val="0"/>
          <w:kern w:val="22"/>
          <w:szCs w:val="22"/>
          <w:lang w:val="es-ES"/>
        </w:rPr>
        <w:t>í</w:t>
      </w:r>
      <w:r w:rsidRPr="000A36A5">
        <w:rPr>
          <w:rFonts w:eastAsia="Times New Roman"/>
          <w:snapToGrid w:val="0"/>
          <w:kern w:val="22"/>
          <w:szCs w:val="22"/>
          <w:lang w:val="es-ES"/>
        </w:rPr>
        <w:t>a</w:t>
      </w:r>
    </w:p>
    <w:p w:rsidR="00A44021" w:rsidRPr="000A36A5" w:rsidRDefault="00A44021"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Fiji</w:t>
      </w:r>
    </w:p>
    <w:p w:rsidR="004F123A" w:rsidRPr="000A36A5" w:rsidRDefault="004F123A"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lastRenderedPageBreak/>
        <w:t>Filipinas</w:t>
      </w:r>
    </w:p>
    <w:p w:rsidR="00A44021" w:rsidRPr="000A36A5" w:rsidRDefault="00A44021"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Finland</w:t>
      </w:r>
      <w:r w:rsidR="004F123A" w:rsidRPr="000A36A5">
        <w:rPr>
          <w:rFonts w:eastAsia="Times New Roman"/>
          <w:snapToGrid w:val="0"/>
          <w:kern w:val="22"/>
          <w:szCs w:val="22"/>
          <w:lang w:val="es-ES"/>
        </w:rPr>
        <w:t>ia</w:t>
      </w:r>
    </w:p>
    <w:p w:rsidR="00A44021" w:rsidRPr="000A36A5" w:rsidRDefault="00A44021"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Franc</w:t>
      </w:r>
      <w:r w:rsidR="004F123A" w:rsidRPr="000A36A5">
        <w:rPr>
          <w:rFonts w:eastAsia="Times New Roman"/>
          <w:snapToGrid w:val="0"/>
          <w:kern w:val="22"/>
          <w:szCs w:val="22"/>
          <w:lang w:val="es-ES"/>
        </w:rPr>
        <w:t>ia</w:t>
      </w:r>
    </w:p>
    <w:p w:rsidR="00A44021" w:rsidRPr="000A36A5" w:rsidRDefault="004F123A"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Gabó</w:t>
      </w:r>
      <w:r w:rsidR="00A44021" w:rsidRPr="000A36A5">
        <w:rPr>
          <w:rFonts w:eastAsia="Times New Roman"/>
          <w:snapToGrid w:val="0"/>
          <w:kern w:val="22"/>
          <w:szCs w:val="22"/>
          <w:lang w:val="es-ES"/>
        </w:rPr>
        <w:t>n</w:t>
      </w:r>
    </w:p>
    <w:p w:rsidR="00A44021" w:rsidRPr="000A36A5" w:rsidRDefault="00A44021"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Gambia</w:t>
      </w:r>
    </w:p>
    <w:p w:rsidR="00A44021" w:rsidRPr="000A36A5" w:rsidRDefault="00A44021" w:rsidP="000C6220">
      <w:pPr>
        <w:pStyle w:val="Para1"/>
        <w:numPr>
          <w:ilvl w:val="0"/>
          <w:numId w:val="0"/>
        </w:numPr>
        <w:spacing w:before="0" w:after="0" w:line="240" w:lineRule="auto"/>
        <w:ind w:left="284" w:hanging="284"/>
        <w:jc w:val="left"/>
        <w:rPr>
          <w:kern w:val="22"/>
          <w:szCs w:val="22"/>
          <w:lang w:val="es-ES"/>
        </w:rPr>
      </w:pPr>
      <w:r w:rsidRPr="000A36A5">
        <w:rPr>
          <w:kern w:val="22"/>
          <w:szCs w:val="22"/>
          <w:lang w:val="es-ES"/>
        </w:rPr>
        <w:t>Guatemala</w:t>
      </w:r>
    </w:p>
    <w:p w:rsidR="00A44021" w:rsidRPr="000A36A5" w:rsidRDefault="00A44021" w:rsidP="000C6220">
      <w:pPr>
        <w:pStyle w:val="Para1"/>
        <w:numPr>
          <w:ilvl w:val="0"/>
          <w:numId w:val="0"/>
        </w:numPr>
        <w:spacing w:before="0" w:after="0" w:line="240" w:lineRule="auto"/>
        <w:ind w:left="284" w:hanging="284"/>
        <w:jc w:val="left"/>
        <w:rPr>
          <w:kern w:val="22"/>
          <w:szCs w:val="22"/>
          <w:lang w:val="es-ES"/>
        </w:rPr>
      </w:pPr>
      <w:r w:rsidRPr="000A36A5">
        <w:rPr>
          <w:kern w:val="22"/>
          <w:szCs w:val="22"/>
          <w:lang w:val="es-ES"/>
        </w:rPr>
        <w:t>Guinea</w:t>
      </w:r>
    </w:p>
    <w:p w:rsidR="00A44021" w:rsidRPr="000A36A5" w:rsidRDefault="00A44021" w:rsidP="000C6220">
      <w:pPr>
        <w:pStyle w:val="Para1"/>
        <w:numPr>
          <w:ilvl w:val="0"/>
          <w:numId w:val="0"/>
        </w:numPr>
        <w:spacing w:before="0" w:after="0" w:line="240" w:lineRule="auto"/>
        <w:ind w:left="284" w:hanging="284"/>
        <w:jc w:val="left"/>
        <w:rPr>
          <w:kern w:val="22"/>
          <w:szCs w:val="22"/>
          <w:lang w:val="es-ES"/>
        </w:rPr>
      </w:pPr>
      <w:r w:rsidRPr="000A36A5">
        <w:rPr>
          <w:kern w:val="22"/>
          <w:szCs w:val="22"/>
          <w:lang w:val="es-ES"/>
        </w:rPr>
        <w:t>Guinea-Bissau</w:t>
      </w:r>
    </w:p>
    <w:p w:rsidR="00A44021" w:rsidRPr="000A36A5" w:rsidRDefault="00A44021" w:rsidP="000C6220">
      <w:pPr>
        <w:pStyle w:val="Para1"/>
        <w:numPr>
          <w:ilvl w:val="0"/>
          <w:numId w:val="0"/>
        </w:numPr>
        <w:spacing w:before="0" w:after="0" w:line="240" w:lineRule="auto"/>
        <w:ind w:left="284" w:hanging="284"/>
        <w:jc w:val="left"/>
        <w:rPr>
          <w:kern w:val="22"/>
          <w:szCs w:val="22"/>
          <w:lang w:val="es-ES"/>
        </w:rPr>
      </w:pPr>
      <w:r w:rsidRPr="000A36A5">
        <w:rPr>
          <w:kern w:val="22"/>
          <w:szCs w:val="22"/>
          <w:lang w:val="es-ES"/>
        </w:rPr>
        <w:t>Guyana</w:t>
      </w:r>
    </w:p>
    <w:p w:rsidR="00A44021" w:rsidRPr="000A36A5" w:rsidRDefault="00A44021" w:rsidP="000C6220">
      <w:pPr>
        <w:pStyle w:val="Para1"/>
        <w:numPr>
          <w:ilvl w:val="0"/>
          <w:numId w:val="0"/>
        </w:numPr>
        <w:spacing w:before="0" w:after="0" w:line="240" w:lineRule="auto"/>
        <w:ind w:left="284" w:hanging="284"/>
        <w:jc w:val="left"/>
        <w:rPr>
          <w:kern w:val="22"/>
          <w:szCs w:val="22"/>
          <w:lang w:val="es-ES"/>
        </w:rPr>
      </w:pPr>
      <w:r w:rsidRPr="000A36A5">
        <w:rPr>
          <w:kern w:val="22"/>
          <w:szCs w:val="22"/>
          <w:lang w:val="es-ES"/>
        </w:rPr>
        <w:t>Honduras</w:t>
      </w:r>
    </w:p>
    <w:p w:rsidR="00A44021" w:rsidRPr="000A36A5" w:rsidRDefault="00A44021" w:rsidP="000C6220">
      <w:pPr>
        <w:pStyle w:val="Para1"/>
        <w:numPr>
          <w:ilvl w:val="0"/>
          <w:numId w:val="0"/>
        </w:numPr>
        <w:spacing w:before="0" w:after="0" w:line="240" w:lineRule="auto"/>
        <w:ind w:left="284" w:hanging="284"/>
        <w:jc w:val="left"/>
        <w:rPr>
          <w:kern w:val="22"/>
          <w:szCs w:val="22"/>
          <w:lang w:val="es-ES"/>
        </w:rPr>
      </w:pPr>
      <w:r w:rsidRPr="000A36A5">
        <w:rPr>
          <w:kern w:val="22"/>
          <w:szCs w:val="22"/>
          <w:lang w:val="es-ES"/>
        </w:rPr>
        <w:t>Hung</w:t>
      </w:r>
      <w:r w:rsidR="004F123A" w:rsidRPr="000A36A5">
        <w:rPr>
          <w:kern w:val="22"/>
          <w:szCs w:val="22"/>
          <w:lang w:val="es-ES"/>
        </w:rPr>
        <w:t>ría</w:t>
      </w:r>
    </w:p>
    <w:p w:rsidR="00A44021" w:rsidRPr="000A36A5" w:rsidRDefault="00A44021" w:rsidP="000C6220">
      <w:pPr>
        <w:pStyle w:val="Para1"/>
        <w:numPr>
          <w:ilvl w:val="0"/>
          <w:numId w:val="0"/>
        </w:numPr>
        <w:spacing w:before="0" w:after="0" w:line="240" w:lineRule="auto"/>
        <w:ind w:left="284" w:hanging="284"/>
        <w:jc w:val="left"/>
        <w:rPr>
          <w:kern w:val="22"/>
          <w:szCs w:val="22"/>
          <w:lang w:val="es-ES"/>
        </w:rPr>
      </w:pPr>
      <w:r w:rsidRPr="000A36A5">
        <w:rPr>
          <w:kern w:val="22"/>
          <w:szCs w:val="22"/>
          <w:lang w:val="es-ES"/>
        </w:rPr>
        <w:t>India</w:t>
      </w:r>
    </w:p>
    <w:p w:rsidR="00A44021" w:rsidRPr="000A36A5" w:rsidRDefault="00A44021" w:rsidP="000C6220">
      <w:pPr>
        <w:pStyle w:val="Para1"/>
        <w:numPr>
          <w:ilvl w:val="0"/>
          <w:numId w:val="0"/>
        </w:numPr>
        <w:spacing w:before="0" w:after="0" w:line="240" w:lineRule="auto"/>
        <w:ind w:left="284" w:hanging="284"/>
        <w:jc w:val="left"/>
        <w:rPr>
          <w:kern w:val="22"/>
          <w:szCs w:val="22"/>
          <w:lang w:val="es-ES"/>
        </w:rPr>
      </w:pPr>
      <w:r w:rsidRPr="000A36A5">
        <w:rPr>
          <w:kern w:val="22"/>
          <w:szCs w:val="22"/>
          <w:lang w:val="es-ES"/>
        </w:rPr>
        <w:t>Indonesia</w:t>
      </w:r>
    </w:p>
    <w:p w:rsidR="004F123A" w:rsidRPr="000A36A5" w:rsidRDefault="004F123A" w:rsidP="000C6220">
      <w:pPr>
        <w:pStyle w:val="Para1"/>
        <w:numPr>
          <w:ilvl w:val="0"/>
          <w:numId w:val="0"/>
        </w:numPr>
        <w:spacing w:before="0" w:after="0" w:line="240" w:lineRule="auto"/>
        <w:ind w:left="284" w:hanging="284"/>
        <w:jc w:val="left"/>
        <w:rPr>
          <w:kern w:val="22"/>
          <w:szCs w:val="22"/>
          <w:lang w:val="es-ES"/>
        </w:rPr>
      </w:pPr>
      <w:r w:rsidRPr="000A36A5">
        <w:rPr>
          <w:kern w:val="22"/>
          <w:szCs w:val="22"/>
          <w:lang w:val="es-ES"/>
        </w:rPr>
        <w:t>Islas Marshall</w:t>
      </w:r>
    </w:p>
    <w:p w:rsidR="00A44021" w:rsidRPr="000A36A5" w:rsidRDefault="00A44021"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Jap</w:t>
      </w:r>
      <w:r w:rsidR="004F123A" w:rsidRPr="000A36A5">
        <w:rPr>
          <w:rFonts w:eastAsia="Times New Roman"/>
          <w:snapToGrid w:val="0"/>
          <w:kern w:val="22"/>
          <w:szCs w:val="22"/>
          <w:lang w:val="es-ES"/>
        </w:rPr>
        <w:t>ó</w:t>
      </w:r>
      <w:r w:rsidRPr="000A36A5">
        <w:rPr>
          <w:rFonts w:eastAsia="Times New Roman"/>
          <w:snapToGrid w:val="0"/>
          <w:kern w:val="22"/>
          <w:szCs w:val="22"/>
          <w:lang w:val="es-ES"/>
        </w:rPr>
        <w:t>n</w:t>
      </w:r>
    </w:p>
    <w:p w:rsidR="00A44021" w:rsidRPr="000A36A5" w:rsidRDefault="00A44021"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Jordan</w:t>
      </w:r>
      <w:r w:rsidR="004F123A" w:rsidRPr="000A36A5">
        <w:rPr>
          <w:rFonts w:eastAsia="Times New Roman"/>
          <w:snapToGrid w:val="0"/>
          <w:kern w:val="22"/>
          <w:szCs w:val="22"/>
          <w:lang w:val="es-ES"/>
        </w:rPr>
        <w:t>ia</w:t>
      </w:r>
    </w:p>
    <w:p w:rsidR="00A44021" w:rsidRPr="000A36A5" w:rsidRDefault="00A44021"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Kenya</w:t>
      </w:r>
    </w:p>
    <w:p w:rsidR="004F123A" w:rsidRPr="000A36A5" w:rsidRDefault="004F123A" w:rsidP="000C6220">
      <w:pPr>
        <w:tabs>
          <w:tab w:val="left" w:pos="567"/>
        </w:tabs>
        <w:spacing w:after="0" w:line="240" w:lineRule="auto"/>
        <w:ind w:left="284" w:hanging="284"/>
        <w:jc w:val="left"/>
        <w:rPr>
          <w:rFonts w:eastAsia="Times New Roman"/>
          <w:b/>
          <w:snapToGrid w:val="0"/>
          <w:kern w:val="22"/>
          <w:szCs w:val="22"/>
          <w:lang w:val="es-ES"/>
        </w:rPr>
      </w:pPr>
      <w:r w:rsidRPr="000A36A5">
        <w:rPr>
          <w:rFonts w:eastAsia="Times New Roman"/>
          <w:snapToGrid w:val="0"/>
          <w:kern w:val="22"/>
          <w:szCs w:val="22"/>
          <w:lang w:val="es-ES"/>
        </w:rPr>
        <w:t>Kirguistán</w:t>
      </w:r>
    </w:p>
    <w:p w:rsidR="00A44021" w:rsidRPr="000A36A5" w:rsidRDefault="00A44021"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Kuwait</w:t>
      </w:r>
    </w:p>
    <w:p w:rsidR="004F123A" w:rsidRPr="000A36A5" w:rsidRDefault="004F123A" w:rsidP="000C6220">
      <w:pPr>
        <w:tabs>
          <w:tab w:val="left" w:pos="567"/>
        </w:tabs>
        <w:spacing w:after="0" w:line="240" w:lineRule="auto"/>
        <w:ind w:left="284" w:hanging="284"/>
        <w:jc w:val="left"/>
        <w:rPr>
          <w:rFonts w:eastAsia="Times New Roman"/>
          <w:snapToGrid w:val="0"/>
          <w:kern w:val="22"/>
          <w:szCs w:val="22"/>
          <w:lang w:val="es-ES"/>
        </w:rPr>
      </w:pPr>
      <w:r w:rsidRPr="004F0658">
        <w:rPr>
          <w:rFonts w:eastAsia="Times New Roman"/>
          <w:snapToGrid w:val="0"/>
          <w:kern w:val="22"/>
          <w:szCs w:val="22"/>
          <w:lang w:val="es-ES"/>
        </w:rPr>
        <w:t>Lesotho</w:t>
      </w:r>
    </w:p>
    <w:p w:rsidR="00A44021" w:rsidRPr="004F0658" w:rsidRDefault="00A44021" w:rsidP="000C6220">
      <w:pPr>
        <w:tabs>
          <w:tab w:val="left" w:pos="567"/>
        </w:tabs>
        <w:spacing w:after="0" w:line="240" w:lineRule="auto"/>
        <w:ind w:left="284" w:hanging="284"/>
        <w:jc w:val="left"/>
        <w:rPr>
          <w:rFonts w:eastAsia="Times New Roman"/>
          <w:snapToGrid w:val="0"/>
          <w:kern w:val="22"/>
          <w:szCs w:val="22"/>
          <w:lang w:val="es-ES"/>
        </w:rPr>
      </w:pPr>
      <w:r w:rsidRPr="004F0658">
        <w:rPr>
          <w:rFonts w:eastAsia="Times New Roman"/>
          <w:snapToGrid w:val="0"/>
          <w:kern w:val="22"/>
          <w:szCs w:val="22"/>
          <w:lang w:val="es-ES"/>
        </w:rPr>
        <w:t>L</w:t>
      </w:r>
      <w:r w:rsidR="004F123A">
        <w:rPr>
          <w:rFonts w:eastAsia="Times New Roman"/>
          <w:snapToGrid w:val="0"/>
          <w:kern w:val="22"/>
          <w:szCs w:val="22"/>
          <w:lang w:val="es-ES"/>
        </w:rPr>
        <w:t>íbano</w:t>
      </w:r>
    </w:p>
    <w:p w:rsidR="00A44021" w:rsidRPr="004F0658" w:rsidRDefault="00A44021" w:rsidP="000C6220">
      <w:pPr>
        <w:tabs>
          <w:tab w:val="left" w:pos="567"/>
        </w:tabs>
        <w:spacing w:after="0" w:line="240" w:lineRule="auto"/>
        <w:ind w:left="284" w:hanging="284"/>
        <w:jc w:val="left"/>
        <w:rPr>
          <w:rFonts w:eastAsia="Times New Roman"/>
          <w:snapToGrid w:val="0"/>
          <w:kern w:val="22"/>
          <w:szCs w:val="22"/>
          <w:lang w:val="es-ES"/>
        </w:rPr>
      </w:pPr>
      <w:r w:rsidRPr="004F0658">
        <w:rPr>
          <w:rFonts w:eastAsia="Times New Roman"/>
          <w:snapToGrid w:val="0"/>
          <w:kern w:val="22"/>
          <w:szCs w:val="22"/>
          <w:lang w:val="es-ES"/>
        </w:rPr>
        <w:t>Liberia</w:t>
      </w:r>
    </w:p>
    <w:p w:rsidR="00A44021" w:rsidRPr="004F0658" w:rsidRDefault="00A44021" w:rsidP="000C6220">
      <w:pPr>
        <w:tabs>
          <w:tab w:val="left" w:pos="567"/>
        </w:tabs>
        <w:spacing w:after="0" w:line="240" w:lineRule="auto"/>
        <w:ind w:left="284" w:hanging="284"/>
        <w:jc w:val="left"/>
        <w:rPr>
          <w:rFonts w:eastAsia="Times New Roman"/>
          <w:snapToGrid w:val="0"/>
          <w:kern w:val="22"/>
          <w:szCs w:val="22"/>
          <w:lang w:val="es-ES"/>
        </w:rPr>
      </w:pPr>
      <w:r w:rsidRPr="004F0658">
        <w:rPr>
          <w:rFonts w:eastAsia="Times New Roman"/>
          <w:snapToGrid w:val="0"/>
          <w:kern w:val="22"/>
          <w:szCs w:val="22"/>
          <w:lang w:val="es-ES"/>
        </w:rPr>
        <w:t>Luxemb</w:t>
      </w:r>
      <w:r w:rsidR="004F123A">
        <w:rPr>
          <w:rFonts w:eastAsia="Times New Roman"/>
          <w:snapToGrid w:val="0"/>
          <w:kern w:val="22"/>
          <w:szCs w:val="22"/>
          <w:lang w:val="es-ES"/>
        </w:rPr>
        <w:t>urgo</w:t>
      </w:r>
    </w:p>
    <w:p w:rsidR="00A44021" w:rsidRPr="004F0658" w:rsidRDefault="00A44021" w:rsidP="000C6220">
      <w:pPr>
        <w:tabs>
          <w:tab w:val="left" w:pos="567"/>
        </w:tabs>
        <w:spacing w:after="0" w:line="240" w:lineRule="auto"/>
        <w:ind w:left="284" w:hanging="284"/>
        <w:jc w:val="left"/>
        <w:rPr>
          <w:rFonts w:eastAsia="Times New Roman"/>
          <w:snapToGrid w:val="0"/>
          <w:kern w:val="22"/>
          <w:szCs w:val="22"/>
          <w:lang w:val="es-ES"/>
        </w:rPr>
      </w:pPr>
      <w:r w:rsidRPr="004F0658">
        <w:rPr>
          <w:rFonts w:eastAsia="Times New Roman"/>
          <w:snapToGrid w:val="0"/>
          <w:kern w:val="22"/>
          <w:szCs w:val="22"/>
          <w:lang w:val="es-ES"/>
        </w:rPr>
        <w:t>Madagascar</w:t>
      </w:r>
    </w:p>
    <w:p w:rsidR="00A44021" w:rsidRPr="004F0658" w:rsidRDefault="00A44021" w:rsidP="000C6220">
      <w:pPr>
        <w:tabs>
          <w:tab w:val="left" w:pos="567"/>
        </w:tabs>
        <w:spacing w:after="0" w:line="240" w:lineRule="auto"/>
        <w:ind w:left="284" w:hanging="284"/>
        <w:jc w:val="left"/>
        <w:rPr>
          <w:rFonts w:eastAsia="Times New Roman"/>
          <w:snapToGrid w:val="0"/>
          <w:kern w:val="22"/>
          <w:szCs w:val="22"/>
          <w:lang w:val="es-ES"/>
        </w:rPr>
      </w:pPr>
      <w:r w:rsidRPr="004F0658">
        <w:rPr>
          <w:rFonts w:eastAsia="Times New Roman"/>
          <w:snapToGrid w:val="0"/>
          <w:kern w:val="22"/>
          <w:szCs w:val="22"/>
          <w:lang w:val="es-ES"/>
        </w:rPr>
        <w:t>Malawi</w:t>
      </w:r>
    </w:p>
    <w:p w:rsidR="00A44021" w:rsidRPr="000A36A5" w:rsidRDefault="00A44021"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Mali</w:t>
      </w:r>
    </w:p>
    <w:p w:rsidR="00A44021" w:rsidRPr="000A36A5" w:rsidRDefault="00A44021"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Malta</w:t>
      </w:r>
    </w:p>
    <w:p w:rsidR="004F123A" w:rsidRPr="004F123A" w:rsidRDefault="004F123A" w:rsidP="000C6220">
      <w:pPr>
        <w:tabs>
          <w:tab w:val="left" w:pos="567"/>
        </w:tabs>
        <w:spacing w:after="0" w:line="240" w:lineRule="auto"/>
        <w:ind w:left="284" w:hanging="284"/>
        <w:jc w:val="left"/>
        <w:rPr>
          <w:rFonts w:eastAsia="Times New Roman"/>
          <w:snapToGrid w:val="0"/>
          <w:kern w:val="22"/>
          <w:szCs w:val="22"/>
          <w:lang w:val="es-ES"/>
        </w:rPr>
      </w:pPr>
      <w:r w:rsidRPr="004F123A">
        <w:rPr>
          <w:rFonts w:eastAsia="Times New Roman"/>
          <w:snapToGrid w:val="0"/>
          <w:kern w:val="22"/>
          <w:szCs w:val="22"/>
          <w:lang w:val="es-ES"/>
        </w:rPr>
        <w:t>Mauricio</w:t>
      </w:r>
    </w:p>
    <w:p w:rsidR="00A44021" w:rsidRPr="004F123A" w:rsidRDefault="00A44021" w:rsidP="000C6220">
      <w:pPr>
        <w:tabs>
          <w:tab w:val="left" w:pos="567"/>
        </w:tabs>
        <w:spacing w:after="0" w:line="240" w:lineRule="auto"/>
        <w:ind w:left="284" w:hanging="284"/>
        <w:jc w:val="left"/>
        <w:rPr>
          <w:rFonts w:eastAsia="Times New Roman"/>
          <w:snapToGrid w:val="0"/>
          <w:kern w:val="22"/>
          <w:szCs w:val="22"/>
          <w:lang w:val="es-ES"/>
        </w:rPr>
      </w:pPr>
      <w:r w:rsidRPr="004F123A">
        <w:rPr>
          <w:rFonts w:eastAsia="Times New Roman"/>
          <w:snapToGrid w:val="0"/>
          <w:kern w:val="22"/>
          <w:szCs w:val="22"/>
          <w:lang w:val="es-ES"/>
        </w:rPr>
        <w:t>Mauritania</w:t>
      </w:r>
    </w:p>
    <w:p w:rsidR="00A44021" w:rsidRPr="004F123A" w:rsidRDefault="004F123A" w:rsidP="000C6220">
      <w:pPr>
        <w:tabs>
          <w:tab w:val="left" w:pos="567"/>
        </w:tabs>
        <w:spacing w:after="0" w:line="240" w:lineRule="auto"/>
        <w:ind w:left="284" w:hanging="284"/>
        <w:jc w:val="left"/>
        <w:rPr>
          <w:rFonts w:eastAsia="Times New Roman"/>
          <w:snapToGrid w:val="0"/>
          <w:kern w:val="22"/>
          <w:szCs w:val="22"/>
          <w:lang w:val="es-ES"/>
        </w:rPr>
      </w:pPr>
      <w:r w:rsidRPr="004F123A">
        <w:rPr>
          <w:rFonts w:eastAsia="Times New Roman"/>
          <w:snapToGrid w:val="0"/>
          <w:kern w:val="22"/>
          <w:szCs w:val="22"/>
          <w:lang w:val="es-ES"/>
        </w:rPr>
        <w:t>Mé</w:t>
      </w:r>
      <w:r w:rsidR="00A44021" w:rsidRPr="004F123A">
        <w:rPr>
          <w:rFonts w:eastAsia="Times New Roman"/>
          <w:snapToGrid w:val="0"/>
          <w:kern w:val="22"/>
          <w:szCs w:val="22"/>
          <w:lang w:val="es-ES"/>
        </w:rPr>
        <w:t>xico</w:t>
      </w:r>
    </w:p>
    <w:p w:rsidR="00A44021" w:rsidRPr="004F123A" w:rsidRDefault="00A44021" w:rsidP="000C6220">
      <w:pPr>
        <w:pStyle w:val="Para1"/>
        <w:numPr>
          <w:ilvl w:val="0"/>
          <w:numId w:val="0"/>
        </w:numPr>
        <w:spacing w:before="0" w:after="0" w:line="240" w:lineRule="auto"/>
        <w:ind w:left="284" w:hanging="284"/>
        <w:jc w:val="left"/>
        <w:rPr>
          <w:kern w:val="22"/>
          <w:szCs w:val="22"/>
          <w:lang w:val="es-ES"/>
        </w:rPr>
      </w:pPr>
      <w:r w:rsidRPr="004F123A">
        <w:rPr>
          <w:rFonts w:eastAsia="Times New Roman"/>
          <w:kern w:val="22"/>
          <w:szCs w:val="22"/>
          <w:lang w:val="es-ES"/>
        </w:rPr>
        <w:t>Micronesia (</w:t>
      </w:r>
      <w:r w:rsidR="004F123A" w:rsidRPr="004F123A">
        <w:rPr>
          <w:rFonts w:eastAsia="Times New Roman"/>
          <w:kern w:val="22"/>
          <w:szCs w:val="22"/>
          <w:lang w:val="es-ES"/>
        </w:rPr>
        <w:t xml:space="preserve">Estados </w:t>
      </w:r>
      <w:r w:rsidRPr="004F123A">
        <w:rPr>
          <w:rFonts w:eastAsia="Times New Roman"/>
          <w:kern w:val="22"/>
          <w:szCs w:val="22"/>
          <w:lang w:val="es-ES"/>
        </w:rPr>
        <w:t>Federa</w:t>
      </w:r>
      <w:r w:rsidR="004F123A" w:rsidRPr="004F123A">
        <w:rPr>
          <w:rFonts w:eastAsia="Times New Roman"/>
          <w:kern w:val="22"/>
          <w:szCs w:val="22"/>
          <w:lang w:val="es-ES"/>
        </w:rPr>
        <w:t>dos de</w:t>
      </w:r>
      <w:r w:rsidRPr="004F123A">
        <w:rPr>
          <w:rFonts w:eastAsia="Times New Roman"/>
          <w:kern w:val="22"/>
          <w:szCs w:val="22"/>
          <w:lang w:val="es-ES"/>
        </w:rPr>
        <w:t>)</w:t>
      </w:r>
    </w:p>
    <w:p w:rsidR="00A44021" w:rsidRPr="004F0658" w:rsidRDefault="00A44021" w:rsidP="000C6220">
      <w:pPr>
        <w:tabs>
          <w:tab w:val="left" w:pos="567"/>
        </w:tabs>
        <w:spacing w:after="0" w:line="240" w:lineRule="auto"/>
        <w:ind w:left="284" w:hanging="284"/>
        <w:jc w:val="left"/>
        <w:rPr>
          <w:rFonts w:eastAsia="Times New Roman"/>
          <w:snapToGrid w:val="0"/>
          <w:kern w:val="22"/>
          <w:szCs w:val="22"/>
          <w:lang w:val="es-ES"/>
        </w:rPr>
      </w:pPr>
      <w:r w:rsidRPr="004F0658">
        <w:rPr>
          <w:rFonts w:eastAsia="Times New Roman"/>
          <w:snapToGrid w:val="0"/>
          <w:kern w:val="22"/>
          <w:szCs w:val="22"/>
          <w:lang w:val="es-ES"/>
        </w:rPr>
        <w:t>Mongolia</w:t>
      </w:r>
    </w:p>
    <w:p w:rsidR="00A44021" w:rsidRPr="004F0658" w:rsidRDefault="00A44021" w:rsidP="000C6220">
      <w:pPr>
        <w:tabs>
          <w:tab w:val="left" w:pos="567"/>
        </w:tabs>
        <w:spacing w:after="0" w:line="240" w:lineRule="auto"/>
        <w:ind w:left="284" w:hanging="284"/>
        <w:jc w:val="left"/>
        <w:rPr>
          <w:rFonts w:eastAsia="Times New Roman"/>
          <w:snapToGrid w:val="0"/>
          <w:kern w:val="22"/>
          <w:szCs w:val="22"/>
          <w:lang w:val="es-ES"/>
        </w:rPr>
      </w:pPr>
      <w:r w:rsidRPr="004F0658">
        <w:rPr>
          <w:rFonts w:eastAsia="Times New Roman"/>
          <w:snapToGrid w:val="0"/>
          <w:kern w:val="22"/>
          <w:szCs w:val="22"/>
          <w:lang w:val="es-ES"/>
        </w:rPr>
        <w:t>Mozambique</w:t>
      </w:r>
    </w:p>
    <w:p w:rsidR="00A44021" w:rsidRPr="004F0658" w:rsidRDefault="00A44021" w:rsidP="000C6220">
      <w:pPr>
        <w:tabs>
          <w:tab w:val="left" w:pos="567"/>
        </w:tabs>
        <w:spacing w:after="0" w:line="240" w:lineRule="auto"/>
        <w:ind w:left="284" w:hanging="284"/>
        <w:jc w:val="left"/>
        <w:rPr>
          <w:rFonts w:eastAsia="Times New Roman"/>
          <w:snapToGrid w:val="0"/>
          <w:kern w:val="22"/>
          <w:szCs w:val="22"/>
          <w:lang w:val="es-ES"/>
        </w:rPr>
      </w:pPr>
      <w:r w:rsidRPr="004F0658">
        <w:rPr>
          <w:rFonts w:eastAsia="Times New Roman"/>
          <w:snapToGrid w:val="0"/>
          <w:kern w:val="22"/>
          <w:szCs w:val="22"/>
          <w:lang w:val="es-ES"/>
        </w:rPr>
        <w:t>Myanmar</w:t>
      </w:r>
    </w:p>
    <w:p w:rsidR="00A44021" w:rsidRPr="004F0658" w:rsidRDefault="00A44021" w:rsidP="000C6220">
      <w:pPr>
        <w:tabs>
          <w:tab w:val="left" w:pos="567"/>
        </w:tabs>
        <w:spacing w:after="0" w:line="240" w:lineRule="auto"/>
        <w:ind w:left="284" w:hanging="284"/>
        <w:jc w:val="left"/>
        <w:rPr>
          <w:rFonts w:eastAsia="Times New Roman"/>
          <w:snapToGrid w:val="0"/>
          <w:kern w:val="22"/>
          <w:szCs w:val="22"/>
          <w:lang w:val="es-ES"/>
        </w:rPr>
      </w:pPr>
      <w:r w:rsidRPr="004F0658">
        <w:rPr>
          <w:rFonts w:eastAsia="Times New Roman"/>
          <w:snapToGrid w:val="0"/>
          <w:kern w:val="22"/>
          <w:szCs w:val="22"/>
          <w:lang w:val="es-ES"/>
        </w:rPr>
        <w:t>Namibia</w:t>
      </w:r>
    </w:p>
    <w:p w:rsidR="00A44021" w:rsidRPr="004F0658" w:rsidRDefault="00A44021" w:rsidP="000C6220">
      <w:pPr>
        <w:pStyle w:val="Para1"/>
        <w:numPr>
          <w:ilvl w:val="0"/>
          <w:numId w:val="0"/>
        </w:numPr>
        <w:spacing w:before="0" w:after="0" w:line="240" w:lineRule="auto"/>
        <w:ind w:left="284" w:hanging="284"/>
        <w:jc w:val="left"/>
        <w:rPr>
          <w:kern w:val="22"/>
          <w:szCs w:val="22"/>
          <w:lang w:val="es-ES"/>
        </w:rPr>
      </w:pPr>
      <w:r w:rsidRPr="004F0658">
        <w:rPr>
          <w:kern w:val="22"/>
          <w:szCs w:val="22"/>
          <w:lang w:val="es-ES"/>
        </w:rPr>
        <w:t>N</w:t>
      </w:r>
      <w:r w:rsidR="004F123A">
        <w:rPr>
          <w:kern w:val="22"/>
          <w:szCs w:val="22"/>
          <w:lang w:val="es-ES"/>
        </w:rPr>
        <w:t>í</w:t>
      </w:r>
      <w:r w:rsidRPr="004F0658">
        <w:rPr>
          <w:kern w:val="22"/>
          <w:szCs w:val="22"/>
          <w:lang w:val="es-ES"/>
        </w:rPr>
        <w:t>ger</w:t>
      </w:r>
    </w:p>
    <w:p w:rsidR="004F123A" w:rsidRDefault="00A44021" w:rsidP="000C6220">
      <w:pPr>
        <w:pStyle w:val="Para1"/>
        <w:numPr>
          <w:ilvl w:val="0"/>
          <w:numId w:val="0"/>
        </w:numPr>
        <w:spacing w:before="0" w:after="0" w:line="240" w:lineRule="auto"/>
        <w:ind w:left="284" w:hanging="284"/>
        <w:jc w:val="left"/>
        <w:rPr>
          <w:kern w:val="22"/>
          <w:szCs w:val="22"/>
          <w:lang w:val="es-ES"/>
        </w:rPr>
      </w:pPr>
      <w:r w:rsidRPr="004F0658">
        <w:rPr>
          <w:kern w:val="22"/>
          <w:szCs w:val="22"/>
          <w:lang w:val="es-ES"/>
        </w:rPr>
        <w:lastRenderedPageBreak/>
        <w:t>Nor</w:t>
      </w:r>
      <w:r w:rsidR="004F123A">
        <w:rPr>
          <w:kern w:val="22"/>
          <w:szCs w:val="22"/>
          <w:lang w:val="es-ES"/>
        </w:rPr>
        <w:t>uega</w:t>
      </w:r>
    </w:p>
    <w:p w:rsidR="004F123A" w:rsidRPr="004F0658" w:rsidRDefault="004F123A" w:rsidP="000C6220">
      <w:pPr>
        <w:pStyle w:val="Para1"/>
        <w:numPr>
          <w:ilvl w:val="0"/>
          <w:numId w:val="0"/>
        </w:numPr>
        <w:spacing w:before="0" w:after="0" w:line="240" w:lineRule="auto"/>
        <w:ind w:left="284" w:hanging="284"/>
        <w:jc w:val="left"/>
        <w:rPr>
          <w:kern w:val="22"/>
          <w:szCs w:val="22"/>
          <w:lang w:val="es-ES"/>
        </w:rPr>
      </w:pPr>
      <w:r>
        <w:rPr>
          <w:kern w:val="22"/>
          <w:szCs w:val="22"/>
          <w:lang w:val="es-ES"/>
        </w:rPr>
        <w:t>Países Bajos</w:t>
      </w:r>
    </w:p>
    <w:p w:rsidR="00A44021" w:rsidRPr="004F0658" w:rsidRDefault="00A44021" w:rsidP="000C6220">
      <w:pPr>
        <w:tabs>
          <w:tab w:val="left" w:pos="567"/>
        </w:tabs>
        <w:spacing w:after="0" w:line="240" w:lineRule="auto"/>
        <w:ind w:left="284" w:hanging="284"/>
        <w:jc w:val="left"/>
        <w:rPr>
          <w:rFonts w:eastAsia="Times New Roman"/>
          <w:snapToGrid w:val="0"/>
          <w:kern w:val="22"/>
          <w:szCs w:val="22"/>
          <w:lang w:val="es-ES"/>
        </w:rPr>
      </w:pPr>
      <w:r w:rsidRPr="004F0658">
        <w:rPr>
          <w:rFonts w:eastAsia="Times New Roman"/>
          <w:snapToGrid w:val="0"/>
          <w:kern w:val="22"/>
          <w:szCs w:val="22"/>
          <w:lang w:val="es-ES"/>
        </w:rPr>
        <w:t>Palau</w:t>
      </w:r>
    </w:p>
    <w:p w:rsidR="00A44021" w:rsidRPr="004F0658" w:rsidRDefault="00A44021" w:rsidP="000C6220">
      <w:pPr>
        <w:tabs>
          <w:tab w:val="left" w:pos="567"/>
        </w:tabs>
        <w:spacing w:after="0" w:line="240" w:lineRule="auto"/>
        <w:ind w:left="284" w:hanging="284"/>
        <w:jc w:val="left"/>
        <w:rPr>
          <w:rFonts w:eastAsia="Times New Roman"/>
          <w:snapToGrid w:val="0"/>
          <w:kern w:val="22"/>
          <w:szCs w:val="22"/>
          <w:lang w:val="es-ES"/>
        </w:rPr>
      </w:pPr>
      <w:r w:rsidRPr="004F0658">
        <w:rPr>
          <w:rFonts w:eastAsia="Times New Roman"/>
          <w:snapToGrid w:val="0"/>
          <w:kern w:val="22"/>
          <w:szCs w:val="22"/>
          <w:lang w:val="es-ES"/>
        </w:rPr>
        <w:t>Panam</w:t>
      </w:r>
      <w:r w:rsidR="004F123A">
        <w:rPr>
          <w:rFonts w:eastAsia="Times New Roman"/>
          <w:snapToGrid w:val="0"/>
          <w:kern w:val="22"/>
          <w:szCs w:val="22"/>
          <w:lang w:val="es-ES"/>
        </w:rPr>
        <w:t>á</w:t>
      </w:r>
    </w:p>
    <w:p w:rsidR="00A44021" w:rsidRPr="004F0658" w:rsidRDefault="004F123A" w:rsidP="000C6220">
      <w:pPr>
        <w:tabs>
          <w:tab w:val="left" w:pos="567"/>
        </w:tabs>
        <w:spacing w:after="0" w:line="240" w:lineRule="auto"/>
        <w:ind w:left="284" w:hanging="284"/>
        <w:jc w:val="left"/>
        <w:rPr>
          <w:rFonts w:eastAsia="Times New Roman"/>
          <w:snapToGrid w:val="0"/>
          <w:kern w:val="22"/>
          <w:szCs w:val="22"/>
          <w:lang w:val="es-ES"/>
        </w:rPr>
      </w:pPr>
      <w:r>
        <w:rPr>
          <w:rFonts w:eastAsia="Times New Roman"/>
          <w:snapToGrid w:val="0"/>
          <w:kern w:val="22"/>
          <w:szCs w:val="22"/>
          <w:lang w:val="es-ES"/>
        </w:rPr>
        <w:t>Perú</w:t>
      </w:r>
    </w:p>
    <w:p w:rsidR="00A44021" w:rsidRPr="004F0658" w:rsidRDefault="00A44021" w:rsidP="000C6220">
      <w:pPr>
        <w:tabs>
          <w:tab w:val="left" w:pos="567"/>
        </w:tabs>
        <w:spacing w:after="0" w:line="240" w:lineRule="auto"/>
        <w:ind w:left="284" w:hanging="284"/>
        <w:jc w:val="left"/>
        <w:rPr>
          <w:rFonts w:eastAsia="Times New Roman"/>
          <w:snapToGrid w:val="0"/>
          <w:kern w:val="22"/>
          <w:szCs w:val="22"/>
          <w:lang w:val="es-ES"/>
        </w:rPr>
      </w:pPr>
      <w:r w:rsidRPr="004F0658">
        <w:rPr>
          <w:rFonts w:eastAsia="Times New Roman"/>
          <w:snapToGrid w:val="0"/>
          <w:kern w:val="22"/>
          <w:szCs w:val="22"/>
          <w:lang w:val="es-ES"/>
        </w:rPr>
        <w:t>Portugal</w:t>
      </w:r>
    </w:p>
    <w:p w:rsidR="00A44021" w:rsidRDefault="00A44021" w:rsidP="000C6220">
      <w:pPr>
        <w:tabs>
          <w:tab w:val="left" w:pos="567"/>
        </w:tabs>
        <w:spacing w:after="0" w:line="240" w:lineRule="auto"/>
        <w:ind w:left="284" w:hanging="284"/>
        <w:jc w:val="left"/>
        <w:rPr>
          <w:rFonts w:eastAsia="Times New Roman"/>
          <w:snapToGrid w:val="0"/>
          <w:kern w:val="22"/>
          <w:szCs w:val="22"/>
          <w:lang w:val="es-ES"/>
        </w:rPr>
      </w:pPr>
      <w:r w:rsidRPr="004F0658">
        <w:rPr>
          <w:rFonts w:eastAsia="Times New Roman"/>
          <w:snapToGrid w:val="0"/>
          <w:kern w:val="22"/>
          <w:szCs w:val="22"/>
          <w:lang w:val="es-ES"/>
        </w:rPr>
        <w:t>Qatar</w:t>
      </w:r>
    </w:p>
    <w:p w:rsidR="00AB6A32" w:rsidRDefault="00AB6A32" w:rsidP="000C6220">
      <w:pPr>
        <w:tabs>
          <w:tab w:val="left" w:pos="567"/>
        </w:tabs>
        <w:spacing w:after="0" w:line="240" w:lineRule="auto"/>
        <w:ind w:left="284" w:hanging="284"/>
        <w:jc w:val="left"/>
        <w:rPr>
          <w:rFonts w:eastAsia="Times New Roman"/>
          <w:snapToGrid w:val="0"/>
          <w:kern w:val="22"/>
          <w:szCs w:val="22"/>
          <w:lang w:val="es-ES"/>
        </w:rPr>
      </w:pPr>
      <w:r>
        <w:rPr>
          <w:rFonts w:eastAsia="Times New Roman"/>
          <w:snapToGrid w:val="0"/>
          <w:kern w:val="22"/>
          <w:szCs w:val="22"/>
          <w:lang w:val="es-ES"/>
        </w:rPr>
        <w:t xml:space="preserve">Reino Unido </w:t>
      </w:r>
      <w:r w:rsidRPr="00AB6A32">
        <w:rPr>
          <w:rFonts w:eastAsia="Times New Roman"/>
          <w:snapToGrid w:val="0"/>
          <w:kern w:val="22"/>
          <w:szCs w:val="22"/>
          <w:lang w:val="es-ES"/>
        </w:rPr>
        <w:t>de Gran Bretaña e Irlanda del Norte</w:t>
      </w:r>
    </w:p>
    <w:p w:rsidR="00AB6A32" w:rsidRPr="004F0658" w:rsidRDefault="00AB6A32" w:rsidP="000C6220">
      <w:pPr>
        <w:tabs>
          <w:tab w:val="left" w:pos="567"/>
        </w:tabs>
        <w:spacing w:after="0" w:line="240" w:lineRule="auto"/>
        <w:ind w:left="284" w:hanging="284"/>
        <w:jc w:val="left"/>
        <w:rPr>
          <w:rFonts w:eastAsia="Times New Roman"/>
          <w:snapToGrid w:val="0"/>
          <w:kern w:val="22"/>
          <w:szCs w:val="22"/>
          <w:lang w:val="es-ES"/>
        </w:rPr>
      </w:pPr>
      <w:r>
        <w:rPr>
          <w:rFonts w:eastAsia="Times New Roman"/>
          <w:snapToGrid w:val="0"/>
          <w:kern w:val="22"/>
          <w:szCs w:val="22"/>
          <w:lang w:val="es-ES"/>
        </w:rPr>
        <w:t>República Árabe Siria</w:t>
      </w:r>
    </w:p>
    <w:p w:rsidR="00EF6BA0" w:rsidRPr="000A36A5" w:rsidRDefault="00EF6BA0"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República Centroafricana</w:t>
      </w:r>
    </w:p>
    <w:p w:rsidR="00A44021" w:rsidRPr="000A36A5" w:rsidRDefault="00A44021"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Rep</w:t>
      </w:r>
      <w:r w:rsidR="00EF6BA0" w:rsidRPr="000A36A5">
        <w:rPr>
          <w:rFonts w:eastAsia="Times New Roman"/>
          <w:snapToGrid w:val="0"/>
          <w:kern w:val="22"/>
          <w:szCs w:val="22"/>
          <w:lang w:val="es-ES"/>
        </w:rPr>
        <w:t>ública de Corea</w:t>
      </w:r>
    </w:p>
    <w:p w:rsidR="00A44021" w:rsidRPr="000A36A5" w:rsidRDefault="00A44021"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Republic of Moldova</w:t>
      </w:r>
    </w:p>
    <w:p w:rsidR="004F123A" w:rsidRDefault="004F123A" w:rsidP="000C6220">
      <w:pPr>
        <w:tabs>
          <w:tab w:val="left" w:pos="567"/>
        </w:tabs>
        <w:spacing w:after="0" w:line="240" w:lineRule="auto"/>
        <w:ind w:left="284" w:hanging="284"/>
        <w:jc w:val="left"/>
        <w:rPr>
          <w:rFonts w:eastAsia="Times New Roman"/>
          <w:snapToGrid w:val="0"/>
          <w:kern w:val="22"/>
          <w:szCs w:val="22"/>
          <w:lang w:val="es-ES"/>
        </w:rPr>
      </w:pPr>
      <w:r w:rsidRPr="004F123A">
        <w:rPr>
          <w:rFonts w:eastAsia="Times New Roman"/>
          <w:snapToGrid w:val="0"/>
          <w:kern w:val="22"/>
          <w:szCs w:val="22"/>
          <w:lang w:val="es-ES"/>
        </w:rPr>
        <w:t>República Democrática del Congo</w:t>
      </w:r>
    </w:p>
    <w:p w:rsidR="004F123A" w:rsidRPr="004F123A" w:rsidRDefault="004F123A" w:rsidP="000C6220">
      <w:pPr>
        <w:tabs>
          <w:tab w:val="left" w:pos="567"/>
        </w:tabs>
        <w:spacing w:after="0" w:line="240" w:lineRule="auto"/>
        <w:ind w:left="284" w:hanging="284"/>
        <w:jc w:val="left"/>
        <w:rPr>
          <w:rFonts w:eastAsia="Times New Roman"/>
          <w:snapToGrid w:val="0"/>
          <w:kern w:val="22"/>
          <w:szCs w:val="22"/>
          <w:lang w:val="es-ES"/>
        </w:rPr>
      </w:pPr>
      <w:r w:rsidRPr="004F123A">
        <w:rPr>
          <w:rFonts w:eastAsia="Times New Roman"/>
          <w:snapToGrid w:val="0"/>
          <w:kern w:val="22"/>
          <w:szCs w:val="22"/>
          <w:lang w:val="es-ES"/>
        </w:rPr>
        <w:t>República Democrática Popular Lao</w:t>
      </w:r>
    </w:p>
    <w:p w:rsidR="004F123A" w:rsidRDefault="004F123A" w:rsidP="000C6220">
      <w:pPr>
        <w:tabs>
          <w:tab w:val="left" w:pos="567"/>
        </w:tabs>
        <w:spacing w:after="0" w:line="240" w:lineRule="auto"/>
        <w:ind w:left="284" w:hanging="284"/>
        <w:jc w:val="left"/>
        <w:rPr>
          <w:rFonts w:eastAsia="Times New Roman"/>
          <w:snapToGrid w:val="0"/>
          <w:kern w:val="22"/>
          <w:szCs w:val="22"/>
          <w:lang w:val="es-ES"/>
        </w:rPr>
      </w:pPr>
      <w:r w:rsidRPr="004F123A">
        <w:rPr>
          <w:rFonts w:eastAsia="Times New Roman"/>
          <w:snapToGrid w:val="0"/>
          <w:kern w:val="22"/>
          <w:szCs w:val="22"/>
          <w:lang w:val="es-ES"/>
        </w:rPr>
        <w:t>República Dominicana</w:t>
      </w:r>
    </w:p>
    <w:p w:rsidR="00AB6A32" w:rsidRPr="004F123A" w:rsidRDefault="00AB6A32" w:rsidP="000C6220">
      <w:pPr>
        <w:tabs>
          <w:tab w:val="left" w:pos="567"/>
        </w:tabs>
        <w:spacing w:after="0" w:line="240" w:lineRule="auto"/>
        <w:ind w:left="284" w:hanging="284"/>
        <w:jc w:val="left"/>
        <w:rPr>
          <w:rFonts w:eastAsia="Times New Roman"/>
          <w:snapToGrid w:val="0"/>
          <w:kern w:val="22"/>
          <w:szCs w:val="22"/>
          <w:lang w:val="es-ES"/>
        </w:rPr>
      </w:pPr>
      <w:r>
        <w:rPr>
          <w:rFonts w:eastAsia="Times New Roman"/>
          <w:snapToGrid w:val="0"/>
          <w:kern w:val="22"/>
          <w:szCs w:val="22"/>
          <w:lang w:val="es-ES"/>
        </w:rPr>
        <w:t>República Unida de Tanzanía</w:t>
      </w:r>
    </w:p>
    <w:p w:rsidR="00A44021" w:rsidRPr="000A36A5" w:rsidRDefault="00A44021"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Rwanda</w:t>
      </w:r>
    </w:p>
    <w:p w:rsidR="00A44021" w:rsidRPr="000A36A5" w:rsidRDefault="00A44021"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Samoa</w:t>
      </w:r>
    </w:p>
    <w:p w:rsidR="00A44021" w:rsidRPr="000A36A5" w:rsidRDefault="00A44021"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Sa</w:t>
      </w:r>
      <w:r w:rsidR="00AB6A32" w:rsidRPr="000A36A5">
        <w:rPr>
          <w:rFonts w:eastAsia="Times New Roman"/>
          <w:snapToGrid w:val="0"/>
          <w:kern w:val="22"/>
          <w:szCs w:val="22"/>
          <w:lang w:val="es-ES"/>
        </w:rPr>
        <w:t>nt</w:t>
      </w:r>
      <w:r w:rsidRPr="000A36A5">
        <w:rPr>
          <w:rFonts w:eastAsia="Times New Roman"/>
          <w:snapToGrid w:val="0"/>
          <w:kern w:val="22"/>
          <w:szCs w:val="22"/>
          <w:lang w:val="es-ES"/>
        </w:rPr>
        <w:t>o Tom</w:t>
      </w:r>
      <w:r w:rsidR="00AB6A32" w:rsidRPr="000A36A5">
        <w:rPr>
          <w:rFonts w:eastAsia="Times New Roman"/>
          <w:snapToGrid w:val="0"/>
          <w:kern w:val="22"/>
          <w:szCs w:val="22"/>
          <w:lang w:val="es-ES"/>
        </w:rPr>
        <w:t>é</w:t>
      </w:r>
      <w:r w:rsidRPr="000A36A5">
        <w:rPr>
          <w:rFonts w:eastAsia="Times New Roman"/>
          <w:snapToGrid w:val="0"/>
          <w:kern w:val="22"/>
          <w:szCs w:val="22"/>
          <w:lang w:val="es-ES"/>
        </w:rPr>
        <w:t xml:space="preserve"> </w:t>
      </w:r>
      <w:r w:rsidR="00AB6A32" w:rsidRPr="000A36A5">
        <w:rPr>
          <w:rFonts w:eastAsia="Times New Roman"/>
          <w:snapToGrid w:val="0"/>
          <w:kern w:val="22"/>
          <w:szCs w:val="22"/>
          <w:lang w:val="es-ES"/>
        </w:rPr>
        <w:t>y</w:t>
      </w:r>
      <w:r w:rsidRPr="000A36A5">
        <w:rPr>
          <w:rFonts w:eastAsia="Times New Roman"/>
          <w:snapToGrid w:val="0"/>
          <w:kern w:val="22"/>
          <w:szCs w:val="22"/>
          <w:lang w:val="es-ES"/>
        </w:rPr>
        <w:t xml:space="preserve"> Pr</w:t>
      </w:r>
      <w:r w:rsidR="00AB6A32" w:rsidRPr="000A36A5">
        <w:rPr>
          <w:rFonts w:eastAsia="Times New Roman"/>
          <w:snapToGrid w:val="0"/>
          <w:kern w:val="22"/>
          <w:szCs w:val="22"/>
          <w:lang w:val="es-ES"/>
        </w:rPr>
        <w:t>í</w:t>
      </w:r>
      <w:r w:rsidRPr="000A36A5">
        <w:rPr>
          <w:rFonts w:eastAsia="Times New Roman"/>
          <w:snapToGrid w:val="0"/>
          <w:kern w:val="22"/>
          <w:szCs w:val="22"/>
          <w:lang w:val="es-ES"/>
        </w:rPr>
        <w:t>ncipe</w:t>
      </w:r>
    </w:p>
    <w:p w:rsidR="00A44021" w:rsidRPr="000A36A5" w:rsidRDefault="00A44021" w:rsidP="000C6220">
      <w:pPr>
        <w:pStyle w:val="Para1"/>
        <w:numPr>
          <w:ilvl w:val="0"/>
          <w:numId w:val="0"/>
        </w:numPr>
        <w:spacing w:before="0" w:after="0" w:line="240" w:lineRule="auto"/>
        <w:ind w:left="284" w:hanging="284"/>
        <w:jc w:val="left"/>
        <w:rPr>
          <w:kern w:val="22"/>
          <w:szCs w:val="22"/>
          <w:lang w:val="es-ES"/>
        </w:rPr>
      </w:pPr>
      <w:r w:rsidRPr="000A36A5">
        <w:rPr>
          <w:kern w:val="22"/>
          <w:szCs w:val="22"/>
          <w:lang w:val="es-ES"/>
        </w:rPr>
        <w:t>Senegal</w:t>
      </w:r>
    </w:p>
    <w:p w:rsidR="00A44021" w:rsidRPr="000A36A5" w:rsidRDefault="00A44021"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Seychelles</w:t>
      </w:r>
    </w:p>
    <w:p w:rsidR="00A44021" w:rsidRPr="00AB6A32" w:rsidRDefault="00A44021" w:rsidP="000C6220">
      <w:pPr>
        <w:tabs>
          <w:tab w:val="left" w:pos="567"/>
        </w:tabs>
        <w:spacing w:after="0" w:line="240" w:lineRule="auto"/>
        <w:ind w:left="284" w:hanging="284"/>
        <w:jc w:val="left"/>
        <w:rPr>
          <w:rFonts w:eastAsia="Times New Roman"/>
          <w:snapToGrid w:val="0"/>
          <w:kern w:val="22"/>
          <w:szCs w:val="22"/>
          <w:lang w:val="es-ES"/>
        </w:rPr>
      </w:pPr>
      <w:r w:rsidRPr="00AB6A32">
        <w:rPr>
          <w:rFonts w:eastAsia="Times New Roman"/>
          <w:snapToGrid w:val="0"/>
          <w:kern w:val="22"/>
          <w:szCs w:val="22"/>
          <w:lang w:val="es-ES"/>
        </w:rPr>
        <w:t>Sierra Leon</w:t>
      </w:r>
      <w:r w:rsidR="00AB6A32" w:rsidRPr="00AB6A32">
        <w:rPr>
          <w:rFonts w:eastAsia="Times New Roman"/>
          <w:snapToGrid w:val="0"/>
          <w:kern w:val="22"/>
          <w:szCs w:val="22"/>
          <w:lang w:val="es-ES"/>
        </w:rPr>
        <w:t>a</w:t>
      </w:r>
    </w:p>
    <w:p w:rsidR="00A44021" w:rsidRPr="00AB6A32" w:rsidRDefault="00A44021" w:rsidP="000C6220">
      <w:pPr>
        <w:tabs>
          <w:tab w:val="left" w:pos="567"/>
        </w:tabs>
        <w:spacing w:after="0" w:line="240" w:lineRule="auto"/>
        <w:ind w:left="284" w:hanging="284"/>
        <w:jc w:val="left"/>
        <w:rPr>
          <w:rFonts w:eastAsia="Times New Roman"/>
          <w:snapToGrid w:val="0"/>
          <w:kern w:val="22"/>
          <w:szCs w:val="22"/>
          <w:lang w:val="es-ES"/>
        </w:rPr>
      </w:pPr>
      <w:r w:rsidRPr="00AB6A32">
        <w:rPr>
          <w:rFonts w:eastAsia="Times New Roman"/>
          <w:snapToGrid w:val="0"/>
          <w:kern w:val="22"/>
          <w:szCs w:val="22"/>
          <w:lang w:val="es-ES"/>
        </w:rPr>
        <w:t>S</w:t>
      </w:r>
      <w:r w:rsidR="00AB6A32" w:rsidRPr="00AB6A32">
        <w:rPr>
          <w:rFonts w:eastAsia="Times New Roman"/>
          <w:snapToGrid w:val="0"/>
          <w:kern w:val="22"/>
          <w:szCs w:val="22"/>
          <w:lang w:val="es-ES"/>
        </w:rPr>
        <w:t>udáfrica</w:t>
      </w:r>
    </w:p>
    <w:p w:rsidR="00A44021" w:rsidRPr="00AB6A32" w:rsidRDefault="00A44021" w:rsidP="000C6220">
      <w:pPr>
        <w:pStyle w:val="Para1"/>
        <w:numPr>
          <w:ilvl w:val="0"/>
          <w:numId w:val="0"/>
        </w:numPr>
        <w:spacing w:before="0" w:after="0" w:line="240" w:lineRule="auto"/>
        <w:ind w:left="284" w:hanging="284"/>
        <w:jc w:val="left"/>
        <w:rPr>
          <w:kern w:val="22"/>
          <w:szCs w:val="22"/>
          <w:lang w:val="es-ES"/>
        </w:rPr>
      </w:pPr>
      <w:r w:rsidRPr="00AB6A32">
        <w:rPr>
          <w:kern w:val="22"/>
          <w:szCs w:val="22"/>
          <w:lang w:val="es-ES"/>
        </w:rPr>
        <w:t>Sud</w:t>
      </w:r>
      <w:r w:rsidR="00AB6A32" w:rsidRPr="00AB6A32">
        <w:rPr>
          <w:kern w:val="22"/>
          <w:szCs w:val="22"/>
          <w:lang w:val="es-ES"/>
        </w:rPr>
        <w:t>á</w:t>
      </w:r>
      <w:r w:rsidRPr="00AB6A32">
        <w:rPr>
          <w:kern w:val="22"/>
          <w:szCs w:val="22"/>
          <w:lang w:val="es-ES"/>
        </w:rPr>
        <w:t>n</w:t>
      </w:r>
    </w:p>
    <w:p w:rsidR="00A44021" w:rsidRPr="00AB6A32" w:rsidRDefault="00A44021" w:rsidP="000C6220">
      <w:pPr>
        <w:tabs>
          <w:tab w:val="left" w:pos="567"/>
        </w:tabs>
        <w:spacing w:after="0" w:line="240" w:lineRule="auto"/>
        <w:ind w:left="284" w:hanging="284"/>
        <w:jc w:val="left"/>
        <w:rPr>
          <w:rFonts w:eastAsia="Times New Roman"/>
          <w:snapToGrid w:val="0"/>
          <w:kern w:val="22"/>
          <w:szCs w:val="22"/>
          <w:lang w:val="es-ES"/>
        </w:rPr>
      </w:pPr>
      <w:r w:rsidRPr="00AB6A32">
        <w:rPr>
          <w:rFonts w:eastAsia="Times New Roman"/>
          <w:snapToGrid w:val="0"/>
          <w:kern w:val="22"/>
          <w:szCs w:val="22"/>
          <w:lang w:val="es-ES"/>
        </w:rPr>
        <w:t>S</w:t>
      </w:r>
      <w:r w:rsidR="00AB6A32" w:rsidRPr="00AB6A32">
        <w:rPr>
          <w:rFonts w:eastAsia="Times New Roman"/>
          <w:snapToGrid w:val="0"/>
          <w:kern w:val="22"/>
          <w:szCs w:val="22"/>
          <w:lang w:val="es-ES"/>
        </w:rPr>
        <w:t>uecia</w:t>
      </w:r>
    </w:p>
    <w:p w:rsidR="00A44021" w:rsidRPr="00AB6A32" w:rsidRDefault="00A44021" w:rsidP="000C6220">
      <w:pPr>
        <w:tabs>
          <w:tab w:val="left" w:pos="567"/>
        </w:tabs>
        <w:spacing w:after="0" w:line="240" w:lineRule="auto"/>
        <w:ind w:left="284" w:hanging="284"/>
        <w:jc w:val="left"/>
        <w:rPr>
          <w:rFonts w:eastAsia="Times New Roman"/>
          <w:snapToGrid w:val="0"/>
          <w:kern w:val="22"/>
          <w:szCs w:val="22"/>
          <w:lang w:val="es-ES"/>
        </w:rPr>
      </w:pPr>
      <w:r w:rsidRPr="00AB6A32">
        <w:rPr>
          <w:rFonts w:eastAsia="Times New Roman"/>
          <w:snapToGrid w:val="0"/>
          <w:kern w:val="22"/>
          <w:szCs w:val="22"/>
          <w:lang w:val="es-ES"/>
        </w:rPr>
        <w:t>S</w:t>
      </w:r>
      <w:r w:rsidR="00AB6A32" w:rsidRPr="00AB6A32">
        <w:rPr>
          <w:rFonts w:eastAsia="Times New Roman"/>
          <w:snapToGrid w:val="0"/>
          <w:kern w:val="22"/>
          <w:szCs w:val="22"/>
          <w:lang w:val="es-ES"/>
        </w:rPr>
        <w:t>uiza</w:t>
      </w:r>
    </w:p>
    <w:p w:rsidR="00A44021" w:rsidRPr="000A36A5" w:rsidRDefault="00A44021" w:rsidP="000C6220">
      <w:pPr>
        <w:pStyle w:val="Para1"/>
        <w:numPr>
          <w:ilvl w:val="0"/>
          <w:numId w:val="0"/>
        </w:numPr>
        <w:spacing w:before="0" w:after="0" w:line="240" w:lineRule="auto"/>
        <w:ind w:left="284" w:hanging="284"/>
        <w:jc w:val="left"/>
        <w:rPr>
          <w:rFonts w:eastAsia="Times New Roman"/>
          <w:kern w:val="22"/>
          <w:szCs w:val="22"/>
          <w:lang w:val="es-ES"/>
        </w:rPr>
      </w:pPr>
      <w:r w:rsidRPr="000A36A5">
        <w:rPr>
          <w:rFonts w:eastAsia="Times New Roman"/>
          <w:kern w:val="22"/>
          <w:szCs w:val="22"/>
          <w:lang w:val="es-ES"/>
        </w:rPr>
        <w:t>Ta</w:t>
      </w:r>
      <w:r w:rsidR="00AB6A32" w:rsidRPr="000A36A5">
        <w:rPr>
          <w:rFonts w:eastAsia="Times New Roman"/>
          <w:kern w:val="22"/>
          <w:szCs w:val="22"/>
          <w:lang w:val="es-ES"/>
        </w:rPr>
        <w:t>y</w:t>
      </w:r>
      <w:r w:rsidRPr="000A36A5">
        <w:rPr>
          <w:rFonts w:eastAsia="Times New Roman"/>
          <w:kern w:val="22"/>
          <w:szCs w:val="22"/>
          <w:lang w:val="es-ES"/>
        </w:rPr>
        <w:t>ikist</w:t>
      </w:r>
      <w:r w:rsidR="00AB6A32" w:rsidRPr="000A36A5">
        <w:rPr>
          <w:rFonts w:eastAsia="Times New Roman"/>
          <w:kern w:val="22"/>
          <w:szCs w:val="22"/>
          <w:lang w:val="es-ES"/>
        </w:rPr>
        <w:t>á</w:t>
      </w:r>
      <w:r w:rsidRPr="000A36A5">
        <w:rPr>
          <w:rFonts w:eastAsia="Times New Roman"/>
          <w:kern w:val="22"/>
          <w:szCs w:val="22"/>
          <w:lang w:val="es-ES"/>
        </w:rPr>
        <w:t>n</w:t>
      </w:r>
    </w:p>
    <w:p w:rsidR="00A44021" w:rsidRPr="000A36A5" w:rsidRDefault="00A44021" w:rsidP="000C6220">
      <w:pPr>
        <w:pStyle w:val="Para1"/>
        <w:numPr>
          <w:ilvl w:val="0"/>
          <w:numId w:val="0"/>
        </w:numPr>
        <w:spacing w:before="0" w:after="0" w:line="240" w:lineRule="auto"/>
        <w:ind w:left="284" w:hanging="284"/>
        <w:jc w:val="left"/>
        <w:rPr>
          <w:kern w:val="22"/>
          <w:szCs w:val="22"/>
          <w:lang w:val="es-ES"/>
        </w:rPr>
      </w:pPr>
      <w:r w:rsidRPr="000A36A5">
        <w:rPr>
          <w:kern w:val="22"/>
          <w:szCs w:val="22"/>
          <w:lang w:val="es-ES"/>
        </w:rPr>
        <w:t>Togo</w:t>
      </w:r>
    </w:p>
    <w:p w:rsidR="00A44021" w:rsidRPr="000A36A5" w:rsidRDefault="00A44021" w:rsidP="000C6220">
      <w:pPr>
        <w:pStyle w:val="Para1"/>
        <w:numPr>
          <w:ilvl w:val="0"/>
          <w:numId w:val="0"/>
        </w:numPr>
        <w:spacing w:before="0" w:after="0" w:line="240" w:lineRule="auto"/>
        <w:ind w:left="284" w:hanging="284"/>
        <w:jc w:val="left"/>
        <w:rPr>
          <w:kern w:val="22"/>
          <w:szCs w:val="22"/>
          <w:lang w:val="es-ES"/>
        </w:rPr>
      </w:pPr>
      <w:r w:rsidRPr="000A36A5">
        <w:rPr>
          <w:kern w:val="22"/>
          <w:szCs w:val="22"/>
          <w:lang w:val="es-ES"/>
        </w:rPr>
        <w:t>Uganda</w:t>
      </w:r>
    </w:p>
    <w:p w:rsidR="004F123A" w:rsidRPr="000A36A5" w:rsidRDefault="004F123A" w:rsidP="000C6220">
      <w:pPr>
        <w:pStyle w:val="Para1"/>
        <w:numPr>
          <w:ilvl w:val="0"/>
          <w:numId w:val="0"/>
        </w:numPr>
        <w:spacing w:before="0" w:after="0" w:line="240" w:lineRule="auto"/>
        <w:ind w:left="284" w:hanging="284"/>
        <w:jc w:val="left"/>
        <w:rPr>
          <w:kern w:val="22"/>
          <w:szCs w:val="22"/>
          <w:lang w:val="es-ES"/>
        </w:rPr>
      </w:pPr>
      <w:r w:rsidRPr="000A36A5">
        <w:rPr>
          <w:kern w:val="22"/>
          <w:szCs w:val="22"/>
          <w:lang w:val="es-ES"/>
        </w:rPr>
        <w:t>Unión Europea</w:t>
      </w:r>
    </w:p>
    <w:p w:rsidR="00A44021" w:rsidRPr="000A36A5" w:rsidRDefault="00A44021" w:rsidP="000C6220">
      <w:pPr>
        <w:pStyle w:val="Para1"/>
        <w:numPr>
          <w:ilvl w:val="0"/>
          <w:numId w:val="0"/>
        </w:numPr>
        <w:spacing w:before="0" w:after="0" w:line="240" w:lineRule="auto"/>
        <w:ind w:left="284" w:hanging="284"/>
        <w:jc w:val="left"/>
        <w:rPr>
          <w:rFonts w:eastAsia="Times New Roman"/>
          <w:kern w:val="22"/>
          <w:szCs w:val="22"/>
          <w:lang w:val="es-ES"/>
        </w:rPr>
      </w:pPr>
      <w:r w:rsidRPr="000A36A5">
        <w:rPr>
          <w:rFonts w:eastAsia="Times New Roman"/>
          <w:kern w:val="22"/>
          <w:szCs w:val="22"/>
          <w:lang w:val="es-ES"/>
        </w:rPr>
        <w:t>Uruguay</w:t>
      </w:r>
    </w:p>
    <w:p w:rsidR="00A44021" w:rsidRPr="000A36A5" w:rsidRDefault="00A44021" w:rsidP="000C6220">
      <w:pPr>
        <w:tabs>
          <w:tab w:val="left" w:pos="567"/>
        </w:tabs>
        <w:spacing w:after="0" w:line="240" w:lineRule="auto"/>
        <w:ind w:left="284" w:hanging="284"/>
        <w:jc w:val="left"/>
        <w:rPr>
          <w:rFonts w:eastAsia="Times New Roman"/>
          <w:snapToGrid w:val="0"/>
          <w:kern w:val="22"/>
          <w:szCs w:val="22"/>
          <w:lang w:val="es-ES"/>
        </w:rPr>
      </w:pPr>
      <w:r w:rsidRPr="000A36A5">
        <w:rPr>
          <w:rFonts w:eastAsia="Times New Roman"/>
          <w:snapToGrid w:val="0"/>
          <w:kern w:val="22"/>
          <w:szCs w:val="22"/>
          <w:lang w:val="es-ES"/>
        </w:rPr>
        <w:t>Viet Nam</w:t>
      </w:r>
    </w:p>
    <w:p w:rsidR="00A44021" w:rsidRPr="00007AFE" w:rsidRDefault="00A44021" w:rsidP="000C6220">
      <w:pPr>
        <w:tabs>
          <w:tab w:val="left" w:pos="567"/>
        </w:tabs>
        <w:spacing w:after="0" w:line="240" w:lineRule="auto"/>
        <w:ind w:left="284" w:hanging="284"/>
        <w:jc w:val="left"/>
        <w:rPr>
          <w:rFonts w:eastAsia="Times New Roman"/>
          <w:snapToGrid w:val="0"/>
          <w:kern w:val="22"/>
          <w:szCs w:val="22"/>
          <w:lang w:val="es-ES"/>
        </w:rPr>
      </w:pPr>
      <w:r w:rsidRPr="00007AFE">
        <w:rPr>
          <w:rFonts w:eastAsia="Times New Roman"/>
          <w:snapToGrid w:val="0"/>
          <w:kern w:val="22"/>
          <w:szCs w:val="22"/>
          <w:lang w:val="es-ES"/>
        </w:rPr>
        <w:t>Zambia</w:t>
      </w:r>
    </w:p>
    <w:p w:rsidR="00544AB3" w:rsidRPr="00EE0850" w:rsidRDefault="00A44021" w:rsidP="000C6220">
      <w:pPr>
        <w:pStyle w:val="Para1"/>
        <w:numPr>
          <w:ilvl w:val="0"/>
          <w:numId w:val="0"/>
        </w:numPr>
        <w:spacing w:before="0" w:after="0" w:line="240" w:lineRule="auto"/>
        <w:ind w:left="284" w:hanging="284"/>
        <w:jc w:val="left"/>
        <w:rPr>
          <w:rFonts w:eastAsia="Times New Roman"/>
          <w:kern w:val="22"/>
          <w:szCs w:val="22"/>
        </w:rPr>
        <w:sectPr w:rsidR="00544AB3" w:rsidRPr="00EE0850" w:rsidSect="000C6220">
          <w:type w:val="continuous"/>
          <w:pgSz w:w="12242" w:h="15842" w:code="1"/>
          <w:pgMar w:top="1138" w:right="1138" w:bottom="1022" w:left="1138" w:header="403" w:footer="720" w:gutter="0"/>
          <w:cols w:num="3" w:space="720"/>
          <w:titlePg/>
          <w:docGrid w:linePitch="299"/>
        </w:sectPr>
      </w:pPr>
      <w:r w:rsidRPr="00EE0850">
        <w:rPr>
          <w:rFonts w:eastAsia="Times New Roman"/>
          <w:kern w:val="22"/>
          <w:szCs w:val="22"/>
        </w:rPr>
        <w:t>Zimbabwe</w:t>
      </w:r>
    </w:p>
    <w:p w:rsidR="00A44021" w:rsidRPr="00EC0580" w:rsidRDefault="00EC0580" w:rsidP="000C6220">
      <w:pPr>
        <w:pStyle w:val="Para1"/>
        <w:keepNext/>
        <w:tabs>
          <w:tab w:val="clear" w:pos="360"/>
          <w:tab w:val="clear" w:pos="567"/>
          <w:tab w:val="clear" w:pos="2912"/>
        </w:tabs>
        <w:spacing w:line="240" w:lineRule="auto"/>
        <w:rPr>
          <w:lang w:val="es-ES"/>
        </w:rPr>
      </w:pPr>
      <w:bookmarkStart w:id="22" w:name="_Hlk530317937"/>
      <w:r w:rsidRPr="008E5F2E">
        <w:rPr>
          <w:snapToGrid w:val="0"/>
          <w:szCs w:val="22"/>
          <w:lang w:val="es-ES"/>
        </w:rPr>
        <w:lastRenderedPageBreak/>
        <w:t xml:space="preserve">También estuvieron representados los siguientes Estados que no son partes en </w:t>
      </w:r>
      <w:r w:rsidRPr="00EC0580">
        <w:rPr>
          <w:lang w:val="es-ES"/>
        </w:rPr>
        <w:t>el Protocolo de N</w:t>
      </w:r>
      <w:r w:rsidR="008E2E46" w:rsidRPr="00EC0580">
        <w:rPr>
          <w:lang w:val="es-ES"/>
        </w:rPr>
        <w:t>agoya:</w:t>
      </w:r>
    </w:p>
    <w:p w:rsidR="001D4A8D" w:rsidRPr="00EC0580" w:rsidRDefault="001D4A8D" w:rsidP="000C6220">
      <w:pPr>
        <w:pStyle w:val="Para1"/>
        <w:numPr>
          <w:ilvl w:val="0"/>
          <w:numId w:val="0"/>
        </w:numPr>
        <w:tabs>
          <w:tab w:val="clear" w:pos="2912"/>
        </w:tabs>
        <w:spacing w:line="240" w:lineRule="auto"/>
        <w:rPr>
          <w:lang w:val="es-ES"/>
        </w:rPr>
        <w:sectPr w:rsidR="001D4A8D" w:rsidRPr="00EC0580" w:rsidSect="00A44021">
          <w:type w:val="continuous"/>
          <w:pgSz w:w="12242" w:h="15842" w:code="1"/>
          <w:pgMar w:top="1138" w:right="1138" w:bottom="1022" w:left="1138" w:header="403" w:footer="720" w:gutter="0"/>
          <w:cols w:space="720"/>
          <w:titlePg/>
          <w:docGrid w:linePitch="299"/>
        </w:sectPr>
      </w:pPr>
    </w:p>
    <w:p w:rsidR="00EC0580" w:rsidRDefault="00EC0580" w:rsidP="000C6220">
      <w:pPr>
        <w:pStyle w:val="Para1"/>
        <w:widowControl w:val="0"/>
        <w:numPr>
          <w:ilvl w:val="0"/>
          <w:numId w:val="0"/>
        </w:numPr>
        <w:spacing w:before="0" w:after="0" w:line="240" w:lineRule="auto"/>
        <w:ind w:left="284" w:hanging="284"/>
        <w:jc w:val="left"/>
        <w:rPr>
          <w:szCs w:val="22"/>
          <w:lang w:val="es-ES"/>
        </w:rPr>
      </w:pPr>
      <w:r>
        <w:rPr>
          <w:szCs w:val="22"/>
          <w:lang w:val="es-ES"/>
        </w:rPr>
        <w:lastRenderedPageBreak/>
        <w:t>Andorra</w:t>
      </w:r>
    </w:p>
    <w:p w:rsidR="00F26B69" w:rsidRDefault="00F26B69" w:rsidP="000C6220">
      <w:pPr>
        <w:pStyle w:val="Para1"/>
        <w:widowControl w:val="0"/>
        <w:numPr>
          <w:ilvl w:val="0"/>
          <w:numId w:val="0"/>
        </w:numPr>
        <w:spacing w:before="0" w:after="0" w:line="240" w:lineRule="auto"/>
        <w:ind w:left="284" w:hanging="284"/>
        <w:jc w:val="left"/>
        <w:rPr>
          <w:szCs w:val="22"/>
          <w:lang w:val="es-ES"/>
        </w:rPr>
      </w:pPr>
      <w:r>
        <w:rPr>
          <w:szCs w:val="22"/>
          <w:lang w:val="es-ES"/>
        </w:rPr>
        <w:t>Arabia Saudita</w:t>
      </w:r>
    </w:p>
    <w:p w:rsidR="00A44021" w:rsidRPr="000A36A5" w:rsidRDefault="00EC0580" w:rsidP="000C6220">
      <w:pPr>
        <w:pStyle w:val="Para1"/>
        <w:widowControl w:val="0"/>
        <w:numPr>
          <w:ilvl w:val="0"/>
          <w:numId w:val="0"/>
        </w:numPr>
        <w:spacing w:before="0" w:after="0" w:line="240" w:lineRule="auto"/>
        <w:ind w:left="284" w:hanging="284"/>
        <w:jc w:val="left"/>
        <w:rPr>
          <w:szCs w:val="22"/>
          <w:lang w:val="es-ES"/>
        </w:rPr>
      </w:pPr>
      <w:r>
        <w:rPr>
          <w:szCs w:val="22"/>
          <w:lang w:val="es-ES"/>
        </w:rPr>
        <w:t>Argelia</w:t>
      </w:r>
    </w:p>
    <w:p w:rsidR="00A44021" w:rsidRPr="000A36A5" w:rsidRDefault="00A44021" w:rsidP="000C6220">
      <w:pPr>
        <w:pStyle w:val="Para1"/>
        <w:widowControl w:val="0"/>
        <w:numPr>
          <w:ilvl w:val="0"/>
          <w:numId w:val="0"/>
        </w:numPr>
        <w:spacing w:before="0" w:after="0" w:line="240" w:lineRule="auto"/>
        <w:ind w:left="284" w:hanging="284"/>
        <w:jc w:val="left"/>
        <w:rPr>
          <w:szCs w:val="22"/>
          <w:lang w:val="es-ES"/>
        </w:rPr>
      </w:pPr>
      <w:r w:rsidRPr="000A36A5">
        <w:rPr>
          <w:szCs w:val="22"/>
          <w:lang w:val="es-ES"/>
        </w:rPr>
        <w:t>Armenia</w:t>
      </w:r>
    </w:p>
    <w:p w:rsidR="00A44021" w:rsidRPr="000A36A5" w:rsidRDefault="00A44021" w:rsidP="000C6220">
      <w:pPr>
        <w:pStyle w:val="Para1"/>
        <w:widowControl w:val="0"/>
        <w:numPr>
          <w:ilvl w:val="0"/>
          <w:numId w:val="0"/>
        </w:numPr>
        <w:spacing w:before="0" w:after="0" w:line="240" w:lineRule="auto"/>
        <w:ind w:left="284" w:hanging="284"/>
        <w:jc w:val="left"/>
        <w:rPr>
          <w:szCs w:val="22"/>
          <w:lang w:val="es-ES"/>
        </w:rPr>
      </w:pPr>
      <w:r w:rsidRPr="000A36A5">
        <w:rPr>
          <w:szCs w:val="22"/>
          <w:lang w:val="es-ES"/>
        </w:rPr>
        <w:t>Azerbai</w:t>
      </w:r>
      <w:r w:rsidR="00F5375A" w:rsidRPr="000A36A5">
        <w:rPr>
          <w:szCs w:val="22"/>
          <w:lang w:val="es-ES"/>
        </w:rPr>
        <w:t>yán</w:t>
      </w:r>
    </w:p>
    <w:p w:rsidR="00A44021" w:rsidRPr="000A36A5" w:rsidRDefault="00A44021" w:rsidP="000C6220">
      <w:pPr>
        <w:pStyle w:val="Para1"/>
        <w:widowControl w:val="0"/>
        <w:numPr>
          <w:ilvl w:val="0"/>
          <w:numId w:val="0"/>
        </w:numPr>
        <w:spacing w:before="0" w:after="0" w:line="240" w:lineRule="auto"/>
        <w:ind w:left="284" w:hanging="284"/>
        <w:jc w:val="left"/>
        <w:rPr>
          <w:szCs w:val="22"/>
          <w:lang w:val="es-ES"/>
        </w:rPr>
      </w:pPr>
      <w:r w:rsidRPr="000A36A5">
        <w:rPr>
          <w:szCs w:val="22"/>
          <w:lang w:val="es-ES"/>
        </w:rPr>
        <w:t>Bahr</w:t>
      </w:r>
      <w:r w:rsidR="00F5375A" w:rsidRPr="000A36A5">
        <w:rPr>
          <w:szCs w:val="22"/>
          <w:lang w:val="es-ES"/>
        </w:rPr>
        <w:t>e</w:t>
      </w:r>
      <w:r w:rsidRPr="000A36A5">
        <w:rPr>
          <w:szCs w:val="22"/>
          <w:lang w:val="es-ES"/>
        </w:rPr>
        <w:t>in</w:t>
      </w:r>
    </w:p>
    <w:p w:rsidR="00A44021" w:rsidRPr="000A36A5" w:rsidRDefault="00A44021" w:rsidP="000C6220">
      <w:pPr>
        <w:pStyle w:val="Para1"/>
        <w:widowControl w:val="0"/>
        <w:numPr>
          <w:ilvl w:val="0"/>
          <w:numId w:val="0"/>
        </w:numPr>
        <w:spacing w:before="0" w:after="0" w:line="240" w:lineRule="auto"/>
        <w:ind w:left="284" w:hanging="284"/>
        <w:jc w:val="left"/>
        <w:rPr>
          <w:szCs w:val="22"/>
          <w:lang w:val="es-ES"/>
        </w:rPr>
      </w:pPr>
      <w:r w:rsidRPr="000A36A5">
        <w:rPr>
          <w:szCs w:val="22"/>
          <w:lang w:val="es-ES"/>
        </w:rPr>
        <w:t>Bangladesh</w:t>
      </w:r>
    </w:p>
    <w:p w:rsidR="00A44021" w:rsidRPr="000A36A5" w:rsidRDefault="00A44021" w:rsidP="000C6220">
      <w:pPr>
        <w:pStyle w:val="Para1"/>
        <w:widowControl w:val="0"/>
        <w:numPr>
          <w:ilvl w:val="0"/>
          <w:numId w:val="0"/>
        </w:numPr>
        <w:spacing w:before="0" w:after="0" w:line="240" w:lineRule="auto"/>
        <w:ind w:left="284" w:hanging="284"/>
        <w:jc w:val="left"/>
        <w:rPr>
          <w:szCs w:val="22"/>
          <w:lang w:val="es-ES"/>
        </w:rPr>
      </w:pPr>
      <w:r w:rsidRPr="000A36A5">
        <w:rPr>
          <w:szCs w:val="22"/>
          <w:lang w:val="es-ES"/>
        </w:rPr>
        <w:t>Beli</w:t>
      </w:r>
      <w:r w:rsidR="00F5375A" w:rsidRPr="000A36A5">
        <w:rPr>
          <w:szCs w:val="22"/>
          <w:lang w:val="es-ES"/>
        </w:rPr>
        <w:t>c</w:t>
      </w:r>
      <w:r w:rsidRPr="000A36A5">
        <w:rPr>
          <w:szCs w:val="22"/>
          <w:lang w:val="es-ES"/>
        </w:rPr>
        <w:t>e</w:t>
      </w:r>
    </w:p>
    <w:p w:rsidR="00A44021" w:rsidRPr="000A36A5" w:rsidRDefault="00F5375A" w:rsidP="000C6220">
      <w:pPr>
        <w:pStyle w:val="Para1"/>
        <w:widowControl w:val="0"/>
        <w:numPr>
          <w:ilvl w:val="0"/>
          <w:numId w:val="0"/>
        </w:numPr>
        <w:spacing w:before="0" w:after="0" w:line="240" w:lineRule="auto"/>
        <w:ind w:left="284" w:hanging="284"/>
        <w:jc w:val="left"/>
        <w:rPr>
          <w:szCs w:val="22"/>
          <w:lang w:val="es-ES"/>
        </w:rPr>
      </w:pPr>
      <w:r w:rsidRPr="000A36A5">
        <w:rPr>
          <w:szCs w:val="22"/>
          <w:lang w:val="es-ES"/>
        </w:rPr>
        <w:t>Bosnia y</w:t>
      </w:r>
      <w:r w:rsidR="00A44021" w:rsidRPr="000A36A5">
        <w:rPr>
          <w:szCs w:val="22"/>
          <w:lang w:val="es-ES"/>
        </w:rPr>
        <w:t xml:space="preserve"> Herzegovina</w:t>
      </w:r>
    </w:p>
    <w:p w:rsidR="00A44021" w:rsidRPr="004F0658" w:rsidRDefault="00A44021" w:rsidP="000C6220">
      <w:pPr>
        <w:pStyle w:val="Para1"/>
        <w:widowControl w:val="0"/>
        <w:numPr>
          <w:ilvl w:val="0"/>
          <w:numId w:val="0"/>
        </w:numPr>
        <w:spacing w:before="0" w:after="0" w:line="240" w:lineRule="auto"/>
        <w:ind w:left="284" w:hanging="284"/>
        <w:jc w:val="left"/>
        <w:rPr>
          <w:szCs w:val="22"/>
          <w:lang w:val="es-ES"/>
        </w:rPr>
      </w:pPr>
      <w:r w:rsidRPr="004F0658">
        <w:rPr>
          <w:szCs w:val="22"/>
          <w:lang w:val="es-ES"/>
        </w:rPr>
        <w:t>Bra</w:t>
      </w:r>
      <w:r w:rsidR="00F5375A">
        <w:rPr>
          <w:szCs w:val="22"/>
          <w:lang w:val="es-ES"/>
        </w:rPr>
        <w:t>s</w:t>
      </w:r>
      <w:r w:rsidRPr="004F0658">
        <w:rPr>
          <w:szCs w:val="22"/>
          <w:lang w:val="es-ES"/>
        </w:rPr>
        <w:t>il</w:t>
      </w:r>
    </w:p>
    <w:p w:rsidR="00A44021" w:rsidRPr="004F0658" w:rsidRDefault="00A44021" w:rsidP="000C6220">
      <w:pPr>
        <w:pStyle w:val="Para1"/>
        <w:widowControl w:val="0"/>
        <w:numPr>
          <w:ilvl w:val="0"/>
          <w:numId w:val="0"/>
        </w:numPr>
        <w:spacing w:before="0" w:after="0" w:line="240" w:lineRule="auto"/>
        <w:ind w:left="284" w:hanging="284"/>
        <w:jc w:val="left"/>
        <w:rPr>
          <w:szCs w:val="22"/>
          <w:lang w:val="es-ES"/>
        </w:rPr>
      </w:pPr>
      <w:r w:rsidRPr="004F0658">
        <w:rPr>
          <w:szCs w:val="22"/>
          <w:lang w:val="es-ES"/>
        </w:rPr>
        <w:t>Cabo Verde</w:t>
      </w:r>
    </w:p>
    <w:p w:rsidR="00A44021" w:rsidRPr="004F0658" w:rsidRDefault="00A44021" w:rsidP="000C6220">
      <w:pPr>
        <w:pStyle w:val="Para1"/>
        <w:widowControl w:val="0"/>
        <w:numPr>
          <w:ilvl w:val="0"/>
          <w:numId w:val="0"/>
        </w:numPr>
        <w:spacing w:before="0" w:after="0" w:line="240" w:lineRule="auto"/>
        <w:ind w:left="284" w:hanging="284"/>
        <w:jc w:val="left"/>
        <w:rPr>
          <w:szCs w:val="22"/>
          <w:lang w:val="es-ES"/>
        </w:rPr>
      </w:pPr>
      <w:r w:rsidRPr="004F0658">
        <w:rPr>
          <w:szCs w:val="22"/>
          <w:lang w:val="es-ES"/>
        </w:rPr>
        <w:t>Canad</w:t>
      </w:r>
      <w:r w:rsidR="00F5375A">
        <w:rPr>
          <w:szCs w:val="22"/>
          <w:lang w:val="es-ES"/>
        </w:rPr>
        <w:t>á</w:t>
      </w:r>
    </w:p>
    <w:p w:rsidR="00A44021" w:rsidRDefault="00A44021" w:rsidP="000C6220">
      <w:pPr>
        <w:pStyle w:val="Para1"/>
        <w:widowControl w:val="0"/>
        <w:numPr>
          <w:ilvl w:val="0"/>
          <w:numId w:val="0"/>
        </w:numPr>
        <w:spacing w:before="0" w:after="0" w:line="240" w:lineRule="auto"/>
        <w:ind w:left="284" w:hanging="284"/>
        <w:jc w:val="left"/>
        <w:rPr>
          <w:szCs w:val="22"/>
          <w:lang w:val="es-ES"/>
        </w:rPr>
      </w:pPr>
      <w:r w:rsidRPr="004F0658">
        <w:rPr>
          <w:szCs w:val="22"/>
          <w:lang w:val="es-ES"/>
        </w:rPr>
        <w:t>Chile</w:t>
      </w:r>
    </w:p>
    <w:p w:rsidR="00F5375A" w:rsidRPr="004F0658" w:rsidRDefault="00F5375A" w:rsidP="000C6220">
      <w:pPr>
        <w:pStyle w:val="Para1"/>
        <w:widowControl w:val="0"/>
        <w:numPr>
          <w:ilvl w:val="0"/>
          <w:numId w:val="0"/>
        </w:numPr>
        <w:spacing w:before="0" w:after="0" w:line="240" w:lineRule="auto"/>
        <w:ind w:left="284" w:hanging="284"/>
        <w:jc w:val="left"/>
        <w:rPr>
          <w:szCs w:val="22"/>
          <w:lang w:val="es-ES"/>
        </w:rPr>
      </w:pPr>
      <w:r>
        <w:rPr>
          <w:szCs w:val="22"/>
          <w:lang w:val="es-ES"/>
        </w:rPr>
        <w:t>Chipre</w:t>
      </w:r>
    </w:p>
    <w:p w:rsidR="00A44021" w:rsidRPr="004F0658" w:rsidRDefault="00A44021" w:rsidP="000C6220">
      <w:pPr>
        <w:pStyle w:val="Para1"/>
        <w:widowControl w:val="0"/>
        <w:numPr>
          <w:ilvl w:val="0"/>
          <w:numId w:val="0"/>
        </w:numPr>
        <w:spacing w:before="0" w:after="0" w:line="240" w:lineRule="auto"/>
        <w:ind w:left="284" w:hanging="284"/>
        <w:jc w:val="left"/>
        <w:rPr>
          <w:szCs w:val="22"/>
          <w:lang w:val="es-ES"/>
        </w:rPr>
      </w:pPr>
      <w:r w:rsidRPr="004F0658">
        <w:rPr>
          <w:szCs w:val="22"/>
          <w:lang w:val="es-ES"/>
        </w:rPr>
        <w:t>Colombia</w:t>
      </w:r>
    </w:p>
    <w:p w:rsidR="00A44021" w:rsidRPr="000A36A5" w:rsidRDefault="00A44021" w:rsidP="000C6220">
      <w:pPr>
        <w:pStyle w:val="Para1"/>
        <w:widowControl w:val="0"/>
        <w:numPr>
          <w:ilvl w:val="0"/>
          <w:numId w:val="0"/>
        </w:numPr>
        <w:spacing w:before="0" w:after="0" w:line="240" w:lineRule="auto"/>
        <w:ind w:left="284" w:hanging="284"/>
        <w:jc w:val="left"/>
        <w:rPr>
          <w:szCs w:val="22"/>
          <w:lang w:val="es-ES"/>
        </w:rPr>
      </w:pPr>
      <w:r w:rsidRPr="000A36A5">
        <w:rPr>
          <w:szCs w:val="22"/>
          <w:lang w:val="es-ES"/>
        </w:rPr>
        <w:t>Costa Rica</w:t>
      </w:r>
    </w:p>
    <w:p w:rsidR="00A44021" w:rsidRPr="004F0658" w:rsidRDefault="00A44021" w:rsidP="000C6220">
      <w:pPr>
        <w:pStyle w:val="Para1"/>
        <w:widowControl w:val="0"/>
        <w:numPr>
          <w:ilvl w:val="0"/>
          <w:numId w:val="0"/>
        </w:numPr>
        <w:spacing w:before="0" w:after="0" w:line="240" w:lineRule="auto"/>
        <w:ind w:left="284" w:hanging="284"/>
        <w:jc w:val="left"/>
        <w:rPr>
          <w:szCs w:val="22"/>
          <w:lang w:val="es-ES"/>
        </w:rPr>
      </w:pPr>
      <w:r w:rsidRPr="004F0658">
        <w:rPr>
          <w:szCs w:val="22"/>
          <w:lang w:val="es-ES"/>
        </w:rPr>
        <w:t>El Salvador</w:t>
      </w:r>
    </w:p>
    <w:p w:rsidR="00F26B69" w:rsidRDefault="00A44021" w:rsidP="00F26B69">
      <w:pPr>
        <w:pStyle w:val="Para1"/>
        <w:widowControl w:val="0"/>
        <w:numPr>
          <w:ilvl w:val="0"/>
          <w:numId w:val="0"/>
        </w:numPr>
        <w:spacing w:before="0" w:after="0" w:line="240" w:lineRule="auto"/>
        <w:ind w:left="284" w:hanging="284"/>
        <w:jc w:val="left"/>
        <w:rPr>
          <w:szCs w:val="22"/>
          <w:lang w:val="es-ES"/>
        </w:rPr>
      </w:pPr>
      <w:r w:rsidRPr="004F0658">
        <w:rPr>
          <w:szCs w:val="22"/>
          <w:lang w:val="es-ES"/>
        </w:rPr>
        <w:t>Eritrea</w:t>
      </w:r>
    </w:p>
    <w:p w:rsidR="00F26B69" w:rsidRDefault="00F26B69" w:rsidP="00F26B69">
      <w:pPr>
        <w:pStyle w:val="Para1"/>
        <w:widowControl w:val="0"/>
        <w:numPr>
          <w:ilvl w:val="0"/>
          <w:numId w:val="0"/>
        </w:numPr>
        <w:spacing w:before="0" w:after="0" w:line="240" w:lineRule="auto"/>
        <w:ind w:left="284" w:hanging="284"/>
        <w:jc w:val="left"/>
        <w:rPr>
          <w:szCs w:val="22"/>
          <w:lang w:val="es-ES"/>
        </w:rPr>
      </w:pPr>
      <w:r>
        <w:rPr>
          <w:szCs w:val="22"/>
          <w:lang w:val="es-ES"/>
        </w:rPr>
        <w:t>Eslovenia</w:t>
      </w:r>
    </w:p>
    <w:p w:rsidR="00F26B69" w:rsidRDefault="00F26B69" w:rsidP="00F26B69">
      <w:pPr>
        <w:pStyle w:val="Para1"/>
        <w:widowControl w:val="0"/>
        <w:numPr>
          <w:ilvl w:val="0"/>
          <w:numId w:val="0"/>
        </w:numPr>
        <w:spacing w:before="0" w:after="0" w:line="240" w:lineRule="auto"/>
        <w:ind w:left="284" w:hanging="284"/>
        <w:jc w:val="left"/>
        <w:rPr>
          <w:szCs w:val="22"/>
          <w:lang w:val="es-ES"/>
        </w:rPr>
      </w:pPr>
      <w:r>
        <w:rPr>
          <w:szCs w:val="22"/>
          <w:lang w:val="es-ES"/>
        </w:rPr>
        <w:t>Estado de Palestina</w:t>
      </w:r>
    </w:p>
    <w:p w:rsidR="00F26B69" w:rsidRPr="004F0658" w:rsidRDefault="00F26B69" w:rsidP="00F26B69">
      <w:pPr>
        <w:pStyle w:val="Para1"/>
        <w:widowControl w:val="0"/>
        <w:numPr>
          <w:ilvl w:val="0"/>
          <w:numId w:val="0"/>
        </w:numPr>
        <w:spacing w:before="0" w:after="0" w:line="240" w:lineRule="auto"/>
        <w:ind w:left="284" w:hanging="284"/>
        <w:jc w:val="left"/>
        <w:rPr>
          <w:szCs w:val="22"/>
          <w:lang w:val="es-ES"/>
        </w:rPr>
      </w:pPr>
      <w:r>
        <w:rPr>
          <w:szCs w:val="22"/>
          <w:lang w:val="es-ES"/>
        </w:rPr>
        <w:t>Estados Unidos de América</w:t>
      </w:r>
    </w:p>
    <w:p w:rsidR="00A44021" w:rsidRDefault="00A44021" w:rsidP="000C6220">
      <w:pPr>
        <w:pStyle w:val="Para1"/>
        <w:widowControl w:val="0"/>
        <w:numPr>
          <w:ilvl w:val="0"/>
          <w:numId w:val="0"/>
        </w:numPr>
        <w:spacing w:before="0" w:after="0" w:line="240" w:lineRule="auto"/>
        <w:ind w:left="284" w:hanging="284"/>
        <w:jc w:val="left"/>
        <w:rPr>
          <w:szCs w:val="22"/>
          <w:lang w:val="es-ES"/>
        </w:rPr>
      </w:pPr>
      <w:r w:rsidRPr="004F0658">
        <w:rPr>
          <w:szCs w:val="22"/>
          <w:lang w:val="es-ES"/>
        </w:rPr>
        <w:t>Estonia</w:t>
      </w:r>
    </w:p>
    <w:p w:rsidR="00F5375A" w:rsidRPr="004F0658" w:rsidRDefault="00F5375A" w:rsidP="000C6220">
      <w:pPr>
        <w:pStyle w:val="Para1"/>
        <w:widowControl w:val="0"/>
        <w:numPr>
          <w:ilvl w:val="0"/>
          <w:numId w:val="0"/>
        </w:numPr>
        <w:spacing w:before="0" w:after="0" w:line="240" w:lineRule="auto"/>
        <w:ind w:left="284" w:hanging="284"/>
        <w:jc w:val="left"/>
        <w:rPr>
          <w:szCs w:val="22"/>
          <w:lang w:val="es-ES"/>
        </w:rPr>
      </w:pPr>
      <w:r>
        <w:rPr>
          <w:szCs w:val="22"/>
          <w:lang w:val="es-ES"/>
        </w:rPr>
        <w:t>Federación de Rusia</w:t>
      </w:r>
    </w:p>
    <w:p w:rsidR="00A44021" w:rsidRPr="000A36A5" w:rsidRDefault="00A44021" w:rsidP="000C6220">
      <w:pPr>
        <w:pStyle w:val="Para1"/>
        <w:widowControl w:val="0"/>
        <w:numPr>
          <w:ilvl w:val="0"/>
          <w:numId w:val="0"/>
        </w:numPr>
        <w:spacing w:before="0" w:after="0" w:line="240" w:lineRule="auto"/>
        <w:ind w:left="284" w:hanging="284"/>
        <w:jc w:val="left"/>
        <w:rPr>
          <w:szCs w:val="22"/>
          <w:lang w:val="es-ES"/>
        </w:rPr>
      </w:pPr>
      <w:r w:rsidRPr="000A36A5">
        <w:rPr>
          <w:szCs w:val="22"/>
          <w:lang w:val="es-ES"/>
        </w:rPr>
        <w:t>Georgia</w:t>
      </w:r>
    </w:p>
    <w:p w:rsidR="00A44021" w:rsidRPr="000A36A5" w:rsidRDefault="00A44021" w:rsidP="000C6220">
      <w:pPr>
        <w:pStyle w:val="Para1"/>
        <w:widowControl w:val="0"/>
        <w:numPr>
          <w:ilvl w:val="0"/>
          <w:numId w:val="0"/>
        </w:numPr>
        <w:spacing w:before="0" w:after="0" w:line="240" w:lineRule="auto"/>
        <w:ind w:left="284" w:hanging="284"/>
        <w:jc w:val="left"/>
        <w:rPr>
          <w:szCs w:val="22"/>
          <w:lang w:val="es-ES"/>
        </w:rPr>
      </w:pPr>
      <w:r w:rsidRPr="000A36A5">
        <w:rPr>
          <w:szCs w:val="22"/>
          <w:lang w:val="es-ES"/>
        </w:rPr>
        <w:t>Ghana</w:t>
      </w:r>
    </w:p>
    <w:p w:rsidR="00F5375A" w:rsidRPr="00F5375A" w:rsidRDefault="00F5375A" w:rsidP="000C6220">
      <w:pPr>
        <w:pStyle w:val="Para1"/>
        <w:widowControl w:val="0"/>
        <w:numPr>
          <w:ilvl w:val="0"/>
          <w:numId w:val="0"/>
        </w:numPr>
        <w:spacing w:before="0" w:after="0" w:line="240" w:lineRule="auto"/>
        <w:ind w:left="284" w:hanging="284"/>
        <w:jc w:val="left"/>
        <w:rPr>
          <w:szCs w:val="22"/>
          <w:lang w:val="es-ES"/>
        </w:rPr>
      </w:pPr>
      <w:r w:rsidRPr="00F5375A">
        <w:rPr>
          <w:szCs w:val="22"/>
          <w:lang w:val="es-ES"/>
        </w:rPr>
        <w:t>Granada</w:t>
      </w:r>
    </w:p>
    <w:p w:rsidR="00A44021" w:rsidRPr="00F5375A" w:rsidRDefault="00F5375A" w:rsidP="000C6220">
      <w:pPr>
        <w:pStyle w:val="Para1"/>
        <w:widowControl w:val="0"/>
        <w:numPr>
          <w:ilvl w:val="0"/>
          <w:numId w:val="0"/>
        </w:numPr>
        <w:spacing w:before="0" w:after="0" w:line="240" w:lineRule="auto"/>
        <w:ind w:left="284" w:hanging="284"/>
        <w:jc w:val="left"/>
        <w:rPr>
          <w:szCs w:val="22"/>
          <w:lang w:val="es-ES"/>
        </w:rPr>
      </w:pPr>
      <w:r w:rsidRPr="00F5375A">
        <w:rPr>
          <w:szCs w:val="22"/>
          <w:lang w:val="es-ES"/>
        </w:rPr>
        <w:t>Grecia</w:t>
      </w:r>
    </w:p>
    <w:p w:rsidR="00F5375A" w:rsidRPr="00F5375A" w:rsidRDefault="00F5375A" w:rsidP="000C6220">
      <w:pPr>
        <w:pStyle w:val="Para1"/>
        <w:widowControl w:val="0"/>
        <w:numPr>
          <w:ilvl w:val="0"/>
          <w:numId w:val="0"/>
        </w:numPr>
        <w:spacing w:before="0" w:after="0" w:line="240" w:lineRule="auto"/>
        <w:ind w:left="284" w:hanging="284"/>
        <w:jc w:val="left"/>
        <w:rPr>
          <w:szCs w:val="22"/>
          <w:lang w:val="es-ES"/>
        </w:rPr>
      </w:pPr>
      <w:r w:rsidRPr="00F5375A">
        <w:rPr>
          <w:szCs w:val="22"/>
          <w:lang w:val="es-ES"/>
        </w:rPr>
        <w:lastRenderedPageBreak/>
        <w:t>Guinea Ecuatorial</w:t>
      </w:r>
    </w:p>
    <w:p w:rsidR="00A44021" w:rsidRDefault="00F5375A" w:rsidP="000C6220">
      <w:pPr>
        <w:pStyle w:val="Para1"/>
        <w:widowControl w:val="0"/>
        <w:numPr>
          <w:ilvl w:val="0"/>
          <w:numId w:val="0"/>
        </w:numPr>
        <w:spacing w:before="0" w:after="0" w:line="240" w:lineRule="auto"/>
        <w:ind w:left="284" w:hanging="284"/>
        <w:jc w:val="left"/>
        <w:rPr>
          <w:szCs w:val="22"/>
          <w:lang w:val="es-ES"/>
        </w:rPr>
      </w:pPr>
      <w:r w:rsidRPr="00F5375A">
        <w:rPr>
          <w:szCs w:val="22"/>
          <w:lang w:val="es-ES"/>
        </w:rPr>
        <w:t>Haití</w:t>
      </w:r>
    </w:p>
    <w:p w:rsidR="00F5375A" w:rsidRDefault="00F5375A" w:rsidP="000C6220">
      <w:pPr>
        <w:pStyle w:val="Para1"/>
        <w:widowControl w:val="0"/>
        <w:numPr>
          <w:ilvl w:val="0"/>
          <w:numId w:val="0"/>
        </w:numPr>
        <w:spacing w:before="0" w:after="0" w:line="240" w:lineRule="auto"/>
        <w:ind w:left="284" w:hanging="284"/>
        <w:jc w:val="left"/>
        <w:rPr>
          <w:szCs w:val="22"/>
          <w:lang w:val="es-ES"/>
        </w:rPr>
      </w:pPr>
      <w:r>
        <w:rPr>
          <w:szCs w:val="22"/>
          <w:lang w:val="es-ES"/>
        </w:rPr>
        <w:t>Irán (República Islámica del)</w:t>
      </w:r>
    </w:p>
    <w:p w:rsidR="00A44021" w:rsidRPr="00F5375A" w:rsidRDefault="00A44021" w:rsidP="000C6220">
      <w:pPr>
        <w:pStyle w:val="Para1"/>
        <w:widowControl w:val="0"/>
        <w:numPr>
          <w:ilvl w:val="0"/>
          <w:numId w:val="0"/>
        </w:numPr>
        <w:spacing w:before="0" w:after="0" w:line="240" w:lineRule="auto"/>
        <w:ind w:left="284" w:hanging="284"/>
        <w:jc w:val="left"/>
        <w:rPr>
          <w:szCs w:val="22"/>
          <w:lang w:val="es-ES"/>
        </w:rPr>
      </w:pPr>
      <w:r w:rsidRPr="00F5375A">
        <w:rPr>
          <w:szCs w:val="22"/>
          <w:lang w:val="es-ES"/>
        </w:rPr>
        <w:t>I</w:t>
      </w:r>
      <w:r w:rsidR="00F5375A">
        <w:rPr>
          <w:szCs w:val="22"/>
          <w:lang w:val="es-ES"/>
        </w:rPr>
        <w:t>raq</w:t>
      </w:r>
    </w:p>
    <w:p w:rsidR="00F5375A" w:rsidRPr="000A36A5" w:rsidRDefault="00A44021" w:rsidP="000C6220">
      <w:pPr>
        <w:pStyle w:val="Para1"/>
        <w:widowControl w:val="0"/>
        <w:numPr>
          <w:ilvl w:val="0"/>
          <w:numId w:val="0"/>
        </w:numPr>
        <w:spacing w:before="0" w:after="0" w:line="240" w:lineRule="auto"/>
        <w:ind w:left="284" w:hanging="284"/>
        <w:jc w:val="left"/>
        <w:rPr>
          <w:szCs w:val="22"/>
          <w:lang w:val="es-ES"/>
        </w:rPr>
      </w:pPr>
      <w:r w:rsidRPr="000A36A5">
        <w:rPr>
          <w:szCs w:val="22"/>
          <w:lang w:val="es-ES"/>
        </w:rPr>
        <w:t>I</w:t>
      </w:r>
      <w:r w:rsidR="00F5375A" w:rsidRPr="000A36A5">
        <w:rPr>
          <w:szCs w:val="22"/>
          <w:lang w:val="es-ES"/>
        </w:rPr>
        <w:t>rlanda</w:t>
      </w:r>
    </w:p>
    <w:p w:rsidR="00A44021" w:rsidRPr="000A36A5" w:rsidRDefault="00F5375A" w:rsidP="000C6220">
      <w:pPr>
        <w:pStyle w:val="Para1"/>
        <w:widowControl w:val="0"/>
        <w:numPr>
          <w:ilvl w:val="0"/>
          <w:numId w:val="0"/>
        </w:numPr>
        <w:spacing w:before="0" w:after="0" w:line="240" w:lineRule="auto"/>
        <w:ind w:left="284" w:hanging="284"/>
        <w:jc w:val="left"/>
        <w:rPr>
          <w:szCs w:val="22"/>
          <w:lang w:val="es-ES"/>
        </w:rPr>
      </w:pPr>
      <w:r w:rsidRPr="000A36A5">
        <w:rPr>
          <w:szCs w:val="22"/>
          <w:lang w:val="es-ES"/>
        </w:rPr>
        <w:t>Islandia</w:t>
      </w:r>
    </w:p>
    <w:p w:rsidR="00F5375A" w:rsidRDefault="00F5375A" w:rsidP="000C6220">
      <w:pPr>
        <w:pStyle w:val="Para1"/>
        <w:widowControl w:val="0"/>
        <w:numPr>
          <w:ilvl w:val="0"/>
          <w:numId w:val="0"/>
        </w:numPr>
        <w:spacing w:before="0" w:after="0" w:line="240" w:lineRule="auto"/>
        <w:ind w:left="284" w:hanging="284"/>
        <w:jc w:val="left"/>
        <w:rPr>
          <w:szCs w:val="22"/>
          <w:lang w:val="es-ES"/>
        </w:rPr>
      </w:pPr>
      <w:r>
        <w:rPr>
          <w:szCs w:val="22"/>
          <w:lang w:val="es-ES"/>
        </w:rPr>
        <w:t>Islas Cook</w:t>
      </w:r>
    </w:p>
    <w:p w:rsidR="00F26B69" w:rsidRPr="004F0658" w:rsidRDefault="00F26B69" w:rsidP="000C6220">
      <w:pPr>
        <w:pStyle w:val="Para1"/>
        <w:widowControl w:val="0"/>
        <w:numPr>
          <w:ilvl w:val="0"/>
          <w:numId w:val="0"/>
        </w:numPr>
        <w:spacing w:before="0" w:after="0" w:line="240" w:lineRule="auto"/>
        <w:ind w:left="284" w:hanging="284"/>
        <w:jc w:val="left"/>
        <w:rPr>
          <w:szCs w:val="22"/>
          <w:lang w:val="es-ES"/>
        </w:rPr>
      </w:pPr>
      <w:r>
        <w:rPr>
          <w:szCs w:val="22"/>
          <w:lang w:val="es-ES"/>
        </w:rPr>
        <w:t>Islas Salomón</w:t>
      </w:r>
    </w:p>
    <w:p w:rsidR="00A44021" w:rsidRPr="004F0658" w:rsidRDefault="00A44021" w:rsidP="000C6220">
      <w:pPr>
        <w:pStyle w:val="Para1"/>
        <w:widowControl w:val="0"/>
        <w:numPr>
          <w:ilvl w:val="0"/>
          <w:numId w:val="0"/>
        </w:numPr>
        <w:spacing w:before="0" w:after="0" w:line="240" w:lineRule="auto"/>
        <w:ind w:left="284" w:hanging="284"/>
        <w:jc w:val="left"/>
        <w:rPr>
          <w:szCs w:val="22"/>
          <w:lang w:val="es-ES"/>
        </w:rPr>
      </w:pPr>
      <w:r w:rsidRPr="004F0658">
        <w:rPr>
          <w:szCs w:val="22"/>
          <w:lang w:val="es-ES"/>
        </w:rPr>
        <w:t>Israel</w:t>
      </w:r>
    </w:p>
    <w:p w:rsidR="00A44021" w:rsidRPr="004F0658" w:rsidRDefault="00A44021" w:rsidP="000C6220">
      <w:pPr>
        <w:pStyle w:val="Para1"/>
        <w:widowControl w:val="0"/>
        <w:numPr>
          <w:ilvl w:val="0"/>
          <w:numId w:val="0"/>
        </w:numPr>
        <w:spacing w:before="0" w:after="0" w:line="240" w:lineRule="auto"/>
        <w:ind w:left="284" w:hanging="284"/>
        <w:jc w:val="left"/>
        <w:rPr>
          <w:szCs w:val="22"/>
          <w:lang w:val="es-ES"/>
        </w:rPr>
      </w:pPr>
      <w:r w:rsidRPr="004F0658">
        <w:rPr>
          <w:szCs w:val="22"/>
          <w:lang w:val="es-ES"/>
        </w:rPr>
        <w:t>Ital</w:t>
      </w:r>
      <w:r w:rsidR="00F5375A">
        <w:rPr>
          <w:szCs w:val="22"/>
          <w:lang w:val="es-ES"/>
        </w:rPr>
        <w:t>ia</w:t>
      </w:r>
    </w:p>
    <w:p w:rsidR="00A44021" w:rsidRPr="004F0658" w:rsidRDefault="00A44021" w:rsidP="000C6220">
      <w:pPr>
        <w:pStyle w:val="Para1"/>
        <w:widowControl w:val="0"/>
        <w:numPr>
          <w:ilvl w:val="0"/>
          <w:numId w:val="0"/>
        </w:numPr>
        <w:spacing w:before="0" w:after="0" w:line="240" w:lineRule="auto"/>
        <w:ind w:left="284" w:hanging="284"/>
        <w:jc w:val="left"/>
        <w:rPr>
          <w:szCs w:val="22"/>
          <w:lang w:val="es-ES"/>
        </w:rPr>
      </w:pPr>
      <w:r w:rsidRPr="004F0658">
        <w:rPr>
          <w:szCs w:val="22"/>
          <w:lang w:val="es-ES"/>
        </w:rPr>
        <w:t>Jamaica</w:t>
      </w:r>
    </w:p>
    <w:p w:rsidR="00A44021" w:rsidRPr="004F0658" w:rsidRDefault="00A44021" w:rsidP="000C6220">
      <w:pPr>
        <w:pStyle w:val="Para1"/>
        <w:widowControl w:val="0"/>
        <w:numPr>
          <w:ilvl w:val="0"/>
          <w:numId w:val="0"/>
        </w:numPr>
        <w:spacing w:before="0" w:after="0" w:line="240" w:lineRule="auto"/>
        <w:ind w:left="284" w:hanging="284"/>
        <w:jc w:val="left"/>
        <w:rPr>
          <w:szCs w:val="22"/>
          <w:lang w:val="es-ES"/>
        </w:rPr>
      </w:pPr>
      <w:r w:rsidRPr="004F0658">
        <w:rPr>
          <w:szCs w:val="22"/>
          <w:lang w:val="es-ES"/>
        </w:rPr>
        <w:t>Kiribati</w:t>
      </w:r>
    </w:p>
    <w:p w:rsidR="00A44021" w:rsidRPr="004F0658" w:rsidRDefault="00A44021" w:rsidP="000C6220">
      <w:pPr>
        <w:pStyle w:val="Para1"/>
        <w:widowControl w:val="0"/>
        <w:numPr>
          <w:ilvl w:val="0"/>
          <w:numId w:val="0"/>
        </w:numPr>
        <w:spacing w:before="0" w:after="0" w:line="240" w:lineRule="auto"/>
        <w:ind w:left="284" w:hanging="284"/>
        <w:jc w:val="left"/>
        <w:rPr>
          <w:szCs w:val="22"/>
          <w:lang w:val="es-ES"/>
        </w:rPr>
      </w:pPr>
      <w:r w:rsidRPr="004F0658">
        <w:rPr>
          <w:szCs w:val="22"/>
          <w:lang w:val="es-ES"/>
        </w:rPr>
        <w:t>L</w:t>
      </w:r>
      <w:r w:rsidR="00F26B69">
        <w:rPr>
          <w:szCs w:val="22"/>
          <w:lang w:val="es-ES"/>
        </w:rPr>
        <w:t>etonia</w:t>
      </w:r>
    </w:p>
    <w:p w:rsidR="00A44021" w:rsidRPr="004F0658" w:rsidRDefault="00A44021" w:rsidP="000C6220">
      <w:pPr>
        <w:pStyle w:val="Para1"/>
        <w:widowControl w:val="0"/>
        <w:numPr>
          <w:ilvl w:val="0"/>
          <w:numId w:val="0"/>
        </w:numPr>
        <w:spacing w:before="0" w:after="0" w:line="240" w:lineRule="auto"/>
        <w:ind w:left="284" w:hanging="284"/>
        <w:jc w:val="left"/>
        <w:rPr>
          <w:szCs w:val="22"/>
          <w:lang w:val="es-ES"/>
        </w:rPr>
      </w:pPr>
      <w:r w:rsidRPr="004F0658">
        <w:rPr>
          <w:szCs w:val="22"/>
          <w:lang w:val="es-ES"/>
        </w:rPr>
        <w:t>Lib</w:t>
      </w:r>
      <w:r w:rsidR="00F26B69">
        <w:rPr>
          <w:szCs w:val="22"/>
          <w:lang w:val="es-ES"/>
        </w:rPr>
        <w:t>i</w:t>
      </w:r>
      <w:r w:rsidRPr="004F0658">
        <w:rPr>
          <w:szCs w:val="22"/>
          <w:lang w:val="es-ES"/>
        </w:rPr>
        <w:t>a</w:t>
      </w:r>
    </w:p>
    <w:p w:rsidR="00A44021" w:rsidRPr="004F0658" w:rsidRDefault="00A44021" w:rsidP="000C6220">
      <w:pPr>
        <w:pStyle w:val="Para1"/>
        <w:widowControl w:val="0"/>
        <w:numPr>
          <w:ilvl w:val="0"/>
          <w:numId w:val="0"/>
        </w:numPr>
        <w:spacing w:before="0" w:after="0" w:line="240" w:lineRule="auto"/>
        <w:ind w:left="284" w:hanging="284"/>
        <w:jc w:val="left"/>
        <w:rPr>
          <w:szCs w:val="22"/>
          <w:lang w:val="es-ES"/>
        </w:rPr>
      </w:pPr>
      <w:r w:rsidRPr="004F0658">
        <w:rPr>
          <w:szCs w:val="22"/>
          <w:lang w:val="es-ES"/>
        </w:rPr>
        <w:t>Liechtenstein</w:t>
      </w:r>
    </w:p>
    <w:p w:rsidR="00A44021" w:rsidRPr="004F0658" w:rsidRDefault="00A44021" w:rsidP="000C6220">
      <w:pPr>
        <w:pStyle w:val="Para1"/>
        <w:widowControl w:val="0"/>
        <w:numPr>
          <w:ilvl w:val="0"/>
          <w:numId w:val="0"/>
        </w:numPr>
        <w:spacing w:before="0" w:after="0" w:line="240" w:lineRule="auto"/>
        <w:ind w:left="284" w:hanging="284"/>
        <w:jc w:val="left"/>
        <w:rPr>
          <w:szCs w:val="22"/>
          <w:lang w:val="es-ES"/>
        </w:rPr>
      </w:pPr>
      <w:r w:rsidRPr="004F0658">
        <w:rPr>
          <w:szCs w:val="22"/>
          <w:lang w:val="es-ES"/>
        </w:rPr>
        <w:t>Lituania</w:t>
      </w:r>
    </w:p>
    <w:p w:rsidR="00A44021" w:rsidRPr="004F0658" w:rsidRDefault="00A44021" w:rsidP="000C6220">
      <w:pPr>
        <w:pStyle w:val="Para1"/>
        <w:widowControl w:val="0"/>
        <w:numPr>
          <w:ilvl w:val="0"/>
          <w:numId w:val="0"/>
        </w:numPr>
        <w:spacing w:before="0" w:after="0" w:line="240" w:lineRule="auto"/>
        <w:ind w:left="284" w:hanging="284"/>
        <w:jc w:val="left"/>
        <w:rPr>
          <w:szCs w:val="22"/>
          <w:lang w:val="es-ES"/>
        </w:rPr>
      </w:pPr>
      <w:r w:rsidRPr="004F0658">
        <w:rPr>
          <w:szCs w:val="22"/>
          <w:lang w:val="es-ES"/>
        </w:rPr>
        <w:t>Malasia</w:t>
      </w:r>
    </w:p>
    <w:p w:rsidR="00A44021" w:rsidRPr="004F0658" w:rsidRDefault="00A44021" w:rsidP="000C6220">
      <w:pPr>
        <w:pStyle w:val="Para1"/>
        <w:widowControl w:val="0"/>
        <w:numPr>
          <w:ilvl w:val="0"/>
          <w:numId w:val="0"/>
        </w:numPr>
        <w:spacing w:before="0" w:after="0" w:line="240" w:lineRule="auto"/>
        <w:ind w:left="284" w:hanging="284"/>
        <w:jc w:val="left"/>
        <w:rPr>
          <w:szCs w:val="22"/>
          <w:lang w:val="es-ES"/>
        </w:rPr>
      </w:pPr>
      <w:r w:rsidRPr="004F0658">
        <w:rPr>
          <w:szCs w:val="22"/>
          <w:lang w:val="es-ES"/>
        </w:rPr>
        <w:t>Maldiv</w:t>
      </w:r>
      <w:r w:rsidR="00F26B69">
        <w:rPr>
          <w:szCs w:val="22"/>
          <w:lang w:val="es-ES"/>
        </w:rPr>
        <w:t>a</w:t>
      </w:r>
      <w:r w:rsidRPr="004F0658">
        <w:rPr>
          <w:szCs w:val="22"/>
          <w:lang w:val="es-ES"/>
        </w:rPr>
        <w:t>s</w:t>
      </w:r>
    </w:p>
    <w:p w:rsidR="00F26B69" w:rsidRDefault="00F26B69" w:rsidP="000C6220">
      <w:pPr>
        <w:pStyle w:val="Para1"/>
        <w:widowControl w:val="0"/>
        <w:numPr>
          <w:ilvl w:val="0"/>
          <w:numId w:val="0"/>
        </w:numPr>
        <w:spacing w:before="0" w:after="0" w:line="240" w:lineRule="auto"/>
        <w:ind w:left="284" w:hanging="284"/>
        <w:jc w:val="left"/>
        <w:rPr>
          <w:szCs w:val="22"/>
          <w:lang w:val="es-ES"/>
        </w:rPr>
      </w:pPr>
      <w:r>
        <w:rPr>
          <w:szCs w:val="22"/>
          <w:lang w:val="es-ES"/>
        </w:rPr>
        <w:t>Marruecos</w:t>
      </w:r>
    </w:p>
    <w:p w:rsidR="00A44021" w:rsidRPr="004F0658" w:rsidRDefault="00A44021" w:rsidP="000C6220">
      <w:pPr>
        <w:pStyle w:val="Para1"/>
        <w:widowControl w:val="0"/>
        <w:numPr>
          <w:ilvl w:val="0"/>
          <w:numId w:val="0"/>
        </w:numPr>
        <w:spacing w:before="0" w:after="0" w:line="240" w:lineRule="auto"/>
        <w:ind w:left="284" w:hanging="284"/>
        <w:jc w:val="left"/>
        <w:rPr>
          <w:szCs w:val="22"/>
          <w:lang w:val="es-ES"/>
        </w:rPr>
      </w:pPr>
      <w:r w:rsidRPr="004F0658">
        <w:rPr>
          <w:szCs w:val="22"/>
          <w:lang w:val="es-ES"/>
        </w:rPr>
        <w:t>M</w:t>
      </w:r>
      <w:r w:rsidR="00F26B69">
        <w:rPr>
          <w:szCs w:val="22"/>
          <w:lang w:val="es-ES"/>
        </w:rPr>
        <w:t>ó</w:t>
      </w:r>
      <w:r w:rsidRPr="004F0658">
        <w:rPr>
          <w:szCs w:val="22"/>
          <w:lang w:val="es-ES"/>
        </w:rPr>
        <w:t>naco</w:t>
      </w:r>
    </w:p>
    <w:p w:rsidR="00A44021" w:rsidRPr="004F0658" w:rsidRDefault="00A44021" w:rsidP="000C6220">
      <w:pPr>
        <w:pStyle w:val="Para1"/>
        <w:widowControl w:val="0"/>
        <w:numPr>
          <w:ilvl w:val="0"/>
          <w:numId w:val="0"/>
        </w:numPr>
        <w:spacing w:before="0" w:after="0" w:line="240" w:lineRule="auto"/>
        <w:ind w:left="284" w:hanging="284"/>
        <w:jc w:val="left"/>
        <w:rPr>
          <w:szCs w:val="22"/>
          <w:lang w:val="es-ES"/>
        </w:rPr>
      </w:pPr>
      <w:r w:rsidRPr="004F0658">
        <w:rPr>
          <w:szCs w:val="22"/>
          <w:lang w:val="es-ES"/>
        </w:rPr>
        <w:t>Nepal</w:t>
      </w:r>
    </w:p>
    <w:p w:rsidR="00F26B69" w:rsidRPr="000A36A5" w:rsidRDefault="00F26B69" w:rsidP="000C6220">
      <w:pPr>
        <w:pStyle w:val="Para1"/>
        <w:widowControl w:val="0"/>
        <w:numPr>
          <w:ilvl w:val="0"/>
          <w:numId w:val="0"/>
        </w:numPr>
        <w:spacing w:before="0" w:after="0" w:line="240" w:lineRule="auto"/>
        <w:ind w:left="284" w:hanging="284"/>
        <w:jc w:val="left"/>
        <w:rPr>
          <w:szCs w:val="22"/>
          <w:lang w:val="es-ES"/>
        </w:rPr>
      </w:pPr>
      <w:r w:rsidRPr="000A36A5">
        <w:rPr>
          <w:szCs w:val="22"/>
          <w:lang w:val="es-ES"/>
        </w:rPr>
        <w:t>Nicaragua</w:t>
      </w:r>
    </w:p>
    <w:p w:rsidR="00F26B69" w:rsidRPr="00F26B69" w:rsidRDefault="00F26B69" w:rsidP="000C6220">
      <w:pPr>
        <w:pStyle w:val="Para1"/>
        <w:widowControl w:val="0"/>
        <w:numPr>
          <w:ilvl w:val="0"/>
          <w:numId w:val="0"/>
        </w:numPr>
        <w:spacing w:before="0" w:after="0" w:line="240" w:lineRule="auto"/>
        <w:ind w:left="284" w:hanging="284"/>
        <w:jc w:val="left"/>
        <w:rPr>
          <w:szCs w:val="22"/>
          <w:lang w:val="es-ES"/>
        </w:rPr>
      </w:pPr>
      <w:r w:rsidRPr="00F26B69">
        <w:rPr>
          <w:szCs w:val="22"/>
          <w:lang w:val="es-ES"/>
        </w:rPr>
        <w:t>Nigeria</w:t>
      </w:r>
    </w:p>
    <w:p w:rsidR="00A44021" w:rsidRPr="00F26B69" w:rsidRDefault="00A44021" w:rsidP="000C6220">
      <w:pPr>
        <w:pStyle w:val="Para1"/>
        <w:widowControl w:val="0"/>
        <w:numPr>
          <w:ilvl w:val="0"/>
          <w:numId w:val="0"/>
        </w:numPr>
        <w:spacing w:before="0" w:after="0" w:line="240" w:lineRule="auto"/>
        <w:ind w:left="284" w:hanging="284"/>
        <w:jc w:val="left"/>
        <w:rPr>
          <w:szCs w:val="22"/>
          <w:lang w:val="es-ES"/>
        </w:rPr>
      </w:pPr>
      <w:r w:rsidRPr="00F26B69">
        <w:rPr>
          <w:szCs w:val="22"/>
          <w:lang w:val="es-ES"/>
        </w:rPr>
        <w:t>N</w:t>
      </w:r>
      <w:r w:rsidR="00F26B69" w:rsidRPr="00F26B69">
        <w:rPr>
          <w:szCs w:val="22"/>
          <w:lang w:val="es-ES"/>
        </w:rPr>
        <w:t>ueva Zelandia</w:t>
      </w:r>
    </w:p>
    <w:p w:rsidR="00A44021" w:rsidRPr="00F26B69" w:rsidRDefault="00A44021" w:rsidP="000C6220">
      <w:pPr>
        <w:pStyle w:val="Para1"/>
        <w:widowControl w:val="0"/>
        <w:numPr>
          <w:ilvl w:val="0"/>
          <w:numId w:val="0"/>
        </w:numPr>
        <w:spacing w:before="0" w:after="0" w:line="240" w:lineRule="auto"/>
        <w:ind w:left="284" w:hanging="284"/>
        <w:jc w:val="left"/>
        <w:rPr>
          <w:szCs w:val="22"/>
          <w:lang w:val="es-ES"/>
        </w:rPr>
      </w:pPr>
      <w:r w:rsidRPr="00F26B69">
        <w:rPr>
          <w:szCs w:val="22"/>
          <w:lang w:val="es-ES"/>
        </w:rPr>
        <w:t>Om</w:t>
      </w:r>
      <w:r w:rsidR="00F26B69" w:rsidRPr="00F26B69">
        <w:rPr>
          <w:szCs w:val="22"/>
          <w:lang w:val="es-ES"/>
        </w:rPr>
        <w:t>á</w:t>
      </w:r>
      <w:r w:rsidRPr="00F26B69">
        <w:rPr>
          <w:szCs w:val="22"/>
          <w:lang w:val="es-ES"/>
        </w:rPr>
        <w:t>n</w:t>
      </w:r>
    </w:p>
    <w:p w:rsidR="00A44021" w:rsidRPr="00F26B69" w:rsidRDefault="00A44021" w:rsidP="000C6220">
      <w:pPr>
        <w:pStyle w:val="Para1"/>
        <w:widowControl w:val="0"/>
        <w:numPr>
          <w:ilvl w:val="0"/>
          <w:numId w:val="0"/>
        </w:numPr>
        <w:spacing w:before="0" w:after="0" w:line="240" w:lineRule="auto"/>
        <w:ind w:left="284" w:hanging="284"/>
        <w:jc w:val="left"/>
        <w:rPr>
          <w:szCs w:val="22"/>
          <w:lang w:val="es-ES"/>
        </w:rPr>
      </w:pPr>
      <w:r w:rsidRPr="00F26B69">
        <w:rPr>
          <w:szCs w:val="22"/>
          <w:lang w:val="es-ES"/>
        </w:rPr>
        <w:t>Papua N</w:t>
      </w:r>
      <w:r w:rsidR="00F26B69" w:rsidRPr="00F26B69">
        <w:rPr>
          <w:szCs w:val="22"/>
          <w:lang w:val="es-ES"/>
        </w:rPr>
        <w:t>ueva</w:t>
      </w:r>
      <w:r w:rsidRPr="00F26B69">
        <w:rPr>
          <w:szCs w:val="22"/>
          <w:lang w:val="es-ES"/>
        </w:rPr>
        <w:t xml:space="preserve"> Guinea</w:t>
      </w:r>
    </w:p>
    <w:p w:rsidR="00A44021" w:rsidRPr="000A36A5" w:rsidRDefault="00A44021" w:rsidP="000C6220">
      <w:pPr>
        <w:pStyle w:val="Para1"/>
        <w:widowControl w:val="0"/>
        <w:numPr>
          <w:ilvl w:val="0"/>
          <w:numId w:val="0"/>
        </w:numPr>
        <w:spacing w:before="0" w:after="0" w:line="240" w:lineRule="auto"/>
        <w:ind w:left="284" w:hanging="284"/>
        <w:jc w:val="left"/>
        <w:rPr>
          <w:szCs w:val="22"/>
          <w:lang w:val="es-ES"/>
        </w:rPr>
      </w:pPr>
      <w:r w:rsidRPr="000A36A5">
        <w:rPr>
          <w:szCs w:val="22"/>
          <w:lang w:val="es-ES"/>
        </w:rPr>
        <w:t>Paraguay</w:t>
      </w:r>
    </w:p>
    <w:p w:rsidR="00A44021" w:rsidRPr="00F26B69" w:rsidRDefault="00A44021" w:rsidP="000C6220">
      <w:pPr>
        <w:pStyle w:val="Para1"/>
        <w:widowControl w:val="0"/>
        <w:numPr>
          <w:ilvl w:val="0"/>
          <w:numId w:val="0"/>
        </w:numPr>
        <w:spacing w:before="0" w:after="0" w:line="240" w:lineRule="auto"/>
        <w:ind w:left="284" w:hanging="284"/>
        <w:jc w:val="left"/>
        <w:rPr>
          <w:szCs w:val="22"/>
          <w:lang w:val="es-ES"/>
        </w:rPr>
      </w:pPr>
      <w:r w:rsidRPr="00F26B69">
        <w:rPr>
          <w:szCs w:val="22"/>
          <w:lang w:val="es-ES"/>
        </w:rPr>
        <w:lastRenderedPageBreak/>
        <w:t>Pol</w:t>
      </w:r>
      <w:r w:rsidR="00F26B69" w:rsidRPr="00F26B69">
        <w:rPr>
          <w:szCs w:val="22"/>
          <w:lang w:val="es-ES"/>
        </w:rPr>
        <w:t>onia</w:t>
      </w:r>
    </w:p>
    <w:p w:rsidR="00F5375A" w:rsidRPr="00F26B69" w:rsidRDefault="00F5375A" w:rsidP="000C6220">
      <w:pPr>
        <w:pStyle w:val="Para1"/>
        <w:widowControl w:val="0"/>
        <w:numPr>
          <w:ilvl w:val="0"/>
          <w:numId w:val="0"/>
        </w:numPr>
        <w:spacing w:before="0" w:after="0" w:line="240" w:lineRule="auto"/>
        <w:ind w:left="284" w:hanging="284"/>
        <w:jc w:val="left"/>
        <w:rPr>
          <w:szCs w:val="22"/>
          <w:lang w:val="es-ES"/>
        </w:rPr>
      </w:pPr>
      <w:r w:rsidRPr="00F26B69">
        <w:rPr>
          <w:szCs w:val="22"/>
          <w:lang w:val="es-ES"/>
        </w:rPr>
        <w:t>República Popular Democrática de Corea</w:t>
      </w:r>
    </w:p>
    <w:p w:rsidR="00A44021" w:rsidRPr="00F26B69" w:rsidRDefault="00A44021" w:rsidP="000C6220">
      <w:pPr>
        <w:pStyle w:val="Para1"/>
        <w:widowControl w:val="0"/>
        <w:numPr>
          <w:ilvl w:val="0"/>
          <w:numId w:val="0"/>
        </w:numPr>
        <w:spacing w:before="0" w:after="0" w:line="240" w:lineRule="auto"/>
        <w:ind w:left="284" w:hanging="284"/>
        <w:jc w:val="left"/>
        <w:rPr>
          <w:szCs w:val="22"/>
          <w:lang w:val="es-ES"/>
        </w:rPr>
      </w:pPr>
      <w:r w:rsidRPr="00F26B69">
        <w:rPr>
          <w:szCs w:val="22"/>
          <w:lang w:val="es-ES"/>
        </w:rPr>
        <w:t>R</w:t>
      </w:r>
      <w:r w:rsidR="00F26B69" w:rsidRPr="00F26B69">
        <w:rPr>
          <w:szCs w:val="22"/>
          <w:lang w:val="es-ES"/>
        </w:rPr>
        <w:t>uman</w:t>
      </w:r>
      <w:r w:rsidR="00F26B69">
        <w:rPr>
          <w:szCs w:val="22"/>
          <w:lang w:val="es-ES"/>
        </w:rPr>
        <w:t>ia</w:t>
      </w:r>
    </w:p>
    <w:p w:rsidR="00A44021" w:rsidRPr="00F26B69" w:rsidRDefault="00A44021" w:rsidP="000C6220">
      <w:pPr>
        <w:pStyle w:val="Para1"/>
        <w:widowControl w:val="0"/>
        <w:numPr>
          <w:ilvl w:val="0"/>
          <w:numId w:val="0"/>
        </w:numPr>
        <w:spacing w:before="0" w:after="0" w:line="240" w:lineRule="auto"/>
        <w:ind w:left="284" w:hanging="284"/>
        <w:jc w:val="left"/>
        <w:rPr>
          <w:szCs w:val="22"/>
          <w:lang w:val="es-ES"/>
        </w:rPr>
      </w:pPr>
      <w:r w:rsidRPr="00F26B69">
        <w:rPr>
          <w:szCs w:val="22"/>
          <w:lang w:val="es-ES"/>
        </w:rPr>
        <w:t xml:space="preserve">Saint Kitts </w:t>
      </w:r>
      <w:r w:rsidR="00F5375A" w:rsidRPr="00F26B69">
        <w:rPr>
          <w:szCs w:val="22"/>
          <w:lang w:val="es-ES"/>
        </w:rPr>
        <w:t>y</w:t>
      </w:r>
      <w:r w:rsidRPr="00F26B69">
        <w:rPr>
          <w:szCs w:val="22"/>
          <w:lang w:val="es-ES"/>
        </w:rPr>
        <w:t xml:space="preserve"> Nevis</w:t>
      </w:r>
    </w:p>
    <w:p w:rsidR="00F26B69" w:rsidRDefault="00F26B69" w:rsidP="000C6220">
      <w:pPr>
        <w:pStyle w:val="Para1"/>
        <w:widowControl w:val="0"/>
        <w:numPr>
          <w:ilvl w:val="0"/>
          <w:numId w:val="0"/>
        </w:numPr>
        <w:spacing w:before="0" w:after="0" w:line="240" w:lineRule="auto"/>
        <w:ind w:left="284" w:hanging="284"/>
        <w:jc w:val="left"/>
        <w:rPr>
          <w:szCs w:val="22"/>
          <w:lang w:val="es-ES"/>
        </w:rPr>
      </w:pPr>
      <w:r>
        <w:rPr>
          <w:szCs w:val="22"/>
          <w:lang w:val="es-ES"/>
        </w:rPr>
        <w:t>San Vicente y las Granadinas</w:t>
      </w:r>
    </w:p>
    <w:p w:rsidR="00F26B69" w:rsidRPr="00F26B69" w:rsidRDefault="00F26B69" w:rsidP="000C6220">
      <w:pPr>
        <w:pStyle w:val="Para1"/>
        <w:widowControl w:val="0"/>
        <w:numPr>
          <w:ilvl w:val="0"/>
          <w:numId w:val="0"/>
        </w:numPr>
        <w:spacing w:before="0" w:after="0" w:line="240" w:lineRule="auto"/>
        <w:ind w:left="284" w:hanging="284"/>
        <w:jc w:val="left"/>
        <w:rPr>
          <w:szCs w:val="22"/>
          <w:lang w:val="es-ES"/>
        </w:rPr>
      </w:pPr>
      <w:r w:rsidRPr="00F26B69">
        <w:rPr>
          <w:szCs w:val="22"/>
          <w:lang w:val="es-ES"/>
        </w:rPr>
        <w:t>Santa Lucía</w:t>
      </w:r>
    </w:p>
    <w:p w:rsidR="00F5375A" w:rsidRPr="00F26B69" w:rsidRDefault="00F5375A" w:rsidP="000C6220">
      <w:pPr>
        <w:pStyle w:val="Para1"/>
        <w:widowControl w:val="0"/>
        <w:numPr>
          <w:ilvl w:val="0"/>
          <w:numId w:val="0"/>
        </w:numPr>
        <w:spacing w:before="0" w:after="0" w:line="240" w:lineRule="auto"/>
        <w:ind w:left="284" w:hanging="284"/>
        <w:jc w:val="left"/>
        <w:rPr>
          <w:szCs w:val="22"/>
          <w:lang w:val="es-ES"/>
        </w:rPr>
      </w:pPr>
      <w:r w:rsidRPr="00F26B69">
        <w:rPr>
          <w:szCs w:val="22"/>
          <w:lang w:val="es-ES"/>
        </w:rPr>
        <w:t>Santa Sede</w:t>
      </w:r>
    </w:p>
    <w:p w:rsidR="00A44021" w:rsidRPr="000A36A5" w:rsidRDefault="00A44021" w:rsidP="000C6220">
      <w:pPr>
        <w:pStyle w:val="Para1"/>
        <w:widowControl w:val="0"/>
        <w:numPr>
          <w:ilvl w:val="0"/>
          <w:numId w:val="0"/>
        </w:numPr>
        <w:spacing w:before="0" w:after="0" w:line="240" w:lineRule="auto"/>
        <w:ind w:left="284" w:hanging="284"/>
        <w:jc w:val="left"/>
        <w:rPr>
          <w:szCs w:val="22"/>
          <w:lang w:val="es-ES"/>
        </w:rPr>
      </w:pPr>
      <w:r w:rsidRPr="000A36A5">
        <w:rPr>
          <w:szCs w:val="22"/>
          <w:lang w:val="es-ES"/>
        </w:rPr>
        <w:t>Serbia</w:t>
      </w:r>
    </w:p>
    <w:p w:rsidR="00A44021" w:rsidRPr="000A36A5" w:rsidRDefault="00A44021" w:rsidP="000C6220">
      <w:pPr>
        <w:pStyle w:val="Para1"/>
        <w:widowControl w:val="0"/>
        <w:numPr>
          <w:ilvl w:val="0"/>
          <w:numId w:val="0"/>
        </w:numPr>
        <w:spacing w:before="0" w:after="0" w:line="240" w:lineRule="auto"/>
        <w:ind w:left="284" w:hanging="284"/>
        <w:jc w:val="left"/>
        <w:rPr>
          <w:szCs w:val="22"/>
          <w:lang w:val="es-ES"/>
        </w:rPr>
      </w:pPr>
      <w:r w:rsidRPr="000A36A5">
        <w:rPr>
          <w:szCs w:val="22"/>
          <w:lang w:val="es-ES"/>
        </w:rPr>
        <w:t>Singap</w:t>
      </w:r>
      <w:r w:rsidR="00F26B69" w:rsidRPr="000A36A5">
        <w:rPr>
          <w:szCs w:val="22"/>
          <w:lang w:val="es-ES"/>
        </w:rPr>
        <w:t>ur</w:t>
      </w:r>
    </w:p>
    <w:p w:rsidR="00A44021" w:rsidRPr="000A36A5" w:rsidRDefault="00A44021" w:rsidP="000C6220">
      <w:pPr>
        <w:pStyle w:val="Para1"/>
        <w:widowControl w:val="0"/>
        <w:numPr>
          <w:ilvl w:val="0"/>
          <w:numId w:val="0"/>
        </w:numPr>
        <w:spacing w:before="0" w:after="0" w:line="240" w:lineRule="auto"/>
        <w:ind w:left="284" w:hanging="284"/>
        <w:jc w:val="left"/>
        <w:rPr>
          <w:szCs w:val="22"/>
          <w:lang w:val="es-ES"/>
        </w:rPr>
      </w:pPr>
      <w:r w:rsidRPr="000A36A5">
        <w:rPr>
          <w:szCs w:val="22"/>
          <w:lang w:val="es-ES"/>
        </w:rPr>
        <w:t>Somalia</w:t>
      </w:r>
    </w:p>
    <w:p w:rsidR="00F26B69" w:rsidRPr="00F26B69" w:rsidRDefault="00F26B69" w:rsidP="000C6220">
      <w:pPr>
        <w:pStyle w:val="Para1"/>
        <w:widowControl w:val="0"/>
        <w:numPr>
          <w:ilvl w:val="0"/>
          <w:numId w:val="0"/>
        </w:numPr>
        <w:spacing w:before="0" w:after="0" w:line="240" w:lineRule="auto"/>
        <w:ind w:left="284" w:hanging="284"/>
        <w:jc w:val="left"/>
        <w:rPr>
          <w:szCs w:val="22"/>
          <w:lang w:val="es-ES"/>
        </w:rPr>
      </w:pPr>
      <w:r w:rsidRPr="00F26B69">
        <w:rPr>
          <w:szCs w:val="22"/>
          <w:lang w:val="es-ES"/>
        </w:rPr>
        <w:t>Sri Lanka</w:t>
      </w:r>
    </w:p>
    <w:p w:rsidR="00A44021" w:rsidRPr="00F26B69" w:rsidRDefault="00A44021" w:rsidP="000C6220">
      <w:pPr>
        <w:pStyle w:val="Para1"/>
        <w:widowControl w:val="0"/>
        <w:numPr>
          <w:ilvl w:val="0"/>
          <w:numId w:val="0"/>
        </w:numPr>
        <w:spacing w:before="0" w:after="0" w:line="240" w:lineRule="auto"/>
        <w:ind w:left="284" w:hanging="284"/>
        <w:jc w:val="left"/>
        <w:rPr>
          <w:szCs w:val="22"/>
          <w:lang w:val="es-ES"/>
        </w:rPr>
      </w:pPr>
      <w:r w:rsidRPr="00F26B69">
        <w:rPr>
          <w:szCs w:val="22"/>
          <w:lang w:val="es-ES"/>
        </w:rPr>
        <w:t>S</w:t>
      </w:r>
      <w:r w:rsidR="00F26B69" w:rsidRPr="00F26B69">
        <w:rPr>
          <w:szCs w:val="22"/>
          <w:lang w:val="es-ES"/>
        </w:rPr>
        <w:t>udán del Sur</w:t>
      </w:r>
    </w:p>
    <w:p w:rsidR="00A44021" w:rsidRPr="00F26B69" w:rsidRDefault="00A44021" w:rsidP="000C6220">
      <w:pPr>
        <w:pStyle w:val="Para1"/>
        <w:widowControl w:val="0"/>
        <w:numPr>
          <w:ilvl w:val="0"/>
          <w:numId w:val="0"/>
        </w:numPr>
        <w:spacing w:before="0" w:after="0" w:line="240" w:lineRule="auto"/>
        <w:ind w:left="284" w:hanging="284"/>
        <w:jc w:val="left"/>
        <w:rPr>
          <w:szCs w:val="22"/>
          <w:lang w:val="es-ES"/>
        </w:rPr>
      </w:pPr>
      <w:r w:rsidRPr="00F26B69">
        <w:rPr>
          <w:szCs w:val="22"/>
          <w:lang w:val="es-ES"/>
        </w:rPr>
        <w:t>Suriname</w:t>
      </w:r>
    </w:p>
    <w:p w:rsidR="00A44021" w:rsidRPr="000A36A5" w:rsidRDefault="00A44021" w:rsidP="000C6220">
      <w:pPr>
        <w:pStyle w:val="Para1"/>
        <w:widowControl w:val="0"/>
        <w:numPr>
          <w:ilvl w:val="0"/>
          <w:numId w:val="0"/>
        </w:numPr>
        <w:spacing w:before="0" w:after="0" w:line="240" w:lineRule="auto"/>
        <w:ind w:left="284" w:hanging="284"/>
        <w:jc w:val="left"/>
        <w:rPr>
          <w:szCs w:val="22"/>
          <w:lang w:val="es-ES"/>
        </w:rPr>
      </w:pPr>
      <w:r w:rsidRPr="000A36A5">
        <w:rPr>
          <w:szCs w:val="22"/>
          <w:lang w:val="es-ES"/>
        </w:rPr>
        <w:t>Tailand</w:t>
      </w:r>
      <w:r w:rsidR="00F26B69" w:rsidRPr="000A36A5">
        <w:rPr>
          <w:szCs w:val="22"/>
          <w:lang w:val="es-ES"/>
        </w:rPr>
        <w:t>ia</w:t>
      </w:r>
    </w:p>
    <w:p w:rsidR="00A44021" w:rsidRPr="000A36A5" w:rsidRDefault="00A44021" w:rsidP="000C6220">
      <w:pPr>
        <w:pStyle w:val="Para1"/>
        <w:widowControl w:val="0"/>
        <w:numPr>
          <w:ilvl w:val="0"/>
          <w:numId w:val="0"/>
        </w:numPr>
        <w:spacing w:before="0" w:after="0" w:line="240" w:lineRule="auto"/>
        <w:ind w:left="284" w:hanging="284"/>
        <w:jc w:val="left"/>
        <w:rPr>
          <w:szCs w:val="22"/>
          <w:lang w:val="es-ES"/>
        </w:rPr>
      </w:pPr>
      <w:r w:rsidRPr="000A36A5">
        <w:rPr>
          <w:szCs w:val="22"/>
          <w:lang w:val="es-ES"/>
        </w:rPr>
        <w:t>Tonga</w:t>
      </w:r>
    </w:p>
    <w:p w:rsidR="00A44021" w:rsidRPr="000A36A5" w:rsidRDefault="00A44021" w:rsidP="000C6220">
      <w:pPr>
        <w:pStyle w:val="Para1"/>
        <w:widowControl w:val="0"/>
        <w:numPr>
          <w:ilvl w:val="0"/>
          <w:numId w:val="0"/>
        </w:numPr>
        <w:spacing w:before="0" w:after="0" w:line="240" w:lineRule="auto"/>
        <w:ind w:left="284" w:hanging="284"/>
        <w:jc w:val="left"/>
        <w:rPr>
          <w:szCs w:val="22"/>
          <w:lang w:val="es-ES"/>
        </w:rPr>
      </w:pPr>
      <w:r w:rsidRPr="000A36A5">
        <w:rPr>
          <w:szCs w:val="22"/>
          <w:lang w:val="es-ES"/>
        </w:rPr>
        <w:t xml:space="preserve">Trinidad </w:t>
      </w:r>
      <w:r w:rsidR="00F26B69" w:rsidRPr="000A36A5">
        <w:rPr>
          <w:szCs w:val="22"/>
          <w:lang w:val="es-ES"/>
        </w:rPr>
        <w:t>y</w:t>
      </w:r>
      <w:r w:rsidRPr="000A36A5">
        <w:rPr>
          <w:szCs w:val="22"/>
          <w:lang w:val="es-ES"/>
        </w:rPr>
        <w:t xml:space="preserve"> Tobago</w:t>
      </w:r>
    </w:p>
    <w:p w:rsidR="00A44021" w:rsidRPr="000A36A5" w:rsidRDefault="00A44021" w:rsidP="000C6220">
      <w:pPr>
        <w:pStyle w:val="Para1"/>
        <w:widowControl w:val="0"/>
        <w:numPr>
          <w:ilvl w:val="0"/>
          <w:numId w:val="0"/>
        </w:numPr>
        <w:spacing w:before="0" w:after="0" w:line="240" w:lineRule="auto"/>
        <w:ind w:left="284" w:hanging="284"/>
        <w:jc w:val="left"/>
        <w:rPr>
          <w:szCs w:val="22"/>
          <w:lang w:val="es-ES"/>
        </w:rPr>
      </w:pPr>
      <w:r w:rsidRPr="000A36A5">
        <w:rPr>
          <w:szCs w:val="22"/>
          <w:lang w:val="es-ES"/>
        </w:rPr>
        <w:t>T</w:t>
      </w:r>
      <w:r w:rsidR="00F26B69" w:rsidRPr="000A36A5">
        <w:rPr>
          <w:szCs w:val="22"/>
          <w:lang w:val="es-ES"/>
        </w:rPr>
        <w:t>únez</w:t>
      </w:r>
    </w:p>
    <w:p w:rsidR="00F26B69" w:rsidRPr="00F26B69" w:rsidRDefault="00F26B69" w:rsidP="000C6220">
      <w:pPr>
        <w:pStyle w:val="Para1"/>
        <w:widowControl w:val="0"/>
        <w:numPr>
          <w:ilvl w:val="0"/>
          <w:numId w:val="0"/>
        </w:numPr>
        <w:spacing w:before="0" w:after="0" w:line="240" w:lineRule="auto"/>
        <w:ind w:left="284" w:hanging="284"/>
        <w:jc w:val="left"/>
        <w:rPr>
          <w:szCs w:val="22"/>
          <w:lang w:val="es-ES"/>
        </w:rPr>
      </w:pPr>
      <w:r w:rsidRPr="00F26B69">
        <w:rPr>
          <w:szCs w:val="22"/>
          <w:lang w:val="es-ES"/>
        </w:rPr>
        <w:t>Turkmenistán</w:t>
      </w:r>
    </w:p>
    <w:p w:rsidR="00A44021" w:rsidRPr="00F26B69" w:rsidRDefault="00A44021" w:rsidP="000C6220">
      <w:pPr>
        <w:pStyle w:val="Para1"/>
        <w:widowControl w:val="0"/>
        <w:numPr>
          <w:ilvl w:val="0"/>
          <w:numId w:val="0"/>
        </w:numPr>
        <w:spacing w:before="0" w:after="0" w:line="240" w:lineRule="auto"/>
        <w:ind w:left="284" w:hanging="284"/>
        <w:jc w:val="left"/>
        <w:rPr>
          <w:szCs w:val="22"/>
          <w:lang w:val="es-ES"/>
        </w:rPr>
      </w:pPr>
      <w:r w:rsidRPr="00F26B69">
        <w:rPr>
          <w:szCs w:val="22"/>
          <w:lang w:val="es-ES"/>
        </w:rPr>
        <w:t>Tur</w:t>
      </w:r>
      <w:r w:rsidR="00F26B69" w:rsidRPr="00F26B69">
        <w:rPr>
          <w:szCs w:val="22"/>
          <w:lang w:val="es-ES"/>
        </w:rPr>
        <w:t>quía</w:t>
      </w:r>
    </w:p>
    <w:p w:rsidR="00A44021" w:rsidRPr="00F26B69" w:rsidRDefault="00A44021" w:rsidP="000C6220">
      <w:pPr>
        <w:pStyle w:val="Para1"/>
        <w:widowControl w:val="0"/>
        <w:numPr>
          <w:ilvl w:val="0"/>
          <w:numId w:val="0"/>
        </w:numPr>
        <w:spacing w:before="0" w:after="0" w:line="240" w:lineRule="auto"/>
        <w:ind w:left="284" w:hanging="284"/>
        <w:jc w:val="left"/>
        <w:rPr>
          <w:szCs w:val="22"/>
          <w:lang w:val="es-ES"/>
        </w:rPr>
      </w:pPr>
      <w:r w:rsidRPr="00F26B69">
        <w:rPr>
          <w:szCs w:val="22"/>
          <w:lang w:val="es-ES"/>
        </w:rPr>
        <w:t>Tuvalu</w:t>
      </w:r>
    </w:p>
    <w:p w:rsidR="00A44021" w:rsidRPr="00F26B69" w:rsidRDefault="00A44021" w:rsidP="000C6220">
      <w:pPr>
        <w:pStyle w:val="Para1"/>
        <w:widowControl w:val="0"/>
        <w:numPr>
          <w:ilvl w:val="0"/>
          <w:numId w:val="0"/>
        </w:numPr>
        <w:spacing w:before="0" w:after="0" w:line="240" w:lineRule="auto"/>
        <w:ind w:left="284" w:hanging="284"/>
        <w:jc w:val="left"/>
        <w:rPr>
          <w:szCs w:val="22"/>
          <w:lang w:val="es-ES"/>
        </w:rPr>
      </w:pPr>
      <w:r w:rsidRPr="00F26B69">
        <w:rPr>
          <w:szCs w:val="22"/>
          <w:lang w:val="es-ES"/>
        </w:rPr>
        <w:t>U</w:t>
      </w:r>
      <w:r w:rsidR="00F26B69" w:rsidRPr="00F26B69">
        <w:rPr>
          <w:szCs w:val="22"/>
          <w:lang w:val="es-ES"/>
        </w:rPr>
        <w:t>crania</w:t>
      </w:r>
    </w:p>
    <w:p w:rsidR="00A44021" w:rsidRPr="00F26B69" w:rsidRDefault="00A44021" w:rsidP="000C6220">
      <w:pPr>
        <w:pStyle w:val="Para1"/>
        <w:widowControl w:val="0"/>
        <w:numPr>
          <w:ilvl w:val="0"/>
          <w:numId w:val="0"/>
        </w:numPr>
        <w:spacing w:before="0" w:after="0" w:line="240" w:lineRule="auto"/>
        <w:ind w:left="284" w:hanging="284"/>
        <w:jc w:val="left"/>
        <w:rPr>
          <w:szCs w:val="22"/>
          <w:lang w:val="es-ES"/>
        </w:rPr>
      </w:pPr>
      <w:r w:rsidRPr="00F26B69">
        <w:rPr>
          <w:szCs w:val="22"/>
          <w:lang w:val="es-ES"/>
        </w:rPr>
        <w:t>Venezuela (</w:t>
      </w:r>
      <w:r w:rsidR="00F26B69" w:rsidRPr="00F26B69">
        <w:rPr>
          <w:szCs w:val="22"/>
          <w:lang w:val="es-ES"/>
        </w:rPr>
        <w:t xml:space="preserve">República </w:t>
      </w:r>
      <w:r w:rsidRPr="00F26B69">
        <w:rPr>
          <w:szCs w:val="22"/>
          <w:lang w:val="es-ES"/>
        </w:rPr>
        <w:t>Bolivarian</w:t>
      </w:r>
      <w:r w:rsidR="00F26B69" w:rsidRPr="00F26B69">
        <w:rPr>
          <w:szCs w:val="22"/>
          <w:lang w:val="es-ES"/>
        </w:rPr>
        <w:t>a de</w:t>
      </w:r>
      <w:r w:rsidRPr="00F26B69">
        <w:rPr>
          <w:szCs w:val="22"/>
          <w:lang w:val="es-ES"/>
        </w:rPr>
        <w:t>)</w:t>
      </w:r>
    </w:p>
    <w:p w:rsidR="001D4A8D" w:rsidRPr="00F26B69" w:rsidRDefault="00A44021" w:rsidP="000C6220">
      <w:pPr>
        <w:pStyle w:val="Para1"/>
        <w:widowControl w:val="0"/>
        <w:numPr>
          <w:ilvl w:val="0"/>
          <w:numId w:val="0"/>
        </w:numPr>
        <w:spacing w:before="0" w:after="0" w:line="240" w:lineRule="auto"/>
        <w:ind w:left="284" w:hanging="284"/>
        <w:jc w:val="left"/>
        <w:rPr>
          <w:szCs w:val="22"/>
          <w:lang w:val="es-ES"/>
        </w:rPr>
        <w:sectPr w:rsidR="001D4A8D" w:rsidRPr="00F26B69" w:rsidSect="000C6220">
          <w:type w:val="continuous"/>
          <w:pgSz w:w="12242" w:h="15842" w:code="1"/>
          <w:pgMar w:top="1138" w:right="1138" w:bottom="1022" w:left="1138" w:header="403" w:footer="720" w:gutter="0"/>
          <w:cols w:num="3" w:space="720"/>
          <w:titlePg/>
          <w:docGrid w:linePitch="299"/>
        </w:sectPr>
      </w:pPr>
      <w:r w:rsidRPr="00F26B69">
        <w:rPr>
          <w:szCs w:val="22"/>
          <w:lang w:val="es-ES"/>
        </w:rPr>
        <w:t>Yemen</w:t>
      </w:r>
    </w:p>
    <w:bookmarkEnd w:id="22"/>
    <w:p w:rsidR="008E2E46" w:rsidRPr="00A0251D" w:rsidRDefault="00A0251D" w:rsidP="000C6220">
      <w:pPr>
        <w:pStyle w:val="Para1"/>
        <w:tabs>
          <w:tab w:val="clear" w:pos="360"/>
          <w:tab w:val="clear" w:pos="567"/>
          <w:tab w:val="clear" w:pos="2912"/>
        </w:tabs>
        <w:spacing w:line="240" w:lineRule="auto"/>
        <w:rPr>
          <w:lang w:val="es-ES"/>
        </w:rPr>
      </w:pPr>
      <w:r w:rsidRPr="00DA6BEA">
        <w:rPr>
          <w:lang w:val="es-ES"/>
        </w:rPr>
        <w:lastRenderedPageBreak/>
        <w:t xml:space="preserve">Para los demás participantes, véase el anexo I del informe de la decimocuarta reunión de la Conferencia de las Partes </w:t>
      </w:r>
      <w:r w:rsidR="008E2E46" w:rsidRPr="00A0251D">
        <w:rPr>
          <w:lang w:val="es-ES"/>
        </w:rPr>
        <w:t>(CBD/COP/14/</w:t>
      </w:r>
      <w:r w:rsidR="003B2173" w:rsidRPr="00A0251D">
        <w:rPr>
          <w:lang w:val="es-ES"/>
        </w:rPr>
        <w:t>14</w:t>
      </w:r>
      <w:r w:rsidR="008E2E46" w:rsidRPr="00A0251D">
        <w:rPr>
          <w:lang w:val="es-ES"/>
        </w:rPr>
        <w:t>).</w:t>
      </w:r>
    </w:p>
    <w:p w:rsidR="00CF77B5" w:rsidRPr="00EE0850" w:rsidRDefault="002863A3" w:rsidP="000C6220">
      <w:pPr>
        <w:pStyle w:val="Heading1-item"/>
        <w:tabs>
          <w:tab w:val="left" w:pos="993"/>
        </w:tabs>
        <w:spacing w:before="120" w:line="240" w:lineRule="auto"/>
        <w:ind w:right="0"/>
        <w:rPr>
          <w:rFonts w:ascii="Times New Roman" w:hAnsi="Times New Roman" w:cs="Times New Roman"/>
          <w:i/>
        </w:rPr>
      </w:pPr>
      <w:bookmarkStart w:id="23" w:name="_Toc256218"/>
      <w:r w:rsidRPr="00EE0850">
        <w:rPr>
          <w:rFonts w:ascii="Times New Roman" w:hAnsi="Times New Roman" w:cs="Times New Roman" w:hint="eastAsia"/>
        </w:rPr>
        <w:t>TEM</w:t>
      </w:r>
      <w:r w:rsidR="00A0251D">
        <w:rPr>
          <w:rFonts w:ascii="Times New Roman" w:hAnsi="Times New Roman" w:cs="Times New Roman"/>
        </w:rPr>
        <w:t>a</w:t>
      </w:r>
      <w:r w:rsidRPr="00EE0850">
        <w:rPr>
          <w:rFonts w:ascii="Times New Roman" w:hAnsi="Times New Roman" w:cs="Times New Roman" w:hint="eastAsia"/>
        </w:rPr>
        <w:t xml:space="preserve"> 1.</w:t>
      </w:r>
      <w:r w:rsidR="009E384C" w:rsidRPr="00EE0850">
        <w:rPr>
          <w:rFonts w:ascii="Times New Roman" w:hAnsi="Times New Roman" w:cs="Times New Roman" w:hint="eastAsia"/>
        </w:rPr>
        <w:tab/>
      </w:r>
      <w:r w:rsidR="00A0251D">
        <w:rPr>
          <w:rFonts w:ascii="Times New Roman" w:hAnsi="Times New Roman" w:cs="Times New Roman"/>
        </w:rPr>
        <w:t>apertura de la reunión</w:t>
      </w:r>
      <w:bookmarkEnd w:id="23"/>
    </w:p>
    <w:p w:rsidR="0073733B" w:rsidRPr="00A0251D" w:rsidRDefault="00A0251D" w:rsidP="000C6220">
      <w:pPr>
        <w:pStyle w:val="Para1"/>
        <w:tabs>
          <w:tab w:val="clear" w:pos="360"/>
          <w:tab w:val="clear" w:pos="567"/>
          <w:tab w:val="clear" w:pos="2912"/>
        </w:tabs>
        <w:spacing w:line="240" w:lineRule="auto"/>
        <w:rPr>
          <w:lang w:val="es-ES"/>
        </w:rPr>
      </w:pPr>
      <w:r w:rsidRPr="008A2F27">
        <w:rPr>
          <w:lang w:val="es-ES"/>
        </w:rPr>
        <w:t xml:space="preserve">La tercera reunión de la Conferencia de las Partes que actúa como reunión de las Partes en el Protocolo de Nagoya fue inaugurada a las 11:00 a.m. del 17 de noviembre de 2018 por el Sr. </w:t>
      </w:r>
      <w:r w:rsidRPr="008A2F27">
        <w:rPr>
          <w:bCs/>
          <w:lang w:val="es-ES"/>
        </w:rPr>
        <w:t>José Octavio</w:t>
      </w:r>
      <w:r w:rsidRPr="008A2F27">
        <w:rPr>
          <w:lang w:val="es-ES"/>
        </w:rPr>
        <w:t> Tripp Villanueva, Embajador de México en Egipto,</w:t>
      </w:r>
      <w:r w:rsidRPr="008A2F27">
        <w:rPr>
          <w:bCs/>
          <w:i/>
          <w:lang w:val="es-ES"/>
        </w:rPr>
        <w:t xml:space="preserve"> </w:t>
      </w:r>
      <w:r w:rsidRPr="008A2F27">
        <w:rPr>
          <w:bCs/>
          <w:lang w:val="es-ES"/>
        </w:rPr>
        <w:t xml:space="preserve">en nombre del Sr. Rafael Pacchiano Alamán, </w:t>
      </w:r>
      <w:r>
        <w:rPr>
          <w:bCs/>
          <w:lang w:val="es-ES"/>
        </w:rPr>
        <w:t>Ministro de Medio Ambiente y Recursos Naturales de México y Presidente saliente de la Conferencia de las Partes</w:t>
      </w:r>
      <w:r w:rsidRPr="008A2F27">
        <w:rPr>
          <w:bCs/>
          <w:lang w:val="es-ES"/>
        </w:rPr>
        <w:t xml:space="preserve">, </w:t>
      </w:r>
      <w:r>
        <w:rPr>
          <w:bCs/>
          <w:lang w:val="es-ES"/>
        </w:rPr>
        <w:t xml:space="preserve">que también ejerció como Presidente de la segunda Conferencia de las Partes que actuaba como reunión de las Partes en el Protocolo de </w:t>
      </w:r>
      <w:r w:rsidRPr="008A2F27">
        <w:rPr>
          <w:lang w:val="es-ES"/>
        </w:rPr>
        <w:t>Nagoya</w:t>
      </w:r>
      <w:r w:rsidR="0073733B" w:rsidRPr="00A0251D">
        <w:rPr>
          <w:lang w:val="es-ES"/>
        </w:rPr>
        <w:t>.</w:t>
      </w:r>
    </w:p>
    <w:p w:rsidR="0073733B" w:rsidRPr="00A0251D" w:rsidRDefault="00A0251D" w:rsidP="000C6220">
      <w:pPr>
        <w:pStyle w:val="Para1"/>
        <w:tabs>
          <w:tab w:val="clear" w:pos="360"/>
          <w:tab w:val="clear" w:pos="567"/>
          <w:tab w:val="clear" w:pos="2912"/>
        </w:tabs>
        <w:spacing w:line="240" w:lineRule="auto"/>
        <w:rPr>
          <w:szCs w:val="22"/>
          <w:lang w:val="es-ES"/>
        </w:rPr>
      </w:pPr>
      <w:r w:rsidRPr="00410D57">
        <w:rPr>
          <w:lang w:val="es-ES"/>
        </w:rPr>
        <w:t>Pronunciaron declaraciones de apertura la Sra. Yasmine Fouad, Ministra de Medio Ambiente de Egipto y Presidenta de la Conferencia de las Partes en su decimocuarta reunión, que también actúa como Presidenta de la tercera reuni</w:t>
      </w:r>
      <w:r>
        <w:rPr>
          <w:lang w:val="es-ES"/>
        </w:rPr>
        <w:t>ón de la</w:t>
      </w:r>
      <w:r w:rsidRPr="00410D57">
        <w:rPr>
          <w:lang w:val="es-ES"/>
        </w:rPr>
        <w:t xml:space="preserve"> Conferenc</w:t>
      </w:r>
      <w:r>
        <w:rPr>
          <w:lang w:val="es-ES"/>
        </w:rPr>
        <w:t xml:space="preserve">ia de las Partes que actúa como reunión de las Partes en el Protocolo de </w:t>
      </w:r>
      <w:r w:rsidRPr="00410D57">
        <w:rPr>
          <w:lang w:val="es-ES"/>
        </w:rPr>
        <w:t xml:space="preserve">Nagoya; </w:t>
      </w:r>
      <w:r>
        <w:rPr>
          <w:lang w:val="es-ES"/>
        </w:rPr>
        <w:t>la Sra</w:t>
      </w:r>
      <w:r w:rsidRPr="00410D57">
        <w:rPr>
          <w:lang w:val="es-ES"/>
        </w:rPr>
        <w:t>. </w:t>
      </w:r>
      <w:r w:rsidRPr="00410D57">
        <w:rPr>
          <w:noProof/>
          <w:lang w:val="es-ES"/>
        </w:rPr>
        <w:t>Cristiana Paşca Palmer</w:t>
      </w:r>
      <w:r w:rsidRPr="00410D57">
        <w:rPr>
          <w:lang w:val="es-ES"/>
        </w:rPr>
        <w:t xml:space="preserve">, </w:t>
      </w:r>
      <w:r>
        <w:rPr>
          <w:lang w:val="es-ES"/>
        </w:rPr>
        <w:t>Secretaria Ejecutiva del Convenio sobre la Diversidad Biológica</w:t>
      </w:r>
      <w:r w:rsidRPr="00410D57">
        <w:rPr>
          <w:lang w:val="es-ES"/>
        </w:rPr>
        <w:t xml:space="preserve">; </w:t>
      </w:r>
      <w:r>
        <w:rPr>
          <w:lang w:val="es-ES"/>
        </w:rPr>
        <w:t>la Sra</w:t>
      </w:r>
      <w:r w:rsidRPr="00410D57">
        <w:rPr>
          <w:lang w:val="es-ES"/>
        </w:rPr>
        <w:t>. Mar</w:t>
      </w:r>
      <w:r>
        <w:rPr>
          <w:lang w:val="es-ES"/>
        </w:rPr>
        <w:t>í</w:t>
      </w:r>
      <w:r w:rsidRPr="00410D57">
        <w:rPr>
          <w:lang w:val="es-ES"/>
        </w:rPr>
        <w:t>a Fernanda Espinosa, President</w:t>
      </w:r>
      <w:r>
        <w:rPr>
          <w:lang w:val="es-ES"/>
        </w:rPr>
        <w:t>a de la Asamblea General de las Naciones Unidas</w:t>
      </w:r>
      <w:r w:rsidRPr="00410D57">
        <w:rPr>
          <w:lang w:val="es-ES"/>
        </w:rPr>
        <w:t xml:space="preserve">, </w:t>
      </w:r>
      <w:r>
        <w:rPr>
          <w:lang w:val="es-ES"/>
        </w:rPr>
        <w:t>por videoconferencia</w:t>
      </w:r>
      <w:r w:rsidRPr="00410D57">
        <w:rPr>
          <w:lang w:val="es-ES"/>
        </w:rPr>
        <w:t xml:space="preserve">; </w:t>
      </w:r>
      <w:r>
        <w:rPr>
          <w:lang w:val="es-ES"/>
        </w:rPr>
        <w:t>y el Sr</w:t>
      </w:r>
      <w:r w:rsidRPr="00410D57">
        <w:rPr>
          <w:lang w:val="es-ES"/>
        </w:rPr>
        <w:t>. Abdel Fattah El Sisi, President</w:t>
      </w:r>
      <w:r>
        <w:rPr>
          <w:lang w:val="es-ES"/>
        </w:rPr>
        <w:t>e de Egipto</w:t>
      </w:r>
      <w:r w:rsidR="0073733B" w:rsidRPr="00A0251D">
        <w:rPr>
          <w:szCs w:val="22"/>
          <w:lang w:val="es-ES"/>
        </w:rPr>
        <w:t>.</w:t>
      </w:r>
    </w:p>
    <w:p w:rsidR="0073733B" w:rsidRPr="00A0251D" w:rsidRDefault="00A0251D" w:rsidP="000C6220">
      <w:pPr>
        <w:pStyle w:val="Para1"/>
        <w:tabs>
          <w:tab w:val="clear" w:pos="360"/>
          <w:tab w:val="clear" w:pos="567"/>
          <w:tab w:val="clear" w:pos="2912"/>
        </w:tabs>
        <w:spacing w:line="240" w:lineRule="auto"/>
        <w:rPr>
          <w:szCs w:val="22"/>
          <w:lang w:val="es-ES"/>
        </w:rPr>
      </w:pPr>
      <w:bookmarkStart w:id="24" w:name="_Hlk530320314"/>
      <w:r w:rsidRPr="00DA4AEF">
        <w:rPr>
          <w:lang w:val="es-ES"/>
        </w:rPr>
        <w:t>En su declaración, la Presidenta hizo referencia a los resultados de</w:t>
      </w:r>
      <w:r>
        <w:rPr>
          <w:lang w:val="es-ES"/>
        </w:rPr>
        <w:t xml:space="preserve"> la serie de sesiones de alto nivel</w:t>
      </w:r>
      <w:r w:rsidRPr="00DA4AEF">
        <w:rPr>
          <w:lang w:val="es-ES"/>
        </w:rPr>
        <w:t>, inclu</w:t>
      </w:r>
      <w:r>
        <w:rPr>
          <w:lang w:val="es-ES"/>
        </w:rPr>
        <w:t xml:space="preserve">ida la Declaración de </w:t>
      </w:r>
      <w:r w:rsidRPr="00DA4AEF">
        <w:rPr>
          <w:lang w:val="es-ES"/>
        </w:rPr>
        <w:t>Sharm El-Sheikh: Inve</w:t>
      </w:r>
      <w:r>
        <w:rPr>
          <w:lang w:val="es-ES"/>
        </w:rPr>
        <w:t>rtir en la Diversidad Biológica para la gente y el planeta</w:t>
      </w:r>
      <w:r w:rsidRPr="00DA4AEF">
        <w:rPr>
          <w:lang w:val="es-ES"/>
        </w:rPr>
        <w:t xml:space="preserve">. </w:t>
      </w:r>
      <w:r w:rsidRPr="00A0251D">
        <w:rPr>
          <w:lang w:val="es-ES"/>
        </w:rPr>
        <w:t xml:space="preserve">La Declaración de Sharm El-Sheikh se </w:t>
      </w:r>
      <w:r>
        <w:rPr>
          <w:lang w:val="es-ES"/>
        </w:rPr>
        <w:t xml:space="preserve">emitió </w:t>
      </w:r>
      <w:r w:rsidRPr="00A0251D">
        <w:rPr>
          <w:lang w:val="es-ES"/>
        </w:rPr>
        <w:t xml:space="preserve">como CBD/COP/14/12 y el informe de la serie de sesiones de alto nivel como </w:t>
      </w:r>
      <w:r w:rsidR="0073733B" w:rsidRPr="00A0251D">
        <w:rPr>
          <w:szCs w:val="22"/>
          <w:lang w:val="es-ES"/>
        </w:rPr>
        <w:t>CBD/COP/14/12/Add.1.</w:t>
      </w:r>
    </w:p>
    <w:bookmarkEnd w:id="24"/>
    <w:p w:rsidR="0073733B" w:rsidRPr="00A0251D" w:rsidRDefault="00A0251D" w:rsidP="000C6220">
      <w:pPr>
        <w:pStyle w:val="Para1"/>
        <w:tabs>
          <w:tab w:val="clear" w:pos="360"/>
          <w:tab w:val="clear" w:pos="567"/>
          <w:tab w:val="clear" w:pos="2912"/>
        </w:tabs>
        <w:spacing w:line="240" w:lineRule="auto"/>
        <w:rPr>
          <w:szCs w:val="22"/>
          <w:lang w:val="es-ES"/>
        </w:rPr>
      </w:pPr>
      <w:r w:rsidRPr="00622F3F">
        <w:rPr>
          <w:noProof/>
          <w:lang w:val="es-ES"/>
        </w:rPr>
        <w:t xml:space="preserve">Se proyectaron dos presentaciones en vídeo. La primera fue preparada por el Gobierno de México sobre la integración de la diversidad biológica y la segunda por el Gobierno de Egipto sobre </w:t>
      </w:r>
      <w:r>
        <w:rPr>
          <w:noProof/>
          <w:lang w:val="es-ES"/>
        </w:rPr>
        <w:t xml:space="preserve">la diversidad biológica y </w:t>
      </w:r>
      <w:r>
        <w:rPr>
          <w:noProof/>
          <w:lang w:val="es-ES"/>
        </w:rPr>
        <w:lastRenderedPageBreak/>
        <w:t>su conexión vital con la supervivencia de la humanidad</w:t>
      </w:r>
      <w:r w:rsidRPr="00622F3F">
        <w:rPr>
          <w:noProof/>
          <w:lang w:val="es-ES"/>
        </w:rPr>
        <w:t xml:space="preserve">. </w:t>
      </w:r>
      <w:bookmarkStart w:id="25" w:name="_Hlk530395780"/>
      <w:r w:rsidRPr="00622F3F">
        <w:rPr>
          <w:noProof/>
          <w:lang w:val="es-ES"/>
        </w:rPr>
        <w:t>También hubo una actuación de unos escolares sobre la importancia de la biodiversidad</w:t>
      </w:r>
      <w:bookmarkEnd w:id="25"/>
      <w:r w:rsidR="0073733B" w:rsidRPr="00A0251D">
        <w:rPr>
          <w:szCs w:val="22"/>
          <w:lang w:val="es-ES"/>
        </w:rPr>
        <w:t>.</w:t>
      </w:r>
    </w:p>
    <w:p w:rsidR="0073733B" w:rsidRPr="00A0251D" w:rsidRDefault="00A0251D" w:rsidP="000C6220">
      <w:pPr>
        <w:pStyle w:val="Para1"/>
        <w:tabs>
          <w:tab w:val="clear" w:pos="360"/>
          <w:tab w:val="clear" w:pos="567"/>
          <w:tab w:val="clear" w:pos="2912"/>
        </w:tabs>
        <w:spacing w:line="240" w:lineRule="auto"/>
        <w:rPr>
          <w:szCs w:val="22"/>
          <w:lang w:val="es-ES"/>
        </w:rPr>
      </w:pPr>
      <w:r w:rsidRPr="00622F3F">
        <w:rPr>
          <w:lang w:val="es-ES"/>
        </w:rPr>
        <w:t xml:space="preserve">En la segunda sesión plenaria de la reunión, el 17 de noviembre de 2018, </w:t>
      </w:r>
      <w:r>
        <w:rPr>
          <w:lang w:val="es-ES"/>
        </w:rPr>
        <w:t xml:space="preserve">formularon declaraciones la Sra. </w:t>
      </w:r>
      <w:r w:rsidRPr="00622F3F">
        <w:rPr>
          <w:lang w:val="es-ES"/>
        </w:rPr>
        <w:t xml:space="preserve">Amina Mohammed, </w:t>
      </w:r>
      <w:r>
        <w:rPr>
          <w:lang w:val="es-ES"/>
        </w:rPr>
        <w:t>Vicesecretaria General de las Naciones Unidas</w:t>
      </w:r>
      <w:r w:rsidRPr="00622F3F">
        <w:rPr>
          <w:lang w:val="es-ES"/>
        </w:rPr>
        <w:t xml:space="preserve">, </w:t>
      </w:r>
      <w:r>
        <w:rPr>
          <w:lang w:val="es-ES"/>
        </w:rPr>
        <w:t>por videoconferencia</w:t>
      </w:r>
      <w:r w:rsidRPr="00622F3F">
        <w:rPr>
          <w:lang w:val="es-ES"/>
        </w:rPr>
        <w:t xml:space="preserve">, </w:t>
      </w:r>
      <w:r>
        <w:rPr>
          <w:lang w:val="es-ES"/>
        </w:rPr>
        <w:t>y la Sra</w:t>
      </w:r>
      <w:r w:rsidRPr="00622F3F">
        <w:rPr>
          <w:rFonts w:eastAsiaTheme="minorEastAsia"/>
          <w:bCs/>
          <w:szCs w:val="24"/>
          <w:lang w:val="es-ES"/>
        </w:rPr>
        <w:t xml:space="preserve">. Corli Pretorius, </w:t>
      </w:r>
      <w:r>
        <w:rPr>
          <w:rFonts w:eastAsiaTheme="minorEastAsia"/>
          <w:bCs/>
          <w:szCs w:val="24"/>
          <w:lang w:val="es-ES"/>
        </w:rPr>
        <w:t>Directora Adjunta del Centro Mundial de Vigilancia de la Conservación del Programa de las Naciones Unidas para el Medio Ambiente (PNUMA</w:t>
      </w:r>
      <w:r w:rsidR="0073733B" w:rsidRPr="00A0251D">
        <w:rPr>
          <w:rFonts w:eastAsiaTheme="minorEastAsia"/>
          <w:bCs/>
          <w:szCs w:val="22"/>
          <w:lang w:val="es-ES"/>
        </w:rPr>
        <w:t>.</w:t>
      </w:r>
    </w:p>
    <w:p w:rsidR="0073733B" w:rsidRPr="00A0251D" w:rsidRDefault="00A0251D" w:rsidP="000C6220">
      <w:pPr>
        <w:pStyle w:val="Para1"/>
        <w:tabs>
          <w:tab w:val="clear" w:pos="360"/>
          <w:tab w:val="clear" w:pos="567"/>
          <w:tab w:val="clear" w:pos="2912"/>
        </w:tabs>
        <w:spacing w:line="240" w:lineRule="auto"/>
        <w:rPr>
          <w:szCs w:val="22"/>
          <w:lang w:val="es-ES"/>
        </w:rPr>
      </w:pPr>
      <w:r w:rsidRPr="00A121A1">
        <w:rPr>
          <w:lang w:val="es-ES"/>
        </w:rPr>
        <w:t xml:space="preserve">Los representantes vieron dos películas: una de la National Geographic Society y la otra del </w:t>
      </w:r>
      <w:r>
        <w:rPr>
          <w:lang w:val="es-ES"/>
        </w:rPr>
        <w:t xml:space="preserve">Fondo Mundial para la Naturaleza </w:t>
      </w:r>
      <w:r w:rsidRPr="00A121A1">
        <w:rPr>
          <w:lang w:val="es-ES"/>
        </w:rPr>
        <w:t>(WWF</w:t>
      </w:r>
      <w:r>
        <w:rPr>
          <w:lang w:val="es-ES"/>
        </w:rPr>
        <w:t>, por sus siglas en inglés</w:t>
      </w:r>
      <w:r w:rsidRPr="00A121A1">
        <w:rPr>
          <w:lang w:val="es-ES"/>
        </w:rPr>
        <w:t>), as</w:t>
      </w:r>
      <w:r>
        <w:rPr>
          <w:lang w:val="es-ES"/>
        </w:rPr>
        <w:t>í como un mensaje en vídeo del S</w:t>
      </w:r>
      <w:r w:rsidRPr="00A121A1">
        <w:rPr>
          <w:lang w:val="es-ES"/>
        </w:rPr>
        <w:t>r. Paul McCartney</w:t>
      </w:r>
      <w:r w:rsidR="0073733B" w:rsidRPr="00A0251D">
        <w:rPr>
          <w:szCs w:val="22"/>
          <w:lang w:val="es-ES"/>
        </w:rPr>
        <w:t>.</w:t>
      </w:r>
    </w:p>
    <w:p w:rsidR="0073733B" w:rsidRPr="00D91169" w:rsidRDefault="00D91169" w:rsidP="000C6220">
      <w:pPr>
        <w:pStyle w:val="Para1"/>
        <w:tabs>
          <w:tab w:val="clear" w:pos="360"/>
          <w:tab w:val="clear" w:pos="567"/>
          <w:tab w:val="clear" w:pos="2912"/>
        </w:tabs>
        <w:spacing w:line="240" w:lineRule="auto"/>
        <w:rPr>
          <w:szCs w:val="22"/>
          <w:lang w:val="es-ES"/>
        </w:rPr>
      </w:pPr>
      <w:r w:rsidRPr="00272522">
        <w:rPr>
          <w:lang w:val="es-ES"/>
        </w:rPr>
        <w:t>Formularon declaraciones generales los representantes de Argentina (en nombre del Grupo de América Latina y el Caribe), Canadá (en nombre de</w:t>
      </w:r>
      <w:r>
        <w:rPr>
          <w:lang w:val="es-ES"/>
        </w:rPr>
        <w:t>l</w:t>
      </w:r>
      <w:r w:rsidRPr="00272522">
        <w:rPr>
          <w:lang w:val="es-ES"/>
        </w:rPr>
        <w:t xml:space="preserve"> </w:t>
      </w:r>
      <w:r>
        <w:rPr>
          <w:lang w:val="es-ES"/>
        </w:rPr>
        <w:t>G</w:t>
      </w:r>
      <w:r w:rsidRPr="00272522">
        <w:rPr>
          <w:lang w:val="es-ES"/>
        </w:rPr>
        <w:t xml:space="preserve">rupo de </w:t>
      </w:r>
      <w:r>
        <w:rPr>
          <w:lang w:val="es-ES"/>
        </w:rPr>
        <w:t>P</w:t>
      </w:r>
      <w:r w:rsidRPr="00272522">
        <w:rPr>
          <w:lang w:val="es-ES"/>
        </w:rPr>
        <w:t xml:space="preserve">aíses </w:t>
      </w:r>
      <w:r>
        <w:rPr>
          <w:lang w:val="es-ES"/>
        </w:rPr>
        <w:t>N</w:t>
      </w:r>
      <w:r w:rsidRPr="00272522">
        <w:rPr>
          <w:lang w:val="es-ES"/>
        </w:rPr>
        <w:t xml:space="preserve">o </w:t>
      </w:r>
      <w:r>
        <w:rPr>
          <w:lang w:val="es-ES"/>
        </w:rPr>
        <w:t>A</w:t>
      </w:r>
      <w:r w:rsidRPr="00272522">
        <w:rPr>
          <w:lang w:val="es-ES"/>
        </w:rPr>
        <w:t xml:space="preserve">lineados), </w:t>
      </w:r>
      <w:r>
        <w:rPr>
          <w:lang w:val="es-ES"/>
        </w:rPr>
        <w:t xml:space="preserve">la </w:t>
      </w:r>
      <w:r w:rsidRPr="00272522">
        <w:rPr>
          <w:lang w:val="es-ES"/>
        </w:rPr>
        <w:t>Uni</w:t>
      </w:r>
      <w:r>
        <w:rPr>
          <w:lang w:val="es-ES"/>
        </w:rPr>
        <w:t xml:space="preserve">ón Europea y sus </w:t>
      </w:r>
      <w:r w:rsidRPr="00272522">
        <w:rPr>
          <w:lang w:val="es-ES"/>
        </w:rPr>
        <w:t xml:space="preserve">28 </w:t>
      </w:r>
      <w:r>
        <w:rPr>
          <w:lang w:val="es-ES"/>
        </w:rPr>
        <w:t>Estados miembros</w:t>
      </w:r>
      <w:r w:rsidRPr="00272522">
        <w:rPr>
          <w:lang w:val="es-ES"/>
        </w:rPr>
        <w:t>, Belar</w:t>
      </w:r>
      <w:r>
        <w:rPr>
          <w:lang w:val="es-ES"/>
        </w:rPr>
        <w:t>ú</w:t>
      </w:r>
      <w:r w:rsidRPr="00272522">
        <w:rPr>
          <w:lang w:val="es-ES"/>
        </w:rPr>
        <w:t>s (</w:t>
      </w:r>
      <w:r>
        <w:rPr>
          <w:lang w:val="es-ES"/>
        </w:rPr>
        <w:t>en nombre de los países de Europa Central y Oriental</w:t>
      </w:r>
      <w:r w:rsidRPr="00272522">
        <w:rPr>
          <w:lang w:val="es-ES"/>
        </w:rPr>
        <w:t>), Rwanda (</w:t>
      </w:r>
      <w:r>
        <w:rPr>
          <w:lang w:val="es-ES"/>
        </w:rPr>
        <w:t>en nombre del Grupo de Estados de África</w:t>
      </w:r>
      <w:r w:rsidRPr="00272522">
        <w:rPr>
          <w:lang w:val="es-ES"/>
        </w:rPr>
        <w:t xml:space="preserve">) </w:t>
      </w:r>
      <w:r>
        <w:rPr>
          <w:lang w:val="es-ES"/>
        </w:rPr>
        <w:t xml:space="preserve">y </w:t>
      </w:r>
      <w:r w:rsidRPr="00272522">
        <w:rPr>
          <w:lang w:val="es-ES"/>
        </w:rPr>
        <w:t>Malasia (</w:t>
      </w:r>
      <w:r>
        <w:rPr>
          <w:lang w:val="es-ES"/>
        </w:rPr>
        <w:t>en nombre del Grupo de Países Megadiversos Afines</w:t>
      </w:r>
      <w:r w:rsidR="0073733B" w:rsidRPr="00D91169">
        <w:rPr>
          <w:szCs w:val="22"/>
          <w:lang w:val="es-ES"/>
        </w:rPr>
        <w:t>).</w:t>
      </w:r>
    </w:p>
    <w:p w:rsidR="0073733B" w:rsidRPr="00D91169" w:rsidRDefault="00D91169" w:rsidP="000C6220">
      <w:pPr>
        <w:pStyle w:val="Para1"/>
        <w:tabs>
          <w:tab w:val="clear" w:pos="360"/>
          <w:tab w:val="clear" w:pos="567"/>
          <w:tab w:val="clear" w:pos="2912"/>
        </w:tabs>
        <w:spacing w:line="240" w:lineRule="auto"/>
        <w:rPr>
          <w:szCs w:val="22"/>
          <w:lang w:val="es-ES"/>
        </w:rPr>
      </w:pPr>
      <w:r w:rsidRPr="00C8005E">
        <w:rPr>
          <w:lang w:val="es-ES"/>
        </w:rPr>
        <w:t xml:space="preserve">También formularon declaraciones los representantes de la Red de Mujeres Indígenas sobre Biodiversidad (RMIB), el </w:t>
      </w:r>
      <w:r>
        <w:rPr>
          <w:lang w:val="es-ES"/>
        </w:rPr>
        <w:t xml:space="preserve">Foro Internacional Indígena sobre Biodiversidad </w:t>
      </w:r>
      <w:r w:rsidRPr="00C8005E">
        <w:rPr>
          <w:lang w:val="es-ES"/>
        </w:rPr>
        <w:t>(</w:t>
      </w:r>
      <w:r>
        <w:rPr>
          <w:lang w:val="es-ES"/>
        </w:rPr>
        <w:t>FIIB</w:t>
      </w:r>
      <w:r w:rsidRPr="00C8005E">
        <w:rPr>
          <w:lang w:val="es-ES"/>
        </w:rPr>
        <w:t xml:space="preserve">), </w:t>
      </w:r>
      <w:r>
        <w:rPr>
          <w:lang w:val="es-ES"/>
        </w:rPr>
        <w:t xml:space="preserve">la Alianza del </w:t>
      </w:r>
      <w:r w:rsidRPr="00C8005E">
        <w:rPr>
          <w:lang w:val="es-ES"/>
        </w:rPr>
        <w:t>C</w:t>
      </w:r>
      <w:r>
        <w:rPr>
          <w:lang w:val="es-ES"/>
        </w:rPr>
        <w:t>D</w:t>
      </w:r>
      <w:r w:rsidRPr="00C8005E">
        <w:rPr>
          <w:lang w:val="es-ES"/>
        </w:rPr>
        <w:t xml:space="preserve">B </w:t>
      </w:r>
      <w:r>
        <w:rPr>
          <w:lang w:val="es-ES"/>
        </w:rPr>
        <w:t xml:space="preserve">y la Red Global de Jóvenes por la Biodiversidad </w:t>
      </w:r>
      <w:r w:rsidRPr="00C8005E">
        <w:rPr>
          <w:lang w:val="es-ES"/>
        </w:rPr>
        <w:t>(GYBN</w:t>
      </w:r>
      <w:r>
        <w:rPr>
          <w:lang w:val="es-ES"/>
        </w:rPr>
        <w:t>, por sus siglas en inglés</w:t>
      </w:r>
      <w:r w:rsidRPr="00C8005E">
        <w:rPr>
          <w:lang w:val="es-ES"/>
        </w:rPr>
        <w:t xml:space="preserve">) </w:t>
      </w:r>
      <w:r>
        <w:rPr>
          <w:lang w:val="es-ES"/>
        </w:rPr>
        <w:t xml:space="preserve">y la Plataforma Intergubernamental Científico-Normativa sobre Diversidad Biológica y Servicios de los Ecosistemas </w:t>
      </w:r>
      <w:r w:rsidRPr="00C8005E">
        <w:rPr>
          <w:lang w:val="es-ES"/>
        </w:rPr>
        <w:t>(IPBES</w:t>
      </w:r>
      <w:r w:rsidR="0073733B" w:rsidRPr="00D91169">
        <w:rPr>
          <w:szCs w:val="22"/>
          <w:lang w:val="es-ES"/>
        </w:rPr>
        <w:t>).</w:t>
      </w:r>
    </w:p>
    <w:p w:rsidR="0073733B" w:rsidRPr="00D91169" w:rsidRDefault="00D91169" w:rsidP="000C6220">
      <w:pPr>
        <w:pStyle w:val="Para1"/>
        <w:tabs>
          <w:tab w:val="clear" w:pos="360"/>
          <w:tab w:val="clear" w:pos="567"/>
          <w:tab w:val="clear" w:pos="2912"/>
        </w:tabs>
        <w:spacing w:line="240" w:lineRule="auto"/>
        <w:rPr>
          <w:szCs w:val="22"/>
          <w:lang w:val="es-ES"/>
        </w:rPr>
      </w:pPr>
      <w:r w:rsidRPr="00820A06">
        <w:rPr>
          <w:lang w:val="es-ES"/>
        </w:rPr>
        <w:t xml:space="preserve">Las declaraciones de apertura se resumen en el anexo II del informe </w:t>
      </w:r>
      <w:r>
        <w:rPr>
          <w:lang w:val="es-ES"/>
        </w:rPr>
        <w:t xml:space="preserve">de la Conferencia de las Partes en su </w:t>
      </w:r>
      <w:r w:rsidRPr="00820A06">
        <w:rPr>
          <w:lang w:val="es-ES"/>
        </w:rPr>
        <w:t>decimocuarta reuni</w:t>
      </w:r>
      <w:r>
        <w:rPr>
          <w:lang w:val="es-ES"/>
        </w:rPr>
        <w:t>ón</w:t>
      </w:r>
      <w:r w:rsidR="0073733B" w:rsidRPr="00D91169">
        <w:rPr>
          <w:szCs w:val="22"/>
          <w:lang w:val="es-ES"/>
        </w:rPr>
        <w:t>.</w:t>
      </w:r>
    </w:p>
    <w:p w:rsidR="008F1539" w:rsidRPr="00D91169" w:rsidRDefault="002863A3" w:rsidP="000C6220">
      <w:pPr>
        <w:pStyle w:val="Heading1-item"/>
        <w:tabs>
          <w:tab w:val="left" w:pos="993"/>
        </w:tabs>
        <w:spacing w:before="120" w:line="240" w:lineRule="auto"/>
        <w:ind w:right="0"/>
        <w:rPr>
          <w:rFonts w:ascii="Times New Roman" w:hAnsi="Times New Roman" w:cs="Times New Roman"/>
          <w:i/>
          <w:lang w:val="es-ES"/>
        </w:rPr>
      </w:pPr>
      <w:bookmarkStart w:id="26" w:name="_Toc256219"/>
      <w:r w:rsidRPr="00D91169">
        <w:rPr>
          <w:rFonts w:ascii="Times New Roman" w:hAnsi="Times New Roman" w:cs="Times New Roman" w:hint="eastAsia"/>
          <w:lang w:val="es-ES"/>
        </w:rPr>
        <w:t>TEM</w:t>
      </w:r>
      <w:r w:rsidR="00D91169" w:rsidRPr="00D91169">
        <w:rPr>
          <w:rFonts w:ascii="Times New Roman" w:hAnsi="Times New Roman" w:cs="Times New Roman"/>
          <w:lang w:val="es-ES"/>
        </w:rPr>
        <w:t>a</w:t>
      </w:r>
      <w:r w:rsidRPr="00D91169">
        <w:rPr>
          <w:rFonts w:ascii="Times New Roman" w:hAnsi="Times New Roman" w:cs="Times New Roman" w:hint="eastAsia"/>
          <w:lang w:val="es-ES"/>
        </w:rPr>
        <w:t xml:space="preserve"> 2.</w:t>
      </w:r>
      <w:bookmarkStart w:id="27" w:name="SEVEN"/>
      <w:bookmarkEnd w:id="27"/>
      <w:r w:rsidR="009E384C" w:rsidRPr="00D91169">
        <w:rPr>
          <w:rFonts w:ascii="Times New Roman" w:hAnsi="Times New Roman" w:cs="Times New Roman" w:hint="eastAsia"/>
          <w:lang w:val="es-ES"/>
        </w:rPr>
        <w:tab/>
      </w:r>
      <w:r w:rsidR="00D91169" w:rsidRPr="00D91169">
        <w:rPr>
          <w:rFonts w:ascii="Times New Roman" w:hAnsi="Times New Roman" w:cs="Times New Roman"/>
          <w:lang w:val="es-ES"/>
        </w:rPr>
        <w:t>CUESTIONES DE ORGANIZACIÓN</w:t>
      </w:r>
      <w:bookmarkEnd w:id="26"/>
    </w:p>
    <w:p w:rsidR="004A5FFB" w:rsidRPr="00D91169" w:rsidRDefault="004A5FFB" w:rsidP="000C6220">
      <w:pPr>
        <w:pStyle w:val="Ttulo2"/>
        <w:suppressLineNumbers/>
        <w:tabs>
          <w:tab w:val="left" w:pos="426"/>
        </w:tabs>
        <w:suppressAutoHyphens/>
        <w:spacing w:before="120" w:line="240" w:lineRule="auto"/>
        <w:rPr>
          <w:lang w:val="es-ES"/>
        </w:rPr>
      </w:pPr>
      <w:r w:rsidRPr="00D91169">
        <w:rPr>
          <w:lang w:val="es-ES"/>
        </w:rPr>
        <w:t>2.1</w:t>
      </w:r>
      <w:r w:rsidR="008C1500" w:rsidRPr="00D91169">
        <w:rPr>
          <w:lang w:val="es-ES"/>
        </w:rPr>
        <w:t>.</w:t>
      </w:r>
      <w:r w:rsidR="005A7D54" w:rsidRPr="00D91169">
        <w:rPr>
          <w:lang w:val="es-ES"/>
        </w:rPr>
        <w:tab/>
      </w:r>
      <w:r w:rsidRPr="00D91169">
        <w:rPr>
          <w:lang w:val="es-ES"/>
        </w:rPr>
        <w:t>Elec</w:t>
      </w:r>
      <w:r w:rsidR="00D91169" w:rsidRPr="00D91169">
        <w:rPr>
          <w:lang w:val="es-ES"/>
        </w:rPr>
        <w:t xml:space="preserve">ción </w:t>
      </w:r>
      <w:r w:rsidR="00D91169" w:rsidRPr="003729C7">
        <w:rPr>
          <w:lang w:val="es-ES"/>
        </w:rPr>
        <w:t xml:space="preserve">del Presidente y </w:t>
      </w:r>
      <w:r w:rsidR="00D91169">
        <w:rPr>
          <w:lang w:val="es-ES"/>
        </w:rPr>
        <w:t>miembros sustitutos de la Mesa</w:t>
      </w:r>
    </w:p>
    <w:p w:rsidR="007357FD" w:rsidRPr="00EE0850" w:rsidRDefault="007357FD" w:rsidP="000C6220">
      <w:pPr>
        <w:pStyle w:val="Ttulo3"/>
        <w:spacing w:line="240" w:lineRule="auto"/>
      </w:pPr>
      <w:r w:rsidRPr="00EE0850">
        <w:t>Elec</w:t>
      </w:r>
      <w:r w:rsidR="00D91169">
        <w:t xml:space="preserve">ción del </w:t>
      </w:r>
      <w:r w:rsidRPr="00EE0850">
        <w:t>President</w:t>
      </w:r>
      <w:r w:rsidR="00D91169">
        <w:t>e</w:t>
      </w:r>
    </w:p>
    <w:p w:rsidR="00EE7CB9" w:rsidRPr="00D91169" w:rsidRDefault="00D91169" w:rsidP="000C6220">
      <w:pPr>
        <w:pStyle w:val="Para1"/>
        <w:tabs>
          <w:tab w:val="clear" w:pos="360"/>
          <w:tab w:val="clear" w:pos="567"/>
          <w:tab w:val="clear" w:pos="2912"/>
        </w:tabs>
        <w:spacing w:line="240" w:lineRule="auto"/>
        <w:rPr>
          <w:lang w:val="es-ES"/>
        </w:rPr>
      </w:pPr>
      <w:r>
        <w:rPr>
          <w:lang w:val="es-ES"/>
        </w:rPr>
        <w:t xml:space="preserve">De conformidad con </w:t>
      </w:r>
      <w:r w:rsidRPr="008813A7">
        <w:rPr>
          <w:lang w:val="es-ES"/>
        </w:rPr>
        <w:t xml:space="preserve">lo dispuesto en el </w:t>
      </w:r>
      <w:r>
        <w:rPr>
          <w:lang w:val="es-ES"/>
        </w:rPr>
        <w:t xml:space="preserve">artículo 26, </w:t>
      </w:r>
      <w:r w:rsidRPr="008813A7">
        <w:rPr>
          <w:lang w:val="es-ES"/>
        </w:rPr>
        <w:t>párrafo 3 del Protocolo de Nagoya, la Mesa de la Conferencia de las Partes tambi</w:t>
      </w:r>
      <w:r>
        <w:rPr>
          <w:lang w:val="es-ES"/>
        </w:rPr>
        <w:t xml:space="preserve">én actúa como la Mesa de la Conferencia de las Partes que actúa como reunión de las Partes en el Protocolo de </w:t>
      </w:r>
      <w:r w:rsidRPr="008813A7">
        <w:rPr>
          <w:lang w:val="es-ES"/>
        </w:rPr>
        <w:t xml:space="preserve">Nagoya. </w:t>
      </w:r>
      <w:r w:rsidRPr="001F2124">
        <w:rPr>
          <w:lang w:val="es-ES"/>
        </w:rPr>
        <w:t xml:space="preserve">Por consiguiente, la Sra. Fouad, que </w:t>
      </w:r>
      <w:r>
        <w:rPr>
          <w:lang w:val="es-ES"/>
        </w:rPr>
        <w:t>había sido</w:t>
      </w:r>
      <w:r w:rsidRPr="001F2124">
        <w:rPr>
          <w:lang w:val="es-ES"/>
        </w:rPr>
        <w:t xml:space="preserve"> elegida como Presidenta de la decimocuarta reunión de la Conferencia de las Partes, tambi</w:t>
      </w:r>
      <w:r>
        <w:rPr>
          <w:lang w:val="es-ES"/>
        </w:rPr>
        <w:t xml:space="preserve">én actuó como Presidenta de la tercera reunión de la Conferencia de las Partes que actúa como reunión de las </w:t>
      </w:r>
      <w:r w:rsidRPr="001F2124">
        <w:rPr>
          <w:lang w:val="es-ES"/>
        </w:rPr>
        <w:t xml:space="preserve">Partes </w:t>
      </w:r>
      <w:r>
        <w:rPr>
          <w:lang w:val="es-ES"/>
        </w:rPr>
        <w:t>en el Protocolo de</w:t>
      </w:r>
      <w:r w:rsidRPr="001F2124">
        <w:rPr>
          <w:lang w:val="es-ES"/>
        </w:rPr>
        <w:t xml:space="preserve"> Nagoya</w:t>
      </w:r>
      <w:r w:rsidR="00EE7CB9" w:rsidRPr="00D91169">
        <w:rPr>
          <w:lang w:val="es-ES"/>
        </w:rPr>
        <w:t>.</w:t>
      </w:r>
    </w:p>
    <w:p w:rsidR="007357FD" w:rsidRPr="00EE0850" w:rsidRDefault="007357FD" w:rsidP="000C6220">
      <w:pPr>
        <w:keepNext/>
        <w:suppressLineNumbers/>
        <w:suppressAutoHyphens/>
        <w:kinsoku w:val="0"/>
        <w:overflowPunct w:val="0"/>
        <w:autoSpaceDE w:val="0"/>
        <w:autoSpaceDN w:val="0"/>
        <w:spacing w:before="120" w:line="240" w:lineRule="auto"/>
        <w:outlineLvl w:val="2"/>
        <w:rPr>
          <w:rFonts w:eastAsia="Times New Roman"/>
          <w:i/>
          <w:iCs/>
          <w:snapToGrid w:val="0"/>
          <w:kern w:val="22"/>
          <w:szCs w:val="22"/>
          <w:lang w:eastAsia="en-CA"/>
        </w:rPr>
      </w:pPr>
      <w:r w:rsidRPr="00EE0850">
        <w:rPr>
          <w:rFonts w:eastAsia="Times New Roman"/>
          <w:i/>
          <w:iCs/>
          <w:snapToGrid w:val="0"/>
          <w:kern w:val="22"/>
          <w:szCs w:val="22"/>
          <w:lang w:eastAsia="en-CA"/>
        </w:rPr>
        <w:t>Elec</w:t>
      </w:r>
      <w:r w:rsidR="00D91169">
        <w:rPr>
          <w:rFonts w:eastAsia="Times New Roman"/>
          <w:i/>
          <w:iCs/>
          <w:snapToGrid w:val="0"/>
          <w:kern w:val="22"/>
          <w:szCs w:val="22"/>
          <w:lang w:eastAsia="en-CA"/>
        </w:rPr>
        <w:t>ción de los miembros sustitutos</w:t>
      </w:r>
      <w:r w:rsidR="00D91169" w:rsidRPr="00EE0850">
        <w:rPr>
          <w:rFonts w:eastAsia="Times New Roman"/>
          <w:i/>
          <w:iCs/>
          <w:snapToGrid w:val="0"/>
          <w:kern w:val="22"/>
          <w:szCs w:val="22"/>
          <w:lang w:eastAsia="en-CA"/>
        </w:rPr>
        <w:t xml:space="preserve"> </w:t>
      </w:r>
    </w:p>
    <w:p w:rsidR="00B54FAC" w:rsidRPr="00D91169" w:rsidRDefault="00D91169" w:rsidP="000C6220">
      <w:pPr>
        <w:pStyle w:val="Para1"/>
        <w:tabs>
          <w:tab w:val="clear" w:pos="360"/>
          <w:tab w:val="clear" w:pos="567"/>
          <w:tab w:val="clear" w:pos="2912"/>
        </w:tabs>
        <w:spacing w:line="240" w:lineRule="auto"/>
        <w:rPr>
          <w:lang w:val="es-ES"/>
        </w:rPr>
      </w:pPr>
      <w:r w:rsidRPr="00D91169">
        <w:rPr>
          <w:lang w:val="es-ES"/>
        </w:rPr>
        <w:t>El artículo</w:t>
      </w:r>
      <w:r w:rsidR="00EE7CB9" w:rsidRPr="00D91169">
        <w:rPr>
          <w:lang w:val="es-ES"/>
        </w:rPr>
        <w:t xml:space="preserve"> 2</w:t>
      </w:r>
      <w:r w:rsidR="002B37B7" w:rsidRPr="00D91169">
        <w:rPr>
          <w:lang w:val="es-ES"/>
        </w:rPr>
        <w:t>6</w:t>
      </w:r>
      <w:r w:rsidR="005F62DD" w:rsidRPr="00D91169">
        <w:rPr>
          <w:lang w:val="es-ES"/>
        </w:rPr>
        <w:t>,</w:t>
      </w:r>
      <w:r w:rsidR="005F62DD" w:rsidRPr="00D91169">
        <w:rPr>
          <w:iCs/>
          <w:lang w:val="es-ES"/>
        </w:rPr>
        <w:t xml:space="preserve"> p</w:t>
      </w:r>
      <w:r w:rsidRPr="00D91169">
        <w:rPr>
          <w:iCs/>
          <w:lang w:val="es-ES"/>
        </w:rPr>
        <w:t>árrafo</w:t>
      </w:r>
      <w:r w:rsidR="005F62DD" w:rsidRPr="00D91169">
        <w:rPr>
          <w:lang w:val="es-ES"/>
        </w:rPr>
        <w:t xml:space="preserve"> 3</w:t>
      </w:r>
      <w:r w:rsidRPr="00D91169">
        <w:rPr>
          <w:lang w:val="es-ES"/>
        </w:rPr>
        <w:t xml:space="preserve"> del </w:t>
      </w:r>
      <w:r w:rsidRPr="001F2124">
        <w:rPr>
          <w:iCs/>
          <w:lang w:val="es-ES"/>
        </w:rPr>
        <w:t xml:space="preserve">Protocolo de </w:t>
      </w:r>
      <w:r w:rsidRPr="001F2124">
        <w:rPr>
          <w:lang w:val="es-ES"/>
        </w:rPr>
        <w:t>Nagoya estipula que cualquier miembro de la Mesa de la Conferencia de las Partes que represent</w:t>
      </w:r>
      <w:r>
        <w:rPr>
          <w:lang w:val="es-ES"/>
        </w:rPr>
        <w:t>e</w:t>
      </w:r>
      <w:r w:rsidRPr="001F2124">
        <w:rPr>
          <w:lang w:val="es-ES"/>
        </w:rPr>
        <w:t xml:space="preserve"> a u</w:t>
      </w:r>
      <w:r>
        <w:rPr>
          <w:lang w:val="es-ES"/>
        </w:rPr>
        <w:t xml:space="preserve">na Parte en el Convenio que no sea </w:t>
      </w:r>
      <w:r w:rsidRPr="001F2124">
        <w:rPr>
          <w:lang w:val="es-ES"/>
        </w:rPr>
        <w:t xml:space="preserve">una Parte en el Protocolo, debe ser </w:t>
      </w:r>
      <w:r w:rsidRPr="001B5065">
        <w:rPr>
          <w:rFonts w:eastAsia="MS Mincho"/>
          <w:kern w:val="22"/>
          <w:szCs w:val="22"/>
          <w:lang w:val="es-ES"/>
        </w:rPr>
        <w:t>reemplazado por miembros que serán elegidos por las Partes en el Protocolo de Nagoya y de entre las mismas</w:t>
      </w:r>
      <w:r w:rsidRPr="001F2124">
        <w:rPr>
          <w:lang w:val="es-ES"/>
        </w:rPr>
        <w:t xml:space="preserve">. </w:t>
      </w:r>
      <w:r w:rsidRPr="001B5065">
        <w:rPr>
          <w:rFonts w:eastAsia="MS Mincho"/>
          <w:kern w:val="22"/>
          <w:szCs w:val="22"/>
          <w:lang w:val="es-ES"/>
        </w:rPr>
        <w:t xml:space="preserve">En su 13ª reunión, la Conferencia de las Partes eligió a 10 miembros de la Mesa que </w:t>
      </w:r>
      <w:r>
        <w:rPr>
          <w:rFonts w:eastAsia="MS Mincho"/>
          <w:kern w:val="22"/>
          <w:szCs w:val="22"/>
          <w:lang w:val="es-ES"/>
        </w:rPr>
        <w:t xml:space="preserve">ejercerán </w:t>
      </w:r>
      <w:r w:rsidRPr="001B5065">
        <w:rPr>
          <w:rFonts w:eastAsia="MS Mincho"/>
          <w:kern w:val="22"/>
          <w:szCs w:val="22"/>
          <w:lang w:val="es-ES"/>
        </w:rPr>
        <w:t xml:space="preserve">sus funciones </w:t>
      </w:r>
      <w:r>
        <w:rPr>
          <w:rFonts w:eastAsia="MS Mincho"/>
          <w:kern w:val="22"/>
          <w:szCs w:val="22"/>
          <w:lang w:val="es-ES"/>
        </w:rPr>
        <w:t xml:space="preserve">hasta la clausura de </w:t>
      </w:r>
      <w:r w:rsidRPr="001B5065">
        <w:rPr>
          <w:rFonts w:eastAsia="MS Mincho"/>
          <w:kern w:val="22"/>
          <w:szCs w:val="22"/>
          <w:lang w:val="es-ES"/>
        </w:rPr>
        <w:t xml:space="preserve">la </w:t>
      </w:r>
      <w:r>
        <w:rPr>
          <w:rFonts w:eastAsia="MS Mincho"/>
          <w:kern w:val="22"/>
          <w:szCs w:val="22"/>
          <w:lang w:val="es-ES"/>
        </w:rPr>
        <w:t xml:space="preserve">decimocuarta </w:t>
      </w:r>
      <w:r w:rsidRPr="001B5065">
        <w:rPr>
          <w:rFonts w:eastAsia="MS Mincho"/>
          <w:kern w:val="22"/>
          <w:szCs w:val="22"/>
          <w:lang w:val="es-ES"/>
        </w:rPr>
        <w:t>reunión</w:t>
      </w:r>
      <w:r w:rsidRPr="001A0DAD">
        <w:rPr>
          <w:lang w:val="es-ES"/>
        </w:rPr>
        <w:t xml:space="preserve">. Posteriormente, </w:t>
      </w:r>
      <w:r>
        <w:rPr>
          <w:lang w:val="es-ES"/>
        </w:rPr>
        <w:t xml:space="preserve">en </w:t>
      </w:r>
      <w:r w:rsidRPr="001B5065">
        <w:rPr>
          <w:rFonts w:eastAsia="MS Mincho"/>
          <w:kern w:val="22"/>
          <w:szCs w:val="22"/>
          <w:lang w:val="es-ES"/>
        </w:rPr>
        <w:t>la segunda reunión de la</w:t>
      </w:r>
      <w:r>
        <w:rPr>
          <w:rFonts w:eastAsia="MS Mincho"/>
          <w:kern w:val="22"/>
          <w:szCs w:val="22"/>
          <w:lang w:val="es-ES"/>
        </w:rPr>
        <w:t xml:space="preserve"> Conferencia de las </w:t>
      </w:r>
      <w:r w:rsidRPr="001B5065">
        <w:rPr>
          <w:rFonts w:eastAsia="MS Mincho"/>
          <w:kern w:val="22"/>
          <w:szCs w:val="22"/>
          <w:lang w:val="es-ES"/>
        </w:rPr>
        <w:t xml:space="preserve">Partes </w:t>
      </w:r>
      <w:r>
        <w:rPr>
          <w:rFonts w:eastAsia="MS Mincho"/>
          <w:kern w:val="22"/>
          <w:szCs w:val="22"/>
          <w:lang w:val="es-ES"/>
        </w:rPr>
        <w:t xml:space="preserve">que actúa como reunión de las Partes </w:t>
      </w:r>
      <w:r w:rsidRPr="001B5065">
        <w:rPr>
          <w:rFonts w:eastAsia="MS Mincho"/>
          <w:kern w:val="22"/>
          <w:szCs w:val="22"/>
          <w:lang w:val="es-ES"/>
        </w:rPr>
        <w:t xml:space="preserve">en el Protocolo de Nagoya eligió a </w:t>
      </w:r>
      <w:r>
        <w:rPr>
          <w:rFonts w:eastAsia="MS Mincho"/>
          <w:kern w:val="22"/>
          <w:szCs w:val="22"/>
          <w:lang w:val="es-ES"/>
        </w:rPr>
        <w:t xml:space="preserve">cinco </w:t>
      </w:r>
      <w:r w:rsidRPr="001B5065">
        <w:rPr>
          <w:rFonts w:eastAsia="MS Mincho"/>
          <w:kern w:val="22"/>
          <w:szCs w:val="22"/>
          <w:lang w:val="es-ES"/>
        </w:rPr>
        <w:t xml:space="preserve">miembros sustitutos de la Mesa para aquellas regiones en las que el miembro de la Mesa </w:t>
      </w:r>
      <w:r>
        <w:rPr>
          <w:rFonts w:eastAsia="MS Mincho"/>
          <w:kern w:val="22"/>
          <w:szCs w:val="22"/>
          <w:lang w:val="es-ES"/>
        </w:rPr>
        <w:t xml:space="preserve">de la Conferencia de las Partes </w:t>
      </w:r>
      <w:r w:rsidRPr="001B5065">
        <w:rPr>
          <w:rFonts w:eastAsia="MS Mincho"/>
          <w:kern w:val="22"/>
          <w:szCs w:val="22"/>
          <w:lang w:val="es-ES"/>
        </w:rPr>
        <w:t>representaba a una Parte en el Convenio que no era Parte en el Protocolo de Nagoya</w:t>
      </w:r>
      <w:r w:rsidRPr="001A0DAD">
        <w:rPr>
          <w:lang w:val="es-ES"/>
        </w:rPr>
        <w:t>. Desde entonces, sin embargo, uno de esos países hab</w:t>
      </w:r>
      <w:r>
        <w:rPr>
          <w:lang w:val="es-ES"/>
        </w:rPr>
        <w:t>ía ratificado el Protocolo de</w:t>
      </w:r>
      <w:r w:rsidRPr="001A0DAD">
        <w:rPr>
          <w:lang w:val="es-ES"/>
        </w:rPr>
        <w:t xml:space="preserve"> Nagoya. </w:t>
      </w:r>
      <w:r w:rsidRPr="00D91169">
        <w:rPr>
          <w:lang w:val="es-ES"/>
        </w:rPr>
        <w:t>Asimismo, tres representantes fueron reemplazados por la Parte o región en cuestión</w:t>
      </w:r>
      <w:r w:rsidR="00C628FC" w:rsidRPr="00D91169">
        <w:rPr>
          <w:lang w:val="es-ES"/>
        </w:rPr>
        <w:t>.</w:t>
      </w:r>
    </w:p>
    <w:p w:rsidR="00EE7CB9" w:rsidRPr="00D91169" w:rsidRDefault="00D91169" w:rsidP="000C6220">
      <w:pPr>
        <w:pStyle w:val="Para1"/>
        <w:tabs>
          <w:tab w:val="clear" w:pos="360"/>
          <w:tab w:val="clear" w:pos="567"/>
          <w:tab w:val="clear" w:pos="2912"/>
        </w:tabs>
        <w:spacing w:line="240" w:lineRule="auto"/>
        <w:rPr>
          <w:lang w:val="es-ES"/>
        </w:rPr>
      </w:pPr>
      <w:r w:rsidRPr="00D91169">
        <w:rPr>
          <w:lang w:val="es-ES"/>
        </w:rPr>
        <w:t xml:space="preserve">Por </w:t>
      </w:r>
      <w:r w:rsidRPr="0014544A">
        <w:rPr>
          <w:rFonts w:eastAsia="MS Mincho"/>
          <w:kern w:val="22"/>
          <w:szCs w:val="22"/>
          <w:lang w:val="es-ES"/>
        </w:rPr>
        <w:t xml:space="preserve">consiguiente, </w:t>
      </w:r>
      <w:r>
        <w:rPr>
          <w:rFonts w:eastAsia="MS Mincho"/>
          <w:kern w:val="22"/>
          <w:szCs w:val="22"/>
          <w:lang w:val="es-ES"/>
        </w:rPr>
        <w:t xml:space="preserve">los siguientes representantes actuaron como </w:t>
      </w:r>
      <w:r w:rsidR="008F1F97">
        <w:rPr>
          <w:rFonts w:eastAsia="MS Mincho"/>
          <w:kern w:val="22"/>
          <w:szCs w:val="22"/>
          <w:lang w:val="es-ES"/>
        </w:rPr>
        <w:t xml:space="preserve">miembros suplentes de </w:t>
      </w:r>
      <w:r>
        <w:rPr>
          <w:rFonts w:eastAsia="MS Mincho"/>
          <w:kern w:val="22"/>
          <w:szCs w:val="22"/>
          <w:lang w:val="es-ES"/>
        </w:rPr>
        <w:t>la Mesa</w:t>
      </w:r>
      <w:r w:rsidR="00EE7CB9" w:rsidRPr="00D91169">
        <w:rPr>
          <w:lang w:val="es-ES"/>
        </w:rPr>
        <w:t>:</w:t>
      </w:r>
      <w:r w:rsidR="001C53F5" w:rsidRPr="00D91169">
        <w:rPr>
          <w:szCs w:val="24"/>
          <w:lang w:val="es-ES"/>
        </w:rPr>
        <w:t xml:space="preserve"> </w:t>
      </w:r>
      <w:r w:rsidR="008F1F97">
        <w:rPr>
          <w:szCs w:val="24"/>
          <w:lang w:val="es-ES"/>
        </w:rPr>
        <w:t>la Sra</w:t>
      </w:r>
      <w:r w:rsidR="001C53F5" w:rsidRPr="00D91169">
        <w:rPr>
          <w:szCs w:val="24"/>
          <w:lang w:val="es-ES"/>
        </w:rPr>
        <w:t xml:space="preserve">. </w:t>
      </w:r>
      <w:r w:rsidR="001C53F5" w:rsidRPr="00D91169">
        <w:rPr>
          <w:noProof/>
          <w:szCs w:val="24"/>
          <w:lang w:val="es-ES"/>
        </w:rPr>
        <w:t>Marina</w:t>
      </w:r>
      <w:r w:rsidR="001C53F5" w:rsidRPr="00D91169">
        <w:rPr>
          <w:szCs w:val="24"/>
          <w:lang w:val="es-ES"/>
        </w:rPr>
        <w:t xml:space="preserve"> </w:t>
      </w:r>
      <w:r w:rsidR="001C53F5" w:rsidRPr="00D91169">
        <w:rPr>
          <w:noProof/>
          <w:szCs w:val="24"/>
          <w:lang w:val="es-ES"/>
        </w:rPr>
        <w:t>Hern</w:t>
      </w:r>
      <w:r w:rsidR="008F1F97">
        <w:rPr>
          <w:noProof/>
          <w:szCs w:val="24"/>
          <w:lang w:val="es-ES"/>
        </w:rPr>
        <w:t>á</w:t>
      </w:r>
      <w:r w:rsidR="001C53F5" w:rsidRPr="00D91169">
        <w:rPr>
          <w:noProof/>
          <w:szCs w:val="24"/>
          <w:lang w:val="es-ES"/>
        </w:rPr>
        <w:t>ndez</w:t>
      </w:r>
      <w:r w:rsidR="001C53F5" w:rsidRPr="00D91169">
        <w:rPr>
          <w:szCs w:val="24"/>
          <w:lang w:val="es-ES"/>
        </w:rPr>
        <w:t xml:space="preserve"> (</w:t>
      </w:r>
      <w:r w:rsidR="008F1F97">
        <w:rPr>
          <w:szCs w:val="24"/>
          <w:lang w:val="es-ES"/>
        </w:rPr>
        <w:t xml:space="preserve">República </w:t>
      </w:r>
      <w:r w:rsidR="001C53F5" w:rsidRPr="00D91169">
        <w:rPr>
          <w:szCs w:val="24"/>
          <w:lang w:val="es-ES"/>
        </w:rPr>
        <w:t>Dominican</w:t>
      </w:r>
      <w:r w:rsidR="008F1F97">
        <w:rPr>
          <w:szCs w:val="24"/>
          <w:lang w:val="es-ES"/>
        </w:rPr>
        <w:t>a</w:t>
      </w:r>
      <w:r w:rsidR="001C53F5" w:rsidRPr="00D91169">
        <w:rPr>
          <w:szCs w:val="24"/>
          <w:lang w:val="es-ES"/>
        </w:rPr>
        <w:t>)</w:t>
      </w:r>
      <w:r w:rsidR="007236A0" w:rsidRPr="00D91169">
        <w:rPr>
          <w:szCs w:val="24"/>
          <w:lang w:val="es-ES"/>
        </w:rPr>
        <w:t>,</w:t>
      </w:r>
      <w:r w:rsidR="001C53F5" w:rsidRPr="00D91169">
        <w:rPr>
          <w:szCs w:val="24"/>
          <w:lang w:val="es-ES"/>
        </w:rPr>
        <w:t xml:space="preserve"> </w:t>
      </w:r>
      <w:r w:rsidR="008F1F97">
        <w:rPr>
          <w:szCs w:val="24"/>
          <w:lang w:val="es-ES"/>
        </w:rPr>
        <w:t>suplente del Sr.</w:t>
      </w:r>
      <w:r w:rsidR="004B7F1E" w:rsidRPr="00D91169">
        <w:rPr>
          <w:szCs w:val="24"/>
          <w:lang w:val="es-ES"/>
        </w:rPr>
        <w:t xml:space="preserve"> </w:t>
      </w:r>
      <w:r w:rsidR="004B7F1E" w:rsidRPr="00D91169">
        <w:rPr>
          <w:noProof/>
          <w:szCs w:val="24"/>
          <w:lang w:val="es-ES"/>
        </w:rPr>
        <w:t>Randolf</w:t>
      </w:r>
      <w:r w:rsidR="004B7F1E" w:rsidRPr="00D91169">
        <w:rPr>
          <w:szCs w:val="24"/>
          <w:lang w:val="es-ES"/>
        </w:rPr>
        <w:t xml:space="preserve"> </w:t>
      </w:r>
      <w:r w:rsidR="004B7F1E" w:rsidRPr="00D91169">
        <w:rPr>
          <w:noProof/>
          <w:szCs w:val="24"/>
          <w:lang w:val="es-ES"/>
        </w:rPr>
        <w:t>Edmead</w:t>
      </w:r>
      <w:r w:rsidR="004B7F1E" w:rsidRPr="00D91169">
        <w:rPr>
          <w:szCs w:val="24"/>
          <w:lang w:val="es-ES"/>
        </w:rPr>
        <w:t xml:space="preserve"> </w:t>
      </w:r>
      <w:r w:rsidR="003401BF" w:rsidRPr="00D91169">
        <w:rPr>
          <w:szCs w:val="24"/>
          <w:lang w:val="es-ES"/>
        </w:rPr>
        <w:t>(</w:t>
      </w:r>
      <w:r w:rsidR="004B7F1E" w:rsidRPr="00D91169">
        <w:rPr>
          <w:szCs w:val="24"/>
          <w:lang w:val="es-ES"/>
        </w:rPr>
        <w:t xml:space="preserve">Saint Kitts </w:t>
      </w:r>
      <w:r w:rsidR="008F1F97">
        <w:rPr>
          <w:szCs w:val="24"/>
          <w:lang w:val="es-ES"/>
        </w:rPr>
        <w:t>y</w:t>
      </w:r>
      <w:r w:rsidR="004B7F1E" w:rsidRPr="00D91169">
        <w:rPr>
          <w:szCs w:val="24"/>
          <w:lang w:val="es-ES"/>
        </w:rPr>
        <w:t xml:space="preserve"> Nevis</w:t>
      </w:r>
      <w:r w:rsidR="003401BF" w:rsidRPr="00D91169">
        <w:rPr>
          <w:szCs w:val="24"/>
          <w:lang w:val="es-ES"/>
        </w:rPr>
        <w:t>)</w:t>
      </w:r>
      <w:r w:rsidR="004B7F1E" w:rsidRPr="00D91169">
        <w:rPr>
          <w:szCs w:val="24"/>
          <w:lang w:val="es-ES"/>
        </w:rPr>
        <w:t xml:space="preserve">; </w:t>
      </w:r>
      <w:r w:rsidR="008F1F97">
        <w:rPr>
          <w:szCs w:val="24"/>
          <w:lang w:val="es-ES"/>
        </w:rPr>
        <w:t>el S</w:t>
      </w:r>
      <w:r w:rsidR="001C53F5" w:rsidRPr="00D91169">
        <w:rPr>
          <w:lang w:val="es-ES"/>
        </w:rPr>
        <w:t xml:space="preserve">r. </w:t>
      </w:r>
      <w:r w:rsidR="001C53F5" w:rsidRPr="00D91169">
        <w:rPr>
          <w:noProof/>
          <w:lang w:val="es-ES"/>
        </w:rPr>
        <w:t>Luciano</w:t>
      </w:r>
      <w:r w:rsidR="001C53F5" w:rsidRPr="00D91169">
        <w:rPr>
          <w:lang w:val="es-ES"/>
        </w:rPr>
        <w:t xml:space="preserve"> </w:t>
      </w:r>
      <w:r w:rsidR="001C53F5" w:rsidRPr="00D91169">
        <w:rPr>
          <w:noProof/>
          <w:lang w:val="es-ES"/>
        </w:rPr>
        <w:t>Mart</w:t>
      </w:r>
      <w:r w:rsidR="008F1F97">
        <w:rPr>
          <w:noProof/>
          <w:lang w:val="es-ES"/>
        </w:rPr>
        <w:t>í</w:t>
      </w:r>
      <w:r w:rsidR="001C53F5" w:rsidRPr="00D91169">
        <w:rPr>
          <w:noProof/>
          <w:lang w:val="es-ES"/>
        </w:rPr>
        <w:t>n</w:t>
      </w:r>
      <w:r w:rsidR="001C53F5" w:rsidRPr="00D91169">
        <w:rPr>
          <w:lang w:val="es-ES"/>
        </w:rPr>
        <w:t xml:space="preserve"> </w:t>
      </w:r>
      <w:r w:rsidR="001C53F5" w:rsidRPr="00D91169">
        <w:rPr>
          <w:noProof/>
          <w:lang w:val="es-ES"/>
        </w:rPr>
        <w:t>Donadio</w:t>
      </w:r>
      <w:r w:rsidR="008F1F97">
        <w:rPr>
          <w:lang w:val="es-ES"/>
        </w:rPr>
        <w:t xml:space="preserve"> Linares (Argentina), suplente de la Sra</w:t>
      </w:r>
      <w:r w:rsidR="001C53F5" w:rsidRPr="00D91169">
        <w:rPr>
          <w:lang w:val="es-ES"/>
        </w:rPr>
        <w:t xml:space="preserve">. </w:t>
      </w:r>
      <w:r w:rsidR="001C53F5" w:rsidRPr="00D91169">
        <w:rPr>
          <w:noProof/>
          <w:lang w:val="es-ES"/>
        </w:rPr>
        <w:t>Clarissa</w:t>
      </w:r>
      <w:r w:rsidR="001C53F5" w:rsidRPr="00D91169">
        <w:rPr>
          <w:lang w:val="es-ES"/>
        </w:rPr>
        <w:t xml:space="preserve"> </w:t>
      </w:r>
      <w:r w:rsidR="001C53F5" w:rsidRPr="00D91169">
        <w:rPr>
          <w:noProof/>
          <w:lang w:val="es-ES"/>
        </w:rPr>
        <w:t>Nina</w:t>
      </w:r>
      <w:r w:rsidR="001C53F5" w:rsidRPr="00D91169">
        <w:rPr>
          <w:lang w:val="es-ES"/>
        </w:rPr>
        <w:t xml:space="preserve"> </w:t>
      </w:r>
      <w:r w:rsidR="003401BF" w:rsidRPr="00D91169">
        <w:rPr>
          <w:lang w:val="es-ES"/>
        </w:rPr>
        <w:t>(</w:t>
      </w:r>
      <w:r w:rsidR="001C53F5" w:rsidRPr="00D91169">
        <w:rPr>
          <w:lang w:val="es-ES"/>
        </w:rPr>
        <w:t>Bra</w:t>
      </w:r>
      <w:r w:rsidR="008F1F97">
        <w:rPr>
          <w:lang w:val="es-ES"/>
        </w:rPr>
        <w:t>s</w:t>
      </w:r>
      <w:r w:rsidR="001C53F5" w:rsidRPr="00D91169">
        <w:rPr>
          <w:lang w:val="es-ES"/>
        </w:rPr>
        <w:t>il</w:t>
      </w:r>
      <w:r w:rsidR="003401BF" w:rsidRPr="00D91169">
        <w:rPr>
          <w:lang w:val="es-ES"/>
        </w:rPr>
        <w:t>)</w:t>
      </w:r>
      <w:r w:rsidR="001C53F5" w:rsidRPr="00D91169">
        <w:rPr>
          <w:lang w:val="es-ES"/>
        </w:rPr>
        <w:t xml:space="preserve">; </w:t>
      </w:r>
      <w:r w:rsidR="008F1F97">
        <w:rPr>
          <w:lang w:val="es-ES"/>
        </w:rPr>
        <w:t>y el S</w:t>
      </w:r>
      <w:r w:rsidR="001C53F5" w:rsidRPr="00D91169">
        <w:rPr>
          <w:lang w:val="es-ES"/>
        </w:rPr>
        <w:t xml:space="preserve">r. </w:t>
      </w:r>
      <w:r w:rsidR="001C53F5" w:rsidRPr="00D91169">
        <w:rPr>
          <w:noProof/>
          <w:lang w:val="es-ES"/>
        </w:rPr>
        <w:t>Gaute</w:t>
      </w:r>
      <w:r w:rsidR="001C53F5" w:rsidRPr="00D91169">
        <w:rPr>
          <w:lang w:val="es-ES"/>
        </w:rPr>
        <w:t xml:space="preserve"> </w:t>
      </w:r>
      <w:r w:rsidR="001C53F5" w:rsidRPr="00D91169">
        <w:rPr>
          <w:noProof/>
          <w:lang w:val="es-ES"/>
        </w:rPr>
        <w:t>Voigt</w:t>
      </w:r>
      <w:r w:rsidR="001C53F5" w:rsidRPr="00D91169">
        <w:rPr>
          <w:lang w:val="es-ES"/>
        </w:rPr>
        <w:t>-</w:t>
      </w:r>
      <w:r w:rsidR="001C53F5" w:rsidRPr="00D91169">
        <w:rPr>
          <w:noProof/>
          <w:lang w:val="es-ES"/>
        </w:rPr>
        <w:t>Hanssen</w:t>
      </w:r>
      <w:r w:rsidR="001C53F5" w:rsidRPr="00D91169">
        <w:rPr>
          <w:lang w:val="es-ES"/>
        </w:rPr>
        <w:t xml:space="preserve"> (Nor</w:t>
      </w:r>
      <w:r w:rsidR="008F1F97">
        <w:rPr>
          <w:lang w:val="es-ES"/>
        </w:rPr>
        <w:t>uega), suplente del Sr</w:t>
      </w:r>
      <w:r w:rsidR="001C53F5" w:rsidRPr="00D91169">
        <w:rPr>
          <w:lang w:val="es-ES"/>
        </w:rPr>
        <w:t>.</w:t>
      </w:r>
      <w:r w:rsidR="00276DFC" w:rsidRPr="00D91169">
        <w:rPr>
          <w:lang w:val="es-ES"/>
        </w:rPr>
        <w:t> </w:t>
      </w:r>
      <w:r w:rsidR="001C53F5" w:rsidRPr="00D91169">
        <w:rPr>
          <w:noProof/>
          <w:lang w:val="es-ES"/>
        </w:rPr>
        <w:t>Basil</w:t>
      </w:r>
      <w:r w:rsidR="001C53F5" w:rsidRPr="00D91169">
        <w:rPr>
          <w:lang w:val="es-ES"/>
        </w:rPr>
        <w:t xml:space="preserve"> </w:t>
      </w:r>
      <w:r w:rsidR="001C53F5" w:rsidRPr="00D91169">
        <w:rPr>
          <w:noProof/>
          <w:lang w:val="es-ES"/>
        </w:rPr>
        <w:t>Van</w:t>
      </w:r>
      <w:r w:rsidR="001C53F5" w:rsidRPr="00D91169">
        <w:rPr>
          <w:lang w:val="es-ES"/>
        </w:rPr>
        <w:t xml:space="preserve"> </w:t>
      </w:r>
      <w:r w:rsidR="001C53F5" w:rsidRPr="00D91169">
        <w:rPr>
          <w:noProof/>
          <w:lang w:val="es-ES"/>
        </w:rPr>
        <w:t>Havre</w:t>
      </w:r>
      <w:r w:rsidR="001C53F5" w:rsidRPr="00D91169">
        <w:rPr>
          <w:lang w:val="es-ES"/>
        </w:rPr>
        <w:t xml:space="preserve"> </w:t>
      </w:r>
      <w:r w:rsidR="003401BF" w:rsidRPr="00D91169">
        <w:rPr>
          <w:lang w:val="es-ES"/>
        </w:rPr>
        <w:t>(</w:t>
      </w:r>
      <w:r w:rsidR="001C53F5" w:rsidRPr="00D91169">
        <w:rPr>
          <w:lang w:val="es-ES"/>
        </w:rPr>
        <w:t>Canad</w:t>
      </w:r>
      <w:r w:rsidR="008F1F97">
        <w:rPr>
          <w:lang w:val="es-ES"/>
        </w:rPr>
        <w:t>á</w:t>
      </w:r>
      <w:r w:rsidR="003401BF" w:rsidRPr="00D91169">
        <w:rPr>
          <w:lang w:val="es-ES"/>
        </w:rPr>
        <w:t>)</w:t>
      </w:r>
      <w:r w:rsidR="001C53F5" w:rsidRPr="00D91169">
        <w:rPr>
          <w:lang w:val="es-ES"/>
        </w:rPr>
        <w:t>.</w:t>
      </w:r>
    </w:p>
    <w:p w:rsidR="00EE7CB9" w:rsidRPr="0055309B" w:rsidRDefault="0055309B" w:rsidP="000C6220">
      <w:pPr>
        <w:pStyle w:val="Para1"/>
        <w:tabs>
          <w:tab w:val="clear" w:pos="360"/>
          <w:tab w:val="clear" w:pos="567"/>
          <w:tab w:val="clear" w:pos="2912"/>
        </w:tabs>
        <w:spacing w:line="240" w:lineRule="auto"/>
        <w:rPr>
          <w:lang w:val="es-ES"/>
        </w:rPr>
      </w:pPr>
      <w:bookmarkStart w:id="28" w:name="_Hlk530389812"/>
      <w:r w:rsidRPr="0014544A">
        <w:rPr>
          <w:lang w:val="es-ES"/>
        </w:rPr>
        <w:t xml:space="preserve">En la 2.ª sesión plenaria de la reunión, el 17 de noviembre de 2018, se acordó que, a propuesta de la Mesa, el Sr. </w:t>
      </w:r>
      <w:r w:rsidRPr="00B51757">
        <w:rPr>
          <w:snapToGrid w:val="0"/>
          <w:lang w:val="es-ES"/>
        </w:rPr>
        <w:t>Monyrak Meng </w:t>
      </w:r>
      <w:r w:rsidRPr="0014544A">
        <w:rPr>
          <w:lang w:val="es-ES"/>
        </w:rPr>
        <w:t xml:space="preserve"> (</w:t>
      </w:r>
      <w:r>
        <w:rPr>
          <w:lang w:val="es-ES"/>
        </w:rPr>
        <w:t>Camboya</w:t>
      </w:r>
      <w:r w:rsidRPr="0014544A">
        <w:rPr>
          <w:lang w:val="es-ES"/>
        </w:rPr>
        <w:t xml:space="preserve">) </w:t>
      </w:r>
      <w:r>
        <w:rPr>
          <w:lang w:val="es-ES"/>
        </w:rPr>
        <w:t>desempeñase el cargo de Relator de la reunión</w:t>
      </w:r>
      <w:r w:rsidR="00EE7CB9" w:rsidRPr="0055309B">
        <w:rPr>
          <w:lang w:val="es-ES"/>
        </w:rPr>
        <w:t>.</w:t>
      </w:r>
    </w:p>
    <w:p w:rsidR="00BD17E5" w:rsidRPr="000628A8" w:rsidRDefault="009F2E4E" w:rsidP="000C6220">
      <w:pPr>
        <w:pStyle w:val="Para1"/>
        <w:tabs>
          <w:tab w:val="clear" w:pos="360"/>
          <w:tab w:val="clear" w:pos="567"/>
          <w:tab w:val="clear" w:pos="2912"/>
        </w:tabs>
        <w:spacing w:line="240" w:lineRule="auto"/>
        <w:rPr>
          <w:lang w:val="es-ES"/>
        </w:rPr>
      </w:pPr>
      <w:r w:rsidRPr="00717473">
        <w:rPr>
          <w:lang w:val="es-ES"/>
        </w:rPr>
        <w:t>En su 4ª sesión plenaria, el 22 de noviembre de 2018</w:t>
      </w:r>
      <w:r w:rsidRPr="00717473">
        <w:rPr>
          <w:bCs/>
          <w:lang w:val="es-ES"/>
        </w:rPr>
        <w:t xml:space="preserve">, la Conferencia de las Partes eligió a 10 representantes para que actuasen como miembros de la Mesa durante un mandato </w:t>
      </w:r>
      <w:r>
        <w:rPr>
          <w:bCs/>
          <w:lang w:val="es-ES"/>
        </w:rPr>
        <w:t xml:space="preserve">que comenzará al clausurarse </w:t>
      </w:r>
      <w:r>
        <w:rPr>
          <w:bCs/>
          <w:lang w:val="es-ES"/>
        </w:rPr>
        <w:lastRenderedPageBreak/>
        <w:t xml:space="preserve">su 14ª reunión </w:t>
      </w:r>
      <w:r w:rsidRPr="00717473">
        <w:rPr>
          <w:szCs w:val="22"/>
          <w:lang w:val="es-ES"/>
        </w:rPr>
        <w:t xml:space="preserve">y </w:t>
      </w:r>
      <w:r>
        <w:rPr>
          <w:szCs w:val="22"/>
          <w:lang w:val="es-ES"/>
        </w:rPr>
        <w:t xml:space="preserve">que </w:t>
      </w:r>
      <w:r w:rsidRPr="00717473">
        <w:rPr>
          <w:szCs w:val="22"/>
          <w:lang w:val="es-ES"/>
        </w:rPr>
        <w:t xml:space="preserve">finalizará </w:t>
      </w:r>
      <w:r>
        <w:rPr>
          <w:szCs w:val="22"/>
          <w:lang w:val="es-ES"/>
        </w:rPr>
        <w:t xml:space="preserve">en la clausura de su </w:t>
      </w:r>
      <w:r w:rsidRPr="00717473">
        <w:rPr>
          <w:szCs w:val="22"/>
          <w:lang w:val="es-ES"/>
        </w:rPr>
        <w:t>15ª reunión</w:t>
      </w:r>
      <w:r w:rsidRPr="00717473">
        <w:rPr>
          <w:bCs/>
          <w:lang w:val="es-ES"/>
        </w:rPr>
        <w:t xml:space="preserve">. </w:t>
      </w:r>
      <w:r w:rsidRPr="00717473">
        <w:rPr>
          <w:lang w:val="es-ES"/>
        </w:rPr>
        <w:t>Tres de los representantes ele</w:t>
      </w:r>
      <w:r>
        <w:rPr>
          <w:lang w:val="es-ES"/>
        </w:rPr>
        <w:t>ctos</w:t>
      </w:r>
      <w:r w:rsidRPr="00717473">
        <w:rPr>
          <w:lang w:val="es-ES"/>
        </w:rPr>
        <w:t xml:space="preserve"> procedían de países que no eran Partes en el Protocolo de Nagoya. En la </w:t>
      </w:r>
      <w:r w:rsidRPr="00717473">
        <w:rPr>
          <w:szCs w:val="22"/>
          <w:lang w:val="es-ES"/>
        </w:rPr>
        <w:t>4ª sesión plenaria, el 22 de noviembre, los siguientes representantes fueron elegidos por lo tanto para actuar como miembros su</w:t>
      </w:r>
      <w:r>
        <w:rPr>
          <w:szCs w:val="22"/>
          <w:lang w:val="es-ES"/>
        </w:rPr>
        <w:t>plentes</w:t>
      </w:r>
      <w:r w:rsidRPr="00717473">
        <w:rPr>
          <w:szCs w:val="22"/>
          <w:lang w:val="es-ES"/>
        </w:rPr>
        <w:t xml:space="preserve"> de la Mesa para la cuarta reuni</w:t>
      </w:r>
      <w:r>
        <w:rPr>
          <w:szCs w:val="22"/>
          <w:lang w:val="es-ES"/>
        </w:rPr>
        <w:t xml:space="preserve">ón de la Conferencia de las Partes que actúa como reunión de las Partes en el Protocolo de </w:t>
      </w:r>
      <w:r w:rsidRPr="00717473">
        <w:rPr>
          <w:lang w:val="es-ES"/>
        </w:rPr>
        <w:t>Nagoya</w:t>
      </w:r>
      <w:r w:rsidRPr="00717473">
        <w:rPr>
          <w:szCs w:val="22"/>
          <w:lang w:val="es-ES"/>
        </w:rPr>
        <w:t xml:space="preserve">: </w:t>
      </w:r>
      <w:r>
        <w:rPr>
          <w:szCs w:val="22"/>
          <w:lang w:val="es-ES"/>
        </w:rPr>
        <w:t>el S</w:t>
      </w:r>
      <w:r w:rsidRPr="00717473">
        <w:rPr>
          <w:szCs w:val="22"/>
          <w:lang w:val="es-ES"/>
        </w:rPr>
        <w:t>r. Dilosharvo Dustov (Ta</w:t>
      </w:r>
      <w:r>
        <w:rPr>
          <w:szCs w:val="22"/>
          <w:lang w:val="es-ES"/>
        </w:rPr>
        <w:t>y</w:t>
      </w:r>
      <w:r w:rsidRPr="00717473">
        <w:rPr>
          <w:szCs w:val="22"/>
          <w:lang w:val="es-ES"/>
        </w:rPr>
        <w:t>ikist</w:t>
      </w:r>
      <w:r>
        <w:rPr>
          <w:szCs w:val="22"/>
          <w:lang w:val="es-ES"/>
        </w:rPr>
        <w:t>á</w:t>
      </w:r>
      <w:r w:rsidRPr="00717473">
        <w:rPr>
          <w:szCs w:val="22"/>
          <w:lang w:val="es-ES"/>
        </w:rPr>
        <w:t xml:space="preserve">n), </w:t>
      </w:r>
      <w:r>
        <w:rPr>
          <w:szCs w:val="22"/>
          <w:lang w:val="es-ES"/>
        </w:rPr>
        <w:t>suplente de la Sra</w:t>
      </w:r>
      <w:r w:rsidRPr="00717473">
        <w:rPr>
          <w:szCs w:val="22"/>
          <w:lang w:val="es-ES"/>
        </w:rPr>
        <w:t>. Teona Karchava</w:t>
      </w:r>
      <w:r w:rsidRPr="00717473">
        <w:rPr>
          <w:snapToGrid w:val="0"/>
          <w:kern w:val="22"/>
          <w:szCs w:val="22"/>
          <w:lang w:val="es-ES"/>
        </w:rPr>
        <w:t xml:space="preserve"> </w:t>
      </w:r>
      <w:r w:rsidRPr="00717473">
        <w:rPr>
          <w:szCs w:val="22"/>
          <w:lang w:val="es-ES"/>
        </w:rPr>
        <w:t xml:space="preserve">(Georgia); </w:t>
      </w:r>
      <w:r>
        <w:rPr>
          <w:szCs w:val="22"/>
          <w:lang w:val="es-ES"/>
        </w:rPr>
        <w:t>el S</w:t>
      </w:r>
      <w:r w:rsidRPr="00717473">
        <w:rPr>
          <w:szCs w:val="22"/>
          <w:lang w:val="es-ES"/>
        </w:rPr>
        <w:t xml:space="preserve">r. </w:t>
      </w:r>
      <w:r w:rsidR="000628A8" w:rsidRPr="000628A8">
        <w:rPr>
          <w:noProof/>
          <w:szCs w:val="22"/>
          <w:lang w:val="es-ES"/>
        </w:rPr>
        <w:t>Luciano</w:t>
      </w:r>
      <w:r w:rsidR="000628A8" w:rsidRPr="000628A8">
        <w:rPr>
          <w:szCs w:val="22"/>
          <w:lang w:val="es-ES"/>
        </w:rPr>
        <w:t xml:space="preserve"> </w:t>
      </w:r>
      <w:r w:rsidR="000628A8" w:rsidRPr="000628A8">
        <w:rPr>
          <w:noProof/>
          <w:lang w:val="es-ES"/>
        </w:rPr>
        <w:t>Mart</w:t>
      </w:r>
      <w:r w:rsidR="000628A8">
        <w:rPr>
          <w:noProof/>
          <w:lang w:val="es-ES"/>
        </w:rPr>
        <w:t>í</w:t>
      </w:r>
      <w:r w:rsidR="000628A8" w:rsidRPr="000628A8">
        <w:rPr>
          <w:noProof/>
          <w:lang w:val="es-ES"/>
        </w:rPr>
        <w:t>n</w:t>
      </w:r>
      <w:r w:rsidR="000628A8" w:rsidRPr="000628A8">
        <w:rPr>
          <w:lang w:val="es-ES"/>
        </w:rPr>
        <w:t xml:space="preserve"> </w:t>
      </w:r>
      <w:r w:rsidR="000628A8" w:rsidRPr="000628A8">
        <w:rPr>
          <w:noProof/>
          <w:szCs w:val="22"/>
          <w:lang w:val="es-ES"/>
        </w:rPr>
        <w:t>Donadio</w:t>
      </w:r>
      <w:r w:rsidR="000628A8" w:rsidRPr="000628A8">
        <w:rPr>
          <w:szCs w:val="22"/>
          <w:lang w:val="es-ES"/>
        </w:rPr>
        <w:t xml:space="preserve"> </w:t>
      </w:r>
      <w:r w:rsidR="000628A8" w:rsidRPr="000628A8">
        <w:rPr>
          <w:lang w:val="es-ES"/>
        </w:rPr>
        <w:t>Linares</w:t>
      </w:r>
      <w:r w:rsidR="000628A8" w:rsidRPr="00717473">
        <w:rPr>
          <w:szCs w:val="22"/>
          <w:lang w:val="es-ES"/>
        </w:rPr>
        <w:t xml:space="preserve"> </w:t>
      </w:r>
      <w:r w:rsidRPr="00717473">
        <w:rPr>
          <w:szCs w:val="22"/>
          <w:lang w:val="es-ES"/>
        </w:rPr>
        <w:t xml:space="preserve">(Argentina), </w:t>
      </w:r>
      <w:r>
        <w:rPr>
          <w:szCs w:val="22"/>
          <w:lang w:val="es-ES"/>
        </w:rPr>
        <w:t>suplente del S</w:t>
      </w:r>
      <w:r w:rsidRPr="00717473">
        <w:rPr>
          <w:snapToGrid w:val="0"/>
          <w:kern w:val="22"/>
          <w:szCs w:val="22"/>
          <w:lang w:val="es-ES"/>
        </w:rPr>
        <w:t xml:space="preserve">r. </w:t>
      </w:r>
      <w:r w:rsidRPr="00717473">
        <w:rPr>
          <w:szCs w:val="22"/>
          <w:lang w:val="es-ES"/>
        </w:rPr>
        <w:t>Carlos Manuel Rodr</w:t>
      </w:r>
      <w:r>
        <w:rPr>
          <w:szCs w:val="22"/>
          <w:lang w:val="es-ES"/>
        </w:rPr>
        <w:t>í</w:t>
      </w:r>
      <w:r w:rsidRPr="00717473">
        <w:rPr>
          <w:szCs w:val="22"/>
          <w:lang w:val="es-ES"/>
        </w:rPr>
        <w:t>guez</w:t>
      </w:r>
      <w:r w:rsidRPr="00717473">
        <w:rPr>
          <w:snapToGrid w:val="0"/>
          <w:kern w:val="22"/>
          <w:szCs w:val="22"/>
          <w:lang w:val="es-ES"/>
        </w:rPr>
        <w:t xml:space="preserve"> </w:t>
      </w:r>
      <w:r w:rsidRPr="00717473">
        <w:rPr>
          <w:szCs w:val="22"/>
          <w:lang w:val="es-ES"/>
        </w:rPr>
        <w:t xml:space="preserve">(Costa Rica); </w:t>
      </w:r>
      <w:r>
        <w:rPr>
          <w:szCs w:val="22"/>
          <w:lang w:val="es-ES"/>
        </w:rPr>
        <w:t>y la Sra</w:t>
      </w:r>
      <w:r w:rsidRPr="00717473">
        <w:rPr>
          <w:szCs w:val="22"/>
          <w:lang w:val="es-ES"/>
        </w:rPr>
        <w:t>. Marie Haraldstad (Nor</w:t>
      </w:r>
      <w:r>
        <w:rPr>
          <w:szCs w:val="22"/>
          <w:lang w:val="es-ES"/>
        </w:rPr>
        <w:t>uega</w:t>
      </w:r>
      <w:r w:rsidRPr="00717473">
        <w:rPr>
          <w:szCs w:val="22"/>
          <w:lang w:val="es-ES"/>
        </w:rPr>
        <w:t>), su</w:t>
      </w:r>
      <w:r>
        <w:rPr>
          <w:szCs w:val="22"/>
          <w:lang w:val="es-ES"/>
        </w:rPr>
        <w:t>plente de la Sra</w:t>
      </w:r>
      <w:r w:rsidRPr="00717473">
        <w:rPr>
          <w:szCs w:val="22"/>
          <w:lang w:val="es-ES"/>
        </w:rPr>
        <w:t>. Rosemary Paterson (N</w:t>
      </w:r>
      <w:r>
        <w:rPr>
          <w:szCs w:val="22"/>
          <w:lang w:val="es-ES"/>
        </w:rPr>
        <w:t>ueva</w:t>
      </w:r>
      <w:r w:rsidRPr="00717473">
        <w:rPr>
          <w:szCs w:val="22"/>
          <w:lang w:val="es-ES"/>
        </w:rPr>
        <w:t xml:space="preserve"> Zeland</w:t>
      </w:r>
      <w:r>
        <w:rPr>
          <w:szCs w:val="22"/>
          <w:lang w:val="es-ES"/>
        </w:rPr>
        <w:t>a</w:t>
      </w:r>
      <w:r w:rsidR="00BD17E5" w:rsidRPr="000628A8">
        <w:rPr>
          <w:szCs w:val="22"/>
          <w:lang w:val="es-ES"/>
        </w:rPr>
        <w:t>).</w:t>
      </w:r>
    </w:p>
    <w:bookmarkEnd w:id="28"/>
    <w:p w:rsidR="008F1539" w:rsidRPr="00EE0850" w:rsidRDefault="004A5FFB" w:rsidP="000C6220">
      <w:pPr>
        <w:pStyle w:val="Ttulo2"/>
        <w:spacing w:before="120" w:line="240" w:lineRule="auto"/>
      </w:pPr>
      <w:r w:rsidRPr="00EE0850">
        <w:t>2.2</w:t>
      </w:r>
      <w:r w:rsidRPr="00EE0850">
        <w:tab/>
      </w:r>
      <w:r w:rsidR="008F1539" w:rsidRPr="00EE0850">
        <w:t>Adop</w:t>
      </w:r>
      <w:r w:rsidR="000628A8">
        <w:t>ción del programa</w:t>
      </w:r>
    </w:p>
    <w:p w:rsidR="00736790" w:rsidRPr="00583F88" w:rsidRDefault="00583F88" w:rsidP="000C6220">
      <w:pPr>
        <w:pStyle w:val="Para1"/>
        <w:tabs>
          <w:tab w:val="clear" w:pos="360"/>
          <w:tab w:val="clear" w:pos="567"/>
          <w:tab w:val="clear" w:pos="2912"/>
        </w:tabs>
        <w:spacing w:line="240" w:lineRule="auto"/>
        <w:rPr>
          <w:snapToGrid w:val="0"/>
          <w:kern w:val="22"/>
          <w:lang w:val="es-ES"/>
        </w:rPr>
      </w:pPr>
      <w:r w:rsidRPr="00583F88">
        <w:rPr>
          <w:lang w:val="es-ES"/>
        </w:rPr>
        <w:t xml:space="preserve">En la 2.ª sesión plenaria de la reunión, el 17 de noviembre de 2018, la Conferencia de las Partes que actúa como reunión de las Partes en el Protocolo de Nagoya adoptó el siguiente programa sobre la base del programa preparado por la Secretaria Ejecutiva en consulta con la Mesa </w:t>
      </w:r>
      <w:r w:rsidR="00AD2634" w:rsidRPr="00583F88">
        <w:rPr>
          <w:snapToGrid w:val="0"/>
          <w:kern w:val="22"/>
          <w:lang w:val="es-ES"/>
        </w:rPr>
        <w:t>(CBD/NP/MOP/3</w:t>
      </w:r>
      <w:r w:rsidR="00736790" w:rsidRPr="00583F88">
        <w:rPr>
          <w:snapToGrid w:val="0"/>
          <w:kern w:val="22"/>
          <w:lang w:val="es-ES"/>
        </w:rPr>
        <w:t>/1)</w:t>
      </w:r>
      <w:r w:rsidR="00171D4F" w:rsidRPr="00583F88">
        <w:rPr>
          <w:snapToGrid w:val="0"/>
          <w:kern w:val="22"/>
          <w:lang w:val="es-ES"/>
        </w:rPr>
        <w:t>.</w:t>
      </w:r>
    </w:p>
    <w:p w:rsidR="00BE20EF" w:rsidRPr="00EE0850" w:rsidRDefault="00583F88" w:rsidP="000C6220">
      <w:pPr>
        <w:numPr>
          <w:ilvl w:val="0"/>
          <w:numId w:val="18"/>
        </w:numPr>
        <w:tabs>
          <w:tab w:val="clear" w:pos="1800"/>
        </w:tabs>
        <w:kinsoku w:val="0"/>
        <w:overflowPunct w:val="0"/>
        <w:autoSpaceDE w:val="0"/>
        <w:autoSpaceDN w:val="0"/>
        <w:spacing w:before="120" w:line="240" w:lineRule="auto"/>
        <w:ind w:left="1287" w:hanging="720"/>
        <w:jc w:val="left"/>
        <w:rPr>
          <w:snapToGrid w:val="0"/>
          <w:kern w:val="22"/>
        </w:rPr>
      </w:pPr>
      <w:r>
        <w:rPr>
          <w:snapToGrid w:val="0"/>
          <w:kern w:val="22"/>
        </w:rPr>
        <w:t>Apertura de la reunión</w:t>
      </w:r>
      <w:r w:rsidR="00BE20EF" w:rsidRPr="00EE0850">
        <w:rPr>
          <w:snapToGrid w:val="0"/>
          <w:kern w:val="22"/>
        </w:rPr>
        <w:t>.</w:t>
      </w:r>
    </w:p>
    <w:p w:rsidR="00BE20EF" w:rsidRPr="00EE0850" w:rsidRDefault="00583F88" w:rsidP="000C6220">
      <w:pPr>
        <w:numPr>
          <w:ilvl w:val="0"/>
          <w:numId w:val="18"/>
        </w:numPr>
        <w:tabs>
          <w:tab w:val="clear" w:pos="1800"/>
        </w:tabs>
        <w:kinsoku w:val="0"/>
        <w:overflowPunct w:val="0"/>
        <w:autoSpaceDE w:val="0"/>
        <w:autoSpaceDN w:val="0"/>
        <w:spacing w:before="120" w:line="240" w:lineRule="auto"/>
        <w:ind w:left="1287" w:hanging="720"/>
        <w:jc w:val="left"/>
        <w:rPr>
          <w:snapToGrid w:val="0"/>
          <w:kern w:val="22"/>
        </w:rPr>
      </w:pPr>
      <w:r>
        <w:rPr>
          <w:snapToGrid w:val="0"/>
          <w:kern w:val="22"/>
        </w:rPr>
        <w:t>Cuestiones de organización</w:t>
      </w:r>
      <w:r w:rsidR="00BE20EF" w:rsidRPr="00EE0850">
        <w:rPr>
          <w:snapToGrid w:val="0"/>
          <w:kern w:val="22"/>
        </w:rPr>
        <w:t>.</w:t>
      </w:r>
    </w:p>
    <w:p w:rsidR="00BE20EF" w:rsidRPr="00583F88" w:rsidRDefault="00583F88" w:rsidP="000C6220">
      <w:pPr>
        <w:numPr>
          <w:ilvl w:val="0"/>
          <w:numId w:val="18"/>
        </w:numPr>
        <w:tabs>
          <w:tab w:val="clear" w:pos="1800"/>
        </w:tabs>
        <w:kinsoku w:val="0"/>
        <w:overflowPunct w:val="0"/>
        <w:autoSpaceDE w:val="0"/>
        <w:autoSpaceDN w:val="0"/>
        <w:spacing w:before="120" w:line="240" w:lineRule="auto"/>
        <w:ind w:left="1287" w:hanging="720"/>
        <w:jc w:val="left"/>
        <w:rPr>
          <w:snapToGrid w:val="0"/>
          <w:kern w:val="22"/>
          <w:lang w:val="es-ES"/>
        </w:rPr>
      </w:pPr>
      <w:r w:rsidRPr="00CD15CF">
        <w:rPr>
          <w:snapToGrid w:val="0"/>
          <w:kern w:val="22"/>
          <w:lang w:val="es-ES"/>
        </w:rPr>
        <w:t>Informe sobre las credenciales de los representantes en la tercera reunión de la Conferencia de las Partes que actúa como reunión de las Partes en el Protocolo de Nagoya</w:t>
      </w:r>
      <w:r w:rsidR="00BE20EF" w:rsidRPr="00583F88">
        <w:rPr>
          <w:snapToGrid w:val="0"/>
          <w:kern w:val="22"/>
          <w:lang w:val="es-ES"/>
        </w:rPr>
        <w:t>.</w:t>
      </w:r>
    </w:p>
    <w:p w:rsidR="00BE20EF" w:rsidRPr="00583F88" w:rsidRDefault="00583F88" w:rsidP="000C6220">
      <w:pPr>
        <w:numPr>
          <w:ilvl w:val="0"/>
          <w:numId w:val="18"/>
        </w:numPr>
        <w:tabs>
          <w:tab w:val="clear" w:pos="1800"/>
        </w:tabs>
        <w:kinsoku w:val="0"/>
        <w:overflowPunct w:val="0"/>
        <w:autoSpaceDE w:val="0"/>
        <w:autoSpaceDN w:val="0"/>
        <w:spacing w:before="120" w:line="240" w:lineRule="auto"/>
        <w:ind w:left="1287" w:hanging="720"/>
        <w:jc w:val="left"/>
        <w:rPr>
          <w:snapToGrid w:val="0"/>
          <w:kern w:val="22"/>
          <w:lang w:val="es-ES"/>
        </w:rPr>
      </w:pPr>
      <w:r w:rsidRPr="00CD15CF">
        <w:rPr>
          <w:snapToGrid w:val="0"/>
          <w:kern w:val="22"/>
          <w:lang w:val="es-ES"/>
        </w:rPr>
        <w:t>Informes de los órganos subsidiarios</w:t>
      </w:r>
      <w:r w:rsidR="00BE20EF" w:rsidRPr="00583F88">
        <w:rPr>
          <w:snapToGrid w:val="0"/>
          <w:kern w:val="22"/>
          <w:lang w:val="es-ES"/>
        </w:rPr>
        <w:t>.</w:t>
      </w:r>
    </w:p>
    <w:p w:rsidR="00BE20EF" w:rsidRPr="00583F88" w:rsidRDefault="00583F88" w:rsidP="000C6220">
      <w:pPr>
        <w:numPr>
          <w:ilvl w:val="0"/>
          <w:numId w:val="18"/>
        </w:numPr>
        <w:tabs>
          <w:tab w:val="clear" w:pos="1800"/>
        </w:tabs>
        <w:kinsoku w:val="0"/>
        <w:overflowPunct w:val="0"/>
        <w:autoSpaceDE w:val="0"/>
        <w:autoSpaceDN w:val="0"/>
        <w:spacing w:before="120" w:line="240" w:lineRule="auto"/>
        <w:ind w:left="1287" w:hanging="720"/>
        <w:jc w:val="left"/>
        <w:rPr>
          <w:snapToGrid w:val="0"/>
          <w:kern w:val="22"/>
          <w:lang w:val="es-ES"/>
        </w:rPr>
      </w:pPr>
      <w:r w:rsidRPr="00CD15CF">
        <w:rPr>
          <w:snapToGrid w:val="0"/>
          <w:kern w:val="22"/>
          <w:lang w:val="es-ES"/>
        </w:rPr>
        <w:t xml:space="preserve">Informe del Comité de Cumplimiento (artículo </w:t>
      </w:r>
      <w:r w:rsidR="00BE20EF" w:rsidRPr="00583F88">
        <w:rPr>
          <w:snapToGrid w:val="0"/>
          <w:kern w:val="22"/>
          <w:lang w:val="es-ES"/>
        </w:rPr>
        <w:t>30).</w:t>
      </w:r>
    </w:p>
    <w:p w:rsidR="00BE20EF" w:rsidRPr="00583F88" w:rsidRDefault="00583F88" w:rsidP="000C6220">
      <w:pPr>
        <w:numPr>
          <w:ilvl w:val="0"/>
          <w:numId w:val="18"/>
        </w:numPr>
        <w:tabs>
          <w:tab w:val="clear" w:pos="1800"/>
        </w:tabs>
        <w:kinsoku w:val="0"/>
        <w:overflowPunct w:val="0"/>
        <w:autoSpaceDE w:val="0"/>
        <w:autoSpaceDN w:val="0"/>
        <w:spacing w:before="120" w:line="240" w:lineRule="auto"/>
        <w:ind w:left="1287" w:hanging="720"/>
        <w:jc w:val="left"/>
        <w:rPr>
          <w:snapToGrid w:val="0"/>
          <w:kern w:val="22"/>
          <w:lang w:val="es-ES"/>
        </w:rPr>
      </w:pPr>
      <w:r w:rsidRPr="00166B92">
        <w:rPr>
          <w:snapToGrid w:val="0"/>
          <w:kern w:val="22"/>
          <w:lang w:val="es-ES"/>
        </w:rPr>
        <w:t>Administración del Protocolo y presupuesto para los fondos fiduciarios</w:t>
      </w:r>
      <w:r w:rsidR="00BE20EF" w:rsidRPr="00583F88">
        <w:rPr>
          <w:snapToGrid w:val="0"/>
          <w:kern w:val="22"/>
          <w:lang w:val="es-ES"/>
        </w:rPr>
        <w:t>.</w:t>
      </w:r>
    </w:p>
    <w:p w:rsidR="00BE20EF" w:rsidRPr="00583F88" w:rsidRDefault="00583F88" w:rsidP="000C6220">
      <w:pPr>
        <w:numPr>
          <w:ilvl w:val="0"/>
          <w:numId w:val="18"/>
        </w:numPr>
        <w:tabs>
          <w:tab w:val="clear" w:pos="1800"/>
        </w:tabs>
        <w:kinsoku w:val="0"/>
        <w:overflowPunct w:val="0"/>
        <w:autoSpaceDE w:val="0"/>
        <w:autoSpaceDN w:val="0"/>
        <w:spacing w:before="120" w:line="240" w:lineRule="auto"/>
        <w:ind w:left="1287" w:hanging="720"/>
        <w:jc w:val="left"/>
        <w:rPr>
          <w:snapToGrid w:val="0"/>
          <w:kern w:val="22"/>
          <w:lang w:val="es-ES"/>
        </w:rPr>
      </w:pPr>
      <w:r w:rsidRPr="00CD15CF">
        <w:rPr>
          <w:snapToGrid w:val="0"/>
          <w:kern w:val="22"/>
          <w:lang w:val="es-ES"/>
        </w:rPr>
        <w:t>E</w:t>
      </w:r>
      <w:r w:rsidRPr="0048303A">
        <w:rPr>
          <w:snapToGrid w:val="0"/>
          <w:kern w:val="22"/>
          <w:lang w:val="es-ES"/>
        </w:rPr>
        <w:t>valuación y revisi</w:t>
      </w:r>
      <w:r>
        <w:rPr>
          <w:snapToGrid w:val="0"/>
          <w:kern w:val="22"/>
          <w:lang w:val="es-ES"/>
        </w:rPr>
        <w:t>ó</w:t>
      </w:r>
      <w:r w:rsidRPr="0048303A">
        <w:rPr>
          <w:snapToGrid w:val="0"/>
          <w:kern w:val="22"/>
          <w:lang w:val="es-ES"/>
        </w:rPr>
        <w:t>n de la eficacia del Protocolo (art</w:t>
      </w:r>
      <w:r>
        <w:rPr>
          <w:snapToGrid w:val="0"/>
          <w:kern w:val="22"/>
          <w:lang w:val="es-ES"/>
        </w:rPr>
        <w:t>ículo</w:t>
      </w:r>
      <w:r w:rsidRPr="0048303A">
        <w:rPr>
          <w:snapToGrid w:val="0"/>
          <w:kern w:val="22"/>
          <w:lang w:val="es-ES"/>
        </w:rPr>
        <w:t xml:space="preserve"> </w:t>
      </w:r>
      <w:r w:rsidR="00BE20EF" w:rsidRPr="00583F88">
        <w:rPr>
          <w:snapToGrid w:val="0"/>
          <w:kern w:val="22"/>
          <w:lang w:val="es-ES"/>
        </w:rPr>
        <w:t>31).</w:t>
      </w:r>
    </w:p>
    <w:p w:rsidR="00BE20EF" w:rsidRPr="00583F88" w:rsidRDefault="00583F88" w:rsidP="000C6220">
      <w:pPr>
        <w:numPr>
          <w:ilvl w:val="0"/>
          <w:numId w:val="18"/>
        </w:numPr>
        <w:tabs>
          <w:tab w:val="clear" w:pos="1800"/>
        </w:tabs>
        <w:kinsoku w:val="0"/>
        <w:overflowPunct w:val="0"/>
        <w:autoSpaceDE w:val="0"/>
        <w:autoSpaceDN w:val="0"/>
        <w:spacing w:before="120" w:line="240" w:lineRule="auto"/>
        <w:ind w:left="1287" w:hanging="720"/>
        <w:jc w:val="left"/>
        <w:rPr>
          <w:snapToGrid w:val="0"/>
          <w:kern w:val="22"/>
          <w:lang w:val="es-ES"/>
        </w:rPr>
      </w:pPr>
      <w:r w:rsidRPr="00583F88">
        <w:rPr>
          <w:snapToGrid w:val="0"/>
          <w:kern w:val="22"/>
          <w:lang w:val="es-ES"/>
        </w:rPr>
        <w:t xml:space="preserve">Mecanismo </w:t>
      </w:r>
      <w:r w:rsidRPr="00166B92">
        <w:rPr>
          <w:snapToGrid w:val="0"/>
          <w:kern w:val="22"/>
          <w:lang w:val="es-ES"/>
        </w:rPr>
        <w:t xml:space="preserve">financiero y recursos financieros (artículo </w:t>
      </w:r>
      <w:r w:rsidR="00BE20EF" w:rsidRPr="00583F88">
        <w:rPr>
          <w:snapToGrid w:val="0"/>
          <w:kern w:val="22"/>
          <w:lang w:val="es-ES"/>
        </w:rPr>
        <w:t>25).</w:t>
      </w:r>
    </w:p>
    <w:p w:rsidR="00BE20EF" w:rsidRPr="00583F88" w:rsidRDefault="00583F88" w:rsidP="000C6220">
      <w:pPr>
        <w:numPr>
          <w:ilvl w:val="0"/>
          <w:numId w:val="18"/>
        </w:numPr>
        <w:tabs>
          <w:tab w:val="clear" w:pos="1800"/>
        </w:tabs>
        <w:kinsoku w:val="0"/>
        <w:overflowPunct w:val="0"/>
        <w:autoSpaceDE w:val="0"/>
        <w:autoSpaceDN w:val="0"/>
        <w:spacing w:before="120" w:line="240" w:lineRule="auto"/>
        <w:ind w:left="1287" w:hanging="720"/>
        <w:jc w:val="left"/>
        <w:rPr>
          <w:snapToGrid w:val="0"/>
          <w:kern w:val="22"/>
          <w:lang w:val="es-ES"/>
        </w:rPr>
      </w:pPr>
      <w:r w:rsidRPr="0048303A">
        <w:rPr>
          <w:snapToGrid w:val="0"/>
          <w:kern w:val="22"/>
          <w:lang w:val="es-ES"/>
        </w:rPr>
        <w:t>Medidas para brindar asistencia para la creación de capacidad</w:t>
      </w:r>
      <w:r>
        <w:rPr>
          <w:snapToGrid w:val="0"/>
          <w:kern w:val="22"/>
          <w:lang w:val="es-ES"/>
        </w:rPr>
        <w:t>es</w:t>
      </w:r>
      <w:r w:rsidRPr="0048303A">
        <w:rPr>
          <w:snapToGrid w:val="0"/>
          <w:kern w:val="22"/>
          <w:lang w:val="es-ES"/>
        </w:rPr>
        <w:t xml:space="preserve"> y </w:t>
      </w:r>
      <w:r>
        <w:rPr>
          <w:snapToGrid w:val="0"/>
          <w:kern w:val="22"/>
          <w:lang w:val="es-ES"/>
        </w:rPr>
        <w:t xml:space="preserve">desarrollo de capacidades </w:t>
      </w:r>
      <w:r w:rsidRPr="0048303A">
        <w:rPr>
          <w:snapToGrid w:val="0"/>
          <w:kern w:val="22"/>
          <w:lang w:val="es-ES"/>
        </w:rPr>
        <w:t>(</w:t>
      </w:r>
      <w:r>
        <w:rPr>
          <w:snapToGrid w:val="0"/>
          <w:kern w:val="22"/>
          <w:lang w:val="es-ES"/>
        </w:rPr>
        <w:t>artículo</w:t>
      </w:r>
      <w:r w:rsidRPr="0048303A">
        <w:rPr>
          <w:snapToGrid w:val="0"/>
          <w:kern w:val="22"/>
          <w:lang w:val="es-ES"/>
        </w:rPr>
        <w:t xml:space="preserve"> </w:t>
      </w:r>
      <w:r w:rsidR="00BE20EF" w:rsidRPr="00583F88">
        <w:rPr>
          <w:snapToGrid w:val="0"/>
          <w:kern w:val="22"/>
          <w:lang w:val="es-ES"/>
        </w:rPr>
        <w:t>22).</w:t>
      </w:r>
    </w:p>
    <w:p w:rsidR="00BE20EF" w:rsidRPr="00583F88" w:rsidRDefault="00583F88" w:rsidP="000C6220">
      <w:pPr>
        <w:numPr>
          <w:ilvl w:val="0"/>
          <w:numId w:val="18"/>
        </w:numPr>
        <w:tabs>
          <w:tab w:val="clear" w:pos="1800"/>
        </w:tabs>
        <w:kinsoku w:val="0"/>
        <w:overflowPunct w:val="0"/>
        <w:autoSpaceDE w:val="0"/>
        <w:autoSpaceDN w:val="0"/>
        <w:spacing w:before="120" w:line="240" w:lineRule="auto"/>
        <w:ind w:left="1287" w:hanging="720"/>
        <w:jc w:val="left"/>
        <w:rPr>
          <w:snapToGrid w:val="0"/>
          <w:kern w:val="22"/>
          <w:lang w:val="es-ES"/>
        </w:rPr>
      </w:pPr>
      <w:r w:rsidRPr="0048303A">
        <w:rPr>
          <w:snapToGrid w:val="0"/>
          <w:kern w:val="22"/>
          <w:lang w:val="es-ES"/>
        </w:rPr>
        <w:t xml:space="preserve">El Centro de </w:t>
      </w:r>
      <w:r>
        <w:rPr>
          <w:snapToGrid w:val="0"/>
          <w:kern w:val="22"/>
          <w:lang w:val="es-ES"/>
        </w:rPr>
        <w:t>I</w:t>
      </w:r>
      <w:r w:rsidRPr="0048303A">
        <w:rPr>
          <w:snapToGrid w:val="0"/>
          <w:kern w:val="22"/>
          <w:lang w:val="es-ES"/>
        </w:rPr>
        <w:t xml:space="preserve">ntercambio de </w:t>
      </w:r>
      <w:r>
        <w:rPr>
          <w:snapToGrid w:val="0"/>
          <w:kern w:val="22"/>
          <w:lang w:val="es-ES"/>
        </w:rPr>
        <w:t>I</w:t>
      </w:r>
      <w:r w:rsidRPr="0048303A">
        <w:rPr>
          <w:snapToGrid w:val="0"/>
          <w:kern w:val="22"/>
          <w:lang w:val="es-ES"/>
        </w:rPr>
        <w:t>nformación sobre Acceso y Participaci</w:t>
      </w:r>
      <w:r>
        <w:rPr>
          <w:snapToGrid w:val="0"/>
          <w:kern w:val="22"/>
          <w:lang w:val="es-ES"/>
        </w:rPr>
        <w:t>ón en los Beneficios e intercambio de información</w:t>
      </w:r>
      <w:r w:rsidRPr="0048303A">
        <w:rPr>
          <w:snapToGrid w:val="0"/>
          <w:kern w:val="22"/>
          <w:lang w:val="es-ES"/>
        </w:rPr>
        <w:t xml:space="preserve"> (</w:t>
      </w:r>
      <w:r>
        <w:rPr>
          <w:snapToGrid w:val="0"/>
          <w:kern w:val="22"/>
          <w:lang w:val="es-ES"/>
        </w:rPr>
        <w:t>artículo</w:t>
      </w:r>
      <w:r w:rsidR="00BE20EF" w:rsidRPr="00583F88">
        <w:rPr>
          <w:snapToGrid w:val="0"/>
          <w:kern w:val="22"/>
          <w:lang w:val="es-ES"/>
        </w:rPr>
        <w:t xml:space="preserve"> 14).</w:t>
      </w:r>
    </w:p>
    <w:p w:rsidR="00BE20EF" w:rsidRPr="000A36A5" w:rsidRDefault="000A36A5" w:rsidP="000C6220">
      <w:pPr>
        <w:numPr>
          <w:ilvl w:val="0"/>
          <w:numId w:val="18"/>
        </w:numPr>
        <w:tabs>
          <w:tab w:val="clear" w:pos="1800"/>
        </w:tabs>
        <w:kinsoku w:val="0"/>
        <w:overflowPunct w:val="0"/>
        <w:autoSpaceDE w:val="0"/>
        <w:autoSpaceDN w:val="0"/>
        <w:spacing w:before="120" w:line="240" w:lineRule="auto"/>
        <w:ind w:left="1287" w:hanging="720"/>
        <w:jc w:val="left"/>
        <w:rPr>
          <w:snapToGrid w:val="0"/>
          <w:kern w:val="22"/>
          <w:lang w:val="es-ES"/>
        </w:rPr>
      </w:pPr>
      <w:r w:rsidRPr="00CD15CF">
        <w:rPr>
          <w:snapToGrid w:val="0"/>
          <w:kern w:val="22"/>
          <w:lang w:val="es-ES"/>
        </w:rPr>
        <w:t xml:space="preserve">Vigilancia </w:t>
      </w:r>
      <w:r w:rsidRPr="00AB62EB">
        <w:rPr>
          <w:snapToGrid w:val="0"/>
          <w:kern w:val="22"/>
          <w:lang w:val="es-ES"/>
        </w:rPr>
        <w:t xml:space="preserve">y presentación de informes (artículo </w:t>
      </w:r>
      <w:r w:rsidR="00BE20EF" w:rsidRPr="000A36A5">
        <w:rPr>
          <w:snapToGrid w:val="0"/>
          <w:kern w:val="22"/>
          <w:lang w:val="es-ES"/>
        </w:rPr>
        <w:t>29).</w:t>
      </w:r>
    </w:p>
    <w:p w:rsidR="00BE20EF" w:rsidRPr="000A36A5" w:rsidRDefault="000A36A5" w:rsidP="000C6220">
      <w:pPr>
        <w:numPr>
          <w:ilvl w:val="0"/>
          <w:numId w:val="18"/>
        </w:numPr>
        <w:tabs>
          <w:tab w:val="clear" w:pos="1800"/>
        </w:tabs>
        <w:kinsoku w:val="0"/>
        <w:overflowPunct w:val="0"/>
        <w:autoSpaceDE w:val="0"/>
        <w:autoSpaceDN w:val="0"/>
        <w:spacing w:before="120" w:line="240" w:lineRule="auto"/>
        <w:ind w:left="1287" w:hanging="720"/>
        <w:jc w:val="left"/>
        <w:rPr>
          <w:snapToGrid w:val="0"/>
          <w:kern w:val="22"/>
          <w:lang w:val="es-ES"/>
        </w:rPr>
      </w:pPr>
      <w:r w:rsidRPr="0048303A">
        <w:rPr>
          <w:snapToGrid w:val="0"/>
          <w:kern w:val="22"/>
          <w:lang w:val="es-ES"/>
        </w:rPr>
        <w:t>Medidas para aumentar la concienciación acerca de la importancia de los recursos gen</w:t>
      </w:r>
      <w:r>
        <w:rPr>
          <w:snapToGrid w:val="0"/>
          <w:kern w:val="22"/>
          <w:lang w:val="es-ES"/>
        </w:rPr>
        <w:t>éticos y conocimientos tradicionales asociados</w:t>
      </w:r>
      <w:r w:rsidRPr="0048303A">
        <w:rPr>
          <w:snapToGrid w:val="0"/>
          <w:kern w:val="22"/>
          <w:lang w:val="es-ES"/>
        </w:rPr>
        <w:t xml:space="preserve"> (</w:t>
      </w:r>
      <w:r>
        <w:rPr>
          <w:snapToGrid w:val="0"/>
          <w:kern w:val="22"/>
          <w:lang w:val="es-ES"/>
        </w:rPr>
        <w:t>artículo</w:t>
      </w:r>
      <w:r w:rsidRPr="0048303A">
        <w:rPr>
          <w:snapToGrid w:val="0"/>
          <w:kern w:val="22"/>
          <w:lang w:val="es-ES"/>
        </w:rPr>
        <w:t xml:space="preserve"> </w:t>
      </w:r>
      <w:r w:rsidR="00BE20EF" w:rsidRPr="000A36A5">
        <w:rPr>
          <w:snapToGrid w:val="0"/>
          <w:kern w:val="22"/>
          <w:lang w:val="es-ES"/>
        </w:rPr>
        <w:t>21).</w:t>
      </w:r>
    </w:p>
    <w:p w:rsidR="00BE20EF" w:rsidRPr="000A36A5" w:rsidRDefault="000A36A5" w:rsidP="000C6220">
      <w:pPr>
        <w:numPr>
          <w:ilvl w:val="0"/>
          <w:numId w:val="18"/>
        </w:numPr>
        <w:tabs>
          <w:tab w:val="clear" w:pos="1800"/>
        </w:tabs>
        <w:kinsoku w:val="0"/>
        <w:overflowPunct w:val="0"/>
        <w:autoSpaceDE w:val="0"/>
        <w:autoSpaceDN w:val="0"/>
        <w:spacing w:before="120" w:line="240" w:lineRule="auto"/>
        <w:ind w:left="1287" w:hanging="720"/>
        <w:jc w:val="left"/>
        <w:rPr>
          <w:snapToGrid w:val="0"/>
          <w:kern w:val="22"/>
          <w:lang w:val="es-ES"/>
        </w:rPr>
      </w:pPr>
      <w:r w:rsidRPr="00166B92">
        <w:rPr>
          <w:snapToGrid w:val="0"/>
          <w:kern w:val="22"/>
          <w:szCs w:val="22"/>
          <w:lang w:val="es-ES"/>
        </w:rPr>
        <w:t>M</w:t>
      </w:r>
      <w:r>
        <w:rPr>
          <w:snapToGrid w:val="0"/>
          <w:kern w:val="22"/>
          <w:szCs w:val="22"/>
          <w:lang w:val="es-ES"/>
        </w:rPr>
        <w:t>ayor</w:t>
      </w:r>
      <w:r w:rsidRPr="00166B92">
        <w:rPr>
          <w:snapToGrid w:val="0"/>
          <w:kern w:val="22"/>
          <w:szCs w:val="22"/>
          <w:lang w:val="es-ES"/>
        </w:rPr>
        <w:t xml:space="preserve"> integración en el marco del Convenio y sus Protocolos con respecto a las disposiciones relacionadas con el acceso y la participación en los beneficios</w:t>
      </w:r>
      <w:r w:rsidR="00BE20EF" w:rsidRPr="000A36A5">
        <w:rPr>
          <w:snapToGrid w:val="0"/>
          <w:kern w:val="22"/>
          <w:szCs w:val="22"/>
          <w:lang w:val="es-ES"/>
        </w:rPr>
        <w:t>.</w:t>
      </w:r>
    </w:p>
    <w:p w:rsidR="00BE20EF" w:rsidRPr="000A36A5" w:rsidRDefault="000A36A5" w:rsidP="000C6220">
      <w:pPr>
        <w:numPr>
          <w:ilvl w:val="0"/>
          <w:numId w:val="18"/>
        </w:numPr>
        <w:tabs>
          <w:tab w:val="clear" w:pos="1800"/>
        </w:tabs>
        <w:kinsoku w:val="0"/>
        <w:overflowPunct w:val="0"/>
        <w:autoSpaceDE w:val="0"/>
        <w:autoSpaceDN w:val="0"/>
        <w:spacing w:before="120" w:line="240" w:lineRule="auto"/>
        <w:ind w:left="1287" w:hanging="720"/>
        <w:jc w:val="left"/>
        <w:rPr>
          <w:snapToGrid w:val="0"/>
          <w:kern w:val="22"/>
          <w:lang w:val="es-ES"/>
        </w:rPr>
      </w:pPr>
      <w:r w:rsidRPr="009334A5">
        <w:rPr>
          <w:lang w:val="es-ES_tradnl"/>
        </w:rPr>
        <w:t>Cooperación con otros convenios, organizaciones e iniciativas</w:t>
      </w:r>
      <w:r>
        <w:rPr>
          <w:lang w:val="es-ES_tradnl"/>
        </w:rPr>
        <w:t xml:space="preserve"> internacionales</w:t>
      </w:r>
      <w:r w:rsidR="00BE20EF" w:rsidRPr="000A36A5">
        <w:rPr>
          <w:snapToGrid w:val="0"/>
          <w:kern w:val="22"/>
          <w:lang w:val="es-ES"/>
        </w:rPr>
        <w:t>.</w:t>
      </w:r>
    </w:p>
    <w:p w:rsidR="00BE20EF" w:rsidRPr="000A36A5" w:rsidRDefault="000A36A5" w:rsidP="000C6220">
      <w:pPr>
        <w:numPr>
          <w:ilvl w:val="0"/>
          <w:numId w:val="18"/>
        </w:numPr>
        <w:tabs>
          <w:tab w:val="clear" w:pos="1800"/>
        </w:tabs>
        <w:kinsoku w:val="0"/>
        <w:overflowPunct w:val="0"/>
        <w:autoSpaceDE w:val="0"/>
        <w:autoSpaceDN w:val="0"/>
        <w:spacing w:before="120" w:line="240" w:lineRule="auto"/>
        <w:ind w:left="1287" w:hanging="720"/>
        <w:jc w:val="left"/>
        <w:rPr>
          <w:snapToGrid w:val="0"/>
          <w:kern w:val="22"/>
          <w:lang w:val="es-ES"/>
        </w:rPr>
      </w:pPr>
      <w:r w:rsidRPr="009334A5">
        <w:rPr>
          <w:lang w:val="es-ES_tradnl"/>
        </w:rPr>
        <w:t>Revisión de la eficacia de l</w:t>
      </w:r>
      <w:r>
        <w:rPr>
          <w:lang w:val="es-ES_tradnl"/>
        </w:rPr>
        <w:t>as estructuras y l</w:t>
      </w:r>
      <w:r w:rsidRPr="009334A5">
        <w:rPr>
          <w:lang w:val="es-ES_tradnl"/>
        </w:rPr>
        <w:t>os procesos</w:t>
      </w:r>
      <w:r w:rsidR="00BE20EF" w:rsidRPr="000A36A5">
        <w:rPr>
          <w:snapToGrid w:val="0"/>
          <w:kern w:val="22"/>
          <w:lang w:val="es-ES"/>
        </w:rPr>
        <w:t>.</w:t>
      </w:r>
    </w:p>
    <w:p w:rsidR="00BE20EF" w:rsidRPr="000A36A5" w:rsidRDefault="000A36A5" w:rsidP="000C6220">
      <w:pPr>
        <w:numPr>
          <w:ilvl w:val="0"/>
          <w:numId w:val="18"/>
        </w:numPr>
        <w:tabs>
          <w:tab w:val="clear" w:pos="1800"/>
        </w:tabs>
        <w:kinsoku w:val="0"/>
        <w:overflowPunct w:val="0"/>
        <w:autoSpaceDE w:val="0"/>
        <w:autoSpaceDN w:val="0"/>
        <w:spacing w:before="120" w:line="240" w:lineRule="auto"/>
        <w:ind w:left="1287" w:hanging="720"/>
        <w:jc w:val="left"/>
        <w:rPr>
          <w:snapToGrid w:val="0"/>
          <w:kern w:val="22"/>
          <w:lang w:val="es-ES"/>
        </w:rPr>
      </w:pPr>
      <w:r w:rsidRPr="00D67B50">
        <w:rPr>
          <w:snapToGrid w:val="0"/>
          <w:kern w:val="22"/>
          <w:szCs w:val="22"/>
          <w:lang w:val="es-ES"/>
        </w:rPr>
        <w:t xml:space="preserve">Preparación para el seguimiento del Plan Estratégico para la Diversidad Biológica </w:t>
      </w:r>
      <w:r w:rsidRPr="00CD15CF">
        <w:rPr>
          <w:snapToGrid w:val="0"/>
          <w:kern w:val="22"/>
          <w:szCs w:val="22"/>
          <w:lang w:val="es-ES"/>
        </w:rPr>
        <w:t>2011-2020</w:t>
      </w:r>
      <w:r w:rsidR="00BE20EF" w:rsidRPr="000A36A5">
        <w:rPr>
          <w:snapToGrid w:val="0"/>
          <w:kern w:val="22"/>
          <w:szCs w:val="22"/>
          <w:lang w:val="es-ES"/>
        </w:rPr>
        <w:t>.</w:t>
      </w:r>
    </w:p>
    <w:p w:rsidR="00BE20EF" w:rsidRPr="000A36A5" w:rsidRDefault="000A36A5" w:rsidP="000C6220">
      <w:pPr>
        <w:numPr>
          <w:ilvl w:val="0"/>
          <w:numId w:val="18"/>
        </w:numPr>
        <w:tabs>
          <w:tab w:val="clear" w:pos="1800"/>
        </w:tabs>
        <w:kinsoku w:val="0"/>
        <w:overflowPunct w:val="0"/>
        <w:autoSpaceDE w:val="0"/>
        <w:autoSpaceDN w:val="0"/>
        <w:spacing w:before="120" w:line="240" w:lineRule="auto"/>
        <w:ind w:left="1287" w:hanging="720"/>
        <w:jc w:val="left"/>
        <w:rPr>
          <w:snapToGrid w:val="0"/>
          <w:kern w:val="22"/>
          <w:lang w:val="es-ES"/>
        </w:rPr>
      </w:pPr>
      <w:r w:rsidRPr="00140829">
        <w:rPr>
          <w:snapToGrid w:val="0"/>
          <w:kern w:val="22"/>
          <w:lang w:val="es-ES"/>
        </w:rPr>
        <w:t>Información digital sobre secuencias de recursos gen</w:t>
      </w:r>
      <w:r>
        <w:rPr>
          <w:snapToGrid w:val="0"/>
          <w:kern w:val="22"/>
          <w:lang w:val="es-ES"/>
        </w:rPr>
        <w:t>éticos</w:t>
      </w:r>
      <w:r w:rsidR="00BE20EF" w:rsidRPr="000A36A5">
        <w:rPr>
          <w:snapToGrid w:val="0"/>
          <w:kern w:val="22"/>
          <w:lang w:val="es-ES"/>
        </w:rPr>
        <w:t>.</w:t>
      </w:r>
    </w:p>
    <w:p w:rsidR="00BE20EF" w:rsidRPr="000A36A5" w:rsidRDefault="000A36A5" w:rsidP="000C6220">
      <w:pPr>
        <w:numPr>
          <w:ilvl w:val="0"/>
          <w:numId w:val="18"/>
        </w:numPr>
        <w:tabs>
          <w:tab w:val="clear" w:pos="1800"/>
        </w:tabs>
        <w:kinsoku w:val="0"/>
        <w:overflowPunct w:val="0"/>
        <w:autoSpaceDE w:val="0"/>
        <w:autoSpaceDN w:val="0"/>
        <w:spacing w:before="120" w:line="240" w:lineRule="auto"/>
        <w:ind w:left="1287" w:hanging="720"/>
        <w:jc w:val="left"/>
        <w:rPr>
          <w:snapToGrid w:val="0"/>
          <w:kern w:val="22"/>
          <w:lang w:val="es-ES"/>
        </w:rPr>
      </w:pPr>
      <w:r w:rsidRPr="00263BBA">
        <w:rPr>
          <w:iCs/>
          <w:snapToGrid w:val="0"/>
          <w:kern w:val="22"/>
          <w:szCs w:val="22"/>
          <w:lang w:val="es-ES"/>
        </w:rPr>
        <w:t xml:space="preserve">Instrumentos internacionales especializados de acceso y participación en los beneficios </w:t>
      </w:r>
      <w:r>
        <w:rPr>
          <w:iCs/>
          <w:snapToGrid w:val="0"/>
          <w:kern w:val="22"/>
          <w:szCs w:val="22"/>
          <w:lang w:val="es-ES"/>
        </w:rPr>
        <w:t>dentro d</w:t>
      </w:r>
      <w:r w:rsidRPr="00263BBA">
        <w:rPr>
          <w:iCs/>
          <w:snapToGrid w:val="0"/>
          <w:kern w:val="22"/>
          <w:szCs w:val="22"/>
          <w:lang w:val="es-ES"/>
        </w:rPr>
        <w:t>el contexto del párrafo 4 del artículo 4 del Protocolo de Nagoya</w:t>
      </w:r>
      <w:r w:rsidR="00BE20EF" w:rsidRPr="000A36A5">
        <w:rPr>
          <w:iCs/>
          <w:snapToGrid w:val="0"/>
          <w:kern w:val="22"/>
          <w:szCs w:val="22"/>
          <w:lang w:val="es-ES"/>
        </w:rPr>
        <w:t>.</w:t>
      </w:r>
    </w:p>
    <w:p w:rsidR="00BE20EF" w:rsidRPr="000A36A5" w:rsidRDefault="000A36A5" w:rsidP="000C6220">
      <w:pPr>
        <w:numPr>
          <w:ilvl w:val="0"/>
          <w:numId w:val="18"/>
        </w:numPr>
        <w:tabs>
          <w:tab w:val="clear" w:pos="1800"/>
        </w:tabs>
        <w:kinsoku w:val="0"/>
        <w:overflowPunct w:val="0"/>
        <w:autoSpaceDE w:val="0"/>
        <w:autoSpaceDN w:val="0"/>
        <w:spacing w:before="120" w:line="240" w:lineRule="auto"/>
        <w:ind w:left="1287" w:hanging="720"/>
        <w:jc w:val="left"/>
        <w:rPr>
          <w:snapToGrid w:val="0"/>
          <w:kern w:val="22"/>
          <w:lang w:val="es-ES"/>
        </w:rPr>
      </w:pPr>
      <w:r w:rsidRPr="004A6ED8">
        <w:rPr>
          <w:snapToGrid w:val="0"/>
          <w:kern w:val="22"/>
          <w:lang w:val="es-ES"/>
        </w:rPr>
        <w:t xml:space="preserve">Mecanismo mundial multilateral de participación en los beneficios </w:t>
      </w:r>
      <w:r>
        <w:rPr>
          <w:snapToGrid w:val="0"/>
          <w:kern w:val="22"/>
          <w:lang w:val="es-ES"/>
        </w:rPr>
        <w:t>(artículo</w:t>
      </w:r>
      <w:r w:rsidRPr="00CD15CF">
        <w:rPr>
          <w:snapToGrid w:val="0"/>
          <w:kern w:val="22"/>
          <w:lang w:val="es-ES"/>
        </w:rPr>
        <w:t xml:space="preserve"> </w:t>
      </w:r>
      <w:r w:rsidR="00BE20EF" w:rsidRPr="000A36A5">
        <w:rPr>
          <w:snapToGrid w:val="0"/>
          <w:kern w:val="22"/>
          <w:lang w:val="es-ES"/>
        </w:rPr>
        <w:t>10).</w:t>
      </w:r>
    </w:p>
    <w:p w:rsidR="00BE20EF" w:rsidRPr="00EE0850" w:rsidRDefault="000A36A5" w:rsidP="000C6220">
      <w:pPr>
        <w:numPr>
          <w:ilvl w:val="0"/>
          <w:numId w:val="18"/>
        </w:numPr>
        <w:tabs>
          <w:tab w:val="clear" w:pos="1800"/>
        </w:tabs>
        <w:kinsoku w:val="0"/>
        <w:overflowPunct w:val="0"/>
        <w:autoSpaceDE w:val="0"/>
        <w:autoSpaceDN w:val="0"/>
        <w:spacing w:before="120" w:line="240" w:lineRule="auto"/>
        <w:ind w:left="1287" w:hanging="720"/>
        <w:jc w:val="left"/>
        <w:rPr>
          <w:snapToGrid w:val="0"/>
          <w:kern w:val="22"/>
        </w:rPr>
      </w:pPr>
      <w:r>
        <w:rPr>
          <w:snapToGrid w:val="0"/>
          <w:kern w:val="22"/>
        </w:rPr>
        <w:t>Otros asuntos</w:t>
      </w:r>
      <w:r w:rsidR="00BE20EF" w:rsidRPr="00EE0850">
        <w:rPr>
          <w:snapToGrid w:val="0"/>
          <w:kern w:val="22"/>
        </w:rPr>
        <w:t>.</w:t>
      </w:r>
    </w:p>
    <w:p w:rsidR="00BE20EF" w:rsidRPr="00EE0850" w:rsidRDefault="000A36A5" w:rsidP="000C6220">
      <w:pPr>
        <w:numPr>
          <w:ilvl w:val="0"/>
          <w:numId w:val="18"/>
        </w:numPr>
        <w:tabs>
          <w:tab w:val="clear" w:pos="1800"/>
        </w:tabs>
        <w:kinsoku w:val="0"/>
        <w:overflowPunct w:val="0"/>
        <w:autoSpaceDE w:val="0"/>
        <w:autoSpaceDN w:val="0"/>
        <w:spacing w:before="120" w:line="240" w:lineRule="auto"/>
        <w:ind w:left="1287" w:hanging="720"/>
        <w:jc w:val="left"/>
        <w:rPr>
          <w:snapToGrid w:val="0"/>
          <w:kern w:val="22"/>
        </w:rPr>
      </w:pPr>
      <w:r w:rsidRPr="007F45C6">
        <w:rPr>
          <w:snapToGrid w:val="0"/>
          <w:kern w:val="22"/>
        </w:rPr>
        <w:t>Adop</w:t>
      </w:r>
      <w:r>
        <w:rPr>
          <w:snapToGrid w:val="0"/>
          <w:kern w:val="22"/>
        </w:rPr>
        <w:t>ción del informe</w:t>
      </w:r>
      <w:r w:rsidR="00BE20EF" w:rsidRPr="00EE0850">
        <w:rPr>
          <w:snapToGrid w:val="0"/>
          <w:kern w:val="22"/>
        </w:rPr>
        <w:t>.</w:t>
      </w:r>
    </w:p>
    <w:p w:rsidR="00BE20EF" w:rsidRPr="00EE0850" w:rsidRDefault="00BE20EF" w:rsidP="000C6220">
      <w:pPr>
        <w:numPr>
          <w:ilvl w:val="0"/>
          <w:numId w:val="18"/>
        </w:numPr>
        <w:tabs>
          <w:tab w:val="clear" w:pos="1800"/>
        </w:tabs>
        <w:kinsoku w:val="0"/>
        <w:overflowPunct w:val="0"/>
        <w:autoSpaceDE w:val="0"/>
        <w:autoSpaceDN w:val="0"/>
        <w:spacing w:before="120" w:line="240" w:lineRule="auto"/>
        <w:ind w:left="1287" w:hanging="720"/>
        <w:jc w:val="left"/>
        <w:rPr>
          <w:snapToGrid w:val="0"/>
          <w:kern w:val="22"/>
          <w:lang w:val="en-US"/>
        </w:rPr>
      </w:pPr>
      <w:r w:rsidRPr="00EE0850">
        <w:rPr>
          <w:snapToGrid w:val="0"/>
          <w:kern w:val="22"/>
        </w:rPr>
        <w:t>Cl</w:t>
      </w:r>
      <w:r w:rsidR="000A36A5">
        <w:rPr>
          <w:snapToGrid w:val="0"/>
          <w:kern w:val="22"/>
        </w:rPr>
        <w:t>ausura de la reunión</w:t>
      </w:r>
      <w:r w:rsidRPr="00EE0850">
        <w:rPr>
          <w:snapToGrid w:val="0"/>
          <w:kern w:val="22"/>
        </w:rPr>
        <w:t>.</w:t>
      </w:r>
    </w:p>
    <w:p w:rsidR="005440DA" w:rsidRPr="00EE0850" w:rsidRDefault="006A530A" w:rsidP="000C6220">
      <w:pPr>
        <w:pStyle w:val="Ttulo2"/>
        <w:tabs>
          <w:tab w:val="left" w:pos="426"/>
        </w:tabs>
        <w:spacing w:before="120" w:line="240" w:lineRule="auto"/>
      </w:pPr>
      <w:r w:rsidRPr="00EE0850">
        <w:lastRenderedPageBreak/>
        <w:t>2.3</w:t>
      </w:r>
      <w:r w:rsidR="001F2E12" w:rsidRPr="00EE0850">
        <w:t>.</w:t>
      </w:r>
      <w:r w:rsidR="001F2E12" w:rsidRPr="00EE0850">
        <w:tab/>
      </w:r>
      <w:r w:rsidR="000A36A5" w:rsidRPr="002D7E6D">
        <w:t>Organiza</w:t>
      </w:r>
      <w:r w:rsidR="000A36A5">
        <w:t>ción de los trabajos</w:t>
      </w:r>
    </w:p>
    <w:p w:rsidR="002D7E6D" w:rsidRPr="000A36A5" w:rsidRDefault="000A36A5" w:rsidP="000C6220">
      <w:pPr>
        <w:pStyle w:val="Para1"/>
        <w:tabs>
          <w:tab w:val="clear" w:pos="360"/>
          <w:tab w:val="clear" w:pos="567"/>
          <w:tab w:val="clear" w:pos="2912"/>
        </w:tabs>
        <w:spacing w:line="240" w:lineRule="auto"/>
        <w:rPr>
          <w:lang w:val="es-ES"/>
        </w:rPr>
      </w:pPr>
      <w:r w:rsidRPr="000A36A5">
        <w:rPr>
          <w:lang w:val="es-ES"/>
        </w:rPr>
        <w:t xml:space="preserve">En la </w:t>
      </w:r>
      <w:r w:rsidRPr="000A36A5">
        <w:rPr>
          <w:color w:val="000000"/>
          <w:lang w:val="es-ES"/>
        </w:rPr>
        <w:t xml:space="preserve">2ª sesión plenaria, el </w:t>
      </w:r>
      <w:r w:rsidRPr="000A36A5">
        <w:rPr>
          <w:lang w:val="es-ES"/>
        </w:rPr>
        <w:t>17 de noviembre de 2018, la Conferencia de las Partes que actúa como reunión de las Partes en el Protocolo de Nagoya acordó organizar su labor según se indica en el anexo II de la propuesta de organización de los trabajos (CBD/COP/14/1/Add.2) y aprobó la creación de los dos grupos de trabajo por parte de la Conferencia de las Partes</w:t>
      </w:r>
      <w:r w:rsidR="00A25490" w:rsidRPr="000A36A5">
        <w:rPr>
          <w:lang w:val="es-ES"/>
        </w:rPr>
        <w:t>.</w:t>
      </w:r>
    </w:p>
    <w:p w:rsidR="00B45E7D" w:rsidRPr="00EE0850" w:rsidRDefault="000A36A5" w:rsidP="000C6220">
      <w:pPr>
        <w:pStyle w:val="Ttulo3"/>
        <w:spacing w:line="240" w:lineRule="auto"/>
      </w:pPr>
      <w:r>
        <w:rPr>
          <w:lang w:val="es-ES"/>
        </w:rPr>
        <w:t>Eventos paralelos y premios</w:t>
      </w:r>
    </w:p>
    <w:p w:rsidR="00B45E7D" w:rsidRPr="009040A0" w:rsidRDefault="000A36A5" w:rsidP="000C6220">
      <w:pPr>
        <w:pStyle w:val="Para1"/>
        <w:tabs>
          <w:tab w:val="clear" w:pos="360"/>
          <w:tab w:val="clear" w:pos="567"/>
          <w:tab w:val="clear" w:pos="2912"/>
        </w:tabs>
        <w:spacing w:line="240" w:lineRule="auto"/>
        <w:rPr>
          <w:lang w:val="es-ES"/>
        </w:rPr>
      </w:pPr>
      <w:r w:rsidRPr="00B62A24">
        <w:rPr>
          <w:lang w:val="es-ES"/>
        </w:rPr>
        <w:t xml:space="preserve">Durante la decimocuarta reunión de la Conferencia de las Partes se celebraron tres ceremonias de </w:t>
      </w:r>
      <w:r>
        <w:rPr>
          <w:lang w:val="es-ES"/>
        </w:rPr>
        <w:t xml:space="preserve">entrega de </w:t>
      </w:r>
      <w:r w:rsidRPr="00B62A24">
        <w:rPr>
          <w:lang w:val="es-ES"/>
        </w:rPr>
        <w:t xml:space="preserve">premios. </w:t>
      </w:r>
      <w:r>
        <w:rPr>
          <w:lang w:val="es-ES"/>
        </w:rPr>
        <w:t>Asimismo, tuvieron lugar varios eventos relacionados en paralelo con la reunión</w:t>
      </w:r>
      <w:r w:rsidRPr="00B62A24">
        <w:rPr>
          <w:lang w:val="es-ES"/>
        </w:rPr>
        <w:t xml:space="preserve">. Se puede encontrar más información sobre estas ceremonias de entrega de premios y eventos paralelos en el anexo IV </w:t>
      </w:r>
      <w:r>
        <w:rPr>
          <w:lang w:val="es-ES"/>
        </w:rPr>
        <w:t xml:space="preserve">del informe de la </w:t>
      </w:r>
      <w:r w:rsidR="009040A0">
        <w:rPr>
          <w:lang w:val="es-ES"/>
        </w:rPr>
        <w:t xml:space="preserve">Conferencia de las Partes en su </w:t>
      </w:r>
      <w:r>
        <w:rPr>
          <w:lang w:val="es-ES"/>
        </w:rPr>
        <w:t>decimocuarta reunión</w:t>
      </w:r>
      <w:r w:rsidR="00B45E7D" w:rsidRPr="009040A0">
        <w:rPr>
          <w:lang w:val="es-ES"/>
        </w:rPr>
        <w:t>.</w:t>
      </w:r>
    </w:p>
    <w:p w:rsidR="00CF77B5" w:rsidRPr="009040A0" w:rsidRDefault="009040A0" w:rsidP="000C6220">
      <w:pPr>
        <w:pStyle w:val="Heading1-item"/>
        <w:spacing w:before="120" w:line="240" w:lineRule="auto"/>
        <w:ind w:left="1701" w:hanging="1134"/>
        <w:jc w:val="left"/>
        <w:rPr>
          <w:rFonts w:hint="eastAsia"/>
          <w:lang w:val="es-ES"/>
        </w:rPr>
      </w:pPr>
      <w:bookmarkStart w:id="29" w:name="_Toc256220"/>
      <w:bookmarkStart w:id="30" w:name="_Hlk778092"/>
      <w:r>
        <w:rPr>
          <w:rFonts w:ascii="Times New Roman" w:hAnsi="Times New Roman" w:cs="Times New Roman"/>
          <w:lang w:val="es-ES"/>
        </w:rPr>
        <w:t>TEMA</w:t>
      </w:r>
      <w:r w:rsidR="006A530A" w:rsidRPr="009040A0">
        <w:rPr>
          <w:rFonts w:ascii="Times New Roman" w:hAnsi="Times New Roman" w:cs="Times New Roman"/>
          <w:lang w:val="es-ES"/>
        </w:rPr>
        <w:t xml:space="preserve"> 3</w:t>
      </w:r>
      <w:r w:rsidR="009C4CAA" w:rsidRPr="009040A0">
        <w:rPr>
          <w:rFonts w:ascii="Times New Roman" w:hAnsi="Times New Roman" w:cs="Times New Roman"/>
          <w:lang w:val="es-ES"/>
        </w:rPr>
        <w:t>.</w:t>
      </w:r>
      <w:r w:rsidR="009C4CAA" w:rsidRPr="009040A0">
        <w:rPr>
          <w:rFonts w:ascii="Times New Roman" w:hAnsi="Times New Roman" w:cs="Times New Roman"/>
          <w:lang w:val="es-ES"/>
        </w:rPr>
        <w:tab/>
      </w:r>
      <w:bookmarkEnd w:id="29"/>
      <w:r w:rsidRPr="009040A0">
        <w:rPr>
          <w:rFonts w:ascii="Times New Roman" w:eastAsia="MS Mincho" w:hAnsi="Times New Roman" w:cs="Times New Roman"/>
          <w:lang w:val="es-ES"/>
        </w:rPr>
        <w:t>INFORME SOBRE LAS CREDENCIALES DE LOS REPRESENTANTES EN LA TERCERA REUNIÓN DE LA CONFERENCIA DE LAS PARTES QUE ACTÚA COMO REUNIÓN DE LAS PARTES EN EL PROTOCOLO DE NAGOYA</w:t>
      </w:r>
    </w:p>
    <w:p w:rsidR="002D7E6D" w:rsidRPr="009040A0" w:rsidRDefault="009040A0" w:rsidP="000C6220">
      <w:pPr>
        <w:pStyle w:val="Para1"/>
        <w:tabs>
          <w:tab w:val="clear" w:pos="360"/>
          <w:tab w:val="clear" w:pos="567"/>
          <w:tab w:val="clear" w:pos="2912"/>
        </w:tabs>
        <w:spacing w:line="240" w:lineRule="auto"/>
        <w:rPr>
          <w:lang w:val="es-ES"/>
        </w:rPr>
      </w:pPr>
      <w:r w:rsidRPr="00075FD9">
        <w:rPr>
          <w:lang w:val="es-ES"/>
        </w:rPr>
        <w:t>El tema 3 del programa se examin</w:t>
      </w:r>
      <w:r>
        <w:rPr>
          <w:lang w:val="es-ES"/>
        </w:rPr>
        <w:t>ó</w:t>
      </w:r>
      <w:r w:rsidRPr="00075FD9">
        <w:rPr>
          <w:lang w:val="es-ES"/>
        </w:rPr>
        <w:t xml:space="preserve"> en la 2ª sesión plenaria de la reuni</w:t>
      </w:r>
      <w:r>
        <w:rPr>
          <w:lang w:val="es-ES"/>
        </w:rPr>
        <w:t>ón, el 17 de noviembre de 2018</w:t>
      </w:r>
      <w:r w:rsidRPr="00075FD9">
        <w:rPr>
          <w:lang w:val="es-ES"/>
        </w:rPr>
        <w:t xml:space="preserve">. </w:t>
      </w:r>
      <w:r w:rsidRPr="001B5065">
        <w:rPr>
          <w:rFonts w:eastAsia="MS Mincho"/>
          <w:kern w:val="22"/>
          <w:lang w:val="es-ES"/>
        </w:rPr>
        <w:t>De acuerdo con el artículo 19 del reglamento, la Mesa examin</w:t>
      </w:r>
      <w:r>
        <w:rPr>
          <w:rFonts w:eastAsia="MS Mincho"/>
          <w:kern w:val="22"/>
          <w:lang w:val="es-ES"/>
        </w:rPr>
        <w:t>ó</w:t>
      </w:r>
      <w:r w:rsidRPr="001B5065">
        <w:rPr>
          <w:rFonts w:eastAsia="MS Mincho"/>
          <w:kern w:val="22"/>
          <w:lang w:val="es-ES"/>
        </w:rPr>
        <w:t xml:space="preserve"> </w:t>
      </w:r>
      <w:r>
        <w:rPr>
          <w:rFonts w:eastAsia="MS Mincho"/>
          <w:kern w:val="22"/>
          <w:lang w:val="es-ES"/>
        </w:rPr>
        <w:t xml:space="preserve">e informó sobre </w:t>
      </w:r>
      <w:r w:rsidRPr="001B5065">
        <w:rPr>
          <w:rFonts w:eastAsia="MS Mincho"/>
          <w:kern w:val="22"/>
          <w:lang w:val="es-ES"/>
        </w:rPr>
        <w:t>las credenciales</w:t>
      </w:r>
      <w:r>
        <w:rPr>
          <w:rFonts w:eastAsia="MS Mincho"/>
          <w:kern w:val="22"/>
          <w:lang w:val="es-ES"/>
        </w:rPr>
        <w:t xml:space="preserve"> de las delegaciones</w:t>
      </w:r>
      <w:r w:rsidRPr="00DB732A">
        <w:rPr>
          <w:lang w:val="es-ES"/>
        </w:rPr>
        <w:t xml:space="preserve">. En consecuencia, la Presidenta informó a la </w:t>
      </w:r>
      <w:r>
        <w:rPr>
          <w:lang w:val="es-ES"/>
        </w:rPr>
        <w:t xml:space="preserve">Conferencia de las Partes que actúa como </w:t>
      </w:r>
      <w:r w:rsidRPr="00DB732A">
        <w:rPr>
          <w:lang w:val="es-ES"/>
        </w:rPr>
        <w:t xml:space="preserve">reunión </w:t>
      </w:r>
      <w:r>
        <w:rPr>
          <w:lang w:val="es-ES"/>
        </w:rPr>
        <w:t xml:space="preserve">de las Partes en el Protocolo de Nagoya </w:t>
      </w:r>
      <w:r w:rsidRPr="00DB732A">
        <w:rPr>
          <w:lang w:val="es-ES"/>
        </w:rPr>
        <w:t>que la Mesa había designado a la Sra</w:t>
      </w:r>
      <w:r w:rsidRPr="00DB732A">
        <w:rPr>
          <w:rFonts w:eastAsiaTheme="minorEastAsia"/>
          <w:bCs/>
          <w:iCs/>
          <w:szCs w:val="24"/>
          <w:lang w:val="es-ES"/>
        </w:rPr>
        <w:t xml:space="preserve">. Elena Makeyeva </w:t>
      </w:r>
      <w:r w:rsidRPr="00DB732A">
        <w:rPr>
          <w:lang w:val="es-ES"/>
        </w:rPr>
        <w:t>(Belar</w:t>
      </w:r>
      <w:r>
        <w:rPr>
          <w:lang w:val="es-ES"/>
        </w:rPr>
        <w:t>ú</w:t>
      </w:r>
      <w:r w:rsidRPr="00DB732A">
        <w:rPr>
          <w:lang w:val="es-ES"/>
        </w:rPr>
        <w:t xml:space="preserve">s), </w:t>
      </w:r>
      <w:r>
        <w:rPr>
          <w:lang w:val="es-ES"/>
        </w:rPr>
        <w:t>vicepresidenta de la Mesa, para que examinase e informase sobre las credenciales</w:t>
      </w:r>
      <w:r w:rsidR="002D7E6D" w:rsidRPr="009040A0">
        <w:rPr>
          <w:lang w:val="es-ES"/>
        </w:rPr>
        <w:t>.</w:t>
      </w:r>
    </w:p>
    <w:p w:rsidR="00BD17E5" w:rsidRPr="00E40FBD" w:rsidRDefault="00E40FBD" w:rsidP="000C6220">
      <w:pPr>
        <w:pStyle w:val="Para1"/>
        <w:tabs>
          <w:tab w:val="clear" w:pos="360"/>
          <w:tab w:val="clear" w:pos="567"/>
          <w:tab w:val="clear" w:pos="2912"/>
        </w:tabs>
        <w:spacing w:line="240" w:lineRule="auto"/>
        <w:rPr>
          <w:lang w:val="es-ES"/>
        </w:rPr>
      </w:pPr>
      <w:r w:rsidRPr="000F2A31">
        <w:rPr>
          <w:snapToGrid w:val="0"/>
          <w:kern w:val="22"/>
          <w:szCs w:val="22"/>
          <w:lang w:val="es-ES"/>
        </w:rPr>
        <w:t>En la 4ª sesión plenaria de la reunión, el 22 de noviembre de 2018, la Sra. Makeyeva informó a la Conferencia de las Partes que act</w:t>
      </w:r>
      <w:r>
        <w:rPr>
          <w:snapToGrid w:val="0"/>
          <w:kern w:val="22"/>
          <w:szCs w:val="22"/>
          <w:lang w:val="es-ES"/>
        </w:rPr>
        <w:t xml:space="preserve">úa como reunión de las </w:t>
      </w:r>
      <w:r w:rsidRPr="000F2A31">
        <w:rPr>
          <w:snapToGrid w:val="0"/>
          <w:kern w:val="22"/>
          <w:szCs w:val="22"/>
          <w:lang w:val="es-ES"/>
        </w:rPr>
        <w:t xml:space="preserve">Partes </w:t>
      </w:r>
      <w:r>
        <w:rPr>
          <w:snapToGrid w:val="0"/>
          <w:kern w:val="22"/>
          <w:szCs w:val="22"/>
          <w:lang w:val="es-ES"/>
        </w:rPr>
        <w:t xml:space="preserve">en el Protocolo de Nagoya que </w:t>
      </w:r>
      <w:r w:rsidRPr="000F2A31">
        <w:rPr>
          <w:snapToGrid w:val="0"/>
          <w:kern w:val="22"/>
          <w:szCs w:val="22"/>
          <w:lang w:val="es-ES"/>
        </w:rPr>
        <w:t xml:space="preserve">111 </w:t>
      </w:r>
      <w:r>
        <w:rPr>
          <w:snapToGrid w:val="0"/>
          <w:kern w:val="22"/>
          <w:szCs w:val="22"/>
          <w:lang w:val="es-ES"/>
        </w:rPr>
        <w:t>Partes se habían registrado como asistentes a la reunión</w:t>
      </w:r>
      <w:r w:rsidRPr="000F2A31">
        <w:rPr>
          <w:snapToGrid w:val="0"/>
          <w:kern w:val="22"/>
          <w:szCs w:val="22"/>
          <w:lang w:val="es-ES"/>
        </w:rPr>
        <w:t>. La Mesa había examinado las credenciales de los representantes de 94 Partes que asist</w:t>
      </w:r>
      <w:r>
        <w:rPr>
          <w:snapToGrid w:val="0"/>
          <w:kern w:val="22"/>
          <w:szCs w:val="22"/>
          <w:lang w:val="es-ES"/>
        </w:rPr>
        <w:t>ían a la reunión</w:t>
      </w:r>
      <w:r w:rsidRPr="000F2A31">
        <w:rPr>
          <w:snapToGrid w:val="0"/>
          <w:kern w:val="22"/>
          <w:szCs w:val="22"/>
          <w:lang w:val="es-ES"/>
        </w:rPr>
        <w:t xml:space="preserve">. Las credenciales de 84 delegaciones </w:t>
      </w:r>
      <w:r>
        <w:rPr>
          <w:lang w:val="es-ES"/>
        </w:rPr>
        <w:t>cumplían plenamente las disposiciones del artículo 18 del reglamento</w:t>
      </w:r>
      <w:r w:rsidRPr="000F2A31">
        <w:rPr>
          <w:snapToGrid w:val="0"/>
          <w:kern w:val="22"/>
          <w:szCs w:val="22"/>
          <w:lang w:val="es-ES"/>
        </w:rPr>
        <w:t xml:space="preserve">. </w:t>
      </w:r>
      <w:r w:rsidRPr="00E40FBD">
        <w:rPr>
          <w:snapToGrid w:val="0"/>
          <w:kern w:val="22"/>
          <w:szCs w:val="22"/>
          <w:lang w:val="es-ES"/>
        </w:rPr>
        <w:t xml:space="preserve">Las de 10 </w:t>
      </w:r>
      <w:r w:rsidRPr="00E40FBD">
        <w:rPr>
          <w:lang w:val="es-ES"/>
        </w:rPr>
        <w:t>delegaciones no cumplían plenamente las disposiciones del artículo</w:t>
      </w:r>
      <w:r w:rsidRPr="00E40FBD">
        <w:rPr>
          <w:snapToGrid w:val="0"/>
          <w:kern w:val="22"/>
          <w:szCs w:val="22"/>
          <w:lang w:val="es-ES"/>
        </w:rPr>
        <w:t xml:space="preserve"> 18 y otras 17 </w:t>
      </w:r>
      <w:r w:rsidRPr="00E40FBD">
        <w:rPr>
          <w:lang w:val="es-ES"/>
        </w:rPr>
        <w:t>delegaciones no habían presentado sus credenciales hasta la fecha</w:t>
      </w:r>
      <w:r w:rsidR="00BD17E5" w:rsidRPr="00E40FBD">
        <w:rPr>
          <w:snapToGrid w:val="0"/>
          <w:kern w:val="22"/>
          <w:szCs w:val="22"/>
          <w:lang w:val="es-ES"/>
        </w:rPr>
        <w:t>.</w:t>
      </w:r>
    </w:p>
    <w:p w:rsidR="00426DF0" w:rsidRPr="0066201D" w:rsidRDefault="00E40FBD" w:rsidP="000C6220">
      <w:pPr>
        <w:pStyle w:val="Para1"/>
        <w:tabs>
          <w:tab w:val="clear" w:pos="360"/>
          <w:tab w:val="clear" w:pos="567"/>
          <w:tab w:val="clear" w:pos="2912"/>
        </w:tabs>
        <w:spacing w:line="240" w:lineRule="auto"/>
        <w:rPr>
          <w:lang w:val="es-ES"/>
        </w:rPr>
      </w:pPr>
      <w:r w:rsidRPr="00E40FBD">
        <w:rPr>
          <w:lang w:val="es-ES"/>
        </w:rPr>
        <w:t xml:space="preserve">En la 7ª sesión plenaria de la reunión, el </w:t>
      </w:r>
      <w:r w:rsidR="00426DF0" w:rsidRPr="00E40FBD">
        <w:rPr>
          <w:lang w:val="es-ES"/>
        </w:rPr>
        <w:t xml:space="preserve">29 </w:t>
      </w:r>
      <w:r w:rsidRPr="00E40FBD">
        <w:rPr>
          <w:lang w:val="es-ES"/>
        </w:rPr>
        <w:t xml:space="preserve">de noviembre de </w:t>
      </w:r>
      <w:r w:rsidR="00426DF0" w:rsidRPr="00E40FBD">
        <w:rPr>
          <w:lang w:val="es-ES"/>
        </w:rPr>
        <w:t xml:space="preserve">2018, </w:t>
      </w:r>
      <w:r w:rsidRPr="00E40FBD">
        <w:rPr>
          <w:lang w:val="es-ES"/>
        </w:rPr>
        <w:t>la Sra</w:t>
      </w:r>
      <w:r w:rsidR="00426DF0" w:rsidRPr="00E40FBD">
        <w:rPr>
          <w:lang w:val="es-ES"/>
        </w:rPr>
        <w:t xml:space="preserve">. </w:t>
      </w:r>
      <w:r w:rsidR="00426DF0" w:rsidRPr="00E40FBD">
        <w:rPr>
          <w:noProof/>
          <w:lang w:val="es-ES"/>
        </w:rPr>
        <w:t>Mak</w:t>
      </w:r>
      <w:r w:rsidR="00477F2F" w:rsidRPr="00E40FBD">
        <w:rPr>
          <w:noProof/>
          <w:lang w:val="es-ES"/>
        </w:rPr>
        <w:t>e</w:t>
      </w:r>
      <w:r w:rsidR="00426DF0" w:rsidRPr="00E40FBD">
        <w:rPr>
          <w:noProof/>
          <w:lang w:val="es-ES"/>
        </w:rPr>
        <w:t>yeva</w:t>
      </w:r>
      <w:r w:rsidR="00426DF0" w:rsidRPr="00E40FBD">
        <w:rPr>
          <w:lang w:val="es-ES"/>
        </w:rPr>
        <w:t xml:space="preserve"> inform</w:t>
      </w:r>
      <w:r w:rsidRPr="00E40FBD">
        <w:rPr>
          <w:lang w:val="es-ES"/>
        </w:rPr>
        <w:t xml:space="preserve">ó a la Conferencia de las Partes que actúa como reunión de las Partes en el Protocolo de </w:t>
      </w:r>
      <w:r w:rsidR="00426DF0" w:rsidRPr="00E40FBD">
        <w:rPr>
          <w:lang w:val="es-ES"/>
        </w:rPr>
        <w:t>Nagoya</w:t>
      </w:r>
      <w:r w:rsidRPr="00E40FBD">
        <w:rPr>
          <w:lang w:val="es-ES"/>
        </w:rPr>
        <w:t xml:space="preserve"> que </w:t>
      </w:r>
      <w:r w:rsidR="00426DF0" w:rsidRPr="00E40FBD">
        <w:rPr>
          <w:lang w:val="es-ES"/>
        </w:rPr>
        <w:t xml:space="preserve">111 Partes o Partes </w:t>
      </w:r>
      <w:r w:rsidRPr="00E40FBD">
        <w:rPr>
          <w:lang w:val="es-ES"/>
        </w:rPr>
        <w:t>que estaban en proceso de a</w:t>
      </w:r>
      <w:r>
        <w:rPr>
          <w:lang w:val="es-ES"/>
        </w:rPr>
        <w:t xml:space="preserve">dherirse </w:t>
      </w:r>
      <w:r w:rsidRPr="00E40FBD">
        <w:rPr>
          <w:lang w:val="es-ES"/>
        </w:rPr>
        <w:t>al Protocolo se hab</w:t>
      </w:r>
      <w:r>
        <w:rPr>
          <w:lang w:val="es-ES"/>
        </w:rPr>
        <w:t>ían registrado como asistentes a la reunión</w:t>
      </w:r>
      <w:r w:rsidR="00426DF0" w:rsidRPr="00E40FBD">
        <w:rPr>
          <w:lang w:val="es-ES"/>
        </w:rPr>
        <w:t xml:space="preserve">. </w:t>
      </w:r>
      <w:r w:rsidRPr="00E40FBD">
        <w:rPr>
          <w:lang w:val="es-ES"/>
        </w:rPr>
        <w:t xml:space="preserve">La Mesa había examinado las credenciales de los representantes de </w:t>
      </w:r>
      <w:r w:rsidR="00426DF0" w:rsidRPr="00E40FBD">
        <w:rPr>
          <w:lang w:val="es-ES"/>
        </w:rPr>
        <w:t xml:space="preserve">99 Partes. </w:t>
      </w:r>
      <w:r w:rsidRPr="00007AFE">
        <w:rPr>
          <w:lang w:val="es-ES"/>
        </w:rPr>
        <w:t xml:space="preserve">Las credenciales de </w:t>
      </w:r>
      <w:r w:rsidR="00426DF0" w:rsidRPr="00007AFE">
        <w:rPr>
          <w:lang w:val="es-ES"/>
        </w:rPr>
        <w:t>93 delega</w:t>
      </w:r>
      <w:r w:rsidRPr="00007AFE">
        <w:rPr>
          <w:lang w:val="es-ES"/>
        </w:rPr>
        <w:t xml:space="preserve">ciones cumplían plenamente las disposiciones del artículo </w:t>
      </w:r>
      <w:r w:rsidR="00426DF0" w:rsidRPr="00007AFE">
        <w:rPr>
          <w:lang w:val="es-ES"/>
        </w:rPr>
        <w:t xml:space="preserve">18 </w:t>
      </w:r>
      <w:r w:rsidRPr="00007AFE">
        <w:rPr>
          <w:lang w:val="es-ES"/>
        </w:rPr>
        <w:t xml:space="preserve">del reglamento. </w:t>
      </w:r>
      <w:r w:rsidRPr="00E40FBD">
        <w:rPr>
          <w:lang w:val="es-ES"/>
        </w:rPr>
        <w:t xml:space="preserve">Las de </w:t>
      </w:r>
      <w:r w:rsidR="00426DF0" w:rsidRPr="00E40FBD">
        <w:rPr>
          <w:lang w:val="es-ES"/>
        </w:rPr>
        <w:t>6 delega</w:t>
      </w:r>
      <w:r w:rsidRPr="00E40FBD">
        <w:rPr>
          <w:lang w:val="es-ES"/>
        </w:rPr>
        <w:t>c</w:t>
      </w:r>
      <w:r w:rsidR="00426DF0" w:rsidRPr="00E40FBD">
        <w:rPr>
          <w:lang w:val="es-ES"/>
        </w:rPr>
        <w:t>ion</w:t>
      </w:r>
      <w:r w:rsidRPr="00E40FBD">
        <w:rPr>
          <w:lang w:val="es-ES"/>
        </w:rPr>
        <w:t>e</w:t>
      </w:r>
      <w:r w:rsidR="00426DF0" w:rsidRPr="00E40FBD">
        <w:rPr>
          <w:lang w:val="es-ES"/>
        </w:rPr>
        <w:t xml:space="preserve">s </w:t>
      </w:r>
      <w:r w:rsidRPr="00E40FBD">
        <w:rPr>
          <w:lang w:val="es-ES"/>
        </w:rPr>
        <w:t xml:space="preserve">no cumplían plenamente las disposiciones del artículo </w:t>
      </w:r>
      <w:r w:rsidR="00426DF0" w:rsidRPr="00E40FBD">
        <w:rPr>
          <w:lang w:val="es-ES"/>
        </w:rPr>
        <w:t>18</w:t>
      </w:r>
      <w:r>
        <w:rPr>
          <w:lang w:val="es-ES"/>
        </w:rPr>
        <w:t xml:space="preserve"> y otras </w:t>
      </w:r>
      <w:r w:rsidR="00426DF0" w:rsidRPr="00E40FBD">
        <w:rPr>
          <w:lang w:val="es-ES"/>
        </w:rPr>
        <w:t>12 delega</w:t>
      </w:r>
      <w:r>
        <w:rPr>
          <w:lang w:val="es-ES"/>
        </w:rPr>
        <w:t>ciones no habían presentado sus credenciales</w:t>
      </w:r>
      <w:r w:rsidR="00426DF0" w:rsidRPr="00E40FBD">
        <w:rPr>
          <w:lang w:val="es-ES"/>
        </w:rPr>
        <w:t xml:space="preserve">. </w:t>
      </w:r>
      <w:r w:rsidR="0066201D" w:rsidRPr="0066201D">
        <w:rPr>
          <w:lang w:val="es-ES"/>
        </w:rPr>
        <w:t>Se puede encontrar más información en el documento</w:t>
      </w:r>
      <w:r w:rsidR="00426DF0" w:rsidRPr="0066201D">
        <w:rPr>
          <w:lang w:val="es-ES"/>
        </w:rPr>
        <w:t xml:space="preserve"> CBD/COP/14/INF/49.</w:t>
      </w:r>
    </w:p>
    <w:p w:rsidR="00910968" w:rsidRPr="004521E9" w:rsidRDefault="004521E9" w:rsidP="000C6220">
      <w:pPr>
        <w:pStyle w:val="Para1"/>
        <w:tabs>
          <w:tab w:val="clear" w:pos="360"/>
          <w:tab w:val="clear" w:pos="567"/>
          <w:tab w:val="clear" w:pos="2912"/>
        </w:tabs>
        <w:spacing w:line="240" w:lineRule="auto"/>
        <w:rPr>
          <w:lang w:val="es-ES"/>
        </w:rPr>
      </w:pPr>
      <w:r w:rsidRPr="004521E9">
        <w:rPr>
          <w:lang w:val="es-ES"/>
        </w:rPr>
        <w:t xml:space="preserve">Varios jefes de </w:t>
      </w:r>
      <w:r w:rsidR="00007AFE" w:rsidRPr="004521E9">
        <w:rPr>
          <w:lang w:val="es-ES"/>
        </w:rPr>
        <w:t>delegación</w:t>
      </w:r>
      <w:r w:rsidRPr="004521E9">
        <w:rPr>
          <w:lang w:val="es-ES"/>
        </w:rPr>
        <w:t xml:space="preserve"> habían </w:t>
      </w:r>
      <w:r>
        <w:rPr>
          <w:lang w:val="es-ES"/>
        </w:rPr>
        <w:t>firmado</w:t>
      </w:r>
      <w:r w:rsidRPr="004521E9">
        <w:rPr>
          <w:lang w:val="es-ES"/>
        </w:rPr>
        <w:t xml:space="preserve"> una declaración </w:t>
      </w:r>
      <w:r>
        <w:rPr>
          <w:lang w:val="es-ES"/>
        </w:rPr>
        <w:t>por la que se comprometían a presentar</w:t>
      </w:r>
      <w:r w:rsidRPr="004521E9">
        <w:rPr>
          <w:lang w:val="es-ES"/>
        </w:rPr>
        <w:t xml:space="preserve"> sus credenciales, </w:t>
      </w:r>
      <w:r>
        <w:rPr>
          <w:lang w:val="es-ES"/>
        </w:rPr>
        <w:t>en la debida forma y en su versión original, a la Secretaria Ejecutiva en un plazo de 30 días tras la clausura de la reunión, y, a más tardar el 29 de diciembre de 2018. De conformidad con la práctica anterior, la Conferencia de las Partes que actúa como reunión de las Partes en el Protocolo de Nagoya aceptó la propuesta de la Mesa de que a aquellas delegaciones que todavía tuviesen que presentar sus credenciales, o cuyas credenciales no cumpliesen plenamente las disposiciones del artículo 18, se les debería permitir participar plenamente en la reunión con carácter provisional</w:t>
      </w:r>
      <w:r w:rsidR="00426DF0" w:rsidRPr="004521E9">
        <w:rPr>
          <w:lang w:val="es-ES"/>
        </w:rPr>
        <w:t>.</w:t>
      </w:r>
    </w:p>
    <w:p w:rsidR="00910968" w:rsidRPr="007069C3" w:rsidRDefault="007069C3" w:rsidP="000C6220">
      <w:pPr>
        <w:pStyle w:val="Para1"/>
        <w:tabs>
          <w:tab w:val="clear" w:pos="360"/>
          <w:tab w:val="clear" w:pos="567"/>
          <w:tab w:val="clear" w:pos="2912"/>
        </w:tabs>
        <w:spacing w:line="240" w:lineRule="auto"/>
        <w:rPr>
          <w:kern w:val="22"/>
          <w:lang w:val="es-ES"/>
        </w:rPr>
      </w:pPr>
      <w:r w:rsidRPr="007069C3">
        <w:rPr>
          <w:kern w:val="22"/>
          <w:lang w:val="es-ES"/>
        </w:rPr>
        <w:t xml:space="preserve">La Presidenta </w:t>
      </w:r>
      <w:r>
        <w:rPr>
          <w:kern w:val="22"/>
          <w:lang w:val="es-ES"/>
        </w:rPr>
        <w:t xml:space="preserve">expresó la esperanza de que </w:t>
      </w:r>
      <w:r>
        <w:rPr>
          <w:lang w:val="es-ES"/>
        </w:rPr>
        <w:t xml:space="preserve">todas las delegaciones a las que se había pedido hacerlo, que presentasen sus credenciales a la Secretaria Ejecutiva a más tardar el </w:t>
      </w:r>
      <w:r w:rsidR="00910968" w:rsidRPr="007069C3">
        <w:rPr>
          <w:kern w:val="22"/>
          <w:lang w:val="es-ES"/>
        </w:rPr>
        <w:t xml:space="preserve">29 </w:t>
      </w:r>
      <w:r>
        <w:rPr>
          <w:kern w:val="22"/>
          <w:lang w:val="es-ES"/>
        </w:rPr>
        <w:t xml:space="preserve">de diciembre de </w:t>
      </w:r>
      <w:r w:rsidR="00910968" w:rsidRPr="007069C3">
        <w:rPr>
          <w:kern w:val="22"/>
          <w:lang w:val="es-ES"/>
        </w:rPr>
        <w:t xml:space="preserve">2018. </w:t>
      </w:r>
      <w:r w:rsidRPr="007069C3">
        <w:rPr>
          <w:kern w:val="22"/>
          <w:lang w:val="es-ES"/>
        </w:rPr>
        <w:t xml:space="preserve">Tras el final de la </w:t>
      </w:r>
      <w:r w:rsidR="00024C71">
        <w:rPr>
          <w:kern w:val="22"/>
          <w:lang w:val="es-ES"/>
        </w:rPr>
        <w:t>tercera</w:t>
      </w:r>
      <w:r w:rsidRPr="007069C3">
        <w:rPr>
          <w:kern w:val="22"/>
          <w:lang w:val="es-ES"/>
        </w:rPr>
        <w:t xml:space="preserve"> reunión de la Conferencia de las Partes que actúa como reunión de las Partes en el Protocolo de </w:t>
      </w:r>
      <w:r w:rsidR="00910968" w:rsidRPr="007069C3">
        <w:rPr>
          <w:kern w:val="22"/>
          <w:lang w:val="es-ES"/>
        </w:rPr>
        <w:t xml:space="preserve">Nagoya, </w:t>
      </w:r>
      <w:r w:rsidRPr="007069C3">
        <w:rPr>
          <w:kern w:val="22"/>
          <w:lang w:val="es-ES"/>
        </w:rPr>
        <w:t xml:space="preserve">se recibieron las credenciales de seis Partes </w:t>
      </w:r>
      <w:r>
        <w:rPr>
          <w:kern w:val="22"/>
          <w:lang w:val="es-ES"/>
        </w:rPr>
        <w:t>adicionales</w:t>
      </w:r>
      <w:r w:rsidR="00910968" w:rsidRPr="007069C3">
        <w:rPr>
          <w:kern w:val="22"/>
          <w:lang w:val="es-ES"/>
        </w:rPr>
        <w:t>.</w:t>
      </w:r>
    </w:p>
    <w:p w:rsidR="002D7E6D" w:rsidRPr="007069C3" w:rsidRDefault="007069C3" w:rsidP="000C6220">
      <w:pPr>
        <w:pStyle w:val="Para1"/>
        <w:tabs>
          <w:tab w:val="clear" w:pos="360"/>
          <w:tab w:val="clear" w:pos="567"/>
          <w:tab w:val="clear" w:pos="2912"/>
        </w:tabs>
        <w:suppressAutoHyphens/>
        <w:spacing w:line="240" w:lineRule="auto"/>
        <w:rPr>
          <w:lang w:val="es-ES"/>
        </w:rPr>
      </w:pPr>
      <w:r>
        <w:rPr>
          <w:lang w:val="es-ES"/>
        </w:rPr>
        <w:t>A la fecha de publicación del presente informe, se habían recibido las credenciales que cumplían plenamente el artículo 18 del reglamento de las siguientes 99 Partes</w:t>
      </w:r>
      <w:r>
        <w:rPr>
          <w:rFonts w:eastAsia="Times New Roman"/>
          <w:snapToGrid w:val="0"/>
          <w:kern w:val="22"/>
          <w:lang w:val="es-ES"/>
        </w:rPr>
        <w:t xml:space="preserve">:  </w:t>
      </w:r>
      <w:r w:rsidR="009D5D97">
        <w:rPr>
          <w:rFonts w:eastAsia="Times New Roman"/>
          <w:snapToGrid w:val="0"/>
          <w:kern w:val="22"/>
          <w:lang w:val="es-ES"/>
        </w:rPr>
        <w:t xml:space="preserve">Alemania; </w:t>
      </w:r>
      <w:r>
        <w:rPr>
          <w:rFonts w:eastAsia="Times New Roman"/>
          <w:snapToGrid w:val="0"/>
          <w:kern w:val="22"/>
          <w:lang w:val="es-ES"/>
        </w:rPr>
        <w:t>Angola; Antigua y</w:t>
      </w:r>
      <w:r w:rsidR="00910968" w:rsidRPr="007069C3">
        <w:rPr>
          <w:rFonts w:eastAsia="Times New Roman"/>
          <w:snapToGrid w:val="0"/>
          <w:kern w:val="22"/>
          <w:lang w:val="es-ES"/>
        </w:rPr>
        <w:t xml:space="preserve"> Barbuda; Argentina; Austria; Belar</w:t>
      </w:r>
      <w:r>
        <w:rPr>
          <w:rFonts w:eastAsia="Times New Roman"/>
          <w:snapToGrid w:val="0"/>
          <w:kern w:val="22"/>
          <w:lang w:val="es-ES"/>
        </w:rPr>
        <w:t>ú</w:t>
      </w:r>
      <w:r w:rsidR="00910968" w:rsidRPr="007069C3">
        <w:rPr>
          <w:rFonts w:eastAsia="Times New Roman"/>
          <w:snapToGrid w:val="0"/>
          <w:kern w:val="22"/>
          <w:lang w:val="es-ES"/>
        </w:rPr>
        <w:t>s; B</w:t>
      </w:r>
      <w:r>
        <w:rPr>
          <w:rFonts w:eastAsia="Times New Roman"/>
          <w:snapToGrid w:val="0"/>
          <w:kern w:val="22"/>
          <w:lang w:val="es-ES"/>
        </w:rPr>
        <w:t>élgica</w:t>
      </w:r>
      <w:r w:rsidR="00910968" w:rsidRPr="007069C3">
        <w:rPr>
          <w:rFonts w:eastAsia="Times New Roman"/>
          <w:snapToGrid w:val="0"/>
          <w:kern w:val="22"/>
          <w:lang w:val="es-ES"/>
        </w:rPr>
        <w:t>; Benin; Bolivia; Botswana; Bulgaria; Burkina Faso; Burundi; Cambo</w:t>
      </w:r>
      <w:r>
        <w:rPr>
          <w:rFonts w:eastAsia="Times New Roman"/>
          <w:snapToGrid w:val="0"/>
          <w:kern w:val="22"/>
          <w:lang w:val="es-ES"/>
        </w:rPr>
        <w:t>ya</w:t>
      </w:r>
      <w:r w:rsidR="00910968" w:rsidRPr="007069C3">
        <w:rPr>
          <w:rFonts w:eastAsia="Times New Roman"/>
          <w:snapToGrid w:val="0"/>
          <w:kern w:val="22"/>
          <w:lang w:val="es-ES"/>
        </w:rPr>
        <w:t>; Camer</w:t>
      </w:r>
      <w:r>
        <w:rPr>
          <w:rFonts w:eastAsia="Times New Roman"/>
          <w:snapToGrid w:val="0"/>
          <w:kern w:val="22"/>
          <w:lang w:val="es-ES"/>
        </w:rPr>
        <w:t>ún</w:t>
      </w:r>
      <w:r w:rsidR="009D5D97">
        <w:rPr>
          <w:rFonts w:eastAsia="Times New Roman"/>
          <w:snapToGrid w:val="0"/>
          <w:kern w:val="22"/>
          <w:lang w:val="es-ES"/>
        </w:rPr>
        <w:t xml:space="preserve">; </w:t>
      </w:r>
      <w:r w:rsidR="00910968" w:rsidRPr="007069C3">
        <w:rPr>
          <w:rFonts w:eastAsia="Times New Roman"/>
          <w:snapToGrid w:val="0"/>
          <w:kern w:val="22"/>
          <w:lang w:val="es-ES"/>
        </w:rPr>
        <w:t xml:space="preserve">Chad; </w:t>
      </w:r>
      <w:r w:rsidR="009D5D97">
        <w:rPr>
          <w:rFonts w:eastAsia="Times New Roman"/>
          <w:snapToGrid w:val="0"/>
          <w:kern w:val="22"/>
          <w:lang w:val="es-ES"/>
        </w:rPr>
        <w:t xml:space="preserve">Chequia; </w:t>
      </w:r>
      <w:r w:rsidR="00910968" w:rsidRPr="007069C3">
        <w:rPr>
          <w:rFonts w:eastAsia="Times New Roman"/>
          <w:snapToGrid w:val="0"/>
          <w:kern w:val="22"/>
          <w:lang w:val="es-ES"/>
        </w:rPr>
        <w:t>China; Cote d’Ivoire; Croa</w:t>
      </w:r>
      <w:r w:rsidR="009D5D97">
        <w:rPr>
          <w:rFonts w:eastAsia="Times New Roman"/>
          <w:snapToGrid w:val="0"/>
          <w:kern w:val="22"/>
          <w:lang w:val="es-ES"/>
        </w:rPr>
        <w:t>c</w:t>
      </w:r>
      <w:r w:rsidR="00910968" w:rsidRPr="007069C3">
        <w:rPr>
          <w:rFonts w:eastAsia="Times New Roman"/>
          <w:snapToGrid w:val="0"/>
          <w:kern w:val="22"/>
          <w:lang w:val="es-ES"/>
        </w:rPr>
        <w:t>ia; Cuba; D</w:t>
      </w:r>
      <w:r w:rsidR="009D5D97">
        <w:rPr>
          <w:rFonts w:eastAsia="Times New Roman"/>
          <w:snapToGrid w:val="0"/>
          <w:kern w:val="22"/>
          <w:lang w:val="es-ES"/>
        </w:rPr>
        <w:t>inamarca</w:t>
      </w:r>
      <w:r w:rsidR="00910968" w:rsidRPr="007069C3">
        <w:rPr>
          <w:rFonts w:eastAsia="Times New Roman"/>
          <w:snapToGrid w:val="0"/>
          <w:kern w:val="22"/>
          <w:lang w:val="es-ES"/>
        </w:rPr>
        <w:t>; Ecuador; Eg</w:t>
      </w:r>
      <w:r w:rsidR="009D5D97">
        <w:rPr>
          <w:rFonts w:eastAsia="Times New Roman"/>
          <w:snapToGrid w:val="0"/>
          <w:kern w:val="22"/>
          <w:lang w:val="es-ES"/>
        </w:rPr>
        <w:t>ipto</w:t>
      </w:r>
      <w:r w:rsidR="00910968" w:rsidRPr="007069C3">
        <w:rPr>
          <w:rFonts w:eastAsia="Times New Roman"/>
          <w:snapToGrid w:val="0"/>
          <w:kern w:val="22"/>
          <w:lang w:val="es-ES"/>
        </w:rPr>
        <w:t xml:space="preserve">; </w:t>
      </w:r>
      <w:r w:rsidR="009D5D97">
        <w:rPr>
          <w:rFonts w:eastAsia="Times New Roman"/>
          <w:snapToGrid w:val="0"/>
          <w:kern w:val="22"/>
          <w:lang w:val="es-ES"/>
        </w:rPr>
        <w:t xml:space="preserve">Emiratos Árabes Unidos; Eslovaquia; España; </w:t>
      </w:r>
      <w:r w:rsidR="00910968" w:rsidRPr="007069C3">
        <w:rPr>
          <w:rFonts w:eastAsia="Times New Roman"/>
          <w:snapToGrid w:val="0"/>
          <w:kern w:val="22"/>
          <w:lang w:val="es-ES"/>
        </w:rPr>
        <w:t>Eswatini; Etiop</w:t>
      </w:r>
      <w:r w:rsidR="009D5D97">
        <w:rPr>
          <w:rFonts w:eastAsia="Times New Roman"/>
          <w:snapToGrid w:val="0"/>
          <w:kern w:val="22"/>
          <w:lang w:val="es-ES"/>
        </w:rPr>
        <w:t>ía</w:t>
      </w:r>
      <w:r w:rsidR="00910968" w:rsidRPr="007069C3">
        <w:rPr>
          <w:rFonts w:eastAsia="Times New Roman"/>
          <w:snapToGrid w:val="0"/>
          <w:kern w:val="22"/>
          <w:lang w:val="es-ES"/>
        </w:rPr>
        <w:t xml:space="preserve">; Fiji; </w:t>
      </w:r>
      <w:r w:rsidR="009D5D97">
        <w:rPr>
          <w:rFonts w:eastAsia="Times New Roman"/>
          <w:snapToGrid w:val="0"/>
          <w:kern w:val="22"/>
          <w:lang w:val="es-ES"/>
        </w:rPr>
        <w:t xml:space="preserve">Filipinas; </w:t>
      </w:r>
      <w:r w:rsidR="00910968" w:rsidRPr="007069C3">
        <w:rPr>
          <w:rFonts w:eastAsia="Times New Roman"/>
          <w:snapToGrid w:val="0"/>
          <w:kern w:val="22"/>
          <w:lang w:val="es-ES"/>
        </w:rPr>
        <w:t>Finland</w:t>
      </w:r>
      <w:r w:rsidR="009D5D97">
        <w:rPr>
          <w:rFonts w:eastAsia="Times New Roman"/>
          <w:snapToGrid w:val="0"/>
          <w:kern w:val="22"/>
          <w:lang w:val="es-ES"/>
        </w:rPr>
        <w:t>ia</w:t>
      </w:r>
      <w:r w:rsidR="00910968" w:rsidRPr="007069C3">
        <w:rPr>
          <w:rFonts w:eastAsia="Times New Roman"/>
          <w:snapToGrid w:val="0"/>
          <w:kern w:val="22"/>
          <w:lang w:val="es-ES"/>
        </w:rPr>
        <w:t>; Franc</w:t>
      </w:r>
      <w:r w:rsidR="009D5D97">
        <w:rPr>
          <w:rFonts w:eastAsia="Times New Roman"/>
          <w:snapToGrid w:val="0"/>
          <w:kern w:val="22"/>
          <w:lang w:val="es-ES"/>
        </w:rPr>
        <w:t>ia</w:t>
      </w:r>
      <w:r w:rsidR="00910968" w:rsidRPr="007069C3">
        <w:rPr>
          <w:rFonts w:eastAsia="Times New Roman"/>
          <w:snapToGrid w:val="0"/>
          <w:kern w:val="22"/>
          <w:lang w:val="es-ES"/>
        </w:rPr>
        <w:t>; Gab</w:t>
      </w:r>
      <w:r w:rsidR="009D5D97">
        <w:rPr>
          <w:rFonts w:eastAsia="Times New Roman"/>
          <w:snapToGrid w:val="0"/>
          <w:kern w:val="22"/>
          <w:lang w:val="es-ES"/>
        </w:rPr>
        <w:t>ó</w:t>
      </w:r>
      <w:r w:rsidR="00910968" w:rsidRPr="007069C3">
        <w:rPr>
          <w:rFonts w:eastAsia="Times New Roman"/>
          <w:snapToGrid w:val="0"/>
          <w:kern w:val="22"/>
          <w:lang w:val="es-ES"/>
        </w:rPr>
        <w:t>n; Gambia; Guatemala; Guinea; Guinea-Bissau; Guyana; Honduras; Hung</w:t>
      </w:r>
      <w:r w:rsidR="009D5D97">
        <w:rPr>
          <w:rFonts w:eastAsia="Times New Roman"/>
          <w:snapToGrid w:val="0"/>
          <w:kern w:val="22"/>
          <w:lang w:val="es-ES"/>
        </w:rPr>
        <w:t>ría</w:t>
      </w:r>
      <w:r w:rsidR="00910968" w:rsidRPr="007069C3">
        <w:rPr>
          <w:rFonts w:eastAsia="Times New Roman"/>
          <w:snapToGrid w:val="0"/>
          <w:kern w:val="22"/>
          <w:lang w:val="es-ES"/>
        </w:rPr>
        <w:t xml:space="preserve">; India; Indonesia; </w:t>
      </w:r>
      <w:r w:rsidR="009D5D97">
        <w:rPr>
          <w:rFonts w:eastAsia="Times New Roman"/>
          <w:snapToGrid w:val="0"/>
          <w:kern w:val="22"/>
          <w:lang w:val="es-ES"/>
        </w:rPr>
        <w:t xml:space="preserve">Islas Marshall; </w:t>
      </w:r>
      <w:r w:rsidR="00910968" w:rsidRPr="007069C3">
        <w:rPr>
          <w:rFonts w:eastAsia="Times New Roman"/>
          <w:snapToGrid w:val="0"/>
          <w:kern w:val="22"/>
          <w:lang w:val="es-ES"/>
        </w:rPr>
        <w:t>Jap</w:t>
      </w:r>
      <w:r w:rsidR="009D5D97">
        <w:rPr>
          <w:rFonts w:eastAsia="Times New Roman"/>
          <w:snapToGrid w:val="0"/>
          <w:kern w:val="22"/>
          <w:lang w:val="es-ES"/>
        </w:rPr>
        <w:t>ó</w:t>
      </w:r>
      <w:r w:rsidR="00910968" w:rsidRPr="007069C3">
        <w:rPr>
          <w:rFonts w:eastAsia="Times New Roman"/>
          <w:snapToGrid w:val="0"/>
          <w:kern w:val="22"/>
          <w:lang w:val="es-ES"/>
        </w:rPr>
        <w:t xml:space="preserve">n; Kenya; Kuwait; </w:t>
      </w:r>
      <w:r w:rsidR="00910968" w:rsidRPr="007069C3">
        <w:rPr>
          <w:rFonts w:eastAsia="Times New Roman"/>
          <w:snapToGrid w:val="0"/>
          <w:kern w:val="22"/>
          <w:lang w:val="es-ES"/>
        </w:rPr>
        <w:lastRenderedPageBreak/>
        <w:t>Lesotho; Liberia; Luxemb</w:t>
      </w:r>
      <w:r w:rsidR="009D5D97">
        <w:rPr>
          <w:rFonts w:eastAsia="Times New Roman"/>
          <w:snapToGrid w:val="0"/>
          <w:kern w:val="22"/>
          <w:lang w:val="es-ES"/>
        </w:rPr>
        <w:t>urgo</w:t>
      </w:r>
      <w:r w:rsidR="00910968" w:rsidRPr="007069C3">
        <w:rPr>
          <w:rFonts w:eastAsia="Times New Roman"/>
          <w:snapToGrid w:val="0"/>
          <w:kern w:val="22"/>
          <w:lang w:val="es-ES"/>
        </w:rPr>
        <w:t xml:space="preserve">; Madagascar; </w:t>
      </w:r>
      <w:r w:rsidR="009D5D97">
        <w:rPr>
          <w:rFonts w:eastAsia="Times New Roman"/>
          <w:snapToGrid w:val="0"/>
          <w:kern w:val="22"/>
          <w:lang w:val="es-ES"/>
        </w:rPr>
        <w:t xml:space="preserve">Malasia; </w:t>
      </w:r>
      <w:r w:rsidR="00910968" w:rsidRPr="007069C3">
        <w:rPr>
          <w:rFonts w:eastAsia="Times New Roman"/>
          <w:snapToGrid w:val="0"/>
          <w:kern w:val="22"/>
          <w:lang w:val="es-ES"/>
        </w:rPr>
        <w:t xml:space="preserve">Malawi; Malta; </w:t>
      </w:r>
      <w:r w:rsidR="009D5D97">
        <w:rPr>
          <w:rFonts w:eastAsia="Times New Roman"/>
          <w:snapToGrid w:val="0"/>
          <w:kern w:val="22"/>
          <w:lang w:val="es-ES"/>
        </w:rPr>
        <w:t>Mauricio</w:t>
      </w:r>
      <w:r w:rsidR="00910968" w:rsidRPr="007069C3">
        <w:rPr>
          <w:rFonts w:eastAsia="Times New Roman"/>
          <w:snapToGrid w:val="0"/>
          <w:kern w:val="22"/>
          <w:lang w:val="es-ES"/>
        </w:rPr>
        <w:t>; Mauritania; M</w:t>
      </w:r>
      <w:r w:rsidR="009D5D97">
        <w:rPr>
          <w:rFonts w:eastAsia="Times New Roman"/>
          <w:snapToGrid w:val="0"/>
          <w:kern w:val="22"/>
          <w:lang w:val="es-ES"/>
        </w:rPr>
        <w:t>é</w:t>
      </w:r>
      <w:r w:rsidR="00910968" w:rsidRPr="007069C3">
        <w:rPr>
          <w:rFonts w:eastAsia="Times New Roman"/>
          <w:snapToGrid w:val="0"/>
          <w:kern w:val="22"/>
          <w:lang w:val="es-ES"/>
        </w:rPr>
        <w:t>xico; Micronesia (</w:t>
      </w:r>
      <w:r w:rsidR="009D5D97">
        <w:rPr>
          <w:rFonts w:eastAsia="Times New Roman"/>
          <w:snapToGrid w:val="0"/>
          <w:kern w:val="22"/>
          <w:lang w:val="es-ES"/>
        </w:rPr>
        <w:t xml:space="preserve">Estados </w:t>
      </w:r>
      <w:r w:rsidR="00910968" w:rsidRPr="007069C3">
        <w:rPr>
          <w:rFonts w:eastAsia="Times New Roman"/>
          <w:snapToGrid w:val="0"/>
          <w:kern w:val="22"/>
          <w:lang w:val="es-ES"/>
        </w:rPr>
        <w:t>Federa</w:t>
      </w:r>
      <w:r w:rsidR="009D5D97">
        <w:rPr>
          <w:rFonts w:eastAsia="Times New Roman"/>
          <w:snapToGrid w:val="0"/>
          <w:kern w:val="22"/>
          <w:lang w:val="es-ES"/>
        </w:rPr>
        <w:t>dos de</w:t>
      </w:r>
      <w:r w:rsidR="00910968" w:rsidRPr="007069C3">
        <w:rPr>
          <w:rFonts w:eastAsia="Times New Roman"/>
          <w:snapToGrid w:val="0"/>
          <w:kern w:val="22"/>
          <w:lang w:val="es-ES"/>
        </w:rPr>
        <w:t>); Mongolia; Mozambique; Myanmar; Namibia; N</w:t>
      </w:r>
      <w:r w:rsidR="009D5D97">
        <w:rPr>
          <w:rFonts w:eastAsia="Times New Roman"/>
          <w:snapToGrid w:val="0"/>
          <w:kern w:val="22"/>
          <w:lang w:val="es-ES"/>
        </w:rPr>
        <w:t>í</w:t>
      </w:r>
      <w:r w:rsidR="00910968" w:rsidRPr="007069C3">
        <w:rPr>
          <w:rFonts w:eastAsia="Times New Roman"/>
          <w:snapToGrid w:val="0"/>
          <w:kern w:val="22"/>
          <w:lang w:val="es-ES"/>
        </w:rPr>
        <w:t>ger; Nor</w:t>
      </w:r>
      <w:r w:rsidR="009D5D97">
        <w:rPr>
          <w:rFonts w:eastAsia="Times New Roman"/>
          <w:snapToGrid w:val="0"/>
          <w:kern w:val="22"/>
          <w:lang w:val="es-ES"/>
        </w:rPr>
        <w:t>uega</w:t>
      </w:r>
      <w:r w:rsidR="00910968" w:rsidRPr="007069C3">
        <w:rPr>
          <w:rFonts w:eastAsia="Times New Roman"/>
          <w:snapToGrid w:val="0"/>
          <w:kern w:val="22"/>
          <w:lang w:val="es-ES"/>
        </w:rPr>
        <w:t xml:space="preserve">; </w:t>
      </w:r>
      <w:r w:rsidR="009D5D97">
        <w:rPr>
          <w:rFonts w:eastAsia="Times New Roman"/>
          <w:snapToGrid w:val="0"/>
          <w:kern w:val="22"/>
          <w:lang w:val="es-ES"/>
        </w:rPr>
        <w:t xml:space="preserve">Países Bajos; </w:t>
      </w:r>
      <w:r w:rsidR="00910968" w:rsidRPr="007069C3">
        <w:rPr>
          <w:rFonts w:eastAsia="Times New Roman"/>
          <w:snapToGrid w:val="0"/>
          <w:kern w:val="22"/>
          <w:lang w:val="es-ES"/>
        </w:rPr>
        <w:t>Palau; Panam</w:t>
      </w:r>
      <w:r w:rsidR="009D5D97">
        <w:rPr>
          <w:rFonts w:eastAsia="Times New Roman"/>
          <w:snapToGrid w:val="0"/>
          <w:kern w:val="22"/>
          <w:lang w:val="es-ES"/>
        </w:rPr>
        <w:t>á</w:t>
      </w:r>
      <w:r w:rsidR="00910968" w:rsidRPr="007069C3">
        <w:rPr>
          <w:rFonts w:eastAsia="Times New Roman"/>
          <w:snapToGrid w:val="0"/>
          <w:kern w:val="22"/>
          <w:lang w:val="es-ES"/>
        </w:rPr>
        <w:t>; Per</w:t>
      </w:r>
      <w:r w:rsidR="009D5D97">
        <w:rPr>
          <w:rFonts w:eastAsia="Times New Roman"/>
          <w:snapToGrid w:val="0"/>
          <w:kern w:val="22"/>
          <w:lang w:val="es-ES"/>
        </w:rPr>
        <w:t>ú</w:t>
      </w:r>
      <w:r w:rsidR="00910968" w:rsidRPr="007069C3">
        <w:rPr>
          <w:rFonts w:eastAsia="Times New Roman"/>
          <w:snapToGrid w:val="0"/>
          <w:kern w:val="22"/>
          <w:lang w:val="es-ES"/>
        </w:rPr>
        <w:t xml:space="preserve">; Portugal; Qatar; </w:t>
      </w:r>
      <w:r w:rsidR="009D5D97">
        <w:rPr>
          <w:rFonts w:eastAsia="Times New Roman"/>
          <w:snapToGrid w:val="0"/>
          <w:kern w:val="22"/>
          <w:lang w:val="es-ES"/>
        </w:rPr>
        <w:t xml:space="preserve">Reino Unido de Gran Bretaña e Irlanda del Norte; República Árabe Siria; </w:t>
      </w:r>
      <w:r>
        <w:rPr>
          <w:rFonts w:eastAsia="Times New Roman"/>
          <w:snapToGrid w:val="0"/>
          <w:kern w:val="22"/>
          <w:lang w:val="es-ES"/>
        </w:rPr>
        <w:t xml:space="preserve">República Centroafricana, </w:t>
      </w:r>
      <w:r w:rsidR="00910968" w:rsidRPr="007069C3">
        <w:rPr>
          <w:rFonts w:eastAsia="Times New Roman"/>
          <w:snapToGrid w:val="0"/>
          <w:kern w:val="22"/>
          <w:lang w:val="es-ES"/>
        </w:rPr>
        <w:t>Rep</w:t>
      </w:r>
      <w:r w:rsidR="009D5D97">
        <w:rPr>
          <w:rFonts w:eastAsia="Times New Roman"/>
          <w:snapToGrid w:val="0"/>
          <w:kern w:val="22"/>
          <w:lang w:val="es-ES"/>
        </w:rPr>
        <w:t>ública de Co</w:t>
      </w:r>
      <w:r w:rsidR="00910968" w:rsidRPr="007069C3">
        <w:rPr>
          <w:rFonts w:eastAsia="Times New Roman"/>
          <w:snapToGrid w:val="0"/>
          <w:kern w:val="22"/>
          <w:lang w:val="es-ES"/>
        </w:rPr>
        <w:t>rea; Rep</w:t>
      </w:r>
      <w:r w:rsidR="009D5D97">
        <w:rPr>
          <w:rFonts w:eastAsia="Times New Roman"/>
          <w:snapToGrid w:val="0"/>
          <w:kern w:val="22"/>
          <w:lang w:val="es-ES"/>
        </w:rPr>
        <w:t>ú</w:t>
      </w:r>
      <w:r w:rsidR="00910968" w:rsidRPr="007069C3">
        <w:rPr>
          <w:rFonts w:eastAsia="Times New Roman"/>
          <w:snapToGrid w:val="0"/>
          <w:kern w:val="22"/>
          <w:lang w:val="es-ES"/>
        </w:rPr>
        <w:t>blic</w:t>
      </w:r>
      <w:r w:rsidR="009D5D97">
        <w:rPr>
          <w:rFonts w:eastAsia="Times New Roman"/>
          <w:snapToGrid w:val="0"/>
          <w:kern w:val="22"/>
          <w:lang w:val="es-ES"/>
        </w:rPr>
        <w:t>a de</w:t>
      </w:r>
      <w:r w:rsidR="00910968" w:rsidRPr="007069C3">
        <w:rPr>
          <w:rFonts w:eastAsia="Times New Roman"/>
          <w:snapToGrid w:val="0"/>
          <w:kern w:val="22"/>
          <w:lang w:val="es-ES"/>
        </w:rPr>
        <w:t xml:space="preserve"> Moldova; </w:t>
      </w:r>
      <w:r w:rsidR="009D5D97">
        <w:rPr>
          <w:rFonts w:eastAsia="Times New Roman"/>
          <w:snapToGrid w:val="0"/>
          <w:kern w:val="22"/>
          <w:lang w:val="es-ES"/>
        </w:rPr>
        <w:t xml:space="preserve">República Democrática Popular Lao; República Dominicana; República Unida de Tanzanía; </w:t>
      </w:r>
      <w:r w:rsidR="00910968" w:rsidRPr="007069C3">
        <w:rPr>
          <w:rFonts w:eastAsia="Times New Roman"/>
          <w:snapToGrid w:val="0"/>
          <w:kern w:val="22"/>
          <w:lang w:val="es-ES"/>
        </w:rPr>
        <w:t xml:space="preserve">Rwanda; Saint Kitts </w:t>
      </w:r>
      <w:r w:rsidR="009D5D97">
        <w:rPr>
          <w:rFonts w:eastAsia="Times New Roman"/>
          <w:snapToGrid w:val="0"/>
          <w:kern w:val="22"/>
          <w:lang w:val="es-ES"/>
        </w:rPr>
        <w:t>y</w:t>
      </w:r>
      <w:r w:rsidR="00910968" w:rsidRPr="007069C3">
        <w:rPr>
          <w:rFonts w:eastAsia="Times New Roman"/>
          <w:snapToGrid w:val="0"/>
          <w:kern w:val="22"/>
          <w:lang w:val="es-ES"/>
        </w:rPr>
        <w:t xml:space="preserve"> Nevis; Samoa; Senegal; Serbia; Seychelles; Sierra Leon</w:t>
      </w:r>
      <w:r w:rsidR="009D5D97">
        <w:rPr>
          <w:rFonts w:eastAsia="Times New Roman"/>
          <w:snapToGrid w:val="0"/>
          <w:kern w:val="22"/>
          <w:lang w:val="es-ES"/>
        </w:rPr>
        <w:t>a</w:t>
      </w:r>
      <w:r w:rsidR="00910968" w:rsidRPr="007069C3">
        <w:rPr>
          <w:rFonts w:eastAsia="Times New Roman"/>
          <w:snapToGrid w:val="0"/>
          <w:kern w:val="22"/>
          <w:lang w:val="es-ES"/>
        </w:rPr>
        <w:t>; S</w:t>
      </w:r>
      <w:r w:rsidR="009D5D97">
        <w:rPr>
          <w:rFonts w:eastAsia="Times New Roman"/>
          <w:snapToGrid w:val="0"/>
          <w:kern w:val="22"/>
          <w:lang w:val="es-ES"/>
        </w:rPr>
        <w:t>udáfrica</w:t>
      </w:r>
      <w:r w:rsidR="00910968" w:rsidRPr="007069C3">
        <w:rPr>
          <w:rFonts w:eastAsia="Times New Roman"/>
          <w:snapToGrid w:val="0"/>
          <w:kern w:val="22"/>
          <w:lang w:val="es-ES"/>
        </w:rPr>
        <w:t>; Sud</w:t>
      </w:r>
      <w:r w:rsidR="009D5D97">
        <w:rPr>
          <w:rFonts w:eastAsia="Times New Roman"/>
          <w:snapToGrid w:val="0"/>
          <w:kern w:val="22"/>
          <w:lang w:val="es-ES"/>
        </w:rPr>
        <w:t>á</w:t>
      </w:r>
      <w:r w:rsidR="00910968" w:rsidRPr="007069C3">
        <w:rPr>
          <w:rFonts w:eastAsia="Times New Roman"/>
          <w:snapToGrid w:val="0"/>
          <w:kern w:val="22"/>
          <w:lang w:val="es-ES"/>
        </w:rPr>
        <w:t>n; S</w:t>
      </w:r>
      <w:r w:rsidR="009D5D97">
        <w:rPr>
          <w:rFonts w:eastAsia="Times New Roman"/>
          <w:snapToGrid w:val="0"/>
          <w:kern w:val="22"/>
          <w:lang w:val="es-ES"/>
        </w:rPr>
        <w:t>uecia</w:t>
      </w:r>
      <w:r w:rsidR="00910968" w:rsidRPr="007069C3">
        <w:rPr>
          <w:rFonts w:eastAsia="Times New Roman"/>
          <w:snapToGrid w:val="0"/>
          <w:kern w:val="22"/>
          <w:lang w:val="es-ES"/>
        </w:rPr>
        <w:t>; S</w:t>
      </w:r>
      <w:r w:rsidR="009D5D97">
        <w:rPr>
          <w:rFonts w:eastAsia="Times New Roman"/>
          <w:snapToGrid w:val="0"/>
          <w:kern w:val="22"/>
          <w:lang w:val="es-ES"/>
        </w:rPr>
        <w:t>uiza</w:t>
      </w:r>
      <w:r w:rsidR="00910968" w:rsidRPr="007069C3">
        <w:rPr>
          <w:rFonts w:eastAsia="Times New Roman"/>
          <w:snapToGrid w:val="0"/>
          <w:kern w:val="22"/>
          <w:lang w:val="es-ES"/>
        </w:rPr>
        <w:t>; Ta</w:t>
      </w:r>
      <w:r w:rsidR="009D5D97">
        <w:rPr>
          <w:rFonts w:eastAsia="Times New Roman"/>
          <w:snapToGrid w:val="0"/>
          <w:kern w:val="22"/>
          <w:lang w:val="es-ES"/>
        </w:rPr>
        <w:t>y</w:t>
      </w:r>
      <w:r w:rsidR="00910968" w:rsidRPr="007069C3">
        <w:rPr>
          <w:rFonts w:eastAsia="Times New Roman"/>
          <w:snapToGrid w:val="0"/>
          <w:kern w:val="22"/>
          <w:lang w:val="es-ES"/>
        </w:rPr>
        <w:t>ikist</w:t>
      </w:r>
      <w:r w:rsidR="009D5D97">
        <w:rPr>
          <w:rFonts w:eastAsia="Times New Roman"/>
          <w:snapToGrid w:val="0"/>
          <w:kern w:val="22"/>
          <w:lang w:val="es-ES"/>
        </w:rPr>
        <w:t>á</w:t>
      </w:r>
      <w:r w:rsidR="00910968" w:rsidRPr="007069C3">
        <w:rPr>
          <w:rFonts w:eastAsia="Times New Roman"/>
          <w:snapToGrid w:val="0"/>
          <w:kern w:val="22"/>
          <w:lang w:val="es-ES"/>
        </w:rPr>
        <w:t xml:space="preserve">n; Togo; Tuvalu; Uganda; </w:t>
      </w:r>
      <w:r w:rsidR="009D5D97">
        <w:rPr>
          <w:rFonts w:eastAsia="Times New Roman"/>
          <w:snapToGrid w:val="0"/>
          <w:kern w:val="22"/>
          <w:lang w:val="es-ES"/>
        </w:rPr>
        <w:t>Unión Europea</w:t>
      </w:r>
      <w:r w:rsidR="00910968" w:rsidRPr="007069C3">
        <w:rPr>
          <w:rFonts w:eastAsia="Times New Roman"/>
          <w:snapToGrid w:val="0"/>
          <w:kern w:val="22"/>
          <w:lang w:val="es-ES"/>
        </w:rPr>
        <w:t>; Uruguay; Venezuela (</w:t>
      </w:r>
      <w:r w:rsidR="009D5D97">
        <w:rPr>
          <w:rFonts w:eastAsia="Times New Roman"/>
          <w:snapToGrid w:val="0"/>
          <w:kern w:val="22"/>
          <w:lang w:val="es-ES"/>
        </w:rPr>
        <w:t xml:space="preserve">República </w:t>
      </w:r>
      <w:r w:rsidR="00910968" w:rsidRPr="007069C3">
        <w:rPr>
          <w:rFonts w:eastAsia="Times New Roman"/>
          <w:snapToGrid w:val="0"/>
          <w:kern w:val="22"/>
          <w:lang w:val="es-ES"/>
        </w:rPr>
        <w:t>Bolivarian</w:t>
      </w:r>
      <w:r w:rsidR="009D5D97">
        <w:rPr>
          <w:rFonts w:eastAsia="Times New Roman"/>
          <w:snapToGrid w:val="0"/>
          <w:kern w:val="22"/>
          <w:lang w:val="es-ES"/>
        </w:rPr>
        <w:t>a de</w:t>
      </w:r>
      <w:r w:rsidR="00910968" w:rsidRPr="007069C3">
        <w:rPr>
          <w:rFonts w:eastAsia="Times New Roman"/>
          <w:snapToGrid w:val="0"/>
          <w:kern w:val="22"/>
          <w:lang w:val="es-ES"/>
        </w:rPr>
        <w:t xml:space="preserve">); Viet Nam; Zambia; </w:t>
      </w:r>
      <w:r w:rsidR="009D5D97">
        <w:rPr>
          <w:rFonts w:eastAsia="Times New Roman"/>
          <w:snapToGrid w:val="0"/>
          <w:kern w:val="22"/>
          <w:lang w:val="es-ES"/>
        </w:rPr>
        <w:t>y</w:t>
      </w:r>
      <w:r w:rsidR="00910968" w:rsidRPr="007069C3">
        <w:rPr>
          <w:kern w:val="22"/>
          <w:lang w:val="es-ES"/>
        </w:rPr>
        <w:t xml:space="preserve"> </w:t>
      </w:r>
      <w:r w:rsidR="00910968" w:rsidRPr="007069C3">
        <w:rPr>
          <w:rFonts w:eastAsia="Times New Roman"/>
          <w:snapToGrid w:val="0"/>
          <w:kern w:val="22"/>
          <w:lang w:val="es-ES"/>
        </w:rPr>
        <w:t>Zimbabwe.</w:t>
      </w:r>
    </w:p>
    <w:p w:rsidR="00BB2871" w:rsidRPr="00007AFE" w:rsidRDefault="008854FE" w:rsidP="000C6220">
      <w:pPr>
        <w:pStyle w:val="Heading1-item"/>
        <w:tabs>
          <w:tab w:val="left" w:pos="993"/>
        </w:tabs>
        <w:spacing w:before="120" w:line="240" w:lineRule="auto"/>
        <w:rPr>
          <w:rFonts w:ascii="Times New Roman" w:hAnsi="Times New Roman" w:cs="Times New Roman"/>
          <w:i/>
          <w:lang w:val="es-ES"/>
        </w:rPr>
      </w:pPr>
      <w:bookmarkStart w:id="31" w:name="_Toc256221"/>
      <w:bookmarkEnd w:id="30"/>
      <w:r w:rsidRPr="00007AFE">
        <w:rPr>
          <w:rFonts w:ascii="Times New Roman" w:hAnsi="Times New Roman" w:cs="Times New Roman"/>
          <w:lang w:val="es-ES"/>
        </w:rPr>
        <w:t>TEMA</w:t>
      </w:r>
      <w:r w:rsidR="00C61155" w:rsidRPr="00007AFE">
        <w:rPr>
          <w:rFonts w:ascii="Times New Roman" w:hAnsi="Times New Roman" w:cs="Times New Roman" w:hint="eastAsia"/>
          <w:lang w:val="es-ES"/>
        </w:rPr>
        <w:t xml:space="preserve"> 4</w:t>
      </w:r>
      <w:r w:rsidR="00C33005" w:rsidRPr="00007AFE">
        <w:rPr>
          <w:rFonts w:ascii="Times New Roman" w:hAnsi="Times New Roman" w:cs="Times New Roman" w:hint="eastAsia"/>
          <w:lang w:val="es-ES"/>
        </w:rPr>
        <w:t>.</w:t>
      </w:r>
      <w:r w:rsidR="00C33005" w:rsidRPr="00007AFE">
        <w:rPr>
          <w:rFonts w:ascii="Times New Roman" w:hAnsi="Times New Roman" w:cs="Times New Roman" w:hint="eastAsia"/>
          <w:lang w:val="es-ES"/>
        </w:rPr>
        <w:tab/>
      </w:r>
      <w:r w:rsidRPr="00007AFE">
        <w:rPr>
          <w:rFonts w:ascii="Times New Roman" w:hAnsi="Times New Roman" w:cs="Times New Roman"/>
          <w:lang w:val="es-ES"/>
        </w:rPr>
        <w:t>INFORMES DE LOS ÓRGANOS SUBSIDIARIOS</w:t>
      </w:r>
      <w:bookmarkEnd w:id="31"/>
    </w:p>
    <w:p w:rsidR="002D7E6D" w:rsidRPr="008854FE" w:rsidRDefault="008854FE" w:rsidP="000C6220">
      <w:pPr>
        <w:pStyle w:val="Para1"/>
        <w:tabs>
          <w:tab w:val="clear" w:pos="360"/>
          <w:tab w:val="clear" w:pos="567"/>
          <w:tab w:val="clear" w:pos="2912"/>
        </w:tabs>
        <w:spacing w:line="240" w:lineRule="auto"/>
        <w:rPr>
          <w:rFonts w:eastAsia="Times New Roman"/>
          <w:lang w:val="es-ES" w:eastAsia="en-CA"/>
        </w:rPr>
      </w:pPr>
      <w:r w:rsidRPr="00DB732A">
        <w:rPr>
          <w:lang w:val="es-ES"/>
        </w:rPr>
        <w:t>El tema 4 del programa se examinó en la 2ª sesión plenaria de la reunión, el 17 de noviembre de 2018. Al examinar el tema, la Conferencia de las Partes que actúa como reunión de las Partes</w:t>
      </w:r>
      <w:r>
        <w:rPr>
          <w:lang w:val="es-ES"/>
        </w:rPr>
        <w:t xml:space="preserve"> </w:t>
      </w:r>
      <w:r w:rsidRPr="00DB732A">
        <w:rPr>
          <w:lang w:val="es-ES"/>
        </w:rPr>
        <w:t xml:space="preserve">tuvo ante sí los informes del </w:t>
      </w:r>
      <w:r>
        <w:rPr>
          <w:lang w:val="es-ES"/>
        </w:rPr>
        <w:t xml:space="preserve">Órgano </w:t>
      </w:r>
      <w:r w:rsidRPr="00DB732A">
        <w:rPr>
          <w:rFonts w:eastAsia="Times New Roman"/>
          <w:lang w:val="es-ES" w:eastAsia="en-CA"/>
        </w:rPr>
        <w:t>Subsidiar</w:t>
      </w:r>
      <w:r>
        <w:rPr>
          <w:rFonts w:eastAsia="Times New Roman"/>
          <w:lang w:val="es-ES" w:eastAsia="en-CA"/>
        </w:rPr>
        <w:t>io de</w:t>
      </w:r>
      <w:r w:rsidRPr="00DB732A">
        <w:rPr>
          <w:rFonts w:eastAsia="Times New Roman"/>
          <w:lang w:val="es-ES" w:eastAsia="en-CA"/>
        </w:rPr>
        <w:t xml:space="preserve"> </w:t>
      </w:r>
      <w:r w:rsidRPr="001B5065">
        <w:rPr>
          <w:rFonts w:eastAsia="MS Mincho"/>
          <w:kern w:val="22"/>
          <w:lang w:val="es-ES"/>
        </w:rPr>
        <w:t>Asesoramiento Científico, Técnico y Tecnológico</w:t>
      </w:r>
      <w:r>
        <w:rPr>
          <w:rFonts w:eastAsia="MS Mincho"/>
          <w:kern w:val="22"/>
          <w:lang w:val="es-ES"/>
        </w:rPr>
        <w:t xml:space="preserve"> en su</w:t>
      </w:r>
      <w:r w:rsidRPr="00DB732A">
        <w:rPr>
          <w:lang w:val="es-ES"/>
        </w:rPr>
        <w:t xml:space="preserve"> 22ª reunión </w:t>
      </w:r>
      <w:r w:rsidRPr="00DB732A">
        <w:rPr>
          <w:rFonts w:eastAsia="Times New Roman"/>
          <w:lang w:val="es-ES" w:eastAsia="en-CA"/>
        </w:rPr>
        <w:t xml:space="preserve">(CBD/SBSTTA/22/12) </w:t>
      </w:r>
      <w:r>
        <w:rPr>
          <w:rFonts w:eastAsia="Times New Roman"/>
          <w:lang w:val="es-ES" w:eastAsia="en-CA"/>
        </w:rPr>
        <w:t>y del Órgano Subsidiario sobre la Aplicación</w:t>
      </w:r>
      <w:r w:rsidRPr="00DB732A">
        <w:rPr>
          <w:rFonts w:eastAsia="Times New Roman"/>
          <w:lang w:val="es-ES" w:eastAsia="en-CA"/>
        </w:rPr>
        <w:t xml:space="preserve"> </w:t>
      </w:r>
      <w:r>
        <w:rPr>
          <w:rFonts w:eastAsia="Times New Roman"/>
          <w:lang w:val="es-ES" w:eastAsia="en-CA"/>
        </w:rPr>
        <w:t>en</w:t>
      </w:r>
      <w:r w:rsidR="00272CFE" w:rsidRPr="008854FE">
        <w:rPr>
          <w:rFonts w:eastAsia="Times New Roman"/>
          <w:lang w:val="es-ES" w:eastAsia="en-CA"/>
        </w:rPr>
        <w:t xml:space="preserve"> </w:t>
      </w:r>
      <w:r>
        <w:rPr>
          <w:rFonts w:eastAsia="Times New Roman"/>
          <w:lang w:val="es-ES" w:eastAsia="en-CA"/>
        </w:rPr>
        <w:t>su segunda reunión</w:t>
      </w:r>
      <w:r w:rsidR="00272CFE" w:rsidRPr="008854FE">
        <w:rPr>
          <w:rFonts w:eastAsia="Times New Roman"/>
          <w:lang w:val="es-ES" w:eastAsia="en-CA"/>
        </w:rPr>
        <w:t xml:space="preserve"> </w:t>
      </w:r>
      <w:r w:rsidR="002D7E6D" w:rsidRPr="008854FE">
        <w:rPr>
          <w:rFonts w:eastAsia="Times New Roman"/>
          <w:lang w:val="es-ES" w:eastAsia="en-CA"/>
        </w:rPr>
        <w:t>(CBD/SBI/2/22).</w:t>
      </w:r>
    </w:p>
    <w:p w:rsidR="002D7E6D" w:rsidRPr="008854FE" w:rsidRDefault="008854FE" w:rsidP="000C6220">
      <w:pPr>
        <w:pStyle w:val="Para1"/>
        <w:tabs>
          <w:tab w:val="clear" w:pos="360"/>
          <w:tab w:val="clear" w:pos="567"/>
          <w:tab w:val="clear" w:pos="2912"/>
        </w:tabs>
        <w:spacing w:line="240" w:lineRule="auto"/>
        <w:rPr>
          <w:lang w:val="es-ES"/>
        </w:rPr>
      </w:pPr>
      <w:r w:rsidRPr="00296CCB">
        <w:rPr>
          <w:lang w:val="es-ES"/>
        </w:rPr>
        <w:t xml:space="preserve">La Conferencia de las Partes que actúa como reunión de las Partes tomó nota de los informes de las reuniones entre </w:t>
      </w:r>
      <w:r>
        <w:rPr>
          <w:lang w:val="es-ES"/>
        </w:rPr>
        <w:t xml:space="preserve">períodos de </w:t>
      </w:r>
      <w:r w:rsidRPr="00296CCB">
        <w:rPr>
          <w:lang w:val="es-ES"/>
        </w:rPr>
        <w:t xml:space="preserve">sesiones de los </w:t>
      </w:r>
      <w:r>
        <w:rPr>
          <w:lang w:val="es-ES"/>
        </w:rPr>
        <w:t>órganos subsidiarios y acordó examinar las recomendaciones incluidas en los informes en relación con los temas pertinentes del programa</w:t>
      </w:r>
      <w:r w:rsidR="002D7E6D" w:rsidRPr="008854FE">
        <w:rPr>
          <w:lang w:val="es-ES"/>
        </w:rPr>
        <w:t>.</w:t>
      </w:r>
    </w:p>
    <w:p w:rsidR="00E01F27" w:rsidRPr="008854FE" w:rsidRDefault="008854FE" w:rsidP="000C6220">
      <w:pPr>
        <w:pStyle w:val="Heading1-item"/>
        <w:tabs>
          <w:tab w:val="left" w:pos="993"/>
        </w:tabs>
        <w:spacing w:before="120" w:line="240" w:lineRule="auto"/>
        <w:rPr>
          <w:rFonts w:ascii="Times New Roman" w:hAnsi="Times New Roman" w:cs="Times New Roman"/>
          <w:lang w:val="es-ES"/>
        </w:rPr>
      </w:pPr>
      <w:bookmarkStart w:id="32" w:name="_Toc256222"/>
      <w:r w:rsidRPr="008854FE">
        <w:rPr>
          <w:rFonts w:ascii="Times New Roman" w:hAnsi="Times New Roman" w:cs="Times New Roman"/>
          <w:lang w:val="es-ES"/>
        </w:rPr>
        <w:t>TEMA</w:t>
      </w:r>
      <w:r w:rsidR="00E01F27" w:rsidRPr="008854FE">
        <w:rPr>
          <w:rFonts w:ascii="Times New Roman" w:hAnsi="Times New Roman" w:cs="Times New Roman" w:hint="eastAsia"/>
          <w:lang w:val="es-ES"/>
        </w:rPr>
        <w:t xml:space="preserve"> </w:t>
      </w:r>
      <w:r w:rsidR="002A4637" w:rsidRPr="008854FE">
        <w:rPr>
          <w:rFonts w:ascii="Times New Roman" w:hAnsi="Times New Roman" w:cs="Times New Roman" w:hint="eastAsia"/>
          <w:lang w:val="es-ES"/>
        </w:rPr>
        <w:t>5</w:t>
      </w:r>
      <w:r w:rsidR="00E01F27" w:rsidRPr="008854FE">
        <w:rPr>
          <w:rFonts w:ascii="Times New Roman" w:hAnsi="Times New Roman" w:cs="Times New Roman" w:hint="eastAsia"/>
          <w:lang w:val="es-ES"/>
        </w:rPr>
        <w:t>.</w:t>
      </w:r>
      <w:r w:rsidR="00E01F27" w:rsidRPr="008854FE">
        <w:rPr>
          <w:rFonts w:ascii="Times New Roman" w:hAnsi="Times New Roman" w:cs="Times New Roman" w:hint="eastAsia"/>
          <w:lang w:val="es-ES"/>
        </w:rPr>
        <w:tab/>
      </w:r>
      <w:r w:rsidRPr="008854FE">
        <w:rPr>
          <w:rFonts w:ascii="Times New Roman" w:hAnsi="Times New Roman" w:cs="Times New Roman"/>
          <w:lang w:val="es-ES"/>
        </w:rPr>
        <w:t>INFORME DEL COMITÉ DE CUMPLIMIENTO</w:t>
      </w:r>
      <w:r w:rsidR="00E01F27" w:rsidRPr="008854FE">
        <w:rPr>
          <w:rFonts w:ascii="Times New Roman" w:hAnsi="Times New Roman" w:cs="Times New Roman" w:hint="eastAsia"/>
          <w:lang w:val="es-ES"/>
        </w:rPr>
        <w:t xml:space="preserve"> (ART</w:t>
      </w:r>
      <w:r w:rsidRPr="008854FE">
        <w:rPr>
          <w:rFonts w:ascii="Times New Roman" w:hAnsi="Times New Roman" w:cs="Times New Roman"/>
          <w:lang w:val="es-ES"/>
        </w:rPr>
        <w:t>ÍCULO</w:t>
      </w:r>
      <w:r w:rsidR="00E01F27" w:rsidRPr="008854FE">
        <w:rPr>
          <w:rFonts w:ascii="Times New Roman" w:hAnsi="Times New Roman" w:cs="Times New Roman" w:hint="eastAsia"/>
          <w:lang w:val="es-ES"/>
        </w:rPr>
        <w:t> 30)</w:t>
      </w:r>
      <w:bookmarkEnd w:id="32"/>
    </w:p>
    <w:p w:rsidR="00631D22" w:rsidRPr="008854FE" w:rsidRDefault="008854FE" w:rsidP="000C6220">
      <w:pPr>
        <w:numPr>
          <w:ilvl w:val="0"/>
          <w:numId w:val="12"/>
        </w:numPr>
        <w:suppressLineNumbers/>
        <w:tabs>
          <w:tab w:val="clear" w:pos="360"/>
        </w:tabs>
        <w:suppressAutoHyphens/>
        <w:kinsoku w:val="0"/>
        <w:overflowPunct w:val="0"/>
        <w:autoSpaceDE w:val="0"/>
        <w:autoSpaceDN w:val="0"/>
        <w:snapToGrid w:val="0"/>
        <w:spacing w:before="120" w:line="240" w:lineRule="auto"/>
        <w:rPr>
          <w:rFonts w:eastAsia="Times New Roman"/>
          <w:snapToGrid w:val="0"/>
          <w:kern w:val="22"/>
          <w:szCs w:val="22"/>
          <w:lang w:val="es-ES" w:eastAsia="en-CA"/>
        </w:rPr>
      </w:pPr>
      <w:bookmarkStart w:id="33" w:name="_Hlk530243249"/>
      <w:r w:rsidRPr="00296CCB">
        <w:rPr>
          <w:lang w:val="es-ES"/>
        </w:rPr>
        <w:t>El tema 5 del programa se examinó en la 2ª sesión plenaria de la reuni</w:t>
      </w:r>
      <w:r>
        <w:rPr>
          <w:lang w:val="es-ES"/>
        </w:rPr>
        <w:t xml:space="preserve">ón, el </w:t>
      </w:r>
      <w:r w:rsidRPr="00296CCB">
        <w:rPr>
          <w:lang w:val="es-ES"/>
        </w:rPr>
        <w:t xml:space="preserve">17 </w:t>
      </w:r>
      <w:r>
        <w:rPr>
          <w:lang w:val="es-ES"/>
        </w:rPr>
        <w:t>de noviembre de</w:t>
      </w:r>
      <w:r w:rsidRPr="00296CCB">
        <w:rPr>
          <w:lang w:val="es-ES"/>
        </w:rPr>
        <w:t xml:space="preserve"> </w:t>
      </w:r>
      <w:r w:rsidR="00392648" w:rsidRPr="008854FE">
        <w:rPr>
          <w:lang w:val="es-ES"/>
        </w:rPr>
        <w:t>2018</w:t>
      </w:r>
      <w:r w:rsidR="00E15AA6" w:rsidRPr="008854FE">
        <w:rPr>
          <w:lang w:val="es-ES"/>
        </w:rPr>
        <w:t>.</w:t>
      </w:r>
      <w:bookmarkEnd w:id="33"/>
    </w:p>
    <w:p w:rsidR="002D7E6D" w:rsidRPr="008854FE" w:rsidRDefault="008854FE" w:rsidP="000C6220">
      <w:pPr>
        <w:numPr>
          <w:ilvl w:val="0"/>
          <w:numId w:val="12"/>
        </w:numPr>
        <w:suppressLineNumbers/>
        <w:tabs>
          <w:tab w:val="clear" w:pos="360"/>
        </w:tabs>
        <w:suppressAutoHyphens/>
        <w:kinsoku w:val="0"/>
        <w:overflowPunct w:val="0"/>
        <w:autoSpaceDE w:val="0"/>
        <w:autoSpaceDN w:val="0"/>
        <w:snapToGrid w:val="0"/>
        <w:spacing w:before="120" w:line="240" w:lineRule="auto"/>
        <w:rPr>
          <w:rFonts w:eastAsia="Times New Roman"/>
          <w:snapToGrid w:val="0"/>
          <w:kern w:val="22"/>
          <w:szCs w:val="22"/>
          <w:lang w:val="es-ES" w:eastAsia="en-CA"/>
        </w:rPr>
      </w:pPr>
      <w:r w:rsidRPr="00296CCB">
        <w:rPr>
          <w:bCs/>
          <w:lang w:val="es-ES"/>
        </w:rPr>
        <w:t>El Sr. Kaspar Sollberger, Presidente del Comité de Cumplimiento, informó sobre la segunda reunión del Comit</w:t>
      </w:r>
      <w:r>
        <w:rPr>
          <w:bCs/>
          <w:lang w:val="es-ES"/>
        </w:rPr>
        <w:t xml:space="preserve">é de Cumplimiento, celebrada en </w:t>
      </w:r>
      <w:r w:rsidRPr="00296CCB">
        <w:rPr>
          <w:rFonts w:eastAsia="SimSun"/>
          <w:snapToGrid w:val="0"/>
          <w:kern w:val="22"/>
          <w:szCs w:val="22"/>
          <w:lang w:val="es-ES"/>
        </w:rPr>
        <w:t xml:space="preserve">Montreal </w:t>
      </w:r>
      <w:r>
        <w:rPr>
          <w:rFonts w:eastAsia="SimSun"/>
          <w:snapToGrid w:val="0"/>
          <w:kern w:val="22"/>
          <w:szCs w:val="22"/>
          <w:lang w:val="es-ES"/>
        </w:rPr>
        <w:t>del</w:t>
      </w:r>
      <w:r w:rsidRPr="00296CCB">
        <w:rPr>
          <w:rFonts w:eastAsia="SimSun"/>
          <w:snapToGrid w:val="0"/>
          <w:kern w:val="22"/>
          <w:szCs w:val="22"/>
          <w:lang w:val="es-ES"/>
        </w:rPr>
        <w:t xml:space="preserve"> 24 </w:t>
      </w:r>
      <w:r>
        <w:rPr>
          <w:rFonts w:eastAsia="SimSun"/>
          <w:snapToGrid w:val="0"/>
          <w:kern w:val="22"/>
          <w:szCs w:val="22"/>
          <w:lang w:val="es-ES"/>
        </w:rPr>
        <w:t>al</w:t>
      </w:r>
      <w:r w:rsidRPr="00296CCB">
        <w:rPr>
          <w:rFonts w:eastAsia="SimSun"/>
          <w:snapToGrid w:val="0"/>
          <w:kern w:val="22"/>
          <w:szCs w:val="22"/>
          <w:lang w:val="es-ES"/>
        </w:rPr>
        <w:t xml:space="preserve"> 26 </w:t>
      </w:r>
      <w:r>
        <w:rPr>
          <w:rFonts w:eastAsia="SimSun"/>
          <w:snapToGrid w:val="0"/>
          <w:kern w:val="22"/>
          <w:szCs w:val="22"/>
          <w:lang w:val="es-ES"/>
        </w:rPr>
        <w:t xml:space="preserve">de abril de </w:t>
      </w:r>
      <w:r w:rsidRPr="00296CCB">
        <w:rPr>
          <w:rFonts w:eastAsia="SimSun"/>
          <w:snapToGrid w:val="0"/>
          <w:kern w:val="22"/>
          <w:szCs w:val="22"/>
          <w:lang w:val="es-ES"/>
        </w:rPr>
        <w:t>2018</w:t>
      </w:r>
      <w:r>
        <w:rPr>
          <w:bCs/>
          <w:lang w:val="es-ES"/>
        </w:rPr>
        <w:t xml:space="preserve"> </w:t>
      </w:r>
      <w:r w:rsidRPr="008854FE">
        <w:rPr>
          <w:bCs/>
          <w:lang w:val="es-ES"/>
        </w:rPr>
        <w:t>(</w:t>
      </w:r>
      <w:r>
        <w:rPr>
          <w:bCs/>
          <w:lang w:val="es-ES"/>
        </w:rPr>
        <w:t>véase</w:t>
      </w:r>
      <w:r w:rsidRPr="008854FE">
        <w:rPr>
          <w:bCs/>
          <w:lang w:val="es-ES"/>
        </w:rPr>
        <w:t xml:space="preserve"> CBD/NP/MOP/3/2</w:t>
      </w:r>
      <w:r w:rsidRPr="00296CCB">
        <w:rPr>
          <w:bCs/>
          <w:lang w:val="es-ES"/>
        </w:rPr>
        <w:t xml:space="preserve">). </w:t>
      </w:r>
      <w:r w:rsidRPr="001F1938">
        <w:rPr>
          <w:bCs/>
          <w:lang w:val="es-ES"/>
        </w:rPr>
        <w:t xml:space="preserve">Además de proporcionar un resumen de la información incluida en el informe, señaló que </w:t>
      </w:r>
      <w:r>
        <w:rPr>
          <w:bCs/>
          <w:lang w:val="es-ES"/>
        </w:rPr>
        <w:t xml:space="preserve">desde la reunión celebrada en abril </w:t>
      </w:r>
      <w:r w:rsidRPr="001F1938">
        <w:rPr>
          <w:bCs/>
          <w:lang w:val="es-ES"/>
        </w:rPr>
        <w:t xml:space="preserve">se habían recibido informes </w:t>
      </w:r>
      <w:r>
        <w:rPr>
          <w:bCs/>
          <w:lang w:val="es-ES"/>
        </w:rPr>
        <w:t>nacionales provisionales adicionales</w:t>
      </w:r>
      <w:r w:rsidRPr="001F1938">
        <w:rPr>
          <w:bCs/>
          <w:lang w:val="es-ES"/>
        </w:rPr>
        <w:t xml:space="preserve">, </w:t>
      </w:r>
      <w:r>
        <w:rPr>
          <w:bCs/>
          <w:lang w:val="es-ES"/>
        </w:rPr>
        <w:t xml:space="preserve">y que </w:t>
      </w:r>
      <w:r w:rsidRPr="001F1938">
        <w:rPr>
          <w:bCs/>
          <w:lang w:val="es-ES"/>
        </w:rPr>
        <w:t xml:space="preserve">82 </w:t>
      </w:r>
      <w:r>
        <w:rPr>
          <w:bCs/>
          <w:lang w:val="es-ES"/>
        </w:rPr>
        <w:t xml:space="preserve">de las </w:t>
      </w:r>
      <w:r w:rsidRPr="001F1938">
        <w:rPr>
          <w:bCs/>
          <w:lang w:val="es-ES"/>
        </w:rPr>
        <w:t xml:space="preserve">100 Partes </w:t>
      </w:r>
      <w:r>
        <w:rPr>
          <w:bCs/>
          <w:lang w:val="es-ES"/>
        </w:rPr>
        <w:t>que tenían la obligación de presentar informes ya habían presentado sus informes nacionales provisionales</w:t>
      </w:r>
      <w:r w:rsidR="00392648" w:rsidRPr="008854FE">
        <w:rPr>
          <w:snapToGrid w:val="0"/>
          <w:kern w:val="22"/>
          <w:szCs w:val="22"/>
          <w:lang w:val="es-ES"/>
        </w:rPr>
        <w:t>.</w:t>
      </w:r>
    </w:p>
    <w:p w:rsidR="00134D56" w:rsidRPr="008854FE" w:rsidRDefault="008854FE" w:rsidP="000C6220">
      <w:pPr>
        <w:numPr>
          <w:ilvl w:val="0"/>
          <w:numId w:val="12"/>
        </w:numPr>
        <w:suppressLineNumbers/>
        <w:tabs>
          <w:tab w:val="clear" w:pos="360"/>
        </w:tabs>
        <w:suppressAutoHyphens/>
        <w:kinsoku w:val="0"/>
        <w:overflowPunct w:val="0"/>
        <w:autoSpaceDE w:val="0"/>
        <w:autoSpaceDN w:val="0"/>
        <w:snapToGrid w:val="0"/>
        <w:spacing w:before="120" w:line="240" w:lineRule="auto"/>
        <w:rPr>
          <w:rFonts w:eastAsia="Times New Roman"/>
          <w:snapToGrid w:val="0"/>
          <w:kern w:val="22"/>
          <w:szCs w:val="22"/>
          <w:lang w:val="es-ES" w:eastAsia="en-CA"/>
        </w:rPr>
      </w:pPr>
      <w:r w:rsidRPr="001F1938">
        <w:rPr>
          <w:rFonts w:eastAsia="Times New Roman"/>
          <w:snapToGrid w:val="0"/>
          <w:kern w:val="22"/>
          <w:szCs w:val="22"/>
          <w:lang w:val="es-ES" w:eastAsia="en-CA"/>
        </w:rPr>
        <w:t>A raíz del informe del Sr. Sollberger, la Conferencia de las Partes que actúa como reunión de las Partes</w:t>
      </w:r>
      <w:r>
        <w:rPr>
          <w:rFonts w:eastAsia="Times New Roman"/>
          <w:snapToGrid w:val="0"/>
          <w:kern w:val="22"/>
          <w:szCs w:val="22"/>
          <w:lang w:val="es-ES" w:eastAsia="en-CA"/>
        </w:rPr>
        <w:t xml:space="preserve"> en el Protocolo de Nagoya </w:t>
      </w:r>
      <w:r w:rsidRPr="001F1938">
        <w:rPr>
          <w:lang w:val="es-ES"/>
        </w:rPr>
        <w:t>acord</w:t>
      </w:r>
      <w:r>
        <w:rPr>
          <w:lang w:val="es-ES"/>
        </w:rPr>
        <w:t>ó examinar las recomendaciones del Comité en relación con los temas pertinentes del programa</w:t>
      </w:r>
      <w:r w:rsidRPr="003375EB">
        <w:rPr>
          <w:rFonts w:eastAsia="Times New Roman"/>
          <w:snapToGrid w:val="0"/>
          <w:kern w:val="22"/>
          <w:szCs w:val="22"/>
          <w:lang w:val="es-ES" w:eastAsia="en-CA"/>
        </w:rPr>
        <w:t xml:space="preserve">. </w:t>
      </w:r>
      <w:r>
        <w:rPr>
          <w:rFonts w:eastAsia="Times New Roman"/>
          <w:snapToGrid w:val="0"/>
          <w:kern w:val="22"/>
          <w:szCs w:val="22"/>
          <w:lang w:val="es-ES" w:eastAsia="en-CA"/>
        </w:rPr>
        <w:t xml:space="preserve">La Presidenta dijo que prepararía un proyecto de decisión para las recomendaciones del Comité </w:t>
      </w:r>
      <w:r>
        <w:rPr>
          <w:lang w:val="es-ES"/>
        </w:rPr>
        <w:t xml:space="preserve">incluidas en la sección </w:t>
      </w:r>
      <w:r w:rsidRPr="001F1938">
        <w:rPr>
          <w:rFonts w:eastAsia="Times New Roman"/>
          <w:snapToGrid w:val="0"/>
          <w:kern w:val="22"/>
          <w:szCs w:val="22"/>
          <w:lang w:val="es-ES" w:eastAsia="en-CA"/>
        </w:rPr>
        <w:t xml:space="preserve">A </w:t>
      </w:r>
      <w:r>
        <w:rPr>
          <w:rFonts w:eastAsia="Times New Roman"/>
          <w:snapToGrid w:val="0"/>
          <w:kern w:val="22"/>
          <w:szCs w:val="22"/>
          <w:lang w:val="es-ES" w:eastAsia="en-CA"/>
        </w:rPr>
        <w:t>del anexo</w:t>
      </w:r>
      <w:r w:rsidRPr="001F1938">
        <w:rPr>
          <w:rFonts w:eastAsia="Times New Roman"/>
          <w:snapToGrid w:val="0"/>
          <w:kern w:val="22"/>
          <w:szCs w:val="22"/>
          <w:lang w:val="es-ES" w:eastAsia="en-CA"/>
        </w:rPr>
        <w:t xml:space="preserve"> I</w:t>
      </w:r>
      <w:r>
        <w:rPr>
          <w:rFonts w:eastAsia="Times New Roman"/>
          <w:snapToGrid w:val="0"/>
          <w:kern w:val="22"/>
          <w:szCs w:val="22"/>
          <w:lang w:val="es-ES" w:eastAsia="en-CA"/>
        </w:rPr>
        <w:t>I</w:t>
      </w:r>
      <w:r w:rsidRPr="001F1938">
        <w:rPr>
          <w:rFonts w:eastAsia="Times New Roman"/>
          <w:snapToGrid w:val="0"/>
          <w:kern w:val="22"/>
          <w:szCs w:val="22"/>
          <w:lang w:val="es-ES" w:eastAsia="en-CA"/>
        </w:rPr>
        <w:t xml:space="preserve"> </w:t>
      </w:r>
      <w:r>
        <w:rPr>
          <w:rFonts w:eastAsia="Times New Roman"/>
          <w:snapToGrid w:val="0"/>
          <w:kern w:val="22"/>
          <w:szCs w:val="22"/>
          <w:lang w:val="es-ES" w:eastAsia="en-CA"/>
        </w:rPr>
        <w:t>del informe del Comité</w:t>
      </w:r>
      <w:r w:rsidR="00134D56" w:rsidRPr="008854FE">
        <w:rPr>
          <w:rFonts w:eastAsia="Times New Roman"/>
          <w:snapToGrid w:val="0"/>
          <w:kern w:val="22"/>
          <w:szCs w:val="22"/>
          <w:lang w:val="es-ES" w:eastAsia="en-CA"/>
        </w:rPr>
        <w:t>.</w:t>
      </w:r>
    </w:p>
    <w:p w:rsidR="00134D56" w:rsidRPr="008854FE" w:rsidRDefault="008854FE" w:rsidP="000C6220">
      <w:pPr>
        <w:pStyle w:val="Para1"/>
        <w:suppressLineNumbers/>
        <w:tabs>
          <w:tab w:val="clear" w:pos="360"/>
          <w:tab w:val="clear" w:pos="567"/>
          <w:tab w:val="clear" w:pos="2912"/>
        </w:tabs>
        <w:suppressAutoHyphens/>
        <w:spacing w:line="240" w:lineRule="auto"/>
        <w:rPr>
          <w:lang w:val="es-ES"/>
        </w:rPr>
      </w:pPr>
      <w:r w:rsidRPr="00183125">
        <w:rPr>
          <w:szCs w:val="22"/>
          <w:lang w:val="es-ES"/>
        </w:rPr>
        <w:t>En la 4ª sesión plenaria de la reunión, el 22 de noviembre de 2018, la Conferencia de las Partes que act</w:t>
      </w:r>
      <w:r>
        <w:rPr>
          <w:szCs w:val="22"/>
          <w:lang w:val="es-ES"/>
        </w:rPr>
        <w:t>úa como reunión de las Partes en el Protocolo de Nagoya examinó un proyecto de decisión presentado por la Presidencia y lo adoptó como decisión</w:t>
      </w:r>
      <w:r w:rsidRPr="00183125">
        <w:rPr>
          <w:lang w:val="es-ES"/>
        </w:rPr>
        <w:t> </w:t>
      </w:r>
      <w:r w:rsidR="00894CD0" w:rsidRPr="008854FE">
        <w:rPr>
          <w:lang w:val="es-ES"/>
        </w:rPr>
        <w:t>NP</w:t>
      </w:r>
      <w:r w:rsidR="00894CD0" w:rsidRPr="008854FE">
        <w:rPr>
          <w:lang w:val="es-ES"/>
        </w:rPr>
        <w:noBreakHyphen/>
        <w:t>3/</w:t>
      </w:r>
      <w:r w:rsidR="00426DF0" w:rsidRPr="008854FE">
        <w:rPr>
          <w:lang w:val="es-ES"/>
        </w:rPr>
        <w:t>2</w:t>
      </w:r>
      <w:r w:rsidR="00134D56" w:rsidRPr="008854FE">
        <w:rPr>
          <w:lang w:val="es-ES"/>
        </w:rPr>
        <w:t>.</w:t>
      </w:r>
    </w:p>
    <w:p w:rsidR="00C5397F" w:rsidRPr="008854FE" w:rsidRDefault="008854FE" w:rsidP="000C6220">
      <w:pPr>
        <w:pStyle w:val="Para1"/>
        <w:suppressLineNumbers/>
        <w:tabs>
          <w:tab w:val="clear" w:pos="360"/>
          <w:tab w:val="clear" w:pos="567"/>
          <w:tab w:val="clear" w:pos="2912"/>
        </w:tabs>
        <w:suppressAutoHyphens/>
        <w:spacing w:line="240" w:lineRule="auto"/>
        <w:rPr>
          <w:szCs w:val="22"/>
          <w:lang w:val="es-ES"/>
        </w:rPr>
      </w:pPr>
      <w:r w:rsidRPr="008854FE">
        <w:rPr>
          <w:szCs w:val="22"/>
          <w:lang w:val="es-ES"/>
        </w:rPr>
        <w:t>En la 7ª sesión plenaria de la reunión, el 28 de noviembre de 2018, la Conferencia de las Partes que actúa como reunión de las Partes en el Protocolo de Nagoya eligi</w:t>
      </w:r>
      <w:r>
        <w:rPr>
          <w:szCs w:val="22"/>
          <w:lang w:val="es-ES"/>
        </w:rPr>
        <w:t>ó a l</w:t>
      </w:r>
      <w:r w:rsidR="00C96516">
        <w:rPr>
          <w:szCs w:val="22"/>
          <w:lang w:val="es-ES"/>
        </w:rPr>
        <w:t>a</w:t>
      </w:r>
      <w:r>
        <w:rPr>
          <w:szCs w:val="22"/>
          <w:lang w:val="es-ES"/>
        </w:rPr>
        <w:t xml:space="preserve">s siguientes </w:t>
      </w:r>
      <w:r w:rsidR="00C96516">
        <w:rPr>
          <w:szCs w:val="22"/>
          <w:lang w:val="es-ES"/>
        </w:rPr>
        <w:t xml:space="preserve">personas como </w:t>
      </w:r>
      <w:r>
        <w:rPr>
          <w:szCs w:val="22"/>
          <w:lang w:val="es-ES"/>
        </w:rPr>
        <w:t xml:space="preserve">miembros del Comité </w:t>
      </w:r>
      <w:r w:rsidR="00C96516">
        <w:rPr>
          <w:szCs w:val="22"/>
          <w:lang w:val="es-ES"/>
        </w:rPr>
        <w:t>de Cumplimiento para que actuasen</w:t>
      </w:r>
      <w:r>
        <w:rPr>
          <w:szCs w:val="22"/>
          <w:lang w:val="es-ES"/>
        </w:rPr>
        <w:t xml:space="preserve"> como miembros del Comité de Cumplimiento a p</w:t>
      </w:r>
      <w:r w:rsidR="00C96516">
        <w:rPr>
          <w:szCs w:val="22"/>
          <w:lang w:val="es-ES"/>
        </w:rPr>
        <w:t>artir</w:t>
      </w:r>
      <w:r>
        <w:rPr>
          <w:szCs w:val="22"/>
          <w:lang w:val="es-ES"/>
        </w:rPr>
        <w:t xml:space="preserve"> de</w:t>
      </w:r>
      <w:r w:rsidR="00C5397F" w:rsidRPr="008854FE">
        <w:rPr>
          <w:szCs w:val="22"/>
          <w:lang w:val="es-ES"/>
        </w:rPr>
        <w:t xml:space="preserve"> 2019:</w:t>
      </w:r>
    </w:p>
    <w:p w:rsidR="00AF08B2" w:rsidRPr="00C96516" w:rsidRDefault="00C96516" w:rsidP="000C6220">
      <w:pPr>
        <w:pStyle w:val="Para1"/>
        <w:numPr>
          <w:ilvl w:val="0"/>
          <w:numId w:val="0"/>
        </w:numPr>
        <w:tabs>
          <w:tab w:val="clear" w:pos="567"/>
          <w:tab w:val="clear" w:pos="2912"/>
        </w:tabs>
        <w:spacing w:line="240" w:lineRule="auto"/>
        <w:ind w:firstLine="720"/>
        <w:rPr>
          <w:i/>
          <w:szCs w:val="22"/>
          <w:lang w:val="es-ES"/>
        </w:rPr>
      </w:pPr>
      <w:r>
        <w:rPr>
          <w:i/>
          <w:szCs w:val="22"/>
          <w:lang w:val="es-ES"/>
        </w:rPr>
        <w:t>Á</w:t>
      </w:r>
      <w:r w:rsidR="00E563BE" w:rsidRPr="00C96516">
        <w:rPr>
          <w:i/>
          <w:szCs w:val="22"/>
          <w:lang w:val="es-ES"/>
        </w:rPr>
        <w:t>frica</w:t>
      </w:r>
    </w:p>
    <w:p w:rsidR="00C5397F" w:rsidRPr="008C1F6C" w:rsidRDefault="00C96516" w:rsidP="000C6220">
      <w:pPr>
        <w:pStyle w:val="Para1"/>
        <w:numPr>
          <w:ilvl w:val="0"/>
          <w:numId w:val="0"/>
        </w:numPr>
        <w:tabs>
          <w:tab w:val="clear" w:pos="567"/>
          <w:tab w:val="clear" w:pos="2912"/>
        </w:tabs>
        <w:spacing w:before="0" w:after="0" w:line="240" w:lineRule="auto"/>
        <w:ind w:left="1134"/>
        <w:rPr>
          <w:szCs w:val="22"/>
          <w:lang w:val="es-ES"/>
        </w:rPr>
      </w:pPr>
      <w:r w:rsidRPr="008C1F6C">
        <w:rPr>
          <w:szCs w:val="22"/>
          <w:lang w:val="es-ES"/>
        </w:rPr>
        <w:t>Sra</w:t>
      </w:r>
      <w:r w:rsidR="00C5397F" w:rsidRPr="008C1F6C">
        <w:rPr>
          <w:szCs w:val="22"/>
          <w:lang w:val="es-ES"/>
        </w:rPr>
        <w:t xml:space="preserve">. Betty </w:t>
      </w:r>
      <w:proofErr w:type="spellStart"/>
      <w:r w:rsidR="00C5397F" w:rsidRPr="008C1F6C">
        <w:rPr>
          <w:szCs w:val="22"/>
          <w:lang w:val="es-ES"/>
        </w:rPr>
        <w:t>Kauna</w:t>
      </w:r>
      <w:proofErr w:type="spellEnd"/>
      <w:r w:rsidR="00C5397F" w:rsidRPr="008C1F6C">
        <w:rPr>
          <w:szCs w:val="22"/>
          <w:lang w:val="es-ES"/>
        </w:rPr>
        <w:t xml:space="preserve"> </w:t>
      </w:r>
      <w:proofErr w:type="spellStart"/>
      <w:r w:rsidR="00C5397F" w:rsidRPr="008C1F6C">
        <w:rPr>
          <w:szCs w:val="22"/>
          <w:lang w:val="es-ES"/>
        </w:rPr>
        <w:t>Schroder</w:t>
      </w:r>
      <w:proofErr w:type="spellEnd"/>
      <w:r w:rsidR="00C5397F" w:rsidRPr="008C1F6C">
        <w:rPr>
          <w:szCs w:val="22"/>
          <w:lang w:val="es-ES"/>
        </w:rPr>
        <w:t xml:space="preserve"> (Namibia)</w:t>
      </w:r>
    </w:p>
    <w:p w:rsidR="00C5397F" w:rsidRPr="00C96516" w:rsidRDefault="00C96516" w:rsidP="000C6220">
      <w:pPr>
        <w:pStyle w:val="Para1"/>
        <w:numPr>
          <w:ilvl w:val="0"/>
          <w:numId w:val="0"/>
        </w:numPr>
        <w:tabs>
          <w:tab w:val="clear" w:pos="567"/>
          <w:tab w:val="clear" w:pos="2912"/>
        </w:tabs>
        <w:spacing w:before="0" w:after="0" w:line="240" w:lineRule="auto"/>
        <w:ind w:left="1134"/>
        <w:rPr>
          <w:szCs w:val="22"/>
          <w:lang w:val="es-ES"/>
        </w:rPr>
      </w:pPr>
      <w:r w:rsidRPr="00C96516">
        <w:rPr>
          <w:szCs w:val="22"/>
          <w:lang w:val="es-ES"/>
        </w:rPr>
        <w:t>Sra</w:t>
      </w:r>
      <w:r w:rsidR="00C5397F" w:rsidRPr="00C96516">
        <w:rPr>
          <w:szCs w:val="22"/>
          <w:lang w:val="es-ES"/>
        </w:rPr>
        <w:t>. El Kitma El Awad Mohammed (Sud</w:t>
      </w:r>
      <w:r>
        <w:rPr>
          <w:szCs w:val="22"/>
          <w:lang w:val="es-ES"/>
        </w:rPr>
        <w:t>á</w:t>
      </w:r>
      <w:r w:rsidR="00C5397F" w:rsidRPr="00C96516">
        <w:rPr>
          <w:szCs w:val="22"/>
          <w:lang w:val="es-ES"/>
        </w:rPr>
        <w:t>n)</w:t>
      </w:r>
    </w:p>
    <w:p w:rsidR="00C5397F" w:rsidRPr="00C96516" w:rsidRDefault="00C96516" w:rsidP="000C6220">
      <w:pPr>
        <w:pStyle w:val="Para1"/>
        <w:numPr>
          <w:ilvl w:val="0"/>
          <w:numId w:val="0"/>
        </w:numPr>
        <w:tabs>
          <w:tab w:val="clear" w:pos="567"/>
          <w:tab w:val="clear" w:pos="2912"/>
        </w:tabs>
        <w:spacing w:before="0" w:after="0" w:line="240" w:lineRule="auto"/>
        <w:ind w:left="1134"/>
        <w:rPr>
          <w:szCs w:val="22"/>
          <w:lang w:val="es-ES"/>
        </w:rPr>
      </w:pPr>
      <w:r w:rsidRPr="00C96516">
        <w:rPr>
          <w:szCs w:val="22"/>
          <w:lang w:val="es-ES"/>
        </w:rPr>
        <w:t>S</w:t>
      </w:r>
      <w:r w:rsidR="00C5397F" w:rsidRPr="00C96516">
        <w:rPr>
          <w:szCs w:val="22"/>
          <w:lang w:val="es-ES"/>
        </w:rPr>
        <w:t>r. Ashenafi Ayenew (Etiop</w:t>
      </w:r>
      <w:r w:rsidRPr="00C96516">
        <w:rPr>
          <w:szCs w:val="22"/>
          <w:lang w:val="es-ES"/>
        </w:rPr>
        <w:t>í</w:t>
      </w:r>
      <w:r w:rsidR="00C5397F" w:rsidRPr="00C96516">
        <w:rPr>
          <w:szCs w:val="22"/>
          <w:lang w:val="es-ES"/>
        </w:rPr>
        <w:t>a) (</w:t>
      </w:r>
      <w:r w:rsidRPr="00C96516">
        <w:rPr>
          <w:szCs w:val="22"/>
          <w:lang w:val="es-ES"/>
        </w:rPr>
        <w:t>como suplente</w:t>
      </w:r>
      <w:r w:rsidR="00C5397F" w:rsidRPr="00C96516">
        <w:rPr>
          <w:szCs w:val="22"/>
          <w:lang w:val="es-ES"/>
        </w:rPr>
        <w:t>)</w:t>
      </w:r>
    </w:p>
    <w:p w:rsidR="00C5397F" w:rsidRPr="00007AFE" w:rsidRDefault="00C96516" w:rsidP="004742DD">
      <w:pPr>
        <w:pStyle w:val="Para1"/>
        <w:numPr>
          <w:ilvl w:val="0"/>
          <w:numId w:val="0"/>
        </w:numPr>
        <w:tabs>
          <w:tab w:val="clear" w:pos="567"/>
          <w:tab w:val="clear" w:pos="2912"/>
        </w:tabs>
        <w:spacing w:before="0" w:after="0" w:line="240" w:lineRule="auto"/>
        <w:ind w:left="1134"/>
        <w:rPr>
          <w:szCs w:val="22"/>
          <w:lang w:val="es-ES"/>
        </w:rPr>
      </w:pPr>
      <w:r w:rsidRPr="00007AFE">
        <w:rPr>
          <w:szCs w:val="22"/>
          <w:lang w:val="es-ES"/>
        </w:rPr>
        <w:t>S</w:t>
      </w:r>
      <w:r w:rsidR="00C5397F" w:rsidRPr="00007AFE">
        <w:rPr>
          <w:szCs w:val="22"/>
          <w:lang w:val="es-ES"/>
        </w:rPr>
        <w:t>r. William Etim Okin (Nigeria) (</w:t>
      </w:r>
      <w:r w:rsidRPr="00007AFE">
        <w:rPr>
          <w:szCs w:val="22"/>
          <w:lang w:val="es-ES"/>
        </w:rPr>
        <w:t>como suplente</w:t>
      </w:r>
      <w:r w:rsidR="00C5397F" w:rsidRPr="00007AFE">
        <w:rPr>
          <w:szCs w:val="22"/>
          <w:lang w:val="es-ES"/>
        </w:rPr>
        <w:t>)</w:t>
      </w:r>
    </w:p>
    <w:p w:rsidR="00E563BE" w:rsidRPr="00007AFE" w:rsidRDefault="00E563BE" w:rsidP="000C6220">
      <w:pPr>
        <w:pStyle w:val="Para1"/>
        <w:numPr>
          <w:ilvl w:val="0"/>
          <w:numId w:val="0"/>
        </w:numPr>
        <w:tabs>
          <w:tab w:val="clear" w:pos="567"/>
          <w:tab w:val="clear" w:pos="2912"/>
        </w:tabs>
        <w:spacing w:line="240" w:lineRule="auto"/>
        <w:ind w:firstLine="720"/>
        <w:rPr>
          <w:i/>
          <w:szCs w:val="22"/>
          <w:lang w:val="es-ES"/>
        </w:rPr>
      </w:pPr>
      <w:r w:rsidRPr="00007AFE">
        <w:rPr>
          <w:i/>
          <w:szCs w:val="22"/>
          <w:lang w:val="es-ES"/>
        </w:rPr>
        <w:t xml:space="preserve">Asia </w:t>
      </w:r>
      <w:r w:rsidR="00C96516" w:rsidRPr="00007AFE">
        <w:rPr>
          <w:i/>
          <w:szCs w:val="22"/>
          <w:lang w:val="es-ES"/>
        </w:rPr>
        <w:t xml:space="preserve">y el Pacífico </w:t>
      </w:r>
    </w:p>
    <w:p w:rsidR="00C5397F" w:rsidRPr="00C96516" w:rsidRDefault="00C96516" w:rsidP="000C6220">
      <w:pPr>
        <w:pStyle w:val="Para1"/>
        <w:numPr>
          <w:ilvl w:val="0"/>
          <w:numId w:val="0"/>
        </w:numPr>
        <w:tabs>
          <w:tab w:val="clear" w:pos="567"/>
          <w:tab w:val="clear" w:pos="2912"/>
        </w:tabs>
        <w:spacing w:before="0" w:after="0" w:line="240" w:lineRule="auto"/>
        <w:ind w:left="1134"/>
        <w:rPr>
          <w:szCs w:val="22"/>
          <w:lang w:val="es-ES"/>
        </w:rPr>
      </w:pPr>
      <w:r w:rsidRPr="00C96516">
        <w:rPr>
          <w:szCs w:val="22"/>
          <w:lang w:val="es-ES"/>
        </w:rPr>
        <w:t>S</w:t>
      </w:r>
      <w:r w:rsidR="00C5397F" w:rsidRPr="00C96516">
        <w:rPr>
          <w:szCs w:val="22"/>
          <w:lang w:val="es-ES"/>
        </w:rPr>
        <w:t>r. Park Won Seog (Rep</w:t>
      </w:r>
      <w:r w:rsidRPr="00C96516">
        <w:rPr>
          <w:szCs w:val="22"/>
          <w:lang w:val="es-ES"/>
        </w:rPr>
        <w:t>ública de</w:t>
      </w:r>
      <w:r w:rsidR="00C5397F" w:rsidRPr="00C96516">
        <w:rPr>
          <w:szCs w:val="22"/>
          <w:lang w:val="es-ES"/>
        </w:rPr>
        <w:t xml:space="preserve"> </w:t>
      </w:r>
      <w:r w:rsidRPr="00C96516">
        <w:rPr>
          <w:szCs w:val="22"/>
          <w:lang w:val="es-ES"/>
        </w:rPr>
        <w:t>C</w:t>
      </w:r>
      <w:r w:rsidR="00C5397F" w:rsidRPr="00C96516">
        <w:rPr>
          <w:szCs w:val="22"/>
          <w:lang w:val="es-ES"/>
        </w:rPr>
        <w:t>orea)</w:t>
      </w:r>
    </w:p>
    <w:p w:rsidR="00C5397F" w:rsidRPr="00C96516" w:rsidRDefault="00C96516" w:rsidP="000C6220">
      <w:pPr>
        <w:pStyle w:val="Para1"/>
        <w:numPr>
          <w:ilvl w:val="0"/>
          <w:numId w:val="0"/>
        </w:numPr>
        <w:tabs>
          <w:tab w:val="clear" w:pos="567"/>
          <w:tab w:val="clear" w:pos="2912"/>
        </w:tabs>
        <w:spacing w:before="0" w:after="0" w:line="240" w:lineRule="auto"/>
        <w:ind w:left="1134"/>
        <w:rPr>
          <w:szCs w:val="22"/>
          <w:lang w:val="es-ES"/>
        </w:rPr>
      </w:pPr>
      <w:r>
        <w:rPr>
          <w:szCs w:val="22"/>
          <w:lang w:val="es-ES"/>
        </w:rPr>
        <w:t>S</w:t>
      </w:r>
      <w:r w:rsidR="00C5397F" w:rsidRPr="00C96516">
        <w:rPr>
          <w:szCs w:val="22"/>
          <w:lang w:val="es-ES"/>
        </w:rPr>
        <w:t>r. Belal K. Al-Hayek (</w:t>
      </w:r>
      <w:r w:rsidRPr="00C96516">
        <w:rPr>
          <w:szCs w:val="22"/>
          <w:lang w:val="es-ES"/>
        </w:rPr>
        <w:t>República Árabe Siria</w:t>
      </w:r>
      <w:r w:rsidR="00C5397F" w:rsidRPr="00C96516">
        <w:rPr>
          <w:szCs w:val="22"/>
          <w:lang w:val="es-ES"/>
        </w:rPr>
        <w:t>)</w:t>
      </w:r>
    </w:p>
    <w:p w:rsidR="00E563BE" w:rsidRPr="00C96516" w:rsidRDefault="00C96516" w:rsidP="000C6220">
      <w:pPr>
        <w:pStyle w:val="Para1"/>
        <w:numPr>
          <w:ilvl w:val="0"/>
          <w:numId w:val="0"/>
        </w:numPr>
        <w:tabs>
          <w:tab w:val="clear" w:pos="567"/>
          <w:tab w:val="clear" w:pos="2912"/>
        </w:tabs>
        <w:spacing w:line="240" w:lineRule="auto"/>
        <w:ind w:firstLine="720"/>
        <w:rPr>
          <w:i/>
          <w:szCs w:val="22"/>
          <w:lang w:val="es-ES"/>
        </w:rPr>
      </w:pPr>
      <w:r w:rsidRPr="00C96516">
        <w:rPr>
          <w:i/>
          <w:szCs w:val="22"/>
          <w:lang w:val="es-ES"/>
        </w:rPr>
        <w:t xml:space="preserve">Europa </w:t>
      </w:r>
      <w:r w:rsidR="00E563BE" w:rsidRPr="00C96516">
        <w:rPr>
          <w:i/>
          <w:szCs w:val="22"/>
          <w:lang w:val="es-ES"/>
        </w:rPr>
        <w:t xml:space="preserve">Central </w:t>
      </w:r>
      <w:r w:rsidRPr="00C96516">
        <w:rPr>
          <w:i/>
          <w:szCs w:val="22"/>
          <w:lang w:val="es-ES"/>
        </w:rPr>
        <w:t>y Oriental</w:t>
      </w:r>
    </w:p>
    <w:p w:rsidR="00C5397F" w:rsidRPr="00C96516" w:rsidRDefault="00C96516" w:rsidP="000C6220">
      <w:pPr>
        <w:pStyle w:val="Para1"/>
        <w:numPr>
          <w:ilvl w:val="0"/>
          <w:numId w:val="0"/>
        </w:numPr>
        <w:tabs>
          <w:tab w:val="clear" w:pos="567"/>
          <w:tab w:val="clear" w:pos="2912"/>
        </w:tabs>
        <w:spacing w:before="0" w:after="0" w:line="240" w:lineRule="auto"/>
        <w:ind w:left="1134"/>
        <w:rPr>
          <w:szCs w:val="22"/>
          <w:lang w:val="es-ES"/>
        </w:rPr>
      </w:pPr>
      <w:r w:rsidRPr="00C96516">
        <w:rPr>
          <w:szCs w:val="22"/>
          <w:lang w:val="es-ES"/>
        </w:rPr>
        <w:t>Sra</w:t>
      </w:r>
      <w:r w:rsidR="00C5397F" w:rsidRPr="00C96516">
        <w:rPr>
          <w:szCs w:val="22"/>
          <w:lang w:val="es-ES"/>
        </w:rPr>
        <w:t>. Elena Makeyeva (Belar</w:t>
      </w:r>
      <w:r>
        <w:rPr>
          <w:szCs w:val="22"/>
          <w:lang w:val="es-ES"/>
        </w:rPr>
        <w:t>ú</w:t>
      </w:r>
      <w:r w:rsidR="00C5397F" w:rsidRPr="00C96516">
        <w:rPr>
          <w:szCs w:val="22"/>
          <w:lang w:val="es-ES"/>
        </w:rPr>
        <w:t>s)</w:t>
      </w:r>
    </w:p>
    <w:p w:rsidR="00C5397F" w:rsidRPr="00C96516" w:rsidRDefault="00C96516" w:rsidP="000C6220">
      <w:pPr>
        <w:pStyle w:val="Para1"/>
        <w:numPr>
          <w:ilvl w:val="0"/>
          <w:numId w:val="0"/>
        </w:numPr>
        <w:tabs>
          <w:tab w:val="clear" w:pos="567"/>
          <w:tab w:val="clear" w:pos="2912"/>
        </w:tabs>
        <w:spacing w:before="0" w:after="0" w:line="240" w:lineRule="auto"/>
        <w:ind w:left="1134"/>
        <w:rPr>
          <w:szCs w:val="22"/>
          <w:lang w:val="es-ES"/>
        </w:rPr>
      </w:pPr>
      <w:r w:rsidRPr="00C96516">
        <w:rPr>
          <w:szCs w:val="22"/>
          <w:lang w:val="es-ES"/>
        </w:rPr>
        <w:t>S</w:t>
      </w:r>
      <w:r w:rsidR="00C5397F" w:rsidRPr="00C96516">
        <w:rPr>
          <w:szCs w:val="22"/>
          <w:lang w:val="es-ES"/>
        </w:rPr>
        <w:t>r. Dilovarsho Dustov (T</w:t>
      </w:r>
      <w:r w:rsidR="00027BBF" w:rsidRPr="00C96516">
        <w:rPr>
          <w:szCs w:val="22"/>
          <w:lang w:val="es-ES"/>
        </w:rPr>
        <w:t>a</w:t>
      </w:r>
      <w:r w:rsidRPr="00C96516">
        <w:rPr>
          <w:szCs w:val="22"/>
          <w:lang w:val="es-ES"/>
        </w:rPr>
        <w:t>y</w:t>
      </w:r>
      <w:r w:rsidR="00027BBF" w:rsidRPr="00C96516">
        <w:rPr>
          <w:szCs w:val="22"/>
          <w:lang w:val="es-ES"/>
        </w:rPr>
        <w:t>ik</w:t>
      </w:r>
      <w:r w:rsidR="00C5397F" w:rsidRPr="00C96516">
        <w:rPr>
          <w:szCs w:val="22"/>
          <w:lang w:val="es-ES"/>
        </w:rPr>
        <w:t>ist</w:t>
      </w:r>
      <w:r w:rsidRPr="00C96516">
        <w:rPr>
          <w:szCs w:val="22"/>
          <w:lang w:val="es-ES"/>
        </w:rPr>
        <w:t>á</w:t>
      </w:r>
      <w:r w:rsidR="00C5397F" w:rsidRPr="00C96516">
        <w:rPr>
          <w:szCs w:val="22"/>
          <w:lang w:val="es-ES"/>
        </w:rPr>
        <w:t>n)</w:t>
      </w:r>
    </w:p>
    <w:p w:rsidR="00C5397F" w:rsidRPr="00C96516" w:rsidRDefault="00C96516" w:rsidP="004742DD">
      <w:pPr>
        <w:pStyle w:val="Para1"/>
        <w:numPr>
          <w:ilvl w:val="0"/>
          <w:numId w:val="0"/>
        </w:numPr>
        <w:tabs>
          <w:tab w:val="clear" w:pos="567"/>
          <w:tab w:val="clear" w:pos="2912"/>
        </w:tabs>
        <w:spacing w:before="0" w:after="0" w:line="240" w:lineRule="auto"/>
        <w:ind w:left="1134"/>
        <w:rPr>
          <w:szCs w:val="22"/>
          <w:lang w:val="es-ES"/>
        </w:rPr>
      </w:pPr>
      <w:r w:rsidRPr="00C96516">
        <w:rPr>
          <w:szCs w:val="22"/>
          <w:lang w:val="es-ES"/>
        </w:rPr>
        <w:t>S</w:t>
      </w:r>
      <w:r w:rsidR="00C5397F" w:rsidRPr="00C96516">
        <w:rPr>
          <w:szCs w:val="22"/>
          <w:lang w:val="es-ES"/>
        </w:rPr>
        <w:t>r. Peter Manka (</w:t>
      </w:r>
      <w:r w:rsidRPr="00C96516">
        <w:rPr>
          <w:szCs w:val="22"/>
          <w:lang w:val="es-ES"/>
        </w:rPr>
        <w:t>Esl</w:t>
      </w:r>
      <w:r w:rsidR="00C5397F" w:rsidRPr="00C96516">
        <w:rPr>
          <w:szCs w:val="22"/>
          <w:lang w:val="es-ES"/>
        </w:rPr>
        <w:t>ovenia) (</w:t>
      </w:r>
      <w:r w:rsidRPr="00C96516">
        <w:rPr>
          <w:szCs w:val="22"/>
          <w:lang w:val="es-ES"/>
        </w:rPr>
        <w:t>como suplente</w:t>
      </w:r>
      <w:r w:rsidR="00C5397F" w:rsidRPr="00C96516">
        <w:rPr>
          <w:szCs w:val="22"/>
          <w:lang w:val="es-ES"/>
        </w:rPr>
        <w:t>)</w:t>
      </w:r>
    </w:p>
    <w:p w:rsidR="00E563BE" w:rsidRPr="004F0658" w:rsidRDefault="00C96516" w:rsidP="000C6220">
      <w:pPr>
        <w:pStyle w:val="Para1"/>
        <w:numPr>
          <w:ilvl w:val="0"/>
          <w:numId w:val="0"/>
        </w:numPr>
        <w:tabs>
          <w:tab w:val="clear" w:pos="567"/>
          <w:tab w:val="clear" w:pos="2912"/>
        </w:tabs>
        <w:spacing w:line="240" w:lineRule="auto"/>
        <w:ind w:firstLine="720"/>
        <w:rPr>
          <w:i/>
          <w:szCs w:val="22"/>
          <w:lang w:val="es-ES"/>
        </w:rPr>
      </w:pPr>
      <w:r>
        <w:rPr>
          <w:i/>
          <w:szCs w:val="22"/>
          <w:lang w:val="es-ES"/>
        </w:rPr>
        <w:t xml:space="preserve">América </w:t>
      </w:r>
      <w:r w:rsidR="00E563BE" w:rsidRPr="004F0658">
        <w:rPr>
          <w:i/>
          <w:szCs w:val="22"/>
          <w:lang w:val="es-ES"/>
        </w:rPr>
        <w:t>Latin</w:t>
      </w:r>
      <w:r>
        <w:rPr>
          <w:i/>
          <w:szCs w:val="22"/>
          <w:lang w:val="es-ES"/>
        </w:rPr>
        <w:t>a y el Caribe</w:t>
      </w:r>
    </w:p>
    <w:p w:rsidR="00C5397F" w:rsidRPr="004F0658" w:rsidRDefault="00C96516" w:rsidP="000C6220">
      <w:pPr>
        <w:pStyle w:val="Para1"/>
        <w:numPr>
          <w:ilvl w:val="0"/>
          <w:numId w:val="0"/>
        </w:numPr>
        <w:tabs>
          <w:tab w:val="clear" w:pos="567"/>
          <w:tab w:val="clear" w:pos="2912"/>
        </w:tabs>
        <w:spacing w:before="0" w:after="0" w:line="240" w:lineRule="auto"/>
        <w:ind w:left="1134"/>
        <w:rPr>
          <w:szCs w:val="22"/>
          <w:lang w:val="es-ES"/>
        </w:rPr>
      </w:pPr>
      <w:r>
        <w:rPr>
          <w:szCs w:val="22"/>
          <w:lang w:val="es-ES"/>
        </w:rPr>
        <w:lastRenderedPageBreak/>
        <w:t>Sra</w:t>
      </w:r>
      <w:r w:rsidR="00C5397F" w:rsidRPr="004F0658">
        <w:rPr>
          <w:szCs w:val="22"/>
          <w:lang w:val="es-ES"/>
        </w:rPr>
        <w:t>. Yolanda Octavalo (Ecuador)</w:t>
      </w:r>
    </w:p>
    <w:p w:rsidR="00C5397F" w:rsidRPr="00C96516" w:rsidRDefault="00C96516" w:rsidP="004742DD">
      <w:pPr>
        <w:pStyle w:val="Para1"/>
        <w:numPr>
          <w:ilvl w:val="0"/>
          <w:numId w:val="0"/>
        </w:numPr>
        <w:tabs>
          <w:tab w:val="clear" w:pos="567"/>
          <w:tab w:val="clear" w:pos="2912"/>
        </w:tabs>
        <w:spacing w:before="0" w:after="0" w:line="240" w:lineRule="auto"/>
        <w:ind w:left="1134"/>
        <w:rPr>
          <w:szCs w:val="22"/>
          <w:lang w:val="es-ES"/>
        </w:rPr>
      </w:pPr>
      <w:r w:rsidRPr="00C96516">
        <w:rPr>
          <w:szCs w:val="22"/>
          <w:lang w:val="es-ES"/>
        </w:rPr>
        <w:t>Sra</w:t>
      </w:r>
      <w:r w:rsidR="00C5397F" w:rsidRPr="00C96516">
        <w:rPr>
          <w:szCs w:val="22"/>
          <w:lang w:val="es-ES"/>
        </w:rPr>
        <w:t>. Micaela Bonafina (Argentina)</w:t>
      </w:r>
    </w:p>
    <w:p w:rsidR="00E563BE" w:rsidRPr="00C96516" w:rsidRDefault="00C96516" w:rsidP="000C6220">
      <w:pPr>
        <w:pStyle w:val="Para1"/>
        <w:numPr>
          <w:ilvl w:val="0"/>
          <w:numId w:val="0"/>
        </w:numPr>
        <w:tabs>
          <w:tab w:val="clear" w:pos="567"/>
          <w:tab w:val="clear" w:pos="2912"/>
        </w:tabs>
        <w:spacing w:line="240" w:lineRule="auto"/>
        <w:ind w:firstLine="720"/>
        <w:rPr>
          <w:i/>
          <w:szCs w:val="22"/>
          <w:lang w:val="es-ES"/>
        </w:rPr>
      </w:pPr>
      <w:r w:rsidRPr="00C96516">
        <w:rPr>
          <w:i/>
          <w:szCs w:val="22"/>
          <w:lang w:val="es-ES"/>
        </w:rPr>
        <w:t>Europa Occidental y otros Estados</w:t>
      </w:r>
    </w:p>
    <w:p w:rsidR="00C5397F" w:rsidRPr="00C96516" w:rsidRDefault="00C96516" w:rsidP="000C6220">
      <w:pPr>
        <w:pStyle w:val="Para1"/>
        <w:numPr>
          <w:ilvl w:val="0"/>
          <w:numId w:val="0"/>
        </w:numPr>
        <w:tabs>
          <w:tab w:val="clear" w:pos="567"/>
          <w:tab w:val="clear" w:pos="2912"/>
        </w:tabs>
        <w:spacing w:before="0" w:after="0" w:line="240" w:lineRule="auto"/>
        <w:ind w:left="1134"/>
        <w:rPr>
          <w:szCs w:val="22"/>
          <w:lang w:val="fr-CA"/>
        </w:rPr>
      </w:pPr>
      <w:r w:rsidRPr="00C96516">
        <w:rPr>
          <w:szCs w:val="22"/>
          <w:lang w:val="fr-CA"/>
        </w:rPr>
        <w:t>S</w:t>
      </w:r>
      <w:r w:rsidR="00C5397F" w:rsidRPr="00C96516">
        <w:rPr>
          <w:szCs w:val="22"/>
          <w:lang w:val="fr-CA"/>
        </w:rPr>
        <w:t>r. Gaute Voigt-Hanssen (Nor</w:t>
      </w:r>
      <w:r>
        <w:rPr>
          <w:szCs w:val="22"/>
          <w:lang w:val="fr-CA"/>
        </w:rPr>
        <w:t>uega</w:t>
      </w:r>
      <w:r w:rsidR="00C5397F" w:rsidRPr="00C96516">
        <w:rPr>
          <w:szCs w:val="22"/>
          <w:lang w:val="fr-CA"/>
        </w:rPr>
        <w:t>)</w:t>
      </w:r>
    </w:p>
    <w:p w:rsidR="00C5397F" w:rsidRPr="00C96516" w:rsidRDefault="00C96516" w:rsidP="000C6220">
      <w:pPr>
        <w:pStyle w:val="Para1"/>
        <w:numPr>
          <w:ilvl w:val="0"/>
          <w:numId w:val="0"/>
        </w:numPr>
        <w:tabs>
          <w:tab w:val="clear" w:pos="567"/>
          <w:tab w:val="clear" w:pos="2912"/>
        </w:tabs>
        <w:spacing w:before="0" w:after="0" w:line="240" w:lineRule="auto"/>
        <w:ind w:left="1134"/>
        <w:rPr>
          <w:szCs w:val="22"/>
          <w:lang w:val="es-ES"/>
        </w:rPr>
      </w:pPr>
      <w:r w:rsidRPr="00C96516">
        <w:rPr>
          <w:szCs w:val="22"/>
          <w:lang w:val="es-ES"/>
        </w:rPr>
        <w:t>Sra</w:t>
      </w:r>
      <w:r w:rsidR="00C5397F" w:rsidRPr="00C96516">
        <w:rPr>
          <w:szCs w:val="22"/>
          <w:lang w:val="es-ES"/>
        </w:rPr>
        <w:t>. Salomé Sidler (S</w:t>
      </w:r>
      <w:r w:rsidRPr="00C96516">
        <w:rPr>
          <w:szCs w:val="22"/>
          <w:lang w:val="es-ES"/>
        </w:rPr>
        <w:t>uiza</w:t>
      </w:r>
      <w:r w:rsidR="00C5397F" w:rsidRPr="00C96516">
        <w:rPr>
          <w:szCs w:val="22"/>
          <w:lang w:val="es-ES"/>
        </w:rPr>
        <w:t>)</w:t>
      </w:r>
    </w:p>
    <w:p w:rsidR="00C5397F" w:rsidRPr="00C96516" w:rsidRDefault="00C96516" w:rsidP="000C6220">
      <w:pPr>
        <w:pStyle w:val="Para1"/>
        <w:numPr>
          <w:ilvl w:val="0"/>
          <w:numId w:val="0"/>
        </w:numPr>
        <w:tabs>
          <w:tab w:val="clear" w:pos="567"/>
          <w:tab w:val="clear" w:pos="2912"/>
        </w:tabs>
        <w:spacing w:before="0" w:line="240" w:lineRule="auto"/>
        <w:ind w:left="1134"/>
        <w:rPr>
          <w:szCs w:val="22"/>
          <w:lang w:val="es-ES"/>
        </w:rPr>
      </w:pPr>
      <w:r w:rsidRPr="00C96516">
        <w:rPr>
          <w:szCs w:val="22"/>
          <w:lang w:val="es-ES"/>
        </w:rPr>
        <w:t>Sra</w:t>
      </w:r>
      <w:r w:rsidR="00C5397F" w:rsidRPr="00C96516">
        <w:rPr>
          <w:szCs w:val="22"/>
          <w:lang w:val="es-ES"/>
        </w:rPr>
        <w:t>. Mery Ciacci (</w:t>
      </w:r>
      <w:r w:rsidRPr="00C96516">
        <w:rPr>
          <w:szCs w:val="22"/>
          <w:lang w:val="es-ES"/>
        </w:rPr>
        <w:t xml:space="preserve">Unión </w:t>
      </w:r>
      <w:r w:rsidR="00C5397F" w:rsidRPr="00C96516">
        <w:rPr>
          <w:szCs w:val="22"/>
          <w:lang w:val="es-ES"/>
        </w:rPr>
        <w:t>Europea) (</w:t>
      </w:r>
      <w:r w:rsidRPr="00C96516">
        <w:rPr>
          <w:szCs w:val="22"/>
          <w:lang w:val="es-ES"/>
        </w:rPr>
        <w:t>como suplente</w:t>
      </w:r>
      <w:r w:rsidR="00C5397F" w:rsidRPr="00C96516">
        <w:rPr>
          <w:szCs w:val="22"/>
          <w:lang w:val="es-ES"/>
        </w:rPr>
        <w:t>)</w:t>
      </w:r>
    </w:p>
    <w:p w:rsidR="00C5397F" w:rsidRPr="00C96516" w:rsidRDefault="00C96516" w:rsidP="000C6220">
      <w:pPr>
        <w:pStyle w:val="Para1"/>
        <w:tabs>
          <w:tab w:val="clear" w:pos="360"/>
          <w:tab w:val="clear" w:pos="567"/>
          <w:tab w:val="clear" w:pos="2912"/>
        </w:tabs>
        <w:spacing w:line="240" w:lineRule="auto"/>
        <w:rPr>
          <w:szCs w:val="22"/>
          <w:lang w:val="es-ES"/>
        </w:rPr>
      </w:pPr>
      <w:r w:rsidRPr="00C96516">
        <w:rPr>
          <w:szCs w:val="22"/>
          <w:lang w:val="es-ES"/>
        </w:rPr>
        <w:t>En la misma sesión plenaria</w:t>
      </w:r>
      <w:r w:rsidR="00C5397F" w:rsidRPr="00C96516">
        <w:rPr>
          <w:szCs w:val="22"/>
          <w:lang w:val="es-ES"/>
        </w:rPr>
        <w:t xml:space="preserve">, </w:t>
      </w:r>
      <w:r w:rsidRPr="00C96516">
        <w:rPr>
          <w:szCs w:val="22"/>
          <w:lang w:val="es-ES"/>
        </w:rPr>
        <w:t xml:space="preserve">la Conferencia de las Partes que actúa como reunión de las Partes en el Protocolo de </w:t>
      </w:r>
      <w:r w:rsidR="001D669D" w:rsidRPr="00C96516">
        <w:rPr>
          <w:szCs w:val="22"/>
          <w:lang w:val="es-ES"/>
        </w:rPr>
        <w:t xml:space="preserve">Nagoya </w:t>
      </w:r>
      <w:r w:rsidRPr="00C96516">
        <w:rPr>
          <w:szCs w:val="22"/>
          <w:lang w:val="es-ES"/>
        </w:rPr>
        <w:t>tambi</w:t>
      </w:r>
      <w:r>
        <w:rPr>
          <w:szCs w:val="22"/>
          <w:lang w:val="es-ES"/>
        </w:rPr>
        <w:t>én eligió a dos representantes de pueblos indígenas y comunidades locales para que actuasen en calidad de observadores</w:t>
      </w:r>
      <w:r w:rsidR="00C5397F" w:rsidRPr="00C96516">
        <w:rPr>
          <w:szCs w:val="22"/>
          <w:lang w:val="es-ES"/>
        </w:rPr>
        <w:t xml:space="preserve">: </w:t>
      </w:r>
      <w:r>
        <w:rPr>
          <w:szCs w:val="22"/>
          <w:lang w:val="es-ES"/>
        </w:rPr>
        <w:t>la Sra</w:t>
      </w:r>
      <w:r w:rsidR="00C5397F" w:rsidRPr="00C96516">
        <w:rPr>
          <w:szCs w:val="22"/>
          <w:lang w:val="es-ES"/>
        </w:rPr>
        <w:t xml:space="preserve">. Jennifer Tauli Corpuz </w:t>
      </w:r>
      <w:r>
        <w:rPr>
          <w:szCs w:val="22"/>
          <w:lang w:val="es-ES"/>
        </w:rPr>
        <w:t>y la Sra</w:t>
      </w:r>
      <w:r w:rsidR="00C5397F" w:rsidRPr="00C96516">
        <w:rPr>
          <w:szCs w:val="22"/>
          <w:lang w:val="es-ES"/>
        </w:rPr>
        <w:t>. Yeshing Juliana Upún Yos (</w:t>
      </w:r>
      <w:r>
        <w:rPr>
          <w:szCs w:val="22"/>
          <w:lang w:val="es-ES"/>
        </w:rPr>
        <w:t>ambas del FIIB</w:t>
      </w:r>
      <w:r w:rsidR="00C5397F" w:rsidRPr="00C96516">
        <w:rPr>
          <w:szCs w:val="22"/>
          <w:lang w:val="es-ES"/>
        </w:rPr>
        <w:t>/</w:t>
      </w:r>
      <w:r w:rsidRPr="00C8005E">
        <w:rPr>
          <w:lang w:val="es-ES"/>
        </w:rPr>
        <w:t>RMIB</w:t>
      </w:r>
      <w:r w:rsidR="00C5397F" w:rsidRPr="00C96516">
        <w:rPr>
          <w:szCs w:val="22"/>
          <w:lang w:val="es-ES"/>
        </w:rPr>
        <w:t>).</w:t>
      </w:r>
    </w:p>
    <w:p w:rsidR="00E47FEB" w:rsidRPr="007C3F07" w:rsidRDefault="00C96516" w:rsidP="000C6220">
      <w:pPr>
        <w:pStyle w:val="Heading1-item"/>
        <w:tabs>
          <w:tab w:val="left" w:pos="993"/>
        </w:tabs>
        <w:spacing w:before="120" w:line="240" w:lineRule="auto"/>
        <w:rPr>
          <w:rFonts w:hint="eastAsia"/>
          <w:lang w:val="es-ES"/>
        </w:rPr>
      </w:pPr>
      <w:bookmarkStart w:id="34" w:name="_Toc256223"/>
      <w:r>
        <w:rPr>
          <w:rFonts w:ascii="Times New Roman" w:hAnsi="Times New Roman" w:cs="Times New Roman"/>
          <w:lang w:val="es-ES"/>
        </w:rPr>
        <w:t>TEMA</w:t>
      </w:r>
      <w:r w:rsidR="00BB2871" w:rsidRPr="00007AFE">
        <w:rPr>
          <w:rFonts w:ascii="Times New Roman" w:hAnsi="Times New Roman" w:cs="Times New Roman"/>
          <w:lang w:val="es-ES"/>
        </w:rPr>
        <w:t xml:space="preserve"> </w:t>
      </w:r>
      <w:r w:rsidR="00342651" w:rsidRPr="00007AFE">
        <w:rPr>
          <w:rFonts w:ascii="Times New Roman" w:hAnsi="Times New Roman" w:cs="Times New Roman"/>
          <w:lang w:val="es-ES"/>
        </w:rPr>
        <w:t>6</w:t>
      </w:r>
      <w:r w:rsidR="00BB2871" w:rsidRPr="00007AFE">
        <w:rPr>
          <w:rFonts w:ascii="Times New Roman" w:hAnsi="Times New Roman" w:cs="Times New Roman"/>
          <w:lang w:val="es-ES"/>
        </w:rPr>
        <w:t>.</w:t>
      </w:r>
      <w:r w:rsidR="00BB2871" w:rsidRPr="00007AFE">
        <w:rPr>
          <w:rFonts w:ascii="Times New Roman" w:hAnsi="Times New Roman" w:cs="Times New Roman"/>
          <w:lang w:val="es-ES"/>
        </w:rPr>
        <w:tab/>
      </w:r>
      <w:bookmarkEnd w:id="34"/>
      <w:r w:rsidR="007C3F07" w:rsidRPr="00F5066E">
        <w:rPr>
          <w:lang w:val="es-ES"/>
        </w:rPr>
        <w:t>ADMINISTRACIÓN DEL PROTOCOLO Y PRESUPUESTO PARA LOS FONDOS FIDUCIARIOS</w:t>
      </w:r>
    </w:p>
    <w:p w:rsidR="000F6A49" w:rsidRPr="007C3F07" w:rsidRDefault="007C3F07" w:rsidP="000C6220">
      <w:pPr>
        <w:pStyle w:val="Para1"/>
        <w:tabs>
          <w:tab w:val="clear" w:pos="360"/>
          <w:tab w:val="clear" w:pos="567"/>
          <w:tab w:val="clear" w:pos="2912"/>
        </w:tabs>
        <w:spacing w:line="240" w:lineRule="auto"/>
        <w:rPr>
          <w:color w:val="000000"/>
          <w:lang w:val="es-ES"/>
        </w:rPr>
      </w:pPr>
      <w:r w:rsidRPr="00F5066E">
        <w:rPr>
          <w:lang w:val="es-ES"/>
        </w:rPr>
        <w:t>El tema 6 del programa se examinó en la 2ª sesión plenaria de la reun</w:t>
      </w:r>
      <w:r>
        <w:rPr>
          <w:lang w:val="es-ES"/>
        </w:rPr>
        <w:t xml:space="preserve">ión, el </w:t>
      </w:r>
      <w:r w:rsidRPr="00F5066E">
        <w:rPr>
          <w:lang w:val="es-ES"/>
        </w:rPr>
        <w:t xml:space="preserve">17 </w:t>
      </w:r>
      <w:r>
        <w:rPr>
          <w:lang w:val="es-ES"/>
        </w:rPr>
        <w:t>de noviembre de</w:t>
      </w:r>
      <w:r w:rsidRPr="00F5066E">
        <w:rPr>
          <w:lang w:val="es-ES"/>
        </w:rPr>
        <w:t xml:space="preserve"> 2018. Al examinar el tema, la Conferencia de las Partes que actúa como reunión de las Partes </w:t>
      </w:r>
      <w:r>
        <w:rPr>
          <w:lang w:val="es-ES"/>
        </w:rPr>
        <w:t xml:space="preserve">en el Protocolo de Nagoya </w:t>
      </w:r>
      <w:r w:rsidRPr="00F5066E">
        <w:rPr>
          <w:lang w:val="es-ES"/>
        </w:rPr>
        <w:t>tuvo ante sí el informe de la Secretaria Ejecutiva sobre la administración del Convenio y los Protocolos de Cartagena y Nagoya para el bienio 2</w:t>
      </w:r>
      <w:r w:rsidRPr="00F5066E">
        <w:rPr>
          <w:color w:val="000000"/>
          <w:lang w:val="es-ES"/>
        </w:rPr>
        <w:t>017–2018</w:t>
      </w:r>
      <w:r w:rsidRPr="00F5066E">
        <w:rPr>
          <w:lang w:val="es-ES"/>
        </w:rPr>
        <w:t xml:space="preserve">, incluido el presupuesto para los fondos fiduciarios (CBD/COP/14/3), </w:t>
      </w:r>
      <w:r>
        <w:rPr>
          <w:lang w:val="es-ES"/>
        </w:rPr>
        <w:t xml:space="preserve">el presupuesto propuesto para el programa de trabajo del </w:t>
      </w:r>
      <w:r w:rsidRPr="00F5066E">
        <w:rPr>
          <w:color w:val="000000"/>
          <w:lang w:val="es-ES"/>
        </w:rPr>
        <w:t>Convenio</w:t>
      </w:r>
      <w:r>
        <w:rPr>
          <w:color w:val="000000"/>
          <w:lang w:val="es-ES"/>
        </w:rPr>
        <w:t xml:space="preserve"> y los Protocolos de C</w:t>
      </w:r>
      <w:r w:rsidRPr="00F5066E">
        <w:rPr>
          <w:lang w:val="es-ES"/>
        </w:rPr>
        <w:t xml:space="preserve">artagena </w:t>
      </w:r>
      <w:r>
        <w:rPr>
          <w:lang w:val="es-ES"/>
        </w:rPr>
        <w:t>y</w:t>
      </w:r>
      <w:r w:rsidRPr="00F5066E">
        <w:rPr>
          <w:lang w:val="es-ES"/>
        </w:rPr>
        <w:t xml:space="preserve"> Nagoya </w:t>
      </w:r>
      <w:r>
        <w:rPr>
          <w:lang w:val="es-ES"/>
        </w:rPr>
        <w:t xml:space="preserve">para el bienio </w:t>
      </w:r>
      <w:r w:rsidRPr="00F5066E">
        <w:rPr>
          <w:color w:val="000000"/>
          <w:lang w:val="es-ES"/>
        </w:rPr>
        <w:t>2019–2020</w:t>
      </w:r>
      <w:r w:rsidRPr="00F5066E">
        <w:rPr>
          <w:lang w:val="es-ES"/>
        </w:rPr>
        <w:t xml:space="preserve"> (CBD/COP/14/4) </w:t>
      </w:r>
      <w:r>
        <w:rPr>
          <w:lang w:val="es-ES"/>
        </w:rPr>
        <w:t xml:space="preserve">y elementos de un proyecto de decisión sobre el asunto </w:t>
      </w:r>
      <w:r w:rsidRPr="00F5066E">
        <w:rPr>
          <w:lang w:val="es-ES"/>
        </w:rPr>
        <w:t>(</w:t>
      </w:r>
      <w:r>
        <w:rPr>
          <w:lang w:val="es-ES"/>
        </w:rPr>
        <w:t xml:space="preserve">véase </w:t>
      </w:r>
      <w:r w:rsidRPr="00F5066E">
        <w:rPr>
          <w:color w:val="000000"/>
          <w:lang w:val="es-ES"/>
        </w:rPr>
        <w:t>CBD/COP/14/2)</w:t>
      </w:r>
      <w:r>
        <w:rPr>
          <w:color w:val="000000"/>
          <w:lang w:val="es-ES"/>
        </w:rPr>
        <w:t xml:space="preserve">, así como un documento informativo sobre la administración del Convenio y el presupuesto para los fondos fiduciarios del </w:t>
      </w:r>
      <w:r w:rsidRPr="00F5066E">
        <w:rPr>
          <w:lang w:val="es-ES"/>
        </w:rPr>
        <w:t>Convenio</w:t>
      </w:r>
      <w:r>
        <w:rPr>
          <w:lang w:val="es-ES"/>
        </w:rPr>
        <w:t xml:space="preserve"> y los Protocolos de </w:t>
      </w:r>
      <w:r w:rsidRPr="00F5066E">
        <w:rPr>
          <w:lang w:val="es-ES"/>
        </w:rPr>
        <w:t xml:space="preserve">Cartagena </w:t>
      </w:r>
      <w:r>
        <w:rPr>
          <w:lang w:val="es-ES"/>
        </w:rPr>
        <w:t xml:space="preserve">y Nagoya </w:t>
      </w:r>
      <w:r w:rsidR="000F6A49" w:rsidRPr="007C3F07">
        <w:rPr>
          <w:lang w:val="es-ES"/>
        </w:rPr>
        <w:t>(CBD/COP/14/INF/17).</w:t>
      </w:r>
    </w:p>
    <w:p w:rsidR="000F6A49" w:rsidRPr="007C3F07" w:rsidRDefault="007C3F07" w:rsidP="000C6220">
      <w:pPr>
        <w:pStyle w:val="Para1"/>
        <w:tabs>
          <w:tab w:val="clear" w:pos="360"/>
          <w:tab w:val="clear" w:pos="567"/>
          <w:tab w:val="clear" w:pos="2912"/>
        </w:tabs>
        <w:spacing w:line="240" w:lineRule="auto"/>
        <w:rPr>
          <w:lang w:val="es-ES"/>
        </w:rPr>
      </w:pPr>
      <w:r w:rsidRPr="00F5066E">
        <w:rPr>
          <w:lang w:val="es-ES"/>
        </w:rPr>
        <w:t>El representante de Japón formuló una declaración</w:t>
      </w:r>
      <w:r w:rsidR="000F6A49" w:rsidRPr="007C3F07">
        <w:rPr>
          <w:lang w:val="es-ES"/>
        </w:rPr>
        <w:t>.</w:t>
      </w:r>
    </w:p>
    <w:p w:rsidR="000F6A49" w:rsidRPr="007C3F07" w:rsidRDefault="007C3F07" w:rsidP="000C6220">
      <w:pPr>
        <w:pStyle w:val="Para1"/>
        <w:tabs>
          <w:tab w:val="clear" w:pos="360"/>
          <w:tab w:val="clear" w:pos="567"/>
          <w:tab w:val="clear" w:pos="2912"/>
        </w:tabs>
        <w:spacing w:line="240" w:lineRule="auto"/>
        <w:rPr>
          <w:lang w:val="es-ES"/>
        </w:rPr>
      </w:pPr>
      <w:r w:rsidRPr="00F5066E">
        <w:rPr>
          <w:lang w:val="es-ES"/>
        </w:rPr>
        <w:t xml:space="preserve">La Conferencia de las Partes que actúa como reunión de las Partes </w:t>
      </w:r>
      <w:r>
        <w:rPr>
          <w:lang w:val="es-ES"/>
        </w:rPr>
        <w:t xml:space="preserve">en el Protocolo de Nagoya </w:t>
      </w:r>
      <w:r w:rsidRPr="00F5066E">
        <w:rPr>
          <w:lang w:val="es-ES"/>
        </w:rPr>
        <w:t xml:space="preserve">tomó nota de los informes y </w:t>
      </w:r>
      <w:r>
        <w:rPr>
          <w:lang w:val="es-ES"/>
        </w:rPr>
        <w:t>decidió</w:t>
      </w:r>
      <w:r w:rsidRPr="00F5066E">
        <w:rPr>
          <w:lang w:val="es-ES"/>
        </w:rPr>
        <w:t xml:space="preserve"> </w:t>
      </w:r>
      <w:r>
        <w:rPr>
          <w:lang w:val="es-ES"/>
        </w:rPr>
        <w:t>establecer u</w:t>
      </w:r>
      <w:r w:rsidRPr="00F5066E">
        <w:rPr>
          <w:lang w:val="es-ES"/>
        </w:rPr>
        <w:t>n grupo de contacto sobre el presupuesto, con el mand</w:t>
      </w:r>
      <w:r>
        <w:rPr>
          <w:lang w:val="es-ES"/>
        </w:rPr>
        <w:t xml:space="preserve">ato de examinar el asunto y preparar un proyecto de presupuesto para el programa de trabajo para el bienio </w:t>
      </w:r>
      <w:r w:rsidRPr="00F5066E">
        <w:rPr>
          <w:lang w:val="es-ES"/>
        </w:rPr>
        <w:t>2019</w:t>
      </w:r>
      <w:r w:rsidRPr="00F5066E">
        <w:rPr>
          <w:color w:val="000000"/>
          <w:lang w:val="es-ES"/>
        </w:rPr>
        <w:t>–</w:t>
      </w:r>
      <w:r w:rsidRPr="00F5066E">
        <w:rPr>
          <w:lang w:val="es-ES"/>
        </w:rPr>
        <w:t xml:space="preserve">2020, </w:t>
      </w:r>
      <w:r>
        <w:rPr>
          <w:lang w:val="es-ES"/>
        </w:rPr>
        <w:t xml:space="preserve">para someterlo al examen de las </w:t>
      </w:r>
      <w:r w:rsidRPr="00F5066E">
        <w:rPr>
          <w:lang w:val="es-ES"/>
        </w:rPr>
        <w:t xml:space="preserve">Partes. </w:t>
      </w:r>
      <w:r w:rsidRPr="007C3F07">
        <w:rPr>
          <w:lang w:val="es-ES"/>
        </w:rPr>
        <w:t>El grupo de contacto estaría presidido por el Sr. Spencer Thomas (Granada), estaría abierto a todas las Partes y se reuniría con carácter oficioso por invitación de su Presidente, anunciando las reuniones por adelantado en el calendario diario de reuniones</w:t>
      </w:r>
      <w:r w:rsidR="000F6A49" w:rsidRPr="007C3F07">
        <w:rPr>
          <w:lang w:val="es-ES"/>
        </w:rPr>
        <w:t>.</w:t>
      </w:r>
    </w:p>
    <w:p w:rsidR="005B76D9" w:rsidRPr="007C3F07" w:rsidRDefault="007C3F07" w:rsidP="000C6220">
      <w:pPr>
        <w:pStyle w:val="Para1"/>
        <w:tabs>
          <w:tab w:val="clear" w:pos="360"/>
          <w:tab w:val="clear" w:pos="567"/>
          <w:tab w:val="clear" w:pos="2912"/>
        </w:tabs>
        <w:spacing w:line="240" w:lineRule="auto"/>
        <w:rPr>
          <w:lang w:val="es-ES"/>
        </w:rPr>
      </w:pPr>
      <w:r w:rsidRPr="00183125">
        <w:rPr>
          <w:lang w:val="es-ES"/>
        </w:rPr>
        <w:t xml:space="preserve">La Conferencia de las Partes que actúa como reunión de las Partes </w:t>
      </w:r>
      <w:r>
        <w:rPr>
          <w:lang w:val="es-ES"/>
        </w:rPr>
        <w:t xml:space="preserve">en el Protocolo de Nagoya </w:t>
      </w:r>
      <w:r w:rsidRPr="00183125">
        <w:rPr>
          <w:lang w:val="es-ES"/>
        </w:rPr>
        <w:t xml:space="preserve">escuchó los informes sobre los progresos realizados de la presidencia del grupo de contacto de composición abierta </w:t>
      </w:r>
      <w:r>
        <w:rPr>
          <w:lang w:val="es-ES"/>
        </w:rPr>
        <w:t xml:space="preserve">sobre el presupuesto en la 4ª sesión plenaria de la reunión, el </w:t>
      </w:r>
      <w:r w:rsidRPr="00183125">
        <w:rPr>
          <w:szCs w:val="22"/>
          <w:lang w:val="es-ES"/>
        </w:rPr>
        <w:t xml:space="preserve">22 </w:t>
      </w:r>
      <w:r>
        <w:rPr>
          <w:szCs w:val="22"/>
          <w:lang w:val="es-ES"/>
        </w:rPr>
        <w:t xml:space="preserve">de noviembre de </w:t>
      </w:r>
      <w:r w:rsidRPr="00183125">
        <w:rPr>
          <w:szCs w:val="22"/>
          <w:lang w:val="es-ES"/>
        </w:rPr>
        <w:t xml:space="preserve">2018, </w:t>
      </w:r>
      <w:r>
        <w:rPr>
          <w:szCs w:val="22"/>
          <w:lang w:val="es-ES"/>
        </w:rPr>
        <w:t xml:space="preserve">y en la </w:t>
      </w:r>
      <w:r w:rsidRPr="00183125">
        <w:rPr>
          <w:lang w:val="es-ES"/>
        </w:rPr>
        <w:t>5</w:t>
      </w:r>
      <w:r>
        <w:rPr>
          <w:lang w:val="es-ES"/>
        </w:rPr>
        <w:t>ª sesión plenaria, el 2</w:t>
      </w:r>
      <w:r w:rsidRPr="00183125">
        <w:rPr>
          <w:lang w:val="es-ES"/>
        </w:rPr>
        <w:t xml:space="preserve">5 </w:t>
      </w:r>
      <w:r>
        <w:rPr>
          <w:lang w:val="es-ES"/>
        </w:rPr>
        <w:t>de noviembre de</w:t>
      </w:r>
      <w:r w:rsidRPr="00183125">
        <w:rPr>
          <w:lang w:val="es-ES"/>
        </w:rPr>
        <w:t xml:space="preserve"> 2018</w:t>
      </w:r>
      <w:r w:rsidR="005B76D9" w:rsidRPr="007C3F07">
        <w:rPr>
          <w:lang w:val="es-ES"/>
        </w:rPr>
        <w:t>.</w:t>
      </w:r>
    </w:p>
    <w:p w:rsidR="009F41A4" w:rsidRPr="007C3F07" w:rsidRDefault="007C3F07" w:rsidP="000C6220">
      <w:pPr>
        <w:pStyle w:val="Para1"/>
        <w:tabs>
          <w:tab w:val="clear" w:pos="360"/>
          <w:tab w:val="clear" w:pos="567"/>
          <w:tab w:val="clear" w:pos="2912"/>
        </w:tabs>
        <w:spacing w:line="240" w:lineRule="auto"/>
        <w:rPr>
          <w:lang w:val="es-ES"/>
        </w:rPr>
      </w:pPr>
      <w:r w:rsidRPr="007C3F07">
        <w:rPr>
          <w:lang w:val="es-ES"/>
        </w:rPr>
        <w:t xml:space="preserve">En su </w:t>
      </w:r>
      <w:r w:rsidR="009F41A4" w:rsidRPr="007C3F07">
        <w:rPr>
          <w:lang w:val="es-ES"/>
        </w:rPr>
        <w:t>8</w:t>
      </w:r>
      <w:r w:rsidRPr="007C3F07">
        <w:rPr>
          <w:lang w:val="es-ES"/>
        </w:rPr>
        <w:t xml:space="preserve">ª sesión plenaria, el </w:t>
      </w:r>
      <w:r w:rsidR="009F41A4" w:rsidRPr="007C3F07">
        <w:rPr>
          <w:lang w:val="es-ES"/>
        </w:rPr>
        <w:t xml:space="preserve">29 </w:t>
      </w:r>
      <w:r w:rsidRPr="007C3F07">
        <w:rPr>
          <w:lang w:val="es-ES"/>
        </w:rPr>
        <w:t>de noviembre de 2</w:t>
      </w:r>
      <w:r w:rsidR="009F41A4" w:rsidRPr="007C3F07">
        <w:rPr>
          <w:lang w:val="es-ES"/>
        </w:rPr>
        <w:t xml:space="preserve">018, </w:t>
      </w:r>
      <w:r w:rsidRPr="007C3F07">
        <w:rPr>
          <w:lang w:val="es-ES"/>
        </w:rPr>
        <w:t xml:space="preserve">la Conferencia de las Partes que actúa como reunión de las Partes en el Protocolo de </w:t>
      </w:r>
      <w:r w:rsidR="00BF4ADD" w:rsidRPr="007C3F07">
        <w:rPr>
          <w:lang w:val="es-ES"/>
        </w:rPr>
        <w:t xml:space="preserve">Nagoya </w:t>
      </w:r>
      <w:r>
        <w:rPr>
          <w:lang w:val="es-ES"/>
        </w:rPr>
        <w:t xml:space="preserve">retomó el proyecto de decisión </w:t>
      </w:r>
      <w:r w:rsidR="009F41A4" w:rsidRPr="007C3F07">
        <w:rPr>
          <w:lang w:val="es-ES"/>
        </w:rPr>
        <w:t xml:space="preserve">CBD/NP/MOP/3/L.16, </w:t>
      </w:r>
      <w:r>
        <w:rPr>
          <w:lang w:val="es-ES"/>
        </w:rPr>
        <w:t>sobre el presupuesto para el programa de trabajo integrado de la Secretaría</w:t>
      </w:r>
      <w:r w:rsidR="009F41A4" w:rsidRPr="007C3F07">
        <w:rPr>
          <w:lang w:val="es-ES"/>
        </w:rPr>
        <w:t>.</w:t>
      </w:r>
    </w:p>
    <w:p w:rsidR="005B76D9" w:rsidRPr="007C3F07" w:rsidRDefault="007C3F07" w:rsidP="000C6220">
      <w:pPr>
        <w:pStyle w:val="Para1"/>
        <w:tabs>
          <w:tab w:val="clear" w:pos="360"/>
          <w:tab w:val="clear" w:pos="567"/>
          <w:tab w:val="clear" w:pos="2912"/>
        </w:tabs>
        <w:spacing w:line="240" w:lineRule="auto"/>
        <w:rPr>
          <w:lang w:val="es-ES"/>
        </w:rPr>
      </w:pPr>
      <w:r w:rsidRPr="007C3F07">
        <w:rPr>
          <w:lang w:val="es-ES"/>
        </w:rPr>
        <w:t xml:space="preserve">La </w:t>
      </w:r>
      <w:r w:rsidR="009F41A4" w:rsidRPr="007C3F07">
        <w:rPr>
          <w:lang w:val="es-ES"/>
        </w:rPr>
        <w:t>Conferenc</w:t>
      </w:r>
      <w:r w:rsidRPr="007C3F07">
        <w:rPr>
          <w:lang w:val="es-ES"/>
        </w:rPr>
        <w:t xml:space="preserve">ia de las </w:t>
      </w:r>
      <w:r w:rsidR="009F41A4" w:rsidRPr="007C3F07">
        <w:rPr>
          <w:lang w:val="es-ES"/>
        </w:rPr>
        <w:t xml:space="preserve">Partes </w:t>
      </w:r>
      <w:r w:rsidRPr="007C3F07">
        <w:rPr>
          <w:lang w:val="es-ES"/>
        </w:rPr>
        <w:t>que actúa como reunión de las P</w:t>
      </w:r>
      <w:r w:rsidR="009F41A4" w:rsidRPr="007C3F07">
        <w:rPr>
          <w:lang w:val="es-ES"/>
        </w:rPr>
        <w:t xml:space="preserve">artes </w:t>
      </w:r>
      <w:r>
        <w:rPr>
          <w:lang w:val="es-ES"/>
        </w:rPr>
        <w:t>en el Protocolo de</w:t>
      </w:r>
      <w:r w:rsidR="00BF4ADD" w:rsidRPr="007C3F07">
        <w:rPr>
          <w:lang w:val="es-ES"/>
        </w:rPr>
        <w:t xml:space="preserve"> Nagoya </w:t>
      </w:r>
      <w:r>
        <w:rPr>
          <w:lang w:val="es-ES"/>
        </w:rPr>
        <w:t xml:space="preserve">aprobó el proyecto de decisión como decisión </w:t>
      </w:r>
      <w:r w:rsidR="003B2173" w:rsidRPr="007C3F07">
        <w:rPr>
          <w:lang w:val="es-ES"/>
        </w:rPr>
        <w:t>NP-</w:t>
      </w:r>
      <w:r w:rsidR="009F41A4" w:rsidRPr="007C3F07">
        <w:rPr>
          <w:lang w:val="es-ES"/>
        </w:rPr>
        <w:t>3/16 (</w:t>
      </w:r>
      <w:r>
        <w:rPr>
          <w:lang w:val="es-ES"/>
        </w:rPr>
        <w:t>para el texto, véase el c</w:t>
      </w:r>
      <w:r w:rsidR="00007AFE">
        <w:rPr>
          <w:lang w:val="es-ES"/>
        </w:rPr>
        <w:t>a</w:t>
      </w:r>
      <w:r>
        <w:rPr>
          <w:lang w:val="es-ES"/>
        </w:rPr>
        <w:t>pítulo</w:t>
      </w:r>
      <w:r w:rsidR="00A8524D" w:rsidRPr="007C3F07">
        <w:rPr>
          <w:lang w:val="es-ES"/>
        </w:rPr>
        <w:t> </w:t>
      </w:r>
      <w:r w:rsidR="009F41A4" w:rsidRPr="007C3F07">
        <w:rPr>
          <w:lang w:val="es-ES"/>
        </w:rPr>
        <w:t>I).</w:t>
      </w:r>
    </w:p>
    <w:p w:rsidR="00FC047F" w:rsidRPr="00732A14" w:rsidRDefault="007C3F07" w:rsidP="000C6220">
      <w:pPr>
        <w:pStyle w:val="Heading1-item"/>
        <w:spacing w:before="120" w:line="240" w:lineRule="auto"/>
        <w:ind w:left="1559" w:right="0" w:hanging="992"/>
        <w:jc w:val="left"/>
        <w:rPr>
          <w:rFonts w:hint="eastAsia"/>
          <w:lang w:val="es-ES"/>
        </w:rPr>
      </w:pPr>
      <w:bookmarkStart w:id="35" w:name="_Toc256224"/>
      <w:r>
        <w:rPr>
          <w:rFonts w:ascii="Times New Roman" w:hAnsi="Times New Roman" w:cs="Times New Roman"/>
          <w:lang w:val="es-ES"/>
        </w:rPr>
        <w:t>tema</w:t>
      </w:r>
      <w:r w:rsidR="00FC047F" w:rsidRPr="00732A14">
        <w:rPr>
          <w:rFonts w:ascii="Times New Roman" w:hAnsi="Times New Roman" w:cs="Times New Roman"/>
          <w:lang w:val="es-ES"/>
        </w:rPr>
        <w:t xml:space="preserve"> 7.</w:t>
      </w:r>
      <w:r w:rsidR="00FC047F" w:rsidRPr="00732A14">
        <w:rPr>
          <w:rFonts w:ascii="Times New Roman" w:hAnsi="Times New Roman" w:cs="Times New Roman"/>
          <w:lang w:val="es-ES"/>
        </w:rPr>
        <w:tab/>
      </w:r>
      <w:r w:rsidR="00732A14" w:rsidRPr="00133A3D">
        <w:rPr>
          <w:lang w:val="es-ES"/>
        </w:rPr>
        <w:t>EVALUACIÓN Y REVISI</w:t>
      </w:r>
      <w:r w:rsidR="00732A14">
        <w:rPr>
          <w:lang w:val="es-ES"/>
        </w:rPr>
        <w:t xml:space="preserve">ÓN </w:t>
      </w:r>
      <w:r w:rsidR="00732A14" w:rsidRPr="00133A3D">
        <w:rPr>
          <w:lang w:val="es-ES"/>
        </w:rPr>
        <w:t xml:space="preserve">DE LA EFICACIA DEL PROTOCOLO (ARTÍCULO </w:t>
      </w:r>
      <w:r w:rsidR="00A40933" w:rsidRPr="00732A14">
        <w:rPr>
          <w:rFonts w:ascii="Times New Roman" w:hAnsi="Times New Roman" w:cs="Times New Roman"/>
          <w:lang w:val="es-ES"/>
        </w:rPr>
        <w:t>31)</w:t>
      </w:r>
      <w:bookmarkEnd w:id="35"/>
    </w:p>
    <w:p w:rsidR="002437E5" w:rsidRPr="00534A37" w:rsidRDefault="00534A37" w:rsidP="000C6220">
      <w:pPr>
        <w:pStyle w:val="Para1"/>
        <w:tabs>
          <w:tab w:val="clear" w:pos="360"/>
          <w:tab w:val="clear" w:pos="567"/>
          <w:tab w:val="clear" w:pos="2912"/>
        </w:tabs>
        <w:spacing w:line="240" w:lineRule="auto"/>
        <w:rPr>
          <w:szCs w:val="22"/>
          <w:lang w:val="es-ES"/>
        </w:rPr>
      </w:pPr>
      <w:r w:rsidRPr="00BD1CDE">
        <w:rPr>
          <w:rFonts w:eastAsia="MS Mincho"/>
          <w:lang w:val="es-ES"/>
        </w:rPr>
        <w:t xml:space="preserve">El Grupo de Trabajo I comenzó a tratar el tema 7 del programa en su primera reunión, el 18 de noviembre de 2018. Para examinar este tema, el Grupo de Trabajo tuvo ante sí </w:t>
      </w:r>
      <w:r>
        <w:rPr>
          <w:rFonts w:eastAsia="MS Mincho"/>
          <w:lang w:val="es-ES"/>
        </w:rPr>
        <w:t xml:space="preserve">una nota de la Secretaria Ejecutiva sobre la evaluación y revisión </w:t>
      </w:r>
      <w:r w:rsidRPr="00BD1CDE">
        <w:rPr>
          <w:rFonts w:eastAsia="MS Mincho"/>
          <w:lang w:val="es-ES"/>
        </w:rPr>
        <w:t xml:space="preserve">de la eficacia del Protocolo (artículo 31) (CBD/NP/MOP/3/3) y un proyecto de decisión basado en la recomendación </w:t>
      </w:r>
      <w:hyperlink r:id="rId33" w:history="1">
        <w:r w:rsidRPr="00534A37">
          <w:rPr>
            <w:rStyle w:val="Hipervnculo"/>
            <w:sz w:val="22"/>
            <w:szCs w:val="22"/>
            <w:lang w:val="es-ES"/>
          </w:rPr>
          <w:t>SBI-2/2</w:t>
        </w:r>
      </w:hyperlink>
      <w:r w:rsidRPr="00BD1CDE">
        <w:rPr>
          <w:rFonts w:eastAsia="MS Mincho"/>
          <w:lang w:val="es-ES"/>
        </w:rPr>
        <w:t xml:space="preserve"> </w:t>
      </w:r>
      <w:r>
        <w:rPr>
          <w:rFonts w:eastAsia="MS Mincho"/>
          <w:lang w:val="es-ES"/>
        </w:rPr>
        <w:t xml:space="preserve">y elementos adicionales del documento </w:t>
      </w:r>
      <w:r w:rsidRPr="00534A37">
        <w:rPr>
          <w:szCs w:val="22"/>
          <w:lang w:val="es-ES"/>
        </w:rPr>
        <w:t>CBD/NP/MOP/3/3</w:t>
      </w:r>
      <w:r>
        <w:rPr>
          <w:szCs w:val="22"/>
          <w:lang w:val="es-ES"/>
        </w:rPr>
        <w:t xml:space="preserve">, </w:t>
      </w:r>
      <w:r w:rsidRPr="00BD1CDE">
        <w:rPr>
          <w:rFonts w:eastAsia="MS Mincho"/>
          <w:lang w:val="es-ES"/>
        </w:rPr>
        <w:t>que figura</w:t>
      </w:r>
      <w:r>
        <w:rPr>
          <w:rFonts w:eastAsia="MS Mincho"/>
          <w:lang w:val="es-ES"/>
        </w:rPr>
        <w:t>n</w:t>
      </w:r>
      <w:r w:rsidRPr="00BD1CDE">
        <w:rPr>
          <w:rFonts w:eastAsia="MS Mincho"/>
          <w:lang w:val="es-ES"/>
        </w:rPr>
        <w:t xml:space="preserve"> en la recopilación de proyectos de decisión (CBD/NP/MOP/3/1/Add.2).  Además, tuvo ante sí </w:t>
      </w:r>
      <w:r>
        <w:rPr>
          <w:rFonts w:eastAsia="MS Mincho"/>
          <w:lang w:val="es-ES"/>
        </w:rPr>
        <w:t xml:space="preserve">los siguientes </w:t>
      </w:r>
      <w:r w:rsidRPr="00BD1CDE">
        <w:rPr>
          <w:rFonts w:eastAsia="MS Mincho"/>
          <w:lang w:val="es-ES"/>
        </w:rPr>
        <w:t xml:space="preserve">documentos de información sobre </w:t>
      </w:r>
      <w:r>
        <w:rPr>
          <w:rFonts w:eastAsia="MS Mincho"/>
          <w:lang w:val="es-ES"/>
        </w:rPr>
        <w:t xml:space="preserve">la </w:t>
      </w:r>
      <w:r w:rsidRPr="00BD1CDE">
        <w:rPr>
          <w:rFonts w:eastAsia="MS Mincho"/>
          <w:lang w:val="es-ES"/>
        </w:rPr>
        <w:t>evaluación y revisión de la eficacia del Protocolo de Nagoya</w:t>
      </w:r>
      <w:r>
        <w:rPr>
          <w:rFonts w:eastAsia="MS Mincho"/>
          <w:lang w:val="es-ES"/>
        </w:rPr>
        <w:t>: a)</w:t>
      </w:r>
      <w:r w:rsidRPr="00BD1CDE">
        <w:rPr>
          <w:rFonts w:eastAsia="MS Mincho"/>
          <w:lang w:val="es-ES"/>
        </w:rPr>
        <w:t xml:space="preserve"> el análisis de la información que figura en los informes nacionales provisionales y la información publicada en el Centro de Intercambio de Información sobre Acceso y Participación en los Beneficios (CBD/SBI/2/INF/3); </w:t>
      </w:r>
      <w:r>
        <w:rPr>
          <w:rFonts w:eastAsia="MS Mincho"/>
          <w:lang w:val="es-ES"/>
        </w:rPr>
        <w:t xml:space="preserve">b) </w:t>
      </w:r>
      <w:r w:rsidRPr="00BD1CDE">
        <w:rPr>
          <w:rFonts w:eastAsia="MS Mincho"/>
          <w:lang w:val="es-ES"/>
        </w:rPr>
        <w:t xml:space="preserve">un resumen estadístico de las respuestas dadas en el informe nacional </w:t>
      </w:r>
      <w:r w:rsidRPr="00BD1CDE">
        <w:rPr>
          <w:rFonts w:eastAsia="MS Mincho"/>
          <w:lang w:val="es-ES"/>
        </w:rPr>
        <w:lastRenderedPageBreak/>
        <w:t xml:space="preserve">provisional para el Protocolo de Nagoya (CBD/SBI/2/INF/4); </w:t>
      </w:r>
      <w:r>
        <w:rPr>
          <w:rFonts w:eastAsia="MS Mincho"/>
          <w:lang w:val="es-ES"/>
        </w:rPr>
        <w:t xml:space="preserve">c) </w:t>
      </w:r>
      <w:r w:rsidRPr="00BD1CDE">
        <w:rPr>
          <w:rFonts w:eastAsia="MS Mincho"/>
          <w:lang w:val="es-ES"/>
        </w:rPr>
        <w:t xml:space="preserve">una evaluación de la aplicación y funcionamiento del Centro de Intercambio de Información sobre Acceso y Participación en los Beneficios (CBD/SBI/2/INF/7); y </w:t>
      </w:r>
      <w:r>
        <w:rPr>
          <w:rFonts w:eastAsia="MS Mincho"/>
          <w:lang w:val="es-ES"/>
        </w:rPr>
        <w:t xml:space="preserve">d) </w:t>
      </w:r>
      <w:r w:rsidRPr="00BD1CDE">
        <w:rPr>
          <w:rFonts w:eastAsia="MS Mincho"/>
          <w:lang w:val="es-ES"/>
        </w:rPr>
        <w:t>un balance de cláusulas contractuales modelo, códigos de conducta, directrices, prácticas óptimas y normas, además de leyes consuetudinarias, protocolos comunitarios y procedimientos de los pueblos indígenas y comunidades locales</w:t>
      </w:r>
      <w:r>
        <w:rPr>
          <w:szCs w:val="22"/>
          <w:lang w:val="es-ES"/>
        </w:rPr>
        <w:t xml:space="preserve"> </w:t>
      </w:r>
      <w:r w:rsidR="00DC1729" w:rsidRPr="00534A37">
        <w:rPr>
          <w:szCs w:val="22"/>
          <w:lang w:val="es-ES"/>
        </w:rPr>
        <w:t>(CBD/SBI/2/INF/8)</w:t>
      </w:r>
      <w:r w:rsidR="002437E5" w:rsidRPr="00534A37">
        <w:rPr>
          <w:szCs w:val="22"/>
          <w:lang w:val="es-ES"/>
        </w:rPr>
        <w:t>.</w:t>
      </w:r>
    </w:p>
    <w:p w:rsidR="002437E5" w:rsidRPr="00534A37" w:rsidRDefault="00534A37" w:rsidP="000C6220">
      <w:pPr>
        <w:pStyle w:val="Para1"/>
        <w:tabs>
          <w:tab w:val="clear" w:pos="360"/>
          <w:tab w:val="clear" w:pos="567"/>
          <w:tab w:val="clear" w:pos="2912"/>
        </w:tabs>
        <w:spacing w:line="240" w:lineRule="auto"/>
        <w:rPr>
          <w:szCs w:val="22"/>
          <w:lang w:val="es-ES"/>
        </w:rPr>
      </w:pPr>
      <w:r w:rsidRPr="00BD1CDE">
        <w:rPr>
          <w:rFonts w:eastAsia="MS Mincho"/>
          <w:lang w:val="es-ES"/>
        </w:rPr>
        <w:t>Formularon declaraciones los representantes de Argentina, India, Indonesia, Japón, Malasia, México, Uganda, la Unión Europea y sus 28 Estados miembros y Venezuela (República Bolivariana de</w:t>
      </w:r>
      <w:r w:rsidR="002437E5" w:rsidRPr="00534A37">
        <w:rPr>
          <w:szCs w:val="22"/>
          <w:lang w:val="es-ES"/>
        </w:rPr>
        <w:t>).</w:t>
      </w:r>
    </w:p>
    <w:p w:rsidR="002437E5" w:rsidRPr="00534A37" w:rsidRDefault="00534A37" w:rsidP="000C6220">
      <w:pPr>
        <w:pStyle w:val="Para1"/>
        <w:tabs>
          <w:tab w:val="clear" w:pos="360"/>
          <w:tab w:val="clear" w:pos="567"/>
          <w:tab w:val="clear" w:pos="2912"/>
        </w:tabs>
        <w:spacing w:line="240" w:lineRule="auto"/>
        <w:rPr>
          <w:szCs w:val="22"/>
          <w:lang w:val="es-ES"/>
        </w:rPr>
      </w:pPr>
      <w:r w:rsidRPr="00BD1CDE">
        <w:rPr>
          <w:rFonts w:eastAsia="MS Mincho"/>
          <w:lang w:val="es-ES"/>
        </w:rPr>
        <w:t>En su segunda reunión, celebrada el 18 de noviembre de 2018, el Grupo de Trabajo reanudó su consideración del tema</w:t>
      </w:r>
      <w:r w:rsidR="002437E5" w:rsidRPr="00534A37">
        <w:rPr>
          <w:szCs w:val="22"/>
          <w:lang w:val="es-ES"/>
        </w:rPr>
        <w:t>.</w:t>
      </w:r>
    </w:p>
    <w:p w:rsidR="002437E5" w:rsidRPr="00534A37" w:rsidRDefault="00534A37" w:rsidP="000C6220">
      <w:pPr>
        <w:pStyle w:val="Para1"/>
        <w:tabs>
          <w:tab w:val="clear" w:pos="360"/>
          <w:tab w:val="clear" w:pos="567"/>
          <w:tab w:val="clear" w:pos="2912"/>
        </w:tabs>
        <w:spacing w:line="240" w:lineRule="auto"/>
        <w:rPr>
          <w:szCs w:val="22"/>
          <w:lang w:val="es-ES"/>
        </w:rPr>
      </w:pPr>
      <w:r w:rsidRPr="00BD1CDE">
        <w:rPr>
          <w:rFonts w:eastAsia="MS Mincho"/>
          <w:lang w:val="es-ES"/>
        </w:rPr>
        <w:t xml:space="preserve">Formularon declaraciones los representantes de la República Centroafricana, </w:t>
      </w:r>
      <w:r w:rsidRPr="00534A37">
        <w:rPr>
          <w:szCs w:val="22"/>
          <w:lang w:val="es-ES"/>
        </w:rPr>
        <w:t>Côte d’Ivoire</w:t>
      </w:r>
      <w:r w:rsidRPr="00BD1CDE">
        <w:rPr>
          <w:rFonts w:eastAsia="MS Mincho"/>
          <w:lang w:val="es-ES"/>
        </w:rPr>
        <w:t>, Ecuador, Guinea, Jordania, Líbano, Níger, Perú, Sudáfrica, Sudán y Suiza</w:t>
      </w:r>
      <w:r w:rsidR="002437E5" w:rsidRPr="00534A37">
        <w:rPr>
          <w:szCs w:val="22"/>
          <w:lang w:val="es-ES"/>
        </w:rPr>
        <w:t>.</w:t>
      </w:r>
    </w:p>
    <w:p w:rsidR="002437E5" w:rsidRPr="00534A37" w:rsidRDefault="00534A37" w:rsidP="000C6220">
      <w:pPr>
        <w:pStyle w:val="Para1"/>
        <w:tabs>
          <w:tab w:val="clear" w:pos="360"/>
          <w:tab w:val="clear" w:pos="567"/>
          <w:tab w:val="clear" w:pos="2912"/>
        </w:tabs>
        <w:spacing w:line="240" w:lineRule="auto"/>
        <w:rPr>
          <w:szCs w:val="22"/>
          <w:lang w:val="es-ES"/>
        </w:rPr>
      </w:pPr>
      <w:r w:rsidRPr="00BD1CDE">
        <w:rPr>
          <w:rFonts w:eastAsia="MS Mincho"/>
          <w:lang w:val="es-ES"/>
        </w:rPr>
        <w:t>También formularon declaraciones los representantes de Costa Rica y Marruecos</w:t>
      </w:r>
      <w:r w:rsidR="002437E5" w:rsidRPr="00534A37">
        <w:rPr>
          <w:szCs w:val="22"/>
          <w:lang w:val="es-ES"/>
        </w:rPr>
        <w:t>.</w:t>
      </w:r>
    </w:p>
    <w:p w:rsidR="002437E5" w:rsidRPr="00534A37" w:rsidRDefault="00534A37" w:rsidP="000C6220">
      <w:pPr>
        <w:pStyle w:val="Para1"/>
        <w:tabs>
          <w:tab w:val="clear" w:pos="360"/>
          <w:tab w:val="clear" w:pos="567"/>
          <w:tab w:val="clear" w:pos="2912"/>
        </w:tabs>
        <w:spacing w:line="240" w:lineRule="auto"/>
        <w:rPr>
          <w:szCs w:val="22"/>
          <w:lang w:val="es-ES"/>
        </w:rPr>
      </w:pPr>
      <w:r w:rsidRPr="00BD1CDE">
        <w:rPr>
          <w:rFonts w:eastAsia="MS Mincho"/>
          <w:lang w:val="es-ES"/>
        </w:rPr>
        <w:t>Hizo uso de la palabra un representante de la FAO</w:t>
      </w:r>
      <w:r w:rsidR="002437E5" w:rsidRPr="00534A37">
        <w:rPr>
          <w:szCs w:val="22"/>
          <w:lang w:val="es-ES"/>
        </w:rPr>
        <w:t>.</w:t>
      </w:r>
    </w:p>
    <w:p w:rsidR="002437E5" w:rsidRPr="006D7B4A" w:rsidRDefault="006D7B4A" w:rsidP="000C6220">
      <w:pPr>
        <w:pStyle w:val="Para1"/>
        <w:tabs>
          <w:tab w:val="clear" w:pos="360"/>
          <w:tab w:val="clear" w:pos="567"/>
          <w:tab w:val="clear" w:pos="2912"/>
        </w:tabs>
        <w:spacing w:line="240" w:lineRule="auto"/>
        <w:rPr>
          <w:szCs w:val="22"/>
          <w:lang w:val="es-ES"/>
        </w:rPr>
      </w:pPr>
      <w:r w:rsidRPr="00BD1CDE">
        <w:rPr>
          <w:rFonts w:eastAsia="MS Mincho"/>
          <w:lang w:val="es-ES"/>
        </w:rPr>
        <w:t>Asimismo, intervino un representante del Foro Internacional Indígena sobre Biodiversidad (FIIB</w:t>
      </w:r>
      <w:r>
        <w:rPr>
          <w:rFonts w:eastAsia="MS Mincho"/>
          <w:lang w:val="es-ES"/>
        </w:rPr>
        <w:t>)</w:t>
      </w:r>
      <w:r w:rsidR="002437E5" w:rsidRPr="006D7B4A">
        <w:rPr>
          <w:szCs w:val="22"/>
          <w:lang w:val="es-ES"/>
        </w:rPr>
        <w:t>.</w:t>
      </w:r>
    </w:p>
    <w:p w:rsidR="002437E5" w:rsidRPr="006D7B4A" w:rsidRDefault="006D7B4A" w:rsidP="000C6220">
      <w:pPr>
        <w:pStyle w:val="Para1"/>
        <w:tabs>
          <w:tab w:val="clear" w:pos="360"/>
          <w:tab w:val="clear" w:pos="567"/>
          <w:tab w:val="clear" w:pos="2912"/>
        </w:tabs>
        <w:spacing w:line="240" w:lineRule="auto"/>
        <w:rPr>
          <w:szCs w:val="22"/>
          <w:lang w:val="es-ES"/>
        </w:rPr>
      </w:pPr>
      <w:r w:rsidRPr="00BD1CDE">
        <w:rPr>
          <w:rFonts w:eastAsia="MS Mincho"/>
          <w:lang w:val="es-ES"/>
        </w:rPr>
        <w:t>El Presidente dijo que prepararía un proyecto de decisión revisado sobre esta cuestión, teniendo en cuenta las opiniones expresadas oralmente y presentadas por escrito</w:t>
      </w:r>
      <w:r w:rsidR="002437E5" w:rsidRPr="006D7B4A">
        <w:rPr>
          <w:szCs w:val="22"/>
          <w:lang w:val="es-ES"/>
        </w:rPr>
        <w:t>.</w:t>
      </w:r>
    </w:p>
    <w:p w:rsidR="002437E5" w:rsidRPr="006D7B4A" w:rsidRDefault="006D7B4A" w:rsidP="000C6220">
      <w:pPr>
        <w:pStyle w:val="Para1"/>
        <w:tabs>
          <w:tab w:val="clear" w:pos="360"/>
          <w:tab w:val="clear" w:pos="567"/>
          <w:tab w:val="clear" w:pos="2912"/>
        </w:tabs>
        <w:spacing w:line="240" w:lineRule="auto"/>
        <w:rPr>
          <w:szCs w:val="22"/>
          <w:lang w:val="es-ES"/>
        </w:rPr>
      </w:pPr>
      <w:r w:rsidRPr="00BD1CDE">
        <w:rPr>
          <w:rFonts w:eastAsia="MS Mincho"/>
          <w:lang w:val="es-ES"/>
        </w:rPr>
        <w:t>En su séptima reunión, el 21 de noviembre de 2018, el Grupo de Trabajo consideró un proyecto de decisión revisado presentado por el Presidente</w:t>
      </w:r>
      <w:r w:rsidR="002437E5" w:rsidRPr="006D7B4A">
        <w:rPr>
          <w:szCs w:val="22"/>
          <w:lang w:val="es-ES"/>
        </w:rPr>
        <w:t>.</w:t>
      </w:r>
    </w:p>
    <w:p w:rsidR="002437E5" w:rsidRPr="006D7B4A" w:rsidRDefault="006D7B4A" w:rsidP="000C6220">
      <w:pPr>
        <w:pStyle w:val="Para1"/>
        <w:tabs>
          <w:tab w:val="clear" w:pos="360"/>
          <w:tab w:val="clear" w:pos="567"/>
          <w:tab w:val="clear" w:pos="2912"/>
        </w:tabs>
        <w:spacing w:line="240" w:lineRule="auto"/>
        <w:rPr>
          <w:lang w:val="es-ES"/>
        </w:rPr>
      </w:pPr>
      <w:r w:rsidRPr="00BD1CDE">
        <w:rPr>
          <w:rFonts w:eastAsia="MS Mincho"/>
          <w:lang w:val="es-ES"/>
        </w:rPr>
        <w:t xml:space="preserve">Formularon declaraciones los representantes de Gabón, Japón, Madagascar, México, Níger y </w:t>
      </w:r>
      <w:r>
        <w:rPr>
          <w:rFonts w:eastAsia="MS Mincho"/>
          <w:lang w:val="es-ES"/>
        </w:rPr>
        <w:t xml:space="preserve">la </w:t>
      </w:r>
      <w:r w:rsidRPr="00BD1CDE">
        <w:rPr>
          <w:rFonts w:eastAsia="MS Mincho"/>
          <w:lang w:val="es-ES"/>
        </w:rPr>
        <w:t>Unión Europea y sus 28 Estados miembros</w:t>
      </w:r>
      <w:r w:rsidR="002437E5" w:rsidRPr="006D7B4A">
        <w:rPr>
          <w:lang w:val="es-ES"/>
        </w:rPr>
        <w:t>.</w:t>
      </w:r>
    </w:p>
    <w:p w:rsidR="002437E5" w:rsidRPr="006D7B4A" w:rsidRDefault="006D7B4A" w:rsidP="000C6220">
      <w:pPr>
        <w:pStyle w:val="Para1"/>
        <w:tabs>
          <w:tab w:val="clear" w:pos="360"/>
          <w:tab w:val="clear" w:pos="567"/>
          <w:tab w:val="clear" w:pos="2912"/>
        </w:tabs>
        <w:spacing w:line="240" w:lineRule="auto"/>
        <w:rPr>
          <w:lang w:val="es-ES"/>
        </w:rPr>
      </w:pPr>
      <w:r w:rsidRPr="00BD1CDE">
        <w:rPr>
          <w:rFonts w:eastAsia="MS Mincho"/>
          <w:lang w:val="es-ES"/>
        </w:rPr>
        <w:t>Un representante del Foro Internacional Indígena sobre Biodiversidad (FIIB) también formuló una declaración</w:t>
      </w:r>
      <w:r w:rsidR="002437E5" w:rsidRPr="006D7B4A">
        <w:rPr>
          <w:shd w:val="clear" w:color="auto" w:fill="FFFFFF"/>
          <w:lang w:val="es-ES"/>
        </w:rPr>
        <w:t>.</w:t>
      </w:r>
    </w:p>
    <w:p w:rsidR="00FC047F" w:rsidRPr="006D7B4A" w:rsidRDefault="006D7B4A" w:rsidP="000C6220">
      <w:pPr>
        <w:pStyle w:val="Para1"/>
        <w:tabs>
          <w:tab w:val="clear" w:pos="360"/>
          <w:tab w:val="clear" w:pos="567"/>
          <w:tab w:val="clear" w:pos="2912"/>
        </w:tabs>
        <w:spacing w:line="240" w:lineRule="auto"/>
        <w:rPr>
          <w:lang w:val="es-ES"/>
        </w:rPr>
      </w:pPr>
      <w:r w:rsidRPr="00BD1CDE">
        <w:rPr>
          <w:rFonts w:eastAsia="MS Mincho"/>
          <w:lang w:val="es-ES"/>
        </w:rPr>
        <w:t xml:space="preserve">El Grupo de Trabajo aprobó el proyecto de decisión revisado, con las enmiendas efectuadas oralmente, para que fuera transmitido a la sesión plenaria como proyecto de decisión </w:t>
      </w:r>
      <w:r w:rsidR="002437E5" w:rsidRPr="006D7B4A">
        <w:rPr>
          <w:lang w:val="es-ES"/>
        </w:rPr>
        <w:t>CBD/NP/MOP/3/L.2.</w:t>
      </w:r>
    </w:p>
    <w:p w:rsidR="00D463B5" w:rsidRPr="006D7B4A" w:rsidRDefault="006D7B4A" w:rsidP="000C6220">
      <w:pPr>
        <w:pStyle w:val="Para1"/>
        <w:tabs>
          <w:tab w:val="clear" w:pos="360"/>
          <w:tab w:val="clear" w:pos="567"/>
          <w:tab w:val="clear" w:pos="2912"/>
        </w:tabs>
        <w:spacing w:line="240" w:lineRule="auto"/>
        <w:rPr>
          <w:lang w:val="es-ES"/>
        </w:rPr>
      </w:pPr>
      <w:r w:rsidRPr="006B2892">
        <w:rPr>
          <w:bCs/>
          <w:szCs w:val="22"/>
          <w:lang w:val="es-ES"/>
        </w:rPr>
        <w:t xml:space="preserve">En la 5ª sesión plenaria de la reunión, el 25 de noviembre de 2018, la Conferencia de las Partes </w:t>
      </w:r>
      <w:r>
        <w:rPr>
          <w:bCs/>
          <w:szCs w:val="22"/>
          <w:lang w:val="es-ES"/>
        </w:rPr>
        <w:t xml:space="preserve">que actúa como reunión de las Partes en el Protocolo de Nagoya adoptó el proyecto de decisión </w:t>
      </w:r>
      <w:r w:rsidRPr="006B2892">
        <w:rPr>
          <w:bCs/>
          <w:szCs w:val="22"/>
          <w:lang w:val="es-ES"/>
        </w:rPr>
        <w:t>CBD/NP/MOP/3/L.2</w:t>
      </w:r>
      <w:r>
        <w:rPr>
          <w:bCs/>
          <w:szCs w:val="22"/>
          <w:lang w:val="es-ES"/>
        </w:rPr>
        <w:t>,</w:t>
      </w:r>
      <w:r w:rsidRPr="006B2892">
        <w:rPr>
          <w:bCs/>
          <w:szCs w:val="22"/>
          <w:lang w:val="es-ES"/>
        </w:rPr>
        <w:t xml:space="preserve"> </w:t>
      </w:r>
      <w:r>
        <w:rPr>
          <w:bCs/>
          <w:szCs w:val="22"/>
          <w:lang w:val="es-ES"/>
        </w:rPr>
        <w:t xml:space="preserve">en su forma enmendada oralmente, como decisión </w:t>
      </w:r>
      <w:r w:rsidR="00D463B5" w:rsidRPr="006D7B4A">
        <w:rPr>
          <w:bCs/>
          <w:szCs w:val="22"/>
          <w:lang w:val="es-ES"/>
        </w:rPr>
        <w:t>NP-</w:t>
      </w:r>
      <w:r w:rsidR="002C5EC6" w:rsidRPr="006D7B4A">
        <w:rPr>
          <w:bCs/>
          <w:szCs w:val="22"/>
          <w:lang w:val="es-ES"/>
        </w:rPr>
        <w:t>3</w:t>
      </w:r>
      <w:r w:rsidR="00D463B5" w:rsidRPr="006D7B4A">
        <w:rPr>
          <w:bCs/>
          <w:szCs w:val="22"/>
          <w:lang w:val="es-ES"/>
        </w:rPr>
        <w:t>/</w:t>
      </w:r>
      <w:r w:rsidR="00426DF0" w:rsidRPr="006D7B4A">
        <w:rPr>
          <w:bCs/>
          <w:szCs w:val="22"/>
          <w:lang w:val="es-ES"/>
        </w:rPr>
        <w:t>1</w:t>
      </w:r>
      <w:r w:rsidR="003B2173" w:rsidRPr="006D7B4A">
        <w:rPr>
          <w:bCs/>
          <w:szCs w:val="22"/>
          <w:lang w:val="es-ES"/>
        </w:rPr>
        <w:t xml:space="preserve"> </w:t>
      </w:r>
      <w:r w:rsidR="003B2173" w:rsidRPr="006D7B4A">
        <w:rPr>
          <w:lang w:val="es-ES"/>
        </w:rPr>
        <w:t>(</w:t>
      </w:r>
      <w:r>
        <w:rPr>
          <w:lang w:val="es-ES"/>
        </w:rPr>
        <w:t>para el texto, véase el capítulo</w:t>
      </w:r>
      <w:r w:rsidR="00AB6308" w:rsidRPr="006D7B4A">
        <w:rPr>
          <w:lang w:val="es-ES"/>
        </w:rPr>
        <w:t> </w:t>
      </w:r>
      <w:r w:rsidR="003B2173" w:rsidRPr="006D7B4A">
        <w:rPr>
          <w:lang w:val="es-ES"/>
        </w:rPr>
        <w:t>I)</w:t>
      </w:r>
      <w:r w:rsidR="00125355" w:rsidRPr="006D7B4A">
        <w:rPr>
          <w:lang w:val="es-ES"/>
        </w:rPr>
        <w:t>.</w:t>
      </w:r>
    </w:p>
    <w:p w:rsidR="00FC047F" w:rsidRPr="006D7B4A" w:rsidRDefault="006D7B4A" w:rsidP="000C6220">
      <w:pPr>
        <w:pStyle w:val="Heading1-item"/>
        <w:tabs>
          <w:tab w:val="left" w:pos="993"/>
        </w:tabs>
        <w:spacing w:before="120" w:line="240" w:lineRule="auto"/>
        <w:rPr>
          <w:rFonts w:ascii="Times New Roman" w:hAnsi="Times New Roman" w:cs="Times New Roman"/>
          <w:lang w:val="es-ES"/>
        </w:rPr>
      </w:pPr>
      <w:bookmarkStart w:id="36" w:name="_Toc256225"/>
      <w:r w:rsidRPr="006D7B4A">
        <w:rPr>
          <w:rFonts w:ascii="Times New Roman" w:hAnsi="Times New Roman" w:cs="Times New Roman"/>
          <w:lang w:val="es-ES"/>
        </w:rPr>
        <w:t>TEMA</w:t>
      </w:r>
      <w:r w:rsidR="00FC047F" w:rsidRPr="006D7B4A">
        <w:rPr>
          <w:rFonts w:ascii="Times New Roman" w:hAnsi="Times New Roman" w:cs="Times New Roman" w:hint="eastAsia"/>
          <w:lang w:val="es-ES"/>
        </w:rPr>
        <w:t xml:space="preserve"> 8.</w:t>
      </w:r>
      <w:r w:rsidR="00FC047F" w:rsidRPr="006D7B4A">
        <w:rPr>
          <w:rFonts w:ascii="Times New Roman" w:hAnsi="Times New Roman" w:cs="Times New Roman" w:hint="eastAsia"/>
          <w:lang w:val="es-ES"/>
        </w:rPr>
        <w:tab/>
      </w:r>
      <w:r w:rsidRPr="006D7B4A">
        <w:rPr>
          <w:rFonts w:ascii="Times New Roman" w:hAnsi="Times New Roman" w:cs="Times New Roman"/>
          <w:lang w:val="es-ES"/>
        </w:rPr>
        <w:t xml:space="preserve">MECANISMO </w:t>
      </w:r>
      <w:r w:rsidR="00475D73" w:rsidRPr="006D7B4A">
        <w:rPr>
          <w:rFonts w:ascii="Times New Roman" w:hAnsi="Times New Roman" w:cs="Times New Roman" w:hint="eastAsia"/>
          <w:lang w:val="es-ES"/>
        </w:rPr>
        <w:t>Financi</w:t>
      </w:r>
      <w:r w:rsidRPr="006D7B4A">
        <w:rPr>
          <w:rFonts w:ascii="Times New Roman" w:hAnsi="Times New Roman" w:cs="Times New Roman"/>
          <w:lang w:val="es-ES"/>
        </w:rPr>
        <w:t>ERO Y RECURSOS FINANCIEROS</w:t>
      </w:r>
      <w:r w:rsidRPr="006D7B4A">
        <w:rPr>
          <w:rFonts w:ascii="Times New Roman" w:hAnsi="Times New Roman" w:cs="Times New Roman" w:hint="eastAsia"/>
          <w:lang w:val="es-ES"/>
        </w:rPr>
        <w:t xml:space="preserve"> (Art</w:t>
      </w:r>
      <w:r w:rsidRPr="006D7B4A">
        <w:rPr>
          <w:rFonts w:ascii="Times New Roman" w:hAnsi="Times New Roman" w:cs="Times New Roman"/>
          <w:lang w:val="es-ES"/>
        </w:rPr>
        <w:t>ÍCULO</w:t>
      </w:r>
      <w:r w:rsidR="00FC1B56" w:rsidRPr="006D7B4A">
        <w:rPr>
          <w:rFonts w:ascii="Times New Roman" w:hAnsi="Times New Roman" w:cs="Times New Roman"/>
          <w:lang w:val="es-ES"/>
        </w:rPr>
        <w:t> </w:t>
      </w:r>
      <w:r w:rsidR="00475D73" w:rsidRPr="006D7B4A">
        <w:rPr>
          <w:rFonts w:ascii="Times New Roman" w:hAnsi="Times New Roman" w:cs="Times New Roman" w:hint="eastAsia"/>
          <w:lang w:val="es-ES"/>
        </w:rPr>
        <w:t>25)</w:t>
      </w:r>
      <w:bookmarkEnd w:id="36"/>
    </w:p>
    <w:p w:rsidR="002437E5" w:rsidRPr="00810EF7" w:rsidRDefault="006D7B4A" w:rsidP="000C6220">
      <w:pPr>
        <w:pStyle w:val="Para1"/>
        <w:tabs>
          <w:tab w:val="clear" w:pos="360"/>
          <w:tab w:val="clear" w:pos="567"/>
          <w:tab w:val="clear" w:pos="2912"/>
        </w:tabs>
        <w:spacing w:line="240" w:lineRule="auto"/>
        <w:rPr>
          <w:lang w:val="es-ES"/>
        </w:rPr>
      </w:pPr>
      <w:r w:rsidRPr="00BD1CDE">
        <w:rPr>
          <w:rFonts w:eastAsia="MS Mincho"/>
          <w:lang w:val="es-ES"/>
        </w:rPr>
        <w:t xml:space="preserve">El Grupo de Trabajo I comenzó a tratar el tema 8 del programa en su cuarta reunión, el 19 de noviembre de 2018. Para examinar este tema, el Grupo de Trabajo tuvo ante sí una nota de la Secretaria Ejecutiva sobre el mecanismo financiero y los recursos financieros (CBD/NP/MOP/3/5) y el informe del Fondo para el Medio Ambiente Mundial </w:t>
      </w:r>
      <w:r w:rsidR="00810EF7">
        <w:rPr>
          <w:rFonts w:eastAsia="MS Mincho"/>
          <w:lang w:val="es-ES"/>
        </w:rPr>
        <w:t xml:space="preserve">(FMAM) </w:t>
      </w:r>
      <w:r w:rsidRPr="00BD1CDE">
        <w:rPr>
          <w:rFonts w:eastAsia="MS Mincho"/>
          <w:lang w:val="es-ES"/>
        </w:rPr>
        <w:t xml:space="preserve">(CBD/COP/14/7). También tuvo ante sí un proyecto de decisión que figura en la recopilación de proyectos de decisión </w:t>
      </w:r>
      <w:r w:rsidR="002437E5" w:rsidRPr="00810EF7">
        <w:rPr>
          <w:lang w:val="es-ES"/>
        </w:rPr>
        <w:t>(CBD/NP/MOP/3/1/Add.2).</w:t>
      </w:r>
    </w:p>
    <w:p w:rsidR="002437E5" w:rsidRPr="00810EF7" w:rsidRDefault="00810EF7" w:rsidP="000C6220">
      <w:pPr>
        <w:pStyle w:val="Para1"/>
        <w:tabs>
          <w:tab w:val="clear" w:pos="360"/>
          <w:tab w:val="clear" w:pos="567"/>
          <w:tab w:val="clear" w:pos="2912"/>
        </w:tabs>
        <w:spacing w:line="240" w:lineRule="auto"/>
        <w:rPr>
          <w:lang w:val="es-ES"/>
        </w:rPr>
      </w:pPr>
      <w:r w:rsidRPr="00BD1CDE">
        <w:rPr>
          <w:rFonts w:eastAsia="MS Mincho"/>
          <w:lang w:val="es-ES"/>
        </w:rPr>
        <w:t>Los representantes de India, México y la Unión Europea y sus 28 Estados miembros formularon declaraciones</w:t>
      </w:r>
      <w:r w:rsidR="002437E5" w:rsidRPr="00810EF7">
        <w:rPr>
          <w:lang w:val="es-ES"/>
        </w:rPr>
        <w:t>.</w:t>
      </w:r>
    </w:p>
    <w:p w:rsidR="002437E5" w:rsidRPr="00810EF7" w:rsidRDefault="00810EF7" w:rsidP="000C6220">
      <w:pPr>
        <w:pStyle w:val="Para1"/>
        <w:tabs>
          <w:tab w:val="clear" w:pos="360"/>
          <w:tab w:val="clear" w:pos="567"/>
          <w:tab w:val="clear" w:pos="2912"/>
        </w:tabs>
        <w:spacing w:line="240" w:lineRule="auto"/>
        <w:rPr>
          <w:lang w:val="es-ES"/>
        </w:rPr>
      </w:pPr>
      <w:r w:rsidRPr="00BD1CDE">
        <w:rPr>
          <w:rFonts w:eastAsia="MS Mincho"/>
          <w:lang w:val="es-ES"/>
        </w:rPr>
        <w:t>El Presidente dijo que prepararía un proyecto de decisión revisado sobre la cuestión, teniendo en cuenta las opiniones expresadas oralmente y presentadas por escrito</w:t>
      </w:r>
      <w:r w:rsidR="002437E5" w:rsidRPr="00810EF7">
        <w:rPr>
          <w:lang w:val="es-ES"/>
        </w:rPr>
        <w:t>.</w:t>
      </w:r>
    </w:p>
    <w:p w:rsidR="002437E5" w:rsidRPr="00810EF7" w:rsidRDefault="00810EF7" w:rsidP="000C6220">
      <w:pPr>
        <w:pStyle w:val="Para1"/>
        <w:tabs>
          <w:tab w:val="clear" w:pos="360"/>
          <w:tab w:val="clear" w:pos="567"/>
          <w:tab w:val="clear" w:pos="2912"/>
        </w:tabs>
        <w:spacing w:line="240" w:lineRule="auto"/>
        <w:rPr>
          <w:lang w:val="es-ES"/>
        </w:rPr>
      </w:pPr>
      <w:r w:rsidRPr="00BD1CDE">
        <w:rPr>
          <w:rFonts w:eastAsia="MS Mincho"/>
          <w:lang w:val="es-ES"/>
        </w:rPr>
        <w:t>El Grupo de Trabajo consideró el proyecto de decisión revisado preparado por el Presidente en su novena reunión, el 22 de noviembre de 2018</w:t>
      </w:r>
      <w:r w:rsidR="002437E5" w:rsidRPr="00810EF7">
        <w:rPr>
          <w:lang w:val="es-ES"/>
        </w:rPr>
        <w:t>.</w:t>
      </w:r>
    </w:p>
    <w:p w:rsidR="002437E5" w:rsidRPr="00810EF7" w:rsidRDefault="00810EF7" w:rsidP="000C6220">
      <w:pPr>
        <w:pStyle w:val="Para1"/>
        <w:tabs>
          <w:tab w:val="clear" w:pos="360"/>
          <w:tab w:val="clear" w:pos="567"/>
          <w:tab w:val="clear" w:pos="2912"/>
        </w:tabs>
        <w:spacing w:line="240" w:lineRule="auto"/>
        <w:rPr>
          <w:lang w:val="es-ES"/>
        </w:rPr>
      </w:pPr>
      <w:r w:rsidRPr="00BD1CDE">
        <w:rPr>
          <w:rFonts w:eastAsia="MS Mincho"/>
          <w:lang w:val="es-ES"/>
        </w:rPr>
        <w:t>Hizo uso de la palabra un representante del Fondo para el Medio Ambiente Mundial</w:t>
      </w:r>
      <w:r w:rsidR="002437E5" w:rsidRPr="00810EF7">
        <w:rPr>
          <w:lang w:val="es-ES"/>
        </w:rPr>
        <w:t>.</w:t>
      </w:r>
    </w:p>
    <w:p w:rsidR="00FC047F" w:rsidRPr="00810EF7" w:rsidRDefault="00810EF7" w:rsidP="000C6220">
      <w:pPr>
        <w:pStyle w:val="Para1"/>
        <w:tabs>
          <w:tab w:val="clear" w:pos="360"/>
          <w:tab w:val="clear" w:pos="567"/>
          <w:tab w:val="clear" w:pos="2912"/>
        </w:tabs>
        <w:spacing w:line="240" w:lineRule="auto"/>
        <w:rPr>
          <w:lang w:val="es-ES"/>
        </w:rPr>
      </w:pPr>
      <w:r w:rsidRPr="00BD1CDE">
        <w:rPr>
          <w:rFonts w:eastAsia="MS Mincho"/>
          <w:lang w:val="es-ES"/>
        </w:rPr>
        <w:t xml:space="preserve">El Grupo de Trabajo aprobó el proyecto de decisión revisado, con las enmiendas efectuadas oralmente, para que fuera transmitido a la sesión plenaria como proyecto de decisión </w:t>
      </w:r>
      <w:r w:rsidR="002437E5" w:rsidRPr="00810EF7">
        <w:rPr>
          <w:lang w:val="es-ES"/>
        </w:rPr>
        <w:t>CBD/NP/MOP/3/L.6.</w:t>
      </w:r>
    </w:p>
    <w:p w:rsidR="00FC047F" w:rsidRPr="00810EF7" w:rsidRDefault="00810EF7" w:rsidP="000C6220">
      <w:pPr>
        <w:pStyle w:val="Para1"/>
        <w:tabs>
          <w:tab w:val="clear" w:pos="360"/>
          <w:tab w:val="clear" w:pos="567"/>
          <w:tab w:val="clear" w:pos="2912"/>
        </w:tabs>
        <w:spacing w:line="240" w:lineRule="auto"/>
        <w:rPr>
          <w:szCs w:val="22"/>
          <w:lang w:val="es-ES"/>
        </w:rPr>
      </w:pPr>
      <w:r w:rsidRPr="006B2892">
        <w:rPr>
          <w:bCs/>
          <w:szCs w:val="22"/>
          <w:lang w:val="es-ES"/>
        </w:rPr>
        <w:lastRenderedPageBreak/>
        <w:t xml:space="preserve">En </w:t>
      </w:r>
      <w:r>
        <w:rPr>
          <w:bCs/>
          <w:szCs w:val="22"/>
          <w:lang w:val="es-ES"/>
        </w:rPr>
        <w:t>su</w:t>
      </w:r>
      <w:r w:rsidRPr="006B2892">
        <w:rPr>
          <w:bCs/>
          <w:szCs w:val="22"/>
          <w:lang w:val="es-ES"/>
        </w:rPr>
        <w:t xml:space="preserve"> </w:t>
      </w:r>
      <w:r>
        <w:rPr>
          <w:bCs/>
          <w:szCs w:val="22"/>
          <w:lang w:val="es-ES"/>
        </w:rPr>
        <w:t>8</w:t>
      </w:r>
      <w:r w:rsidRPr="006B2892">
        <w:rPr>
          <w:bCs/>
          <w:szCs w:val="22"/>
          <w:lang w:val="es-ES"/>
        </w:rPr>
        <w:t>ª sesión plenaria, el 2</w:t>
      </w:r>
      <w:r>
        <w:rPr>
          <w:bCs/>
          <w:szCs w:val="22"/>
          <w:lang w:val="es-ES"/>
        </w:rPr>
        <w:t>9</w:t>
      </w:r>
      <w:r w:rsidRPr="006B2892">
        <w:rPr>
          <w:bCs/>
          <w:szCs w:val="22"/>
          <w:lang w:val="es-ES"/>
        </w:rPr>
        <w:t xml:space="preserve"> de noviembre de 2018, la Conferencia de las Partes </w:t>
      </w:r>
      <w:r>
        <w:rPr>
          <w:bCs/>
          <w:szCs w:val="22"/>
          <w:lang w:val="es-ES"/>
        </w:rPr>
        <w:t xml:space="preserve">que actúa como reunión de las Partes en el Protocolo de Nagoya adoptó el proyecto de decisión </w:t>
      </w:r>
      <w:r w:rsidR="001E16B7" w:rsidRPr="00810EF7">
        <w:rPr>
          <w:szCs w:val="22"/>
          <w:lang w:val="es-ES"/>
        </w:rPr>
        <w:t xml:space="preserve">CBD/NP/MOP/3/L.6 </w:t>
      </w:r>
      <w:r>
        <w:rPr>
          <w:szCs w:val="22"/>
          <w:lang w:val="es-ES"/>
        </w:rPr>
        <w:t>como decisión</w:t>
      </w:r>
      <w:r w:rsidR="001E16B7" w:rsidRPr="00810EF7">
        <w:rPr>
          <w:szCs w:val="22"/>
          <w:lang w:val="es-ES"/>
        </w:rPr>
        <w:t xml:space="preserve"> NP-3/8 (</w:t>
      </w:r>
      <w:r>
        <w:rPr>
          <w:szCs w:val="22"/>
          <w:lang w:val="es-ES"/>
        </w:rPr>
        <w:t>para el texto, véase el capítulo</w:t>
      </w:r>
      <w:r w:rsidR="0011779B" w:rsidRPr="00810EF7">
        <w:rPr>
          <w:szCs w:val="22"/>
          <w:lang w:val="es-ES"/>
        </w:rPr>
        <w:t> </w:t>
      </w:r>
      <w:r w:rsidR="001E16B7" w:rsidRPr="00810EF7">
        <w:rPr>
          <w:szCs w:val="22"/>
          <w:lang w:val="es-ES"/>
        </w:rPr>
        <w:t>I).</w:t>
      </w:r>
    </w:p>
    <w:p w:rsidR="00FC047F" w:rsidRPr="00810EF7" w:rsidRDefault="00810EF7" w:rsidP="000C6220">
      <w:pPr>
        <w:pStyle w:val="Heading1-item"/>
        <w:spacing w:before="120" w:line="240" w:lineRule="auto"/>
        <w:ind w:left="1701" w:right="0" w:hanging="1134"/>
        <w:jc w:val="left"/>
        <w:rPr>
          <w:rFonts w:hint="eastAsia"/>
          <w:lang w:val="es-ES"/>
        </w:rPr>
      </w:pPr>
      <w:bookmarkStart w:id="37" w:name="_Toc256226"/>
      <w:r>
        <w:rPr>
          <w:rFonts w:ascii="Times New Roman" w:hAnsi="Times New Roman" w:cs="Times New Roman"/>
          <w:lang w:val="es-ES"/>
        </w:rPr>
        <w:t>TEMA</w:t>
      </w:r>
      <w:r w:rsidR="00FC047F" w:rsidRPr="00810EF7">
        <w:rPr>
          <w:rFonts w:ascii="Times New Roman" w:hAnsi="Times New Roman" w:cs="Times New Roman"/>
          <w:lang w:val="es-ES"/>
        </w:rPr>
        <w:t xml:space="preserve"> </w:t>
      </w:r>
      <w:r w:rsidR="00475D73" w:rsidRPr="00810EF7">
        <w:rPr>
          <w:rFonts w:ascii="Times New Roman" w:hAnsi="Times New Roman" w:cs="Times New Roman"/>
          <w:lang w:val="es-ES"/>
        </w:rPr>
        <w:t>9</w:t>
      </w:r>
      <w:r w:rsidR="00FC047F" w:rsidRPr="00810EF7">
        <w:rPr>
          <w:rFonts w:ascii="Times New Roman" w:hAnsi="Times New Roman" w:cs="Times New Roman"/>
          <w:lang w:val="es-ES"/>
        </w:rPr>
        <w:t>.</w:t>
      </w:r>
      <w:r w:rsidR="00FC047F" w:rsidRPr="00810EF7">
        <w:rPr>
          <w:rFonts w:ascii="Times New Roman" w:hAnsi="Times New Roman" w:cs="Times New Roman"/>
          <w:lang w:val="es-ES"/>
        </w:rPr>
        <w:tab/>
      </w:r>
      <w:r w:rsidR="00475D73" w:rsidRPr="00810EF7">
        <w:rPr>
          <w:rFonts w:ascii="Times New Roman" w:hAnsi="Times New Roman" w:cs="Times New Roman"/>
          <w:lang w:val="es-ES"/>
        </w:rPr>
        <w:t>Me</w:t>
      </w:r>
      <w:r w:rsidRPr="00810EF7">
        <w:rPr>
          <w:rFonts w:ascii="Times New Roman" w:hAnsi="Times New Roman" w:cs="Times New Roman"/>
          <w:lang w:val="es-ES"/>
        </w:rPr>
        <w:t>DIDAS PARA BRINDAR ASISTENCIA PARA LA CREACIÓN DE CAPACIDADES Y DESARROLLO DE CAPACIDADES (ARTÍCULO</w:t>
      </w:r>
      <w:r w:rsidR="00475D73" w:rsidRPr="00810EF7">
        <w:rPr>
          <w:rFonts w:ascii="Times New Roman" w:hAnsi="Times New Roman" w:cs="Times New Roman"/>
          <w:lang w:val="es-ES"/>
        </w:rPr>
        <w:t xml:space="preserve"> 22)</w:t>
      </w:r>
      <w:bookmarkEnd w:id="37"/>
    </w:p>
    <w:p w:rsidR="002437E5" w:rsidRPr="00810EF7" w:rsidRDefault="00810EF7" w:rsidP="000C6220">
      <w:pPr>
        <w:pStyle w:val="Para1"/>
        <w:tabs>
          <w:tab w:val="clear" w:pos="360"/>
          <w:tab w:val="clear" w:pos="567"/>
          <w:tab w:val="clear" w:pos="2912"/>
        </w:tabs>
        <w:spacing w:line="240" w:lineRule="auto"/>
        <w:rPr>
          <w:szCs w:val="22"/>
          <w:lang w:val="es-ES"/>
        </w:rPr>
      </w:pPr>
      <w:r w:rsidRPr="00BD1CDE">
        <w:rPr>
          <w:rFonts w:eastAsia="MS Mincho"/>
          <w:lang w:val="es-ES"/>
        </w:rPr>
        <w:t xml:space="preserve">El Grupo de Trabajo I comenzó a tratar el tema 9 del programa en su cuarta reunión, el 19 de noviembre 2018. Para examinar este tema, el Grupo de Trabajo tuvo ante sí un informe sobre los progresos en las medidas para brindar asistencia para la creación y desarrollo de capacidad (artículo 22) (CBD/NP/MOP/3/4), </w:t>
      </w:r>
      <w:r>
        <w:rPr>
          <w:rFonts w:eastAsia="MS Mincho"/>
          <w:lang w:val="es-ES"/>
        </w:rPr>
        <w:t xml:space="preserve">así como los siguientes documentos informativos: a) </w:t>
      </w:r>
      <w:r w:rsidRPr="00BD1CDE">
        <w:rPr>
          <w:rFonts w:eastAsia="MS Mincho"/>
          <w:lang w:val="es-ES"/>
        </w:rPr>
        <w:t xml:space="preserve">el informe del Comité asesor oficioso sobre creación de capacidad para la aplicación del Protocolo de Nagoya en su tercera reunión (CBD/ABS/CB-IAC/2018/1/4); </w:t>
      </w:r>
      <w:r>
        <w:rPr>
          <w:rFonts w:eastAsia="MS Mincho"/>
          <w:lang w:val="es-ES"/>
        </w:rPr>
        <w:t xml:space="preserve">b) </w:t>
      </w:r>
      <w:r w:rsidRPr="00BD1CDE">
        <w:rPr>
          <w:rFonts w:eastAsia="MS Mincho"/>
          <w:lang w:val="es-ES"/>
        </w:rPr>
        <w:t xml:space="preserve">una reseña de iniciativas de desarrollo y creación de capacidad que prestan apoyo directo a los países para la aplicación del Protocolo de Nagoya (CBD/NP/MOP/3/INF/1); </w:t>
      </w:r>
      <w:r>
        <w:rPr>
          <w:rFonts w:eastAsia="MS Mincho"/>
          <w:lang w:val="es-ES"/>
        </w:rPr>
        <w:t xml:space="preserve">c) </w:t>
      </w:r>
      <w:r w:rsidRPr="00BD1CDE">
        <w:rPr>
          <w:rFonts w:eastAsia="MS Mincho"/>
          <w:lang w:val="es-ES"/>
        </w:rPr>
        <w:t xml:space="preserve">una reseña de herramientas y recursos de creación de capacidad existentes sobre acceso y participación en los beneficios (CBD/NP/MOP/3/INF/2); y </w:t>
      </w:r>
      <w:r>
        <w:rPr>
          <w:rFonts w:eastAsia="MS Mincho"/>
          <w:lang w:val="es-ES"/>
        </w:rPr>
        <w:t xml:space="preserve">d) </w:t>
      </w:r>
      <w:r w:rsidRPr="00BD1CDE">
        <w:rPr>
          <w:rFonts w:eastAsia="MS Mincho"/>
          <w:lang w:val="es-ES"/>
        </w:rPr>
        <w:t>el programa de creación de capacidad para apoyar la aplicación del Protocolo de Nagoya: reseña y lecciones (CBD/NP/MOP/3/INF/6</w:t>
      </w:r>
      <w:r w:rsidR="002437E5" w:rsidRPr="00810EF7">
        <w:rPr>
          <w:szCs w:val="22"/>
          <w:lang w:val="es-ES"/>
        </w:rPr>
        <w:t>).</w:t>
      </w:r>
    </w:p>
    <w:p w:rsidR="002437E5" w:rsidRPr="00810EF7" w:rsidRDefault="00810EF7" w:rsidP="000C6220">
      <w:pPr>
        <w:pStyle w:val="Para1"/>
        <w:tabs>
          <w:tab w:val="clear" w:pos="360"/>
          <w:tab w:val="clear" w:pos="567"/>
          <w:tab w:val="clear" w:pos="2912"/>
        </w:tabs>
        <w:spacing w:line="240" w:lineRule="auto"/>
        <w:rPr>
          <w:szCs w:val="22"/>
          <w:lang w:val="es-ES"/>
        </w:rPr>
      </w:pPr>
      <w:r w:rsidRPr="00BD1CDE">
        <w:rPr>
          <w:rFonts w:eastAsia="MS Mincho"/>
          <w:lang w:val="es-ES"/>
        </w:rPr>
        <w:t>El Grupo de Trabajo también tuvo ante sí un proyecto de decisión basado en la recomendación SBI-2/8</w:t>
      </w:r>
      <w:r>
        <w:rPr>
          <w:rFonts w:eastAsia="MS Mincho"/>
          <w:lang w:val="es-ES"/>
        </w:rPr>
        <w:t xml:space="preserve"> y elementos adicionales del documento </w:t>
      </w:r>
      <w:r w:rsidRPr="00810EF7">
        <w:rPr>
          <w:szCs w:val="22"/>
          <w:lang w:val="es-ES"/>
        </w:rPr>
        <w:t>CBD/NP/MOP/3/4</w:t>
      </w:r>
      <w:r w:rsidRPr="00BD1CDE">
        <w:rPr>
          <w:rFonts w:eastAsia="MS Mincho"/>
          <w:lang w:val="es-ES"/>
        </w:rPr>
        <w:t>, que figura</w:t>
      </w:r>
      <w:r>
        <w:rPr>
          <w:rFonts w:eastAsia="MS Mincho"/>
          <w:lang w:val="es-ES"/>
        </w:rPr>
        <w:t>n</w:t>
      </w:r>
      <w:r w:rsidRPr="00BD1CDE">
        <w:rPr>
          <w:rFonts w:eastAsia="MS Mincho"/>
          <w:lang w:val="es-ES"/>
        </w:rPr>
        <w:t xml:space="preserve"> en la recopilación de proyectos de decisión (CBD/NP/MOP/3/1/Add.2). La segunda parte del proyecto de decisión, relacionada con el marco estratégico a largo plazo para la creación de capacidad, se basaba en la recomendación 2/8, sección II, del Órgano Subsidiario sobre la Aplicación y estaba vinculada al proyecto de decisión de la Conferencia de las Partes sobre creación de capacidad. Cualquier cambio incorporado en esta última tras la deliberación bajo el correspondiente tema del programa de la Conferencia de las Partes se reflejaría, según fuera necesario, en el proyecto de decisión actualmente bajo consideración. Por lo tanto, el Grupo de Trabajo concentró su examen del nuevo texto contenido en la primera parte del proyecto de decisión, relativa al Marco Estratégico de creación y desarrollo de capacidad para la aplicación del Protocolo de Nagoya</w:t>
      </w:r>
      <w:r w:rsidR="002437E5" w:rsidRPr="00810EF7">
        <w:rPr>
          <w:szCs w:val="22"/>
          <w:lang w:val="es-ES"/>
        </w:rPr>
        <w:t>.</w:t>
      </w:r>
    </w:p>
    <w:p w:rsidR="002437E5" w:rsidRPr="00701233" w:rsidRDefault="00701233" w:rsidP="000C6220">
      <w:pPr>
        <w:pStyle w:val="Para1"/>
        <w:tabs>
          <w:tab w:val="clear" w:pos="360"/>
          <w:tab w:val="clear" w:pos="567"/>
          <w:tab w:val="clear" w:pos="2912"/>
        </w:tabs>
        <w:spacing w:line="240" w:lineRule="auto"/>
        <w:rPr>
          <w:lang w:val="es-ES"/>
        </w:rPr>
      </w:pPr>
      <w:r w:rsidRPr="00BD1CDE">
        <w:rPr>
          <w:rFonts w:eastAsia="MS Mincho"/>
          <w:lang w:val="es-ES"/>
        </w:rPr>
        <w:t xml:space="preserve">Formularon declaraciones los representantes de Argentina, Burkina Faso, </w:t>
      </w:r>
      <w:r w:rsidRPr="00701233">
        <w:rPr>
          <w:lang w:val="es-ES"/>
        </w:rPr>
        <w:t>Côte d’Ivoire</w:t>
      </w:r>
      <w:r w:rsidRPr="00BD1CDE">
        <w:rPr>
          <w:rFonts w:eastAsia="MS Mincho"/>
          <w:lang w:val="es-ES"/>
        </w:rPr>
        <w:t>, Filipinas, Gabón, India, Japón, Jordania, Kenya, México, Sudáfrica, Uganda, la Unión Europea y sus 28 Estados miembros y Vietnam</w:t>
      </w:r>
      <w:r w:rsidR="002437E5" w:rsidRPr="00701233">
        <w:rPr>
          <w:lang w:val="es-ES"/>
        </w:rPr>
        <w:t>.</w:t>
      </w:r>
    </w:p>
    <w:p w:rsidR="002437E5" w:rsidRPr="001464B0" w:rsidRDefault="001464B0" w:rsidP="000C6220">
      <w:pPr>
        <w:pStyle w:val="Para1"/>
        <w:tabs>
          <w:tab w:val="clear" w:pos="360"/>
          <w:tab w:val="clear" w:pos="567"/>
          <w:tab w:val="clear" w:pos="2912"/>
        </w:tabs>
        <w:spacing w:line="240" w:lineRule="auto"/>
        <w:rPr>
          <w:lang w:val="es-ES"/>
        </w:rPr>
      </w:pPr>
      <w:r w:rsidRPr="00BD1CDE">
        <w:rPr>
          <w:rFonts w:eastAsia="MS Mincho"/>
          <w:lang w:val="es-ES"/>
        </w:rPr>
        <w:t>Formuló también una declaración un representante de Marruecos</w:t>
      </w:r>
      <w:r w:rsidR="002437E5" w:rsidRPr="001464B0">
        <w:rPr>
          <w:lang w:val="es-ES"/>
        </w:rPr>
        <w:t>.</w:t>
      </w:r>
    </w:p>
    <w:p w:rsidR="002437E5" w:rsidRPr="001464B0" w:rsidRDefault="001464B0" w:rsidP="000C6220">
      <w:pPr>
        <w:pStyle w:val="Para1"/>
        <w:tabs>
          <w:tab w:val="clear" w:pos="360"/>
          <w:tab w:val="clear" w:pos="567"/>
          <w:tab w:val="clear" w:pos="2912"/>
        </w:tabs>
        <w:spacing w:line="240" w:lineRule="auto"/>
        <w:rPr>
          <w:lang w:val="es-ES"/>
        </w:rPr>
      </w:pPr>
      <w:r w:rsidRPr="00BD1CDE">
        <w:rPr>
          <w:rFonts w:eastAsia="MS Mincho"/>
          <w:lang w:val="es-ES"/>
        </w:rPr>
        <w:t>Asimismo, intervino un representante del Foro Internacional Indígena sobre Biodiversidad (FIIB</w:t>
      </w:r>
      <w:r>
        <w:rPr>
          <w:rFonts w:eastAsia="MS Mincho"/>
          <w:lang w:val="es-ES"/>
        </w:rPr>
        <w:t>)</w:t>
      </w:r>
      <w:r w:rsidR="002437E5" w:rsidRPr="001464B0">
        <w:rPr>
          <w:lang w:val="es-ES"/>
        </w:rPr>
        <w:t>.</w:t>
      </w:r>
    </w:p>
    <w:p w:rsidR="002437E5" w:rsidRPr="001464B0" w:rsidRDefault="001464B0" w:rsidP="000C6220">
      <w:pPr>
        <w:pStyle w:val="Para1"/>
        <w:tabs>
          <w:tab w:val="clear" w:pos="360"/>
          <w:tab w:val="clear" w:pos="567"/>
          <w:tab w:val="clear" w:pos="2912"/>
        </w:tabs>
        <w:spacing w:line="240" w:lineRule="auto"/>
        <w:rPr>
          <w:lang w:val="es-ES"/>
        </w:rPr>
      </w:pPr>
      <w:r w:rsidRPr="00BD1CDE">
        <w:rPr>
          <w:rFonts w:eastAsia="MS Mincho"/>
          <w:lang w:val="es-ES"/>
        </w:rPr>
        <w:t>El Presidente dijo que prepararía un proyecto de decisión revisado sobre esta cuestión, teniendo en cuenta las opiniones expresadas oralmente y presentadas por escrito</w:t>
      </w:r>
      <w:r w:rsidR="002437E5" w:rsidRPr="001464B0">
        <w:rPr>
          <w:lang w:val="es-ES"/>
        </w:rPr>
        <w:t>.</w:t>
      </w:r>
    </w:p>
    <w:p w:rsidR="002437E5" w:rsidRPr="001464B0" w:rsidRDefault="001464B0" w:rsidP="000C6220">
      <w:pPr>
        <w:pStyle w:val="Para1"/>
        <w:tabs>
          <w:tab w:val="clear" w:pos="360"/>
          <w:tab w:val="clear" w:pos="567"/>
          <w:tab w:val="clear" w:pos="2912"/>
        </w:tabs>
        <w:spacing w:line="240" w:lineRule="auto"/>
        <w:rPr>
          <w:lang w:val="es-ES"/>
        </w:rPr>
      </w:pPr>
      <w:r w:rsidRPr="00BD1CDE">
        <w:rPr>
          <w:rFonts w:eastAsia="MS Mincho"/>
          <w:lang w:val="es-ES"/>
        </w:rPr>
        <w:t>En su novena reunión, el 22 de noviembre de 2018, el Grupo de Trabajo consideró el proyecto de decisión revisado preparado por el Presidente</w:t>
      </w:r>
      <w:r w:rsidR="002437E5" w:rsidRPr="001464B0">
        <w:rPr>
          <w:lang w:val="es-ES"/>
        </w:rPr>
        <w:t>.</w:t>
      </w:r>
    </w:p>
    <w:p w:rsidR="002437E5" w:rsidRPr="001464B0" w:rsidRDefault="001464B0" w:rsidP="000C6220">
      <w:pPr>
        <w:pStyle w:val="Para1"/>
        <w:tabs>
          <w:tab w:val="clear" w:pos="360"/>
          <w:tab w:val="clear" w:pos="567"/>
          <w:tab w:val="clear" w:pos="2912"/>
        </w:tabs>
        <w:spacing w:line="240" w:lineRule="auto"/>
        <w:rPr>
          <w:lang w:val="es-ES"/>
        </w:rPr>
      </w:pPr>
      <w:r w:rsidRPr="00BD1CDE">
        <w:rPr>
          <w:rFonts w:eastAsia="MS Mincho"/>
          <w:lang w:val="es-ES"/>
        </w:rPr>
        <w:t>Formularon declaraciones los representantes de México, Uganda y la Unión Europea y sus 28 Estados miembros</w:t>
      </w:r>
      <w:r w:rsidR="002437E5" w:rsidRPr="001464B0">
        <w:rPr>
          <w:lang w:val="es-ES"/>
        </w:rPr>
        <w:t>.</w:t>
      </w:r>
    </w:p>
    <w:p w:rsidR="00FC047F" w:rsidRPr="001464B0" w:rsidRDefault="001464B0" w:rsidP="000C6220">
      <w:pPr>
        <w:pStyle w:val="Para1"/>
        <w:tabs>
          <w:tab w:val="clear" w:pos="360"/>
          <w:tab w:val="clear" w:pos="567"/>
          <w:tab w:val="clear" w:pos="2912"/>
        </w:tabs>
        <w:spacing w:line="240" w:lineRule="auto"/>
        <w:rPr>
          <w:lang w:val="es-ES"/>
        </w:rPr>
      </w:pPr>
      <w:r w:rsidRPr="00BD1CDE">
        <w:rPr>
          <w:rFonts w:eastAsia="MS Mincho"/>
          <w:lang w:val="es-ES"/>
        </w:rPr>
        <w:t xml:space="preserve">El Grupo de Trabajo aprobó el proyecto de decisión revisado, con las enmiendas efectuadas oralmente, para que fuera transmitido a la sesión plenaria como proyecto de decisión </w:t>
      </w:r>
      <w:r w:rsidR="002437E5" w:rsidRPr="001464B0">
        <w:rPr>
          <w:lang w:val="es-ES"/>
        </w:rPr>
        <w:t>CBD/NP/MOP/3/L.5.</w:t>
      </w:r>
    </w:p>
    <w:p w:rsidR="00FC047F" w:rsidRPr="001464B0" w:rsidRDefault="001464B0" w:rsidP="000C6220">
      <w:pPr>
        <w:pStyle w:val="Para1"/>
        <w:tabs>
          <w:tab w:val="clear" w:pos="360"/>
          <w:tab w:val="clear" w:pos="567"/>
          <w:tab w:val="clear" w:pos="2912"/>
        </w:tabs>
        <w:spacing w:line="240" w:lineRule="auto"/>
        <w:rPr>
          <w:lang w:val="es-ES"/>
        </w:rPr>
      </w:pPr>
      <w:r w:rsidRPr="001464B0">
        <w:rPr>
          <w:lang w:val="es-ES"/>
        </w:rPr>
        <w:t>En su</w:t>
      </w:r>
      <w:r w:rsidR="00E3787A" w:rsidRPr="001464B0">
        <w:rPr>
          <w:lang w:val="es-ES"/>
        </w:rPr>
        <w:t xml:space="preserve"> 8</w:t>
      </w:r>
      <w:r w:rsidRPr="001464B0">
        <w:rPr>
          <w:lang w:val="es-ES"/>
        </w:rPr>
        <w:t>ª sesión plenaria, la Conferencia de las Partes que actúa como reunión de las Partes en el Protoc</w:t>
      </w:r>
      <w:r>
        <w:rPr>
          <w:lang w:val="es-ES"/>
        </w:rPr>
        <w:t>o</w:t>
      </w:r>
      <w:r w:rsidRPr="001464B0">
        <w:rPr>
          <w:lang w:val="es-ES"/>
        </w:rPr>
        <w:t xml:space="preserve">lo de </w:t>
      </w:r>
      <w:r w:rsidR="00990591" w:rsidRPr="001464B0">
        <w:rPr>
          <w:lang w:val="es-ES"/>
        </w:rPr>
        <w:t xml:space="preserve">Nagoya </w:t>
      </w:r>
      <w:r>
        <w:rPr>
          <w:lang w:val="es-ES"/>
        </w:rPr>
        <w:t xml:space="preserve">trató y adoptó el proyecto de decisión </w:t>
      </w:r>
      <w:r w:rsidR="00E3787A" w:rsidRPr="001464B0">
        <w:rPr>
          <w:lang w:val="es-ES"/>
        </w:rPr>
        <w:t xml:space="preserve">CBD/NP/MOP/3/L.5 </w:t>
      </w:r>
      <w:r>
        <w:rPr>
          <w:lang w:val="es-ES"/>
        </w:rPr>
        <w:t>como decisión</w:t>
      </w:r>
      <w:r w:rsidR="00E3787A" w:rsidRPr="001464B0">
        <w:rPr>
          <w:lang w:val="es-ES"/>
        </w:rPr>
        <w:t xml:space="preserve"> NP</w:t>
      </w:r>
      <w:r w:rsidR="00E3787A" w:rsidRPr="001464B0">
        <w:rPr>
          <w:lang w:val="es-ES"/>
        </w:rPr>
        <w:noBreakHyphen/>
        <w:t>3/</w:t>
      </w:r>
      <w:r w:rsidR="002E60B6" w:rsidRPr="001464B0">
        <w:rPr>
          <w:lang w:val="es-ES"/>
        </w:rPr>
        <w:t>5</w:t>
      </w:r>
      <w:r w:rsidR="00E3787A" w:rsidRPr="001464B0">
        <w:rPr>
          <w:lang w:val="es-ES"/>
        </w:rPr>
        <w:t xml:space="preserve"> (</w:t>
      </w:r>
      <w:r>
        <w:rPr>
          <w:lang w:val="es-ES"/>
        </w:rPr>
        <w:t xml:space="preserve">para el texto, véase el capítulo </w:t>
      </w:r>
      <w:r w:rsidR="00E3787A" w:rsidRPr="001464B0">
        <w:rPr>
          <w:lang w:val="es-ES"/>
        </w:rPr>
        <w:t>I).</w:t>
      </w:r>
    </w:p>
    <w:p w:rsidR="00475D73" w:rsidRPr="00007AFE" w:rsidRDefault="00A74E15" w:rsidP="000C6220">
      <w:pPr>
        <w:pStyle w:val="Heading1-item"/>
        <w:spacing w:before="120" w:line="240" w:lineRule="auto"/>
        <w:ind w:left="1701" w:hanging="1275"/>
        <w:jc w:val="left"/>
        <w:rPr>
          <w:rFonts w:ascii="Times New Roman" w:hAnsi="Times New Roman" w:cs="Times New Roman"/>
          <w:lang w:val="es-ES"/>
        </w:rPr>
      </w:pPr>
      <w:bookmarkStart w:id="38" w:name="_Toc256227"/>
      <w:r w:rsidRPr="00007AFE">
        <w:rPr>
          <w:rFonts w:ascii="Times New Roman" w:hAnsi="Times New Roman" w:cs="Times New Roman"/>
          <w:lang w:val="es-ES"/>
        </w:rPr>
        <w:t>TEMA 10.</w:t>
      </w:r>
      <w:r w:rsidRPr="00007AFE">
        <w:rPr>
          <w:rFonts w:ascii="Times New Roman" w:hAnsi="Times New Roman" w:cs="Times New Roman"/>
          <w:lang w:val="es-ES"/>
        </w:rPr>
        <w:tab/>
        <w:t xml:space="preserve">EL CENTRO DE INTERCAMBIO DE INFORMACIÓN SOBRE ACCESO Y PARTICIPACIÓN EN LOS BENEFICIOS E INTERCAMBIO DE INFORMACIÓN (ARTÍCULO </w:t>
      </w:r>
      <w:r w:rsidR="00475D73" w:rsidRPr="00007AFE">
        <w:rPr>
          <w:rFonts w:ascii="Times New Roman" w:hAnsi="Times New Roman" w:cs="Times New Roman"/>
          <w:lang w:val="es-ES"/>
        </w:rPr>
        <w:t>14)</w:t>
      </w:r>
      <w:bookmarkEnd w:id="38"/>
    </w:p>
    <w:p w:rsidR="002437E5" w:rsidRPr="00A74E15" w:rsidRDefault="00A74E15" w:rsidP="000C6220">
      <w:pPr>
        <w:pStyle w:val="Para1"/>
        <w:tabs>
          <w:tab w:val="clear" w:pos="360"/>
          <w:tab w:val="clear" w:pos="567"/>
          <w:tab w:val="clear" w:pos="2912"/>
        </w:tabs>
        <w:spacing w:line="240" w:lineRule="auto"/>
        <w:rPr>
          <w:lang w:val="es-ES"/>
        </w:rPr>
      </w:pPr>
      <w:r w:rsidRPr="00BD1CDE">
        <w:rPr>
          <w:rFonts w:eastAsia="MS Mincho"/>
          <w:lang w:val="es-ES"/>
        </w:rPr>
        <w:t xml:space="preserve">El Grupo de Trabajo I comenzó a tratar el tema en su cuarta reunión, el 19 de noviembre de 2018. Para examinar este tema, el Grupo de Trabajo tuvo ante sí un informe sobre el progreso en la puesta en marcha y funcionamiento del Centro de Intercambio de Información sobre Acceso y Participación en los Beneficios </w:t>
      </w:r>
      <w:r w:rsidRPr="00BD1CDE">
        <w:rPr>
          <w:rFonts w:eastAsia="MS Mincho"/>
          <w:lang w:val="es-ES"/>
        </w:rPr>
        <w:lastRenderedPageBreak/>
        <w:t xml:space="preserve">(CBD/NP/MOP/3/8) y el informe de la tercera reunión del Comité asesor oficioso al Centro de Intercambio de Información sobre Acceso y Participación en los Beneficios (CBD/ABS/CH-IAC/2017/1/4). También tuvo ante sí un </w:t>
      </w:r>
      <w:r w:rsidRPr="00BD1CDE">
        <w:rPr>
          <w:rFonts w:eastAsia="MS Mincho"/>
          <w:kern w:val="20"/>
          <w:lang w:val="es-ES"/>
        </w:rPr>
        <w:t xml:space="preserve">proyecto de decisión tomado de la </w:t>
      </w:r>
      <w:r w:rsidRPr="00BD1CDE">
        <w:rPr>
          <w:rFonts w:eastAsia="MS Mincho"/>
          <w:lang w:val="es-ES"/>
        </w:rPr>
        <w:t>sección VII de</w:t>
      </w:r>
      <w:r>
        <w:rPr>
          <w:rFonts w:eastAsia="MS Mincho"/>
          <w:lang w:val="es-ES"/>
        </w:rPr>
        <w:t xml:space="preserve"> </w:t>
      </w:r>
      <w:r w:rsidRPr="00A74E15">
        <w:rPr>
          <w:lang w:val="es-ES"/>
        </w:rPr>
        <w:t>CBD/NP/MOP/3/8</w:t>
      </w:r>
      <w:r w:rsidRPr="00BD1CDE">
        <w:rPr>
          <w:rFonts w:eastAsia="MS Mincho"/>
          <w:lang w:val="es-ES"/>
        </w:rPr>
        <w:t>, excepto los párrafos 3 y 4, que provenían de las recomendaciones del Comité de Cumplimiento contenidas en el documento CBD/NP/MOP/3/2, anexo II, sección C. El proyecto de decisión estaba incluido en la recopilación de proyectos de decisión</w:t>
      </w:r>
      <w:r>
        <w:rPr>
          <w:lang w:val="es-ES"/>
        </w:rPr>
        <w:t xml:space="preserve"> </w:t>
      </w:r>
      <w:r w:rsidR="002437E5" w:rsidRPr="00A74E15">
        <w:rPr>
          <w:lang w:val="es-ES"/>
        </w:rPr>
        <w:t>(CBD/NP/MOP/3/1/Add.2).</w:t>
      </w:r>
    </w:p>
    <w:p w:rsidR="002437E5" w:rsidRPr="00A74E15" w:rsidRDefault="00A74E15" w:rsidP="000C6220">
      <w:pPr>
        <w:pStyle w:val="Para1"/>
        <w:tabs>
          <w:tab w:val="clear" w:pos="360"/>
          <w:tab w:val="clear" w:pos="567"/>
          <w:tab w:val="clear" w:pos="2912"/>
        </w:tabs>
        <w:spacing w:line="240" w:lineRule="auto"/>
        <w:rPr>
          <w:lang w:val="es-ES"/>
        </w:rPr>
      </w:pPr>
      <w:r w:rsidRPr="00BD1CDE">
        <w:rPr>
          <w:rFonts w:eastAsia="MS Mincho"/>
          <w:lang w:val="es-ES"/>
        </w:rPr>
        <w:t>El Grupo de Trabajo comenzó por considerar las modalidades de funcionamiento conjunto, que se mencionaban en el párrafo 4 de proyecto de decisión</w:t>
      </w:r>
      <w:r w:rsidR="002437E5" w:rsidRPr="00A74E15">
        <w:rPr>
          <w:lang w:val="es-ES"/>
        </w:rPr>
        <w:t>.</w:t>
      </w:r>
    </w:p>
    <w:p w:rsidR="002437E5" w:rsidRPr="00A74E15" w:rsidRDefault="00A74E15" w:rsidP="000C6220">
      <w:pPr>
        <w:pStyle w:val="Para1"/>
        <w:tabs>
          <w:tab w:val="clear" w:pos="360"/>
          <w:tab w:val="clear" w:pos="567"/>
          <w:tab w:val="clear" w:pos="2912"/>
        </w:tabs>
        <w:spacing w:line="240" w:lineRule="auto"/>
        <w:rPr>
          <w:lang w:val="es-ES"/>
        </w:rPr>
      </w:pPr>
      <w:r w:rsidRPr="00BD1CDE">
        <w:rPr>
          <w:rFonts w:eastAsia="MS Mincho"/>
          <w:lang w:val="es-ES"/>
        </w:rPr>
        <w:t xml:space="preserve">Formularon declaraciones los representantes de India, Jordania, Noruega, Sudáfrica y </w:t>
      </w:r>
      <w:r>
        <w:rPr>
          <w:rFonts w:eastAsia="MS Mincho"/>
          <w:lang w:val="es-ES"/>
        </w:rPr>
        <w:t xml:space="preserve">la </w:t>
      </w:r>
      <w:r w:rsidRPr="00BD1CDE">
        <w:rPr>
          <w:rFonts w:eastAsia="MS Mincho"/>
          <w:lang w:val="es-ES"/>
        </w:rPr>
        <w:t>Unión Europea y sus 28 Estados miembros</w:t>
      </w:r>
      <w:r w:rsidR="002437E5" w:rsidRPr="00A74E15">
        <w:rPr>
          <w:lang w:val="es-ES"/>
        </w:rPr>
        <w:t>.</w:t>
      </w:r>
    </w:p>
    <w:p w:rsidR="002437E5" w:rsidRPr="00A74E15" w:rsidRDefault="00A74E15" w:rsidP="000C6220">
      <w:pPr>
        <w:pStyle w:val="Para1"/>
        <w:tabs>
          <w:tab w:val="clear" w:pos="360"/>
          <w:tab w:val="clear" w:pos="567"/>
          <w:tab w:val="clear" w:pos="2912"/>
        </w:tabs>
        <w:spacing w:line="240" w:lineRule="auto"/>
        <w:rPr>
          <w:lang w:val="es-ES"/>
        </w:rPr>
      </w:pPr>
      <w:r w:rsidRPr="00BD1CDE">
        <w:rPr>
          <w:rFonts w:eastAsia="MS Mincho"/>
          <w:lang w:val="es-ES"/>
        </w:rPr>
        <w:t>También formularon declaraciones los representantes de Canadá y Tailandia</w:t>
      </w:r>
      <w:r w:rsidR="002437E5" w:rsidRPr="00A74E15">
        <w:rPr>
          <w:lang w:val="es-ES"/>
        </w:rPr>
        <w:t>.</w:t>
      </w:r>
    </w:p>
    <w:p w:rsidR="002437E5" w:rsidRPr="00EF233B" w:rsidRDefault="00EF233B" w:rsidP="000C6220">
      <w:pPr>
        <w:pStyle w:val="Para1"/>
        <w:tabs>
          <w:tab w:val="clear" w:pos="360"/>
          <w:tab w:val="clear" w:pos="567"/>
          <w:tab w:val="clear" w:pos="2912"/>
        </w:tabs>
        <w:spacing w:line="240" w:lineRule="auto"/>
        <w:rPr>
          <w:lang w:val="es-ES"/>
        </w:rPr>
      </w:pPr>
      <w:r w:rsidRPr="00BD1CDE">
        <w:rPr>
          <w:rFonts w:eastAsia="MS Mincho"/>
          <w:lang w:val="es-ES"/>
        </w:rPr>
        <w:t xml:space="preserve">En su </w:t>
      </w:r>
      <w:r>
        <w:rPr>
          <w:rFonts w:eastAsia="MS Mincho"/>
          <w:lang w:val="es-ES"/>
        </w:rPr>
        <w:t>5ª</w:t>
      </w:r>
      <w:r w:rsidRPr="00BD1CDE">
        <w:rPr>
          <w:rFonts w:eastAsia="MS Mincho"/>
          <w:lang w:val="es-ES"/>
        </w:rPr>
        <w:t xml:space="preserve"> reunión, el 20 de noviembre de 2018, el Grupo de Trabajo I reanudó su consideración del tema del programa concentrándose en las partes restantes del proyecto de decisión</w:t>
      </w:r>
      <w:r w:rsidR="002437E5" w:rsidRPr="00EF233B">
        <w:rPr>
          <w:lang w:val="es-ES"/>
        </w:rPr>
        <w:t>.</w:t>
      </w:r>
    </w:p>
    <w:p w:rsidR="002437E5" w:rsidRPr="00EF233B" w:rsidRDefault="00EF233B" w:rsidP="000C6220">
      <w:pPr>
        <w:pStyle w:val="Para1"/>
        <w:tabs>
          <w:tab w:val="clear" w:pos="360"/>
          <w:tab w:val="clear" w:pos="567"/>
          <w:tab w:val="clear" w:pos="2912"/>
        </w:tabs>
        <w:spacing w:line="240" w:lineRule="auto"/>
        <w:rPr>
          <w:lang w:val="es-ES"/>
        </w:rPr>
      </w:pPr>
      <w:r w:rsidRPr="00BD1CDE">
        <w:rPr>
          <w:rFonts w:eastAsia="MS Mincho"/>
          <w:lang w:val="es-ES"/>
        </w:rPr>
        <w:t>Formularon declaraciones los representantes de Belarús, Ben</w:t>
      </w:r>
      <w:r>
        <w:rPr>
          <w:rFonts w:eastAsia="MS Mincho"/>
          <w:lang w:val="es-ES"/>
        </w:rPr>
        <w:t>i</w:t>
      </w:r>
      <w:r w:rsidRPr="00BD1CDE">
        <w:rPr>
          <w:rFonts w:eastAsia="MS Mincho"/>
          <w:lang w:val="es-ES"/>
        </w:rPr>
        <w:t>n, Congo, Guinea, Japón, Jordania, Kenya, México, Mozambique, Níger, Sudáfrica, Suiza, Uganda y la Unión Europea y sus 28 Estados miembros</w:t>
      </w:r>
      <w:r w:rsidR="002437E5" w:rsidRPr="00EF233B">
        <w:rPr>
          <w:lang w:val="es-ES"/>
        </w:rPr>
        <w:t>.</w:t>
      </w:r>
    </w:p>
    <w:p w:rsidR="002437E5" w:rsidRPr="00EF233B" w:rsidRDefault="00EF233B" w:rsidP="000C6220">
      <w:pPr>
        <w:pStyle w:val="Para1"/>
        <w:tabs>
          <w:tab w:val="clear" w:pos="360"/>
          <w:tab w:val="clear" w:pos="567"/>
          <w:tab w:val="clear" w:pos="2912"/>
        </w:tabs>
        <w:spacing w:line="240" w:lineRule="auto"/>
        <w:rPr>
          <w:lang w:val="es-ES"/>
        </w:rPr>
      </w:pPr>
      <w:r w:rsidRPr="00BD1CDE">
        <w:rPr>
          <w:rFonts w:eastAsia="MS Mincho"/>
          <w:lang w:val="es-ES"/>
        </w:rPr>
        <w:t>También formularon declaraciones los representantes de Costa Rica y Marruecos</w:t>
      </w:r>
      <w:r w:rsidR="002437E5" w:rsidRPr="00EF233B">
        <w:rPr>
          <w:lang w:val="es-ES"/>
        </w:rPr>
        <w:t>.</w:t>
      </w:r>
    </w:p>
    <w:p w:rsidR="002437E5" w:rsidRPr="00EF233B" w:rsidRDefault="00EF233B" w:rsidP="000C6220">
      <w:pPr>
        <w:pStyle w:val="Para1"/>
        <w:tabs>
          <w:tab w:val="clear" w:pos="360"/>
          <w:tab w:val="clear" w:pos="567"/>
          <w:tab w:val="clear" w:pos="2912"/>
        </w:tabs>
        <w:spacing w:line="240" w:lineRule="auto"/>
        <w:rPr>
          <w:lang w:val="es-ES"/>
        </w:rPr>
      </w:pPr>
      <w:r w:rsidRPr="00BD1CDE">
        <w:rPr>
          <w:rFonts w:eastAsia="MS Mincho"/>
          <w:lang w:val="es-ES"/>
        </w:rPr>
        <w:t>Tras las deliberaciones, el Presidente dijo prepararía un proyecto de decisión revisado para su consideración por el Grupo de Trabajo</w:t>
      </w:r>
      <w:r w:rsidR="002437E5" w:rsidRPr="00EF233B">
        <w:rPr>
          <w:lang w:val="es-ES"/>
        </w:rPr>
        <w:t>.</w:t>
      </w:r>
    </w:p>
    <w:p w:rsidR="002437E5" w:rsidRPr="00EF233B" w:rsidRDefault="00EF233B" w:rsidP="000C6220">
      <w:pPr>
        <w:pStyle w:val="Para1"/>
        <w:tabs>
          <w:tab w:val="clear" w:pos="360"/>
          <w:tab w:val="clear" w:pos="567"/>
          <w:tab w:val="clear" w:pos="2912"/>
        </w:tabs>
        <w:spacing w:line="240" w:lineRule="auto"/>
        <w:rPr>
          <w:lang w:val="es-ES"/>
        </w:rPr>
      </w:pPr>
      <w:r w:rsidRPr="00BD1CDE">
        <w:rPr>
          <w:rFonts w:eastAsia="MS Mincho"/>
          <w:lang w:val="es-ES"/>
        </w:rPr>
        <w:t xml:space="preserve">En su </w:t>
      </w:r>
      <w:r>
        <w:rPr>
          <w:rFonts w:eastAsia="MS Mincho"/>
          <w:lang w:val="es-ES"/>
        </w:rPr>
        <w:t>10ª</w:t>
      </w:r>
      <w:r w:rsidRPr="00BD1CDE">
        <w:rPr>
          <w:rFonts w:eastAsia="MS Mincho"/>
          <w:lang w:val="es-ES"/>
        </w:rPr>
        <w:t xml:space="preserve"> reunión, el 25 de noviembre de 2018, el Grupo de Trabajo consideró un proyecto de decisión revisado presentado por el Presidente</w:t>
      </w:r>
      <w:r w:rsidR="002437E5" w:rsidRPr="00EF233B">
        <w:rPr>
          <w:lang w:val="es-ES"/>
        </w:rPr>
        <w:t>.</w:t>
      </w:r>
    </w:p>
    <w:p w:rsidR="002437E5" w:rsidRPr="00EF233B" w:rsidRDefault="00EF233B" w:rsidP="000C6220">
      <w:pPr>
        <w:pStyle w:val="Para1"/>
        <w:tabs>
          <w:tab w:val="clear" w:pos="360"/>
          <w:tab w:val="clear" w:pos="567"/>
          <w:tab w:val="clear" w:pos="2912"/>
        </w:tabs>
        <w:spacing w:line="240" w:lineRule="auto"/>
        <w:rPr>
          <w:lang w:val="es-ES"/>
        </w:rPr>
      </w:pPr>
      <w:r w:rsidRPr="00BD1CDE">
        <w:rPr>
          <w:rFonts w:eastAsia="MS Mincho"/>
          <w:lang w:val="es-ES"/>
        </w:rPr>
        <w:t>Formularon declaraciones los representantes de India, Japón, México, Sudáfrica, Uganda y la Unión Europea y sus 28 Estados miembros</w:t>
      </w:r>
      <w:r w:rsidR="002437E5" w:rsidRPr="00EF233B">
        <w:rPr>
          <w:lang w:val="es-ES"/>
        </w:rPr>
        <w:t>.</w:t>
      </w:r>
    </w:p>
    <w:p w:rsidR="002437E5" w:rsidRPr="00EF233B" w:rsidRDefault="00EF233B" w:rsidP="000C6220">
      <w:pPr>
        <w:pStyle w:val="Para1"/>
        <w:tabs>
          <w:tab w:val="clear" w:pos="360"/>
          <w:tab w:val="clear" w:pos="567"/>
          <w:tab w:val="clear" w:pos="2912"/>
        </w:tabs>
        <w:spacing w:line="240" w:lineRule="auto"/>
        <w:rPr>
          <w:lang w:val="es-ES"/>
        </w:rPr>
      </w:pPr>
      <w:r w:rsidRPr="00BD1CDE">
        <w:rPr>
          <w:rFonts w:eastAsia="MS Mincho"/>
          <w:lang w:val="es-ES"/>
        </w:rPr>
        <w:t>También hizo uso de la palabra un representante de Marruecos</w:t>
      </w:r>
      <w:r w:rsidR="002437E5" w:rsidRPr="00EF233B">
        <w:rPr>
          <w:lang w:val="es-ES"/>
        </w:rPr>
        <w:t>.</w:t>
      </w:r>
    </w:p>
    <w:p w:rsidR="00475D73" w:rsidRPr="00EF233B" w:rsidRDefault="00EF233B" w:rsidP="000C6220">
      <w:pPr>
        <w:pStyle w:val="Para1"/>
        <w:tabs>
          <w:tab w:val="clear" w:pos="360"/>
          <w:tab w:val="clear" w:pos="567"/>
          <w:tab w:val="clear" w:pos="2912"/>
        </w:tabs>
        <w:spacing w:line="240" w:lineRule="auto"/>
        <w:rPr>
          <w:lang w:val="es-ES"/>
        </w:rPr>
      </w:pPr>
      <w:r w:rsidRPr="00BD1CDE">
        <w:rPr>
          <w:rFonts w:eastAsia="MS Mincho"/>
          <w:lang w:val="es-ES"/>
        </w:rPr>
        <w:t xml:space="preserve">El Grupo de Trabajo aprobó el proyecto de decisión revisado, con las enmiendas efectuadas oralmente, para que fuera transmitido a la sesión plenaria como proyecto de decisión </w:t>
      </w:r>
      <w:r w:rsidR="002437E5" w:rsidRPr="00EF233B">
        <w:rPr>
          <w:lang w:val="es-ES"/>
        </w:rPr>
        <w:t>CBD/NP</w:t>
      </w:r>
      <w:r w:rsidR="00066C74" w:rsidRPr="00EF233B">
        <w:rPr>
          <w:lang w:val="es-ES"/>
        </w:rPr>
        <w:t>/</w:t>
      </w:r>
      <w:r w:rsidR="002437E5" w:rsidRPr="00EF233B">
        <w:rPr>
          <w:lang w:val="es-ES"/>
        </w:rPr>
        <w:t>MOP/3/L.8.</w:t>
      </w:r>
    </w:p>
    <w:p w:rsidR="00475D73" w:rsidRPr="00EF233B" w:rsidRDefault="00EF233B" w:rsidP="000C6220">
      <w:pPr>
        <w:pStyle w:val="Para1"/>
        <w:tabs>
          <w:tab w:val="clear" w:pos="360"/>
          <w:tab w:val="clear" w:pos="567"/>
          <w:tab w:val="clear" w:pos="2912"/>
        </w:tabs>
        <w:spacing w:line="240" w:lineRule="auto"/>
        <w:rPr>
          <w:lang w:val="es-ES"/>
        </w:rPr>
      </w:pPr>
      <w:r w:rsidRPr="00EF233B">
        <w:rPr>
          <w:lang w:val="es-ES"/>
        </w:rPr>
        <w:t>En su 8ª sesión plenaria</w:t>
      </w:r>
      <w:r w:rsidR="001E16B7" w:rsidRPr="00EF233B">
        <w:rPr>
          <w:lang w:val="es-ES"/>
        </w:rPr>
        <w:t xml:space="preserve">, </w:t>
      </w:r>
      <w:r w:rsidRPr="00EF233B">
        <w:rPr>
          <w:lang w:val="es-ES"/>
        </w:rPr>
        <w:t>el</w:t>
      </w:r>
      <w:r w:rsidR="001E16B7" w:rsidRPr="00EF233B">
        <w:rPr>
          <w:lang w:val="es-ES"/>
        </w:rPr>
        <w:t xml:space="preserve"> 29 </w:t>
      </w:r>
      <w:r w:rsidRPr="00EF233B">
        <w:rPr>
          <w:lang w:val="es-ES"/>
        </w:rPr>
        <w:t>de noviembre de</w:t>
      </w:r>
      <w:r w:rsidR="001E16B7" w:rsidRPr="00EF233B">
        <w:rPr>
          <w:lang w:val="es-ES"/>
        </w:rPr>
        <w:t xml:space="preserve"> 2018, </w:t>
      </w:r>
      <w:r w:rsidRPr="00EF233B">
        <w:rPr>
          <w:lang w:val="es-ES"/>
        </w:rPr>
        <w:t xml:space="preserve">la </w:t>
      </w:r>
      <w:r w:rsidR="001E16B7" w:rsidRPr="00EF233B">
        <w:rPr>
          <w:lang w:val="es-ES"/>
        </w:rPr>
        <w:t>Conferenc</w:t>
      </w:r>
      <w:r w:rsidRPr="00EF233B">
        <w:rPr>
          <w:lang w:val="es-ES"/>
        </w:rPr>
        <w:t>ia de las</w:t>
      </w:r>
      <w:r w:rsidR="001E16B7" w:rsidRPr="00EF233B">
        <w:rPr>
          <w:lang w:val="es-ES"/>
        </w:rPr>
        <w:t xml:space="preserve"> Partes </w:t>
      </w:r>
      <w:r w:rsidRPr="00EF233B">
        <w:rPr>
          <w:lang w:val="es-ES"/>
        </w:rPr>
        <w:t>que act</w:t>
      </w:r>
      <w:r>
        <w:rPr>
          <w:lang w:val="es-ES"/>
        </w:rPr>
        <w:t xml:space="preserve">úan como reunión de las </w:t>
      </w:r>
      <w:r w:rsidR="001E16B7" w:rsidRPr="00EF233B">
        <w:rPr>
          <w:lang w:val="es-ES"/>
        </w:rPr>
        <w:t>Partes</w:t>
      </w:r>
      <w:r>
        <w:rPr>
          <w:lang w:val="es-ES"/>
        </w:rPr>
        <w:t xml:space="preserve"> en el Protocolo de </w:t>
      </w:r>
      <w:r w:rsidR="003379C8" w:rsidRPr="00EF233B">
        <w:rPr>
          <w:lang w:val="es-ES"/>
        </w:rPr>
        <w:t>Nagoya</w:t>
      </w:r>
      <w:r>
        <w:rPr>
          <w:lang w:val="es-ES"/>
        </w:rPr>
        <w:t xml:space="preserve"> adoptó el proyecto de decisión</w:t>
      </w:r>
      <w:r w:rsidR="001E16B7" w:rsidRPr="00EF233B">
        <w:rPr>
          <w:lang w:val="es-ES"/>
        </w:rPr>
        <w:t xml:space="preserve"> CBD/NP/MOP/3/L.8 </w:t>
      </w:r>
      <w:r>
        <w:rPr>
          <w:lang w:val="es-ES"/>
        </w:rPr>
        <w:t>como decisión</w:t>
      </w:r>
      <w:r w:rsidR="001E16B7" w:rsidRPr="00EF233B">
        <w:rPr>
          <w:lang w:val="es-ES"/>
        </w:rPr>
        <w:t xml:space="preserve"> NP-3/3 (</w:t>
      </w:r>
      <w:r>
        <w:rPr>
          <w:lang w:val="es-ES"/>
        </w:rPr>
        <w:t>para el texto, véase el capítulo</w:t>
      </w:r>
      <w:r w:rsidR="008A71DD" w:rsidRPr="00EF233B">
        <w:rPr>
          <w:lang w:val="es-ES"/>
        </w:rPr>
        <w:t> </w:t>
      </w:r>
      <w:r w:rsidR="001E16B7" w:rsidRPr="00EF233B">
        <w:rPr>
          <w:lang w:val="es-ES"/>
        </w:rPr>
        <w:t>I).</w:t>
      </w:r>
    </w:p>
    <w:p w:rsidR="00475D73" w:rsidRPr="00EF233B" w:rsidRDefault="00EF233B" w:rsidP="000C6220">
      <w:pPr>
        <w:pStyle w:val="Heading1-item"/>
        <w:tabs>
          <w:tab w:val="left" w:pos="1134"/>
        </w:tabs>
        <w:spacing w:before="120" w:line="240" w:lineRule="auto"/>
        <w:ind w:right="0"/>
        <w:rPr>
          <w:rFonts w:ascii="Times New Roman" w:hAnsi="Times New Roman" w:cs="Times New Roman"/>
          <w:lang w:val="es-ES"/>
        </w:rPr>
      </w:pPr>
      <w:bookmarkStart w:id="39" w:name="_Toc256228"/>
      <w:r w:rsidRPr="00007AFE">
        <w:rPr>
          <w:rFonts w:ascii="Times New Roman" w:hAnsi="Times New Roman" w:cs="Times New Roman"/>
          <w:lang w:val="es-ES"/>
        </w:rPr>
        <w:t>TEMA</w:t>
      </w:r>
      <w:r w:rsidRPr="00007AFE">
        <w:rPr>
          <w:rFonts w:ascii="Times New Roman" w:hAnsi="Times New Roman" w:cs="Times New Roman" w:hint="eastAsia"/>
          <w:lang w:val="es-ES"/>
        </w:rPr>
        <w:t xml:space="preserve"> 11.</w:t>
      </w:r>
      <w:r w:rsidRPr="00007AFE">
        <w:rPr>
          <w:rFonts w:ascii="Times New Roman" w:hAnsi="Times New Roman" w:cs="Times New Roman" w:hint="eastAsia"/>
          <w:lang w:val="es-ES"/>
        </w:rPr>
        <w:tab/>
      </w:r>
      <w:r w:rsidRPr="00EF233B">
        <w:rPr>
          <w:rFonts w:ascii="Times New Roman" w:hAnsi="Times New Roman" w:cs="Times New Roman"/>
          <w:lang w:val="es-ES"/>
        </w:rPr>
        <w:t>VIGILANCIA Y PRESENTACIÓN DE INFORMES</w:t>
      </w:r>
      <w:r w:rsidR="00475D73" w:rsidRPr="00EF233B">
        <w:rPr>
          <w:rFonts w:ascii="Times New Roman" w:hAnsi="Times New Roman" w:cs="Times New Roman" w:hint="eastAsia"/>
          <w:lang w:val="es-ES"/>
        </w:rPr>
        <w:t xml:space="preserve"> (Art</w:t>
      </w:r>
      <w:r w:rsidRPr="00EF233B">
        <w:rPr>
          <w:rFonts w:ascii="Times New Roman" w:hAnsi="Times New Roman" w:cs="Times New Roman"/>
          <w:lang w:val="es-ES"/>
        </w:rPr>
        <w:t>ÍCULO</w:t>
      </w:r>
      <w:r w:rsidR="00475D73" w:rsidRPr="00EF233B">
        <w:rPr>
          <w:rFonts w:ascii="Times New Roman" w:hAnsi="Times New Roman" w:cs="Times New Roman" w:hint="eastAsia"/>
          <w:lang w:val="es-ES"/>
        </w:rPr>
        <w:t xml:space="preserve"> 29)</w:t>
      </w:r>
      <w:bookmarkEnd w:id="39"/>
    </w:p>
    <w:p w:rsidR="002437E5" w:rsidRPr="00EF233B" w:rsidRDefault="00EF233B" w:rsidP="000C6220">
      <w:pPr>
        <w:pStyle w:val="Para1"/>
        <w:tabs>
          <w:tab w:val="clear" w:pos="360"/>
          <w:tab w:val="clear" w:pos="567"/>
          <w:tab w:val="clear" w:pos="2912"/>
        </w:tabs>
        <w:spacing w:line="240" w:lineRule="auto"/>
        <w:rPr>
          <w:lang w:val="es-ES"/>
        </w:rPr>
      </w:pPr>
      <w:r w:rsidRPr="00BD1CDE">
        <w:rPr>
          <w:rFonts w:eastAsia="MS Mincho"/>
          <w:lang w:val="es-ES"/>
        </w:rPr>
        <w:t xml:space="preserve">El Grupo de Trabajo I comenzó a tratar el tema 11 del programa en su quinta reunión, el 20 de noviembre de 2018. Para considerar este tema, el Grupo de Trabajo tuvo ante sí una nota de la Secretaria Ejecutiva (CBD/NP/MOP/3/7) </w:t>
      </w:r>
      <w:r>
        <w:rPr>
          <w:rFonts w:eastAsia="MS Mincho"/>
          <w:lang w:val="es-ES"/>
        </w:rPr>
        <w:t>que contenía</w:t>
      </w:r>
      <w:r w:rsidRPr="00BD1CDE">
        <w:rPr>
          <w:rFonts w:eastAsia="MS Mincho"/>
          <w:lang w:val="es-ES"/>
        </w:rPr>
        <w:t xml:space="preserve"> información sobre los informes nacionales provisionales presentados por las Partes y Estados que no son Partes, además de información sobre el formato de los informes y la frecuencia de presentación de informes</w:t>
      </w:r>
      <w:r>
        <w:rPr>
          <w:rFonts w:eastAsia="MS Mincho"/>
          <w:lang w:val="es-ES"/>
        </w:rPr>
        <w:t xml:space="preserve">, teniendo en cuenta la recomendación </w:t>
      </w:r>
      <w:r w:rsidRPr="00EF233B">
        <w:rPr>
          <w:lang w:val="es-ES"/>
        </w:rPr>
        <w:t>SBI/2-11</w:t>
      </w:r>
      <w:r>
        <w:rPr>
          <w:lang w:val="es-ES"/>
        </w:rPr>
        <w:t xml:space="preserve"> del Órgano Subsidiario sobre la Aplicación.</w:t>
      </w:r>
      <w:r w:rsidRPr="00BD1CDE">
        <w:rPr>
          <w:rFonts w:eastAsia="MS Mincho"/>
          <w:lang w:val="es-ES"/>
        </w:rPr>
        <w:t xml:space="preserve"> </w:t>
      </w:r>
      <w:r w:rsidRPr="00EF233B">
        <w:rPr>
          <w:rFonts w:eastAsia="MS Mincho"/>
          <w:lang w:val="es-ES"/>
        </w:rPr>
        <w:t xml:space="preserve">También tuvo ante sí un proyecto de decisión que figura en la recopilación de proyectos de decisión </w:t>
      </w:r>
      <w:r w:rsidR="002437E5" w:rsidRPr="00EF233B">
        <w:rPr>
          <w:lang w:val="es-ES"/>
        </w:rPr>
        <w:t>(CBD/NP/MOP/3/1/Add.2)</w:t>
      </w:r>
      <w:r w:rsidR="0006789E" w:rsidRPr="00EF233B">
        <w:rPr>
          <w:lang w:val="es-ES"/>
        </w:rPr>
        <w:t xml:space="preserve"> </w:t>
      </w:r>
      <w:r w:rsidRPr="00EF233B">
        <w:rPr>
          <w:lang w:val="es-ES"/>
        </w:rPr>
        <w:t>que inclu</w:t>
      </w:r>
      <w:r>
        <w:rPr>
          <w:lang w:val="es-ES"/>
        </w:rPr>
        <w:t xml:space="preserve">ía el proyecto de recomendación de </w:t>
      </w:r>
      <w:r w:rsidR="008D087C" w:rsidRPr="00EF233B">
        <w:rPr>
          <w:lang w:val="es-ES"/>
        </w:rPr>
        <w:t xml:space="preserve">SBI-2/11, </w:t>
      </w:r>
      <w:r>
        <w:rPr>
          <w:lang w:val="es-ES"/>
        </w:rPr>
        <w:t xml:space="preserve">recomendaciones pertinentes del Comité de Cumplimiento y elementos adicionales del documento </w:t>
      </w:r>
      <w:r w:rsidR="008D087C" w:rsidRPr="00EF233B">
        <w:rPr>
          <w:lang w:val="es-ES"/>
        </w:rPr>
        <w:t>CBD/NP/MOP/3/7</w:t>
      </w:r>
      <w:r w:rsidR="002437E5" w:rsidRPr="00EF233B">
        <w:rPr>
          <w:lang w:val="es-ES"/>
        </w:rPr>
        <w:t>.</w:t>
      </w:r>
    </w:p>
    <w:p w:rsidR="002437E5" w:rsidRPr="00EF233B" w:rsidRDefault="00EF233B" w:rsidP="000C6220">
      <w:pPr>
        <w:pStyle w:val="Para1"/>
        <w:tabs>
          <w:tab w:val="clear" w:pos="360"/>
          <w:tab w:val="clear" w:pos="567"/>
          <w:tab w:val="clear" w:pos="2912"/>
        </w:tabs>
        <w:spacing w:line="240" w:lineRule="auto"/>
        <w:rPr>
          <w:lang w:val="es-ES"/>
        </w:rPr>
      </w:pPr>
      <w:r w:rsidRPr="00BD1CDE">
        <w:rPr>
          <w:rFonts w:eastAsia="MS Mincho"/>
          <w:lang w:val="es-ES"/>
        </w:rPr>
        <w:t xml:space="preserve">El Presidente recordó que el primer párrafo del proyecto de decisión estaba vinculado a una decisión bajo la consideración de la Conferencia de las Partes sobre la </w:t>
      </w:r>
      <w:r>
        <w:rPr>
          <w:rFonts w:eastAsia="MS Mincho"/>
          <w:lang w:val="es-ES"/>
        </w:rPr>
        <w:t xml:space="preserve">armonización de la </w:t>
      </w:r>
      <w:r w:rsidRPr="00BD1CDE">
        <w:rPr>
          <w:rFonts w:eastAsia="MS Mincho"/>
          <w:lang w:val="es-ES"/>
        </w:rPr>
        <w:t>presentación de informes nacionales. Además, el número de informes nacionales provisionales presentados había aumentado y el proyecto de decisión debía enmendarse para reflejar esa nueva información</w:t>
      </w:r>
      <w:r w:rsidR="002437E5" w:rsidRPr="00EF233B">
        <w:rPr>
          <w:lang w:val="es-ES"/>
        </w:rPr>
        <w:t>.</w:t>
      </w:r>
    </w:p>
    <w:p w:rsidR="002437E5" w:rsidRPr="00EF233B" w:rsidRDefault="00EF233B" w:rsidP="000C6220">
      <w:pPr>
        <w:pStyle w:val="Para1"/>
        <w:tabs>
          <w:tab w:val="clear" w:pos="360"/>
          <w:tab w:val="clear" w:pos="567"/>
          <w:tab w:val="clear" w:pos="2912"/>
        </w:tabs>
        <w:spacing w:line="240" w:lineRule="auto"/>
        <w:rPr>
          <w:lang w:val="es-ES"/>
        </w:rPr>
      </w:pPr>
      <w:r w:rsidRPr="00BD1CDE">
        <w:rPr>
          <w:rFonts w:eastAsia="MS Mincho"/>
          <w:lang w:val="es-ES"/>
        </w:rPr>
        <w:t xml:space="preserve">Formularon declaraciones los representantes de Belarús, </w:t>
      </w:r>
      <w:r w:rsidRPr="00EF233B">
        <w:rPr>
          <w:lang w:val="es-ES"/>
        </w:rPr>
        <w:t>Côte d’Ivoire</w:t>
      </w:r>
      <w:r w:rsidRPr="00BD1CDE">
        <w:rPr>
          <w:rFonts w:eastAsia="MS Mincho"/>
          <w:lang w:val="es-ES"/>
        </w:rPr>
        <w:t xml:space="preserve">, Egipto, India, Jordania, México, Sudáfrica, Uganda, </w:t>
      </w:r>
      <w:r>
        <w:rPr>
          <w:rFonts w:eastAsia="MS Mincho"/>
          <w:lang w:val="es-ES"/>
        </w:rPr>
        <w:t xml:space="preserve">la </w:t>
      </w:r>
      <w:r w:rsidRPr="00BD1CDE">
        <w:rPr>
          <w:rFonts w:eastAsia="MS Mincho"/>
          <w:lang w:val="es-ES"/>
        </w:rPr>
        <w:t>República Unida de Tanzania y la Unión Europea y sus 28 Estados miembros</w:t>
      </w:r>
      <w:r w:rsidR="002437E5" w:rsidRPr="00EF233B">
        <w:rPr>
          <w:lang w:val="es-ES"/>
        </w:rPr>
        <w:t>.</w:t>
      </w:r>
    </w:p>
    <w:p w:rsidR="002437E5" w:rsidRPr="00EF233B" w:rsidRDefault="00EF233B" w:rsidP="000C6220">
      <w:pPr>
        <w:pStyle w:val="Para1"/>
        <w:tabs>
          <w:tab w:val="clear" w:pos="360"/>
          <w:tab w:val="clear" w:pos="567"/>
          <w:tab w:val="clear" w:pos="2912"/>
        </w:tabs>
        <w:spacing w:line="240" w:lineRule="auto"/>
        <w:rPr>
          <w:lang w:val="es-ES"/>
        </w:rPr>
      </w:pPr>
      <w:r w:rsidRPr="00BD1CDE">
        <w:rPr>
          <w:rFonts w:eastAsia="MS Mincho"/>
          <w:lang w:val="es-ES"/>
        </w:rPr>
        <w:lastRenderedPageBreak/>
        <w:t>El Presidente dijo que prepararía un proyecto de decisión revisado, teniendo en cuenta las opiniones expresadas oralmente y presentadas por escrito</w:t>
      </w:r>
      <w:r w:rsidR="002437E5" w:rsidRPr="00EF233B">
        <w:rPr>
          <w:lang w:val="es-ES"/>
        </w:rPr>
        <w:t>.</w:t>
      </w:r>
    </w:p>
    <w:p w:rsidR="002437E5" w:rsidRPr="00EF233B" w:rsidRDefault="00EF233B" w:rsidP="000C6220">
      <w:pPr>
        <w:pStyle w:val="Para1"/>
        <w:tabs>
          <w:tab w:val="clear" w:pos="360"/>
          <w:tab w:val="clear" w:pos="567"/>
          <w:tab w:val="clear" w:pos="2912"/>
        </w:tabs>
        <w:spacing w:line="240" w:lineRule="auto"/>
        <w:rPr>
          <w:lang w:val="es-ES"/>
        </w:rPr>
      </w:pPr>
      <w:r w:rsidRPr="00BD1CDE">
        <w:rPr>
          <w:rFonts w:eastAsia="MS Mincho"/>
          <w:lang w:val="es-ES"/>
        </w:rPr>
        <w:t xml:space="preserve">En su </w:t>
      </w:r>
      <w:r>
        <w:rPr>
          <w:rFonts w:eastAsia="MS Mincho"/>
          <w:lang w:val="es-ES"/>
        </w:rPr>
        <w:t xml:space="preserve">9ª </w:t>
      </w:r>
      <w:r w:rsidRPr="00BD1CDE">
        <w:rPr>
          <w:rFonts w:eastAsia="MS Mincho"/>
          <w:lang w:val="es-ES"/>
        </w:rPr>
        <w:t>reunión, el 22 de noviembre de 2018, el Grupo de Trabajo consideró el proyecto de decisión revisado preparado por el Presidente</w:t>
      </w:r>
      <w:r w:rsidR="002437E5" w:rsidRPr="00EF233B">
        <w:rPr>
          <w:lang w:val="es-ES"/>
        </w:rPr>
        <w:t>.</w:t>
      </w:r>
    </w:p>
    <w:p w:rsidR="002437E5" w:rsidRPr="00EF233B" w:rsidRDefault="00EF233B" w:rsidP="000C6220">
      <w:pPr>
        <w:pStyle w:val="Para1"/>
        <w:tabs>
          <w:tab w:val="clear" w:pos="360"/>
          <w:tab w:val="clear" w:pos="567"/>
          <w:tab w:val="clear" w:pos="2912"/>
        </w:tabs>
        <w:spacing w:line="240" w:lineRule="auto"/>
        <w:rPr>
          <w:lang w:val="es-ES"/>
        </w:rPr>
      </w:pPr>
      <w:r w:rsidRPr="00BD1CDE">
        <w:rPr>
          <w:rFonts w:eastAsia="MS Mincho"/>
          <w:lang w:val="es-ES"/>
        </w:rPr>
        <w:t>Un representante de la secretaría señaló una sección de texto que debía ser enmendado para reflejar comentarios realizados anteriormente</w:t>
      </w:r>
      <w:r w:rsidR="002437E5" w:rsidRPr="00EF233B">
        <w:rPr>
          <w:lang w:val="es-ES"/>
        </w:rPr>
        <w:t>.</w:t>
      </w:r>
    </w:p>
    <w:p w:rsidR="00475D73" w:rsidRPr="008441BB" w:rsidRDefault="008441BB" w:rsidP="000C6220">
      <w:pPr>
        <w:pStyle w:val="Para1"/>
        <w:tabs>
          <w:tab w:val="clear" w:pos="360"/>
          <w:tab w:val="clear" w:pos="567"/>
          <w:tab w:val="clear" w:pos="2912"/>
        </w:tabs>
        <w:spacing w:line="240" w:lineRule="auto"/>
        <w:rPr>
          <w:lang w:val="es-ES"/>
        </w:rPr>
      </w:pPr>
      <w:r w:rsidRPr="00BD1CDE">
        <w:rPr>
          <w:rFonts w:eastAsia="MS Mincho"/>
          <w:lang w:val="es-ES"/>
        </w:rPr>
        <w:t xml:space="preserve">El Grupo de Trabajo aprobó el proyecto de decisión revisado, con las enmiendas efectuadas oralmente, para que fuera transmitido a la sesión plenaria como proyecto de decisión </w:t>
      </w:r>
      <w:r w:rsidR="002437E5" w:rsidRPr="008441BB">
        <w:rPr>
          <w:lang w:val="es-ES"/>
        </w:rPr>
        <w:t>CBD/NP/MOP/3/L.7.</w:t>
      </w:r>
    </w:p>
    <w:p w:rsidR="008C2396" w:rsidRPr="008441BB" w:rsidRDefault="008441BB" w:rsidP="000C6220">
      <w:pPr>
        <w:pStyle w:val="Para1"/>
        <w:tabs>
          <w:tab w:val="clear" w:pos="360"/>
          <w:tab w:val="clear" w:pos="567"/>
          <w:tab w:val="clear" w:pos="2912"/>
        </w:tabs>
        <w:spacing w:line="240" w:lineRule="auto"/>
        <w:rPr>
          <w:lang w:val="es-ES"/>
        </w:rPr>
      </w:pPr>
      <w:r w:rsidRPr="008441BB">
        <w:rPr>
          <w:bCs/>
          <w:szCs w:val="22"/>
          <w:lang w:val="es-ES"/>
        </w:rPr>
        <w:t xml:space="preserve">En la </w:t>
      </w:r>
      <w:r w:rsidR="008C2396" w:rsidRPr="008441BB">
        <w:rPr>
          <w:bCs/>
          <w:szCs w:val="22"/>
          <w:lang w:val="es-ES"/>
        </w:rPr>
        <w:t>5</w:t>
      </w:r>
      <w:r w:rsidRPr="008441BB">
        <w:rPr>
          <w:bCs/>
          <w:szCs w:val="22"/>
          <w:lang w:val="es-ES"/>
        </w:rPr>
        <w:t xml:space="preserve">ª sesión plenaria de la reunión, el </w:t>
      </w:r>
      <w:r w:rsidR="008C2396" w:rsidRPr="008441BB">
        <w:rPr>
          <w:bCs/>
          <w:szCs w:val="22"/>
          <w:lang w:val="es-ES"/>
        </w:rPr>
        <w:t xml:space="preserve">25 </w:t>
      </w:r>
      <w:r w:rsidRPr="008441BB">
        <w:rPr>
          <w:bCs/>
          <w:szCs w:val="22"/>
          <w:lang w:val="es-ES"/>
        </w:rPr>
        <w:t xml:space="preserve">de noviembre de </w:t>
      </w:r>
      <w:r w:rsidR="008C2396" w:rsidRPr="008441BB">
        <w:rPr>
          <w:bCs/>
          <w:szCs w:val="22"/>
          <w:lang w:val="es-ES"/>
        </w:rPr>
        <w:t xml:space="preserve">2018, </w:t>
      </w:r>
      <w:r w:rsidRPr="008441BB">
        <w:rPr>
          <w:bCs/>
          <w:szCs w:val="22"/>
          <w:lang w:val="es-ES"/>
        </w:rPr>
        <w:t xml:space="preserve">la </w:t>
      </w:r>
      <w:r w:rsidR="008C2396" w:rsidRPr="008441BB">
        <w:rPr>
          <w:bCs/>
          <w:szCs w:val="22"/>
          <w:lang w:val="es-ES"/>
        </w:rPr>
        <w:t>Conferenc</w:t>
      </w:r>
      <w:r w:rsidRPr="008441BB">
        <w:rPr>
          <w:bCs/>
          <w:szCs w:val="22"/>
          <w:lang w:val="es-ES"/>
        </w:rPr>
        <w:t xml:space="preserve">ia de las </w:t>
      </w:r>
      <w:r w:rsidR="008C2396" w:rsidRPr="008441BB">
        <w:rPr>
          <w:bCs/>
          <w:szCs w:val="22"/>
          <w:lang w:val="es-ES"/>
        </w:rPr>
        <w:t xml:space="preserve">Partes </w:t>
      </w:r>
      <w:r w:rsidRPr="008441BB">
        <w:rPr>
          <w:bCs/>
          <w:szCs w:val="22"/>
          <w:lang w:val="es-ES"/>
        </w:rPr>
        <w:t>que act</w:t>
      </w:r>
      <w:r>
        <w:rPr>
          <w:bCs/>
          <w:szCs w:val="22"/>
          <w:lang w:val="es-ES"/>
        </w:rPr>
        <w:t xml:space="preserve">úan como reunión de las </w:t>
      </w:r>
      <w:r w:rsidR="00A10F60" w:rsidRPr="008441BB">
        <w:rPr>
          <w:bCs/>
          <w:szCs w:val="22"/>
          <w:lang w:val="es-ES"/>
        </w:rPr>
        <w:t xml:space="preserve">Partes </w:t>
      </w:r>
      <w:r>
        <w:rPr>
          <w:bCs/>
          <w:szCs w:val="22"/>
          <w:lang w:val="es-ES"/>
        </w:rPr>
        <w:t xml:space="preserve">en el Protocolo de </w:t>
      </w:r>
      <w:r w:rsidR="003379C8" w:rsidRPr="008441BB">
        <w:rPr>
          <w:bCs/>
          <w:szCs w:val="22"/>
          <w:lang w:val="es-ES"/>
        </w:rPr>
        <w:t xml:space="preserve">Nagoya </w:t>
      </w:r>
      <w:r>
        <w:rPr>
          <w:bCs/>
          <w:szCs w:val="22"/>
          <w:lang w:val="es-ES"/>
        </w:rPr>
        <w:t xml:space="preserve">adoptó el proyecto de decisión </w:t>
      </w:r>
      <w:r w:rsidR="008C2396" w:rsidRPr="008441BB">
        <w:rPr>
          <w:bCs/>
          <w:szCs w:val="22"/>
          <w:lang w:val="es-ES"/>
        </w:rPr>
        <w:t xml:space="preserve">CBD/NP/MOP/3/L.7 </w:t>
      </w:r>
      <w:r>
        <w:rPr>
          <w:bCs/>
          <w:szCs w:val="22"/>
          <w:lang w:val="es-ES"/>
        </w:rPr>
        <w:t>como decisión</w:t>
      </w:r>
      <w:r w:rsidR="008C2396" w:rsidRPr="008441BB">
        <w:rPr>
          <w:bCs/>
          <w:szCs w:val="22"/>
          <w:lang w:val="es-ES"/>
        </w:rPr>
        <w:t xml:space="preserve"> NP-</w:t>
      </w:r>
      <w:r w:rsidR="002C5EC6" w:rsidRPr="008441BB">
        <w:rPr>
          <w:bCs/>
          <w:szCs w:val="22"/>
          <w:lang w:val="es-ES"/>
        </w:rPr>
        <w:t>3</w:t>
      </w:r>
      <w:r w:rsidR="008C2396" w:rsidRPr="008441BB">
        <w:rPr>
          <w:bCs/>
          <w:szCs w:val="22"/>
          <w:lang w:val="es-ES"/>
        </w:rPr>
        <w:t>/</w:t>
      </w:r>
      <w:r w:rsidR="00426DF0" w:rsidRPr="008441BB">
        <w:rPr>
          <w:bCs/>
          <w:szCs w:val="22"/>
          <w:lang w:val="es-ES"/>
        </w:rPr>
        <w:t>4</w:t>
      </w:r>
      <w:r w:rsidR="005C0957" w:rsidRPr="008441BB">
        <w:rPr>
          <w:bCs/>
          <w:szCs w:val="22"/>
          <w:lang w:val="es-ES"/>
        </w:rPr>
        <w:t xml:space="preserve"> </w:t>
      </w:r>
      <w:r w:rsidR="00DE5CC0" w:rsidRPr="008441BB">
        <w:rPr>
          <w:bCs/>
          <w:szCs w:val="22"/>
          <w:lang w:val="es-ES"/>
        </w:rPr>
        <w:t>(</w:t>
      </w:r>
      <w:r>
        <w:rPr>
          <w:bCs/>
          <w:szCs w:val="22"/>
          <w:lang w:val="es-ES"/>
        </w:rPr>
        <w:t>para el texto, véase el capítulo</w:t>
      </w:r>
      <w:r w:rsidR="00DE5CC0" w:rsidRPr="008441BB">
        <w:rPr>
          <w:lang w:val="es-ES"/>
        </w:rPr>
        <w:t> </w:t>
      </w:r>
      <w:r w:rsidR="005C0957" w:rsidRPr="008441BB">
        <w:rPr>
          <w:lang w:val="es-ES"/>
        </w:rPr>
        <w:t>I)</w:t>
      </w:r>
      <w:r w:rsidR="00DE5CC0" w:rsidRPr="008441BB">
        <w:rPr>
          <w:lang w:val="es-ES"/>
        </w:rPr>
        <w:t>.</w:t>
      </w:r>
    </w:p>
    <w:p w:rsidR="00475D73" w:rsidRPr="006E3373" w:rsidRDefault="006E3373" w:rsidP="000C6220">
      <w:pPr>
        <w:pStyle w:val="Heading1-item"/>
        <w:spacing w:before="120" w:line="240" w:lineRule="auto"/>
        <w:ind w:left="1701" w:right="0" w:hanging="1134"/>
        <w:jc w:val="left"/>
        <w:rPr>
          <w:rFonts w:hint="eastAsia"/>
          <w:lang w:val="es-ES"/>
        </w:rPr>
      </w:pPr>
      <w:bookmarkStart w:id="40" w:name="_Toc256229"/>
      <w:r w:rsidRPr="00007AFE">
        <w:rPr>
          <w:rFonts w:ascii="Times New Roman" w:hAnsi="Times New Roman" w:cs="Times New Roman"/>
          <w:lang w:val="es-ES"/>
        </w:rPr>
        <w:t>TEMA 12.</w:t>
      </w:r>
      <w:r w:rsidRPr="00007AFE">
        <w:rPr>
          <w:rFonts w:ascii="Times New Roman" w:hAnsi="Times New Roman" w:cs="Times New Roman"/>
          <w:lang w:val="es-ES"/>
        </w:rPr>
        <w:tab/>
      </w:r>
      <w:r w:rsidRPr="006E3373">
        <w:rPr>
          <w:rFonts w:ascii="Times New Roman" w:hAnsi="Times New Roman" w:cs="Times New Roman"/>
          <w:lang w:val="es-ES"/>
        </w:rPr>
        <w:t>MeDIDAS PARA AUMENTAR LA CONCIENCIACIÓN ACERCA DE LA IMPORTANCIA DE LOS RECURSOS GENÉTICOS Y CONOCIMIENTOS TRADICIONALES ASOCIADOS (ARTÍCULO</w:t>
      </w:r>
      <w:r>
        <w:rPr>
          <w:lang w:val="es-ES"/>
        </w:rPr>
        <w:t xml:space="preserve"> </w:t>
      </w:r>
      <w:r w:rsidR="00475D73" w:rsidRPr="006E3373">
        <w:rPr>
          <w:rFonts w:ascii="Times New Roman" w:hAnsi="Times New Roman" w:cs="Times New Roman"/>
          <w:lang w:val="es-ES"/>
        </w:rPr>
        <w:t>21)</w:t>
      </w:r>
      <w:bookmarkEnd w:id="40"/>
    </w:p>
    <w:p w:rsidR="002437E5" w:rsidRPr="006E3373" w:rsidRDefault="006E3373" w:rsidP="000C6220">
      <w:pPr>
        <w:pStyle w:val="Para1"/>
        <w:tabs>
          <w:tab w:val="clear" w:pos="360"/>
          <w:tab w:val="clear" w:pos="567"/>
          <w:tab w:val="clear" w:pos="2912"/>
        </w:tabs>
        <w:spacing w:line="240" w:lineRule="auto"/>
        <w:rPr>
          <w:lang w:val="es-ES"/>
        </w:rPr>
      </w:pPr>
      <w:r w:rsidRPr="00BD1CDE">
        <w:rPr>
          <w:rFonts w:eastAsia="MS Mincho"/>
          <w:lang w:val="es-ES"/>
        </w:rPr>
        <w:t xml:space="preserve">El Grupo de Trabajo I comenzó a tratar el primer aspecto del tema 12 del programa en su cuarta reunión, el 19 de noviembre de 2018. Para considerar este tema, el Grupo de Trabajo tuvo ante sí un informe sobre los progresos realizados en las medidas para aumentar la concienciación sobre la importancia de los recursos genéticos y los conocimientos tradicionales asociados (artículo 21) (CBD/NP/MOP/3/6) y el Paquete de herramientas de Comunicación, educación y concienciación del público (CEPA), incluidas consideraciones para el acceso y la participación en los beneficios (CBD/NP/MOP/3/INF/7). También tuvo ante sí un proyecto de decisión que figura en la recopilación de proyectos de decisión </w:t>
      </w:r>
      <w:r w:rsidR="002437E5" w:rsidRPr="006E3373">
        <w:rPr>
          <w:lang w:val="es-ES"/>
        </w:rPr>
        <w:t>(CBD/NP/MOP/3/1/Add.2).</w:t>
      </w:r>
    </w:p>
    <w:p w:rsidR="002437E5" w:rsidRPr="006E3373" w:rsidRDefault="006E3373" w:rsidP="000C6220">
      <w:pPr>
        <w:pStyle w:val="Para1"/>
        <w:tabs>
          <w:tab w:val="clear" w:pos="360"/>
          <w:tab w:val="clear" w:pos="567"/>
          <w:tab w:val="clear" w:pos="2912"/>
        </w:tabs>
        <w:spacing w:line="240" w:lineRule="auto"/>
        <w:rPr>
          <w:lang w:val="es-ES"/>
        </w:rPr>
      </w:pPr>
      <w:r w:rsidRPr="00BD1CDE">
        <w:rPr>
          <w:rFonts w:eastAsia="MS Mincho"/>
          <w:lang w:val="es-ES"/>
        </w:rPr>
        <w:softHyphen/>
      </w:r>
      <w:r w:rsidRPr="00BD1CDE">
        <w:rPr>
          <w:rFonts w:eastAsia="MS Mincho"/>
          <w:lang w:val="es-ES"/>
        </w:rPr>
        <w:softHyphen/>
      </w:r>
      <w:r w:rsidRPr="00BD1CDE">
        <w:rPr>
          <w:rFonts w:eastAsia="MS Mincho"/>
          <w:lang w:val="es-ES"/>
        </w:rPr>
        <w:softHyphen/>
      </w:r>
      <w:r w:rsidRPr="00BD1CDE">
        <w:rPr>
          <w:rFonts w:eastAsia="MS Mincho"/>
          <w:lang w:val="es-ES"/>
        </w:rPr>
        <w:softHyphen/>
      </w:r>
      <w:r w:rsidRPr="00BD1CDE">
        <w:rPr>
          <w:rFonts w:eastAsia="MS Mincho"/>
          <w:lang w:val="es-ES"/>
        </w:rPr>
        <w:softHyphen/>
      </w:r>
      <w:r w:rsidRPr="00BD1CDE">
        <w:rPr>
          <w:rFonts w:eastAsia="MS Mincho"/>
          <w:lang w:val="es-ES"/>
        </w:rPr>
        <w:softHyphen/>
      </w:r>
      <w:r w:rsidRPr="00BD1CDE">
        <w:rPr>
          <w:rFonts w:eastAsia="MS Mincho"/>
          <w:lang w:val="es-ES"/>
        </w:rPr>
        <w:softHyphen/>
      </w:r>
      <w:r w:rsidRPr="00BD1CDE">
        <w:rPr>
          <w:rFonts w:eastAsia="MS Mincho"/>
          <w:lang w:val="es-ES"/>
        </w:rPr>
        <w:softHyphen/>
      </w:r>
      <w:r w:rsidRPr="00BD1CDE">
        <w:rPr>
          <w:rFonts w:eastAsia="MS Mincho"/>
          <w:lang w:val="es-ES"/>
        </w:rPr>
        <w:softHyphen/>
      </w:r>
      <w:r w:rsidRPr="00BD1CDE">
        <w:rPr>
          <w:rFonts w:eastAsia="MS Mincho"/>
          <w:lang w:val="es-ES"/>
        </w:rPr>
        <w:softHyphen/>
      </w:r>
      <w:r w:rsidRPr="00BD1CDE">
        <w:rPr>
          <w:rFonts w:eastAsia="MS Mincho"/>
          <w:lang w:val="es-ES"/>
        </w:rPr>
        <w:softHyphen/>
      </w:r>
      <w:r w:rsidRPr="00BD1CDE">
        <w:rPr>
          <w:rFonts w:eastAsia="MS Mincho"/>
          <w:lang w:val="es-ES"/>
        </w:rPr>
        <w:softHyphen/>
      </w:r>
      <w:r w:rsidRPr="00BD1CDE">
        <w:rPr>
          <w:rFonts w:eastAsia="MS Mincho"/>
          <w:lang w:val="es-ES"/>
        </w:rPr>
        <w:softHyphen/>
      </w:r>
      <w:r w:rsidRPr="00BD1CDE">
        <w:rPr>
          <w:rFonts w:eastAsia="MS Mincho"/>
          <w:lang w:val="es-ES"/>
        </w:rPr>
        <w:softHyphen/>
      </w:r>
      <w:r w:rsidRPr="00BD1CDE">
        <w:rPr>
          <w:rFonts w:eastAsia="MS Mincho"/>
          <w:lang w:val="es-ES"/>
        </w:rPr>
        <w:softHyphen/>
      </w:r>
      <w:r w:rsidRPr="00BD1CDE">
        <w:rPr>
          <w:rFonts w:eastAsia="MS Mincho"/>
          <w:lang w:val="es-ES"/>
        </w:rPr>
        <w:softHyphen/>
      </w:r>
      <w:r w:rsidRPr="00BD1CDE">
        <w:rPr>
          <w:rFonts w:eastAsia="MS Mincho"/>
          <w:lang w:val="es-ES"/>
        </w:rPr>
        <w:softHyphen/>
      </w:r>
      <w:r w:rsidRPr="00BD1CDE">
        <w:rPr>
          <w:rFonts w:eastAsia="MS Mincho"/>
          <w:lang w:val="es-ES"/>
        </w:rPr>
        <w:softHyphen/>
      </w:r>
      <w:r w:rsidRPr="00BD1CDE">
        <w:rPr>
          <w:rFonts w:eastAsia="MS Mincho"/>
          <w:lang w:val="es-ES"/>
        </w:rPr>
        <w:softHyphen/>
      </w:r>
      <w:r w:rsidRPr="00BD1CDE">
        <w:rPr>
          <w:rFonts w:eastAsia="MS Mincho"/>
          <w:lang w:val="es-ES"/>
        </w:rPr>
        <w:softHyphen/>
        <w:t xml:space="preserve">Formularon declaraciones los representantes de </w:t>
      </w:r>
      <w:r w:rsidRPr="006E3373">
        <w:rPr>
          <w:lang w:val="es-ES"/>
        </w:rPr>
        <w:t>Côte d’Ivoire</w:t>
      </w:r>
      <w:r w:rsidRPr="00BD1CDE">
        <w:rPr>
          <w:rFonts w:eastAsia="MS Mincho"/>
          <w:lang w:val="es-ES"/>
        </w:rPr>
        <w:t>, Ecuador, Egipto, Gabón, México, Sudáfrica, Sudán y la Unión Europea y sus 28 Estados miembros</w:t>
      </w:r>
      <w:r w:rsidR="002437E5" w:rsidRPr="006E3373">
        <w:rPr>
          <w:lang w:val="es-ES"/>
        </w:rPr>
        <w:t>.</w:t>
      </w:r>
    </w:p>
    <w:p w:rsidR="002437E5" w:rsidRPr="006E3373" w:rsidRDefault="006E3373" w:rsidP="000C6220">
      <w:pPr>
        <w:pStyle w:val="Para1"/>
        <w:tabs>
          <w:tab w:val="clear" w:pos="360"/>
          <w:tab w:val="clear" w:pos="567"/>
          <w:tab w:val="clear" w:pos="2912"/>
        </w:tabs>
        <w:spacing w:line="240" w:lineRule="auto"/>
        <w:rPr>
          <w:lang w:val="es-ES"/>
        </w:rPr>
      </w:pPr>
      <w:r w:rsidRPr="00BD1CDE">
        <w:rPr>
          <w:rFonts w:eastAsia="MS Mincho"/>
          <w:lang w:val="es-ES"/>
        </w:rPr>
        <w:t>El Presidente dijo que prepararía un proyecto de decisión revisado sobre esta cuestión, teniendo en cuenta las opiniones expresadas oralmente y presentadas por escrito</w:t>
      </w:r>
      <w:r w:rsidR="002437E5" w:rsidRPr="006E3373">
        <w:rPr>
          <w:lang w:val="es-ES"/>
        </w:rPr>
        <w:t>.</w:t>
      </w:r>
    </w:p>
    <w:p w:rsidR="002437E5" w:rsidRPr="006E3373" w:rsidRDefault="006E3373" w:rsidP="000C6220">
      <w:pPr>
        <w:pStyle w:val="Para1"/>
        <w:tabs>
          <w:tab w:val="clear" w:pos="360"/>
          <w:tab w:val="clear" w:pos="567"/>
          <w:tab w:val="clear" w:pos="2912"/>
        </w:tabs>
        <w:spacing w:line="240" w:lineRule="auto"/>
        <w:rPr>
          <w:lang w:val="es-ES"/>
        </w:rPr>
      </w:pPr>
      <w:r w:rsidRPr="00BD1CDE">
        <w:rPr>
          <w:rFonts w:eastAsia="MS Mincho"/>
          <w:lang w:val="es-ES"/>
        </w:rPr>
        <w:t xml:space="preserve">En su </w:t>
      </w:r>
      <w:r>
        <w:rPr>
          <w:rFonts w:eastAsia="MS Mincho"/>
          <w:lang w:val="es-ES"/>
        </w:rPr>
        <w:t>9ª</w:t>
      </w:r>
      <w:r w:rsidRPr="00BD1CDE">
        <w:rPr>
          <w:rFonts w:eastAsia="MS Mincho"/>
          <w:lang w:val="es-ES"/>
        </w:rPr>
        <w:t xml:space="preserve"> reunión, el 22 de noviembre de 2018, el Grupo de Trabajo consideró un proyecto de decisión revisado preparado por el Presidente</w:t>
      </w:r>
      <w:r w:rsidR="002437E5" w:rsidRPr="006E3373">
        <w:rPr>
          <w:lang w:val="es-ES"/>
        </w:rPr>
        <w:t>.</w:t>
      </w:r>
    </w:p>
    <w:p w:rsidR="002437E5" w:rsidRPr="006E3373" w:rsidRDefault="006E3373" w:rsidP="000C6220">
      <w:pPr>
        <w:pStyle w:val="Para1"/>
        <w:tabs>
          <w:tab w:val="clear" w:pos="360"/>
          <w:tab w:val="clear" w:pos="567"/>
          <w:tab w:val="clear" w:pos="2912"/>
        </w:tabs>
        <w:spacing w:line="240" w:lineRule="auto"/>
        <w:rPr>
          <w:lang w:val="es-ES"/>
        </w:rPr>
      </w:pPr>
      <w:r w:rsidRPr="00BD1CDE">
        <w:rPr>
          <w:rFonts w:eastAsia="MS Mincho"/>
          <w:lang w:val="es-ES"/>
        </w:rPr>
        <w:t>Formularon declaraciones los representantes de Uganda y la Unión Europea y sus 28 Estados miembro</w:t>
      </w:r>
      <w:r>
        <w:rPr>
          <w:rFonts w:eastAsia="MS Mincho"/>
          <w:lang w:val="es-ES"/>
        </w:rPr>
        <w:t>s</w:t>
      </w:r>
      <w:r w:rsidR="002437E5" w:rsidRPr="006E3373">
        <w:rPr>
          <w:lang w:val="es-ES"/>
        </w:rPr>
        <w:t>.</w:t>
      </w:r>
    </w:p>
    <w:p w:rsidR="00475D73" w:rsidRPr="006E3373" w:rsidRDefault="006E3373" w:rsidP="000C6220">
      <w:pPr>
        <w:pStyle w:val="Para1"/>
        <w:tabs>
          <w:tab w:val="clear" w:pos="360"/>
          <w:tab w:val="clear" w:pos="567"/>
          <w:tab w:val="clear" w:pos="2912"/>
        </w:tabs>
        <w:spacing w:line="240" w:lineRule="auto"/>
        <w:rPr>
          <w:lang w:val="es-ES"/>
        </w:rPr>
      </w:pPr>
      <w:r w:rsidRPr="00BD1CDE">
        <w:rPr>
          <w:rFonts w:eastAsia="MS Mincho"/>
          <w:lang w:val="es-ES"/>
        </w:rPr>
        <w:t>El Grupo de Trabajo aprobó el proyecto de decisión revisado, con las enmiendas efectuadas oralmente, para que fuera transmitido a la sesión plenaria como proyecto de decisión</w:t>
      </w:r>
      <w:r w:rsidRPr="006E3373">
        <w:rPr>
          <w:lang w:val="es-ES"/>
        </w:rPr>
        <w:t xml:space="preserve"> </w:t>
      </w:r>
      <w:r w:rsidR="002437E5" w:rsidRPr="006E3373">
        <w:rPr>
          <w:lang w:val="es-ES"/>
        </w:rPr>
        <w:t>CBD/NP/MOP/3/L.4.</w:t>
      </w:r>
    </w:p>
    <w:p w:rsidR="008C2396" w:rsidRPr="006E3373" w:rsidRDefault="006E3373" w:rsidP="000C6220">
      <w:pPr>
        <w:pStyle w:val="Para1"/>
        <w:tabs>
          <w:tab w:val="clear" w:pos="360"/>
          <w:tab w:val="clear" w:pos="567"/>
          <w:tab w:val="clear" w:pos="2912"/>
        </w:tabs>
        <w:spacing w:line="240" w:lineRule="auto"/>
        <w:rPr>
          <w:lang w:val="es-ES"/>
        </w:rPr>
      </w:pPr>
      <w:r w:rsidRPr="006B2892">
        <w:rPr>
          <w:bCs/>
          <w:szCs w:val="22"/>
          <w:lang w:val="es-ES"/>
        </w:rPr>
        <w:t xml:space="preserve">En la 5ª sesión plenaria de la reunión, el 25 de noviembre de 2018, la Conferencia de las Partes </w:t>
      </w:r>
      <w:r>
        <w:rPr>
          <w:bCs/>
          <w:szCs w:val="22"/>
          <w:lang w:val="es-ES"/>
        </w:rPr>
        <w:t xml:space="preserve">que actúa como reunión de las Partes en el Protocolo de Nagoya adoptó el proyecto de decisión </w:t>
      </w:r>
      <w:r w:rsidR="008C2396" w:rsidRPr="006E3373">
        <w:rPr>
          <w:bCs/>
          <w:szCs w:val="22"/>
          <w:lang w:val="es-ES"/>
        </w:rPr>
        <w:t xml:space="preserve">CBD/NP/MOP/3/L.4 </w:t>
      </w:r>
      <w:r>
        <w:rPr>
          <w:bCs/>
          <w:szCs w:val="22"/>
          <w:lang w:val="es-ES"/>
        </w:rPr>
        <w:t>como decisión</w:t>
      </w:r>
      <w:r w:rsidR="008C2396" w:rsidRPr="006E3373">
        <w:rPr>
          <w:bCs/>
          <w:szCs w:val="22"/>
          <w:lang w:val="es-ES"/>
        </w:rPr>
        <w:t xml:space="preserve"> NP-</w:t>
      </w:r>
      <w:r w:rsidR="002C5EC6" w:rsidRPr="006E3373">
        <w:rPr>
          <w:bCs/>
          <w:szCs w:val="22"/>
          <w:lang w:val="es-ES"/>
        </w:rPr>
        <w:t>3</w:t>
      </w:r>
      <w:r w:rsidR="008C2396" w:rsidRPr="006E3373">
        <w:rPr>
          <w:bCs/>
          <w:szCs w:val="22"/>
          <w:lang w:val="es-ES"/>
        </w:rPr>
        <w:t>/</w:t>
      </w:r>
      <w:r w:rsidR="00426DF0" w:rsidRPr="006E3373">
        <w:rPr>
          <w:bCs/>
          <w:szCs w:val="22"/>
          <w:lang w:val="es-ES"/>
        </w:rPr>
        <w:t>6</w:t>
      </w:r>
      <w:r w:rsidR="005C0957" w:rsidRPr="006E3373">
        <w:rPr>
          <w:bCs/>
          <w:szCs w:val="22"/>
          <w:lang w:val="es-ES"/>
        </w:rPr>
        <w:t xml:space="preserve"> </w:t>
      </w:r>
      <w:r w:rsidR="004860CA" w:rsidRPr="006E3373">
        <w:rPr>
          <w:bCs/>
          <w:szCs w:val="22"/>
          <w:lang w:val="es-ES"/>
        </w:rPr>
        <w:t>(</w:t>
      </w:r>
      <w:r>
        <w:rPr>
          <w:bCs/>
          <w:szCs w:val="22"/>
          <w:lang w:val="es-ES"/>
        </w:rPr>
        <w:t>para el texto, véase el capítulo</w:t>
      </w:r>
      <w:r w:rsidR="004860CA" w:rsidRPr="006E3373">
        <w:rPr>
          <w:lang w:val="es-ES"/>
        </w:rPr>
        <w:t> </w:t>
      </w:r>
      <w:r w:rsidR="005C0957" w:rsidRPr="006E3373">
        <w:rPr>
          <w:lang w:val="es-ES"/>
        </w:rPr>
        <w:t>I.)</w:t>
      </w:r>
    </w:p>
    <w:p w:rsidR="00475D73" w:rsidRPr="006E3373" w:rsidRDefault="006E3373" w:rsidP="000C6220">
      <w:pPr>
        <w:pStyle w:val="Heading1-item"/>
        <w:spacing w:before="120" w:line="240" w:lineRule="auto"/>
        <w:ind w:left="1701" w:right="0" w:hanging="1134"/>
        <w:jc w:val="left"/>
        <w:rPr>
          <w:rFonts w:ascii="Times New Roman" w:hAnsi="Times New Roman" w:cs="Times New Roman"/>
          <w:lang w:val="es-ES"/>
        </w:rPr>
      </w:pPr>
      <w:bookmarkStart w:id="41" w:name="_Toc256230"/>
      <w:r>
        <w:rPr>
          <w:rFonts w:ascii="Times New Roman" w:hAnsi="Times New Roman" w:cs="Times New Roman"/>
          <w:lang w:val="es-ES"/>
        </w:rPr>
        <w:t>TEMA</w:t>
      </w:r>
      <w:r w:rsidR="00475D73" w:rsidRPr="006E3373">
        <w:rPr>
          <w:rFonts w:ascii="Times New Roman" w:hAnsi="Times New Roman" w:cs="Times New Roman"/>
          <w:lang w:val="es-ES"/>
        </w:rPr>
        <w:t xml:space="preserve"> 13.</w:t>
      </w:r>
      <w:r w:rsidR="00475D73" w:rsidRPr="006E3373">
        <w:rPr>
          <w:rFonts w:ascii="Times New Roman" w:hAnsi="Times New Roman" w:cs="Times New Roman"/>
          <w:lang w:val="es-ES"/>
        </w:rPr>
        <w:tab/>
      </w:r>
      <w:r w:rsidRPr="006E3373">
        <w:rPr>
          <w:rFonts w:ascii="Times New Roman" w:hAnsi="Times New Roman" w:cs="Times New Roman"/>
          <w:lang w:val="es-ES"/>
        </w:rPr>
        <w:t xml:space="preserve">MAYOR INTEGRACIÓN EN EL MARCO DEL CONVENIO Y SUS PROTOCOLOS CON RESPECTO A LAS DISPOSICIONES RELACIONADAS CON EL ACCESO Y LA PARTICIPACIÓN EN LOS BENEFICIOS </w:t>
      </w:r>
      <w:bookmarkEnd w:id="41"/>
    </w:p>
    <w:p w:rsidR="003905B1" w:rsidRPr="009F4FD6" w:rsidRDefault="009F4FD6" w:rsidP="000C6220">
      <w:pPr>
        <w:pStyle w:val="Para1"/>
        <w:tabs>
          <w:tab w:val="clear" w:pos="360"/>
          <w:tab w:val="clear" w:pos="567"/>
          <w:tab w:val="clear" w:pos="2912"/>
        </w:tabs>
        <w:spacing w:line="240" w:lineRule="auto"/>
        <w:rPr>
          <w:lang w:val="es-ES"/>
        </w:rPr>
      </w:pPr>
      <w:r w:rsidRPr="00021D79">
        <w:rPr>
          <w:rFonts w:eastAsia="MS Mincho"/>
          <w:lang w:val="es-ES"/>
        </w:rPr>
        <w:t>El Grupo de Trabajo I comenzó a tratar el tema 13 del programa en su sexta reunión, el 21 de noviembre de 2018 en conjunto con el tema 13 del programa de la Conferencia de las Partes y el tema 11 del programa de la Conferencia de las Partes que act</w:t>
      </w:r>
      <w:r>
        <w:rPr>
          <w:rFonts w:eastAsia="MS Mincho"/>
          <w:lang w:val="es-ES"/>
        </w:rPr>
        <w:t xml:space="preserve">úa como reunión de las Partes en el Protocolo de </w:t>
      </w:r>
      <w:r w:rsidRPr="00021D79">
        <w:rPr>
          <w:lang w:val="es-ES"/>
        </w:rPr>
        <w:t>Cartagena</w:t>
      </w:r>
      <w:r w:rsidRPr="00021D79">
        <w:rPr>
          <w:rFonts w:eastAsia="MS Mincho"/>
          <w:lang w:val="es-ES"/>
        </w:rPr>
        <w:t xml:space="preserve">. </w:t>
      </w:r>
      <w:r w:rsidRPr="00BD1CDE">
        <w:rPr>
          <w:rFonts w:eastAsia="MS Mincho"/>
          <w:lang w:val="es-ES"/>
        </w:rPr>
        <w:t xml:space="preserve">Para examinar este tema, el Grupo de Trabajo tuvo ante sí un proyecto de decisión basado en la recomendación SBI-2/14, que figura en la recopilación de proyectos de decisión </w:t>
      </w:r>
      <w:r w:rsidR="00E02386" w:rsidRPr="009F4FD6">
        <w:rPr>
          <w:lang w:val="es-ES"/>
        </w:rPr>
        <w:t>(CBD/NP/MOP/3/1/Add.2)</w:t>
      </w:r>
      <w:r w:rsidR="003905B1" w:rsidRPr="009F4FD6">
        <w:rPr>
          <w:lang w:val="es-ES"/>
        </w:rPr>
        <w:t>.</w:t>
      </w:r>
    </w:p>
    <w:p w:rsidR="003905B1" w:rsidRPr="009F4FD6" w:rsidRDefault="009F4FD6" w:rsidP="000C6220">
      <w:pPr>
        <w:pStyle w:val="Para1"/>
        <w:tabs>
          <w:tab w:val="clear" w:pos="360"/>
          <w:tab w:val="clear" w:pos="567"/>
          <w:tab w:val="clear" w:pos="2912"/>
        </w:tabs>
        <w:spacing w:line="240" w:lineRule="auto"/>
        <w:rPr>
          <w:lang w:val="es-ES"/>
        </w:rPr>
      </w:pPr>
      <w:r w:rsidRPr="00BD1CDE">
        <w:rPr>
          <w:rFonts w:eastAsia="MS Mincho"/>
          <w:lang w:val="es-ES"/>
        </w:rPr>
        <w:t>Formularon declaraciones los representantes de Argentina, Colombia, Gabón, India, Indonesia, Malawi, la Unión Europea y sus 28 Estados miembros y Venezuela (República Bolivariana de</w:t>
      </w:r>
      <w:r w:rsidR="003905B1" w:rsidRPr="009F4FD6">
        <w:rPr>
          <w:lang w:val="es-ES"/>
        </w:rPr>
        <w:t>).</w:t>
      </w:r>
    </w:p>
    <w:p w:rsidR="003905B1" w:rsidRPr="009F4FD6" w:rsidRDefault="009F4FD6" w:rsidP="000C6220">
      <w:pPr>
        <w:pStyle w:val="Para1"/>
        <w:tabs>
          <w:tab w:val="clear" w:pos="360"/>
          <w:tab w:val="clear" w:pos="567"/>
          <w:tab w:val="clear" w:pos="2912"/>
        </w:tabs>
        <w:spacing w:line="240" w:lineRule="auto"/>
        <w:rPr>
          <w:lang w:val="es-ES"/>
        </w:rPr>
      </w:pPr>
      <w:r w:rsidRPr="00BD1CDE">
        <w:rPr>
          <w:rFonts w:eastAsia="MS Mincho"/>
          <w:lang w:val="es-ES"/>
        </w:rPr>
        <w:t>También hizo uso de la palabra un representante de Marruecos</w:t>
      </w:r>
      <w:r w:rsidR="003905B1" w:rsidRPr="009F4FD6">
        <w:rPr>
          <w:lang w:val="es-ES"/>
        </w:rPr>
        <w:t>.</w:t>
      </w:r>
    </w:p>
    <w:p w:rsidR="003905B1" w:rsidRPr="009F4FD6" w:rsidRDefault="009F4FD6" w:rsidP="000C6220">
      <w:pPr>
        <w:pStyle w:val="Para1"/>
        <w:tabs>
          <w:tab w:val="clear" w:pos="360"/>
          <w:tab w:val="clear" w:pos="567"/>
          <w:tab w:val="clear" w:pos="2912"/>
        </w:tabs>
        <w:spacing w:line="240" w:lineRule="auto"/>
        <w:rPr>
          <w:lang w:val="es-ES"/>
        </w:rPr>
      </w:pPr>
      <w:r w:rsidRPr="00BD1CDE">
        <w:rPr>
          <w:rFonts w:eastAsia="MS Mincho"/>
          <w:lang w:val="es-ES"/>
        </w:rPr>
        <w:lastRenderedPageBreak/>
        <w:t>Asimismo, intervino un representante del Servicio Internacional para la Adquisición de Aplicaciones Agrobiotecnológicas (ISAAA</w:t>
      </w:r>
      <w:r>
        <w:rPr>
          <w:rFonts w:eastAsia="MS Mincho"/>
          <w:lang w:val="es-ES"/>
        </w:rPr>
        <w:t>)</w:t>
      </w:r>
      <w:r w:rsidR="003905B1" w:rsidRPr="009F4FD6">
        <w:rPr>
          <w:lang w:val="es-ES"/>
        </w:rPr>
        <w:t>.</w:t>
      </w:r>
    </w:p>
    <w:p w:rsidR="00475D73" w:rsidRPr="009F4FD6" w:rsidRDefault="009F4FD6" w:rsidP="000C6220">
      <w:pPr>
        <w:pStyle w:val="Para1"/>
        <w:tabs>
          <w:tab w:val="clear" w:pos="360"/>
          <w:tab w:val="clear" w:pos="567"/>
          <w:tab w:val="clear" w:pos="2912"/>
        </w:tabs>
        <w:spacing w:line="240" w:lineRule="auto"/>
        <w:rPr>
          <w:lang w:val="es-ES"/>
        </w:rPr>
      </w:pPr>
      <w:r w:rsidRPr="00BD1CDE">
        <w:rPr>
          <w:rFonts w:eastAsia="MS Mincho"/>
          <w:lang w:val="es-ES"/>
        </w:rPr>
        <w:t>El Presidente dijo que prepararía un proyecto de decisión revisado, teniendo en cuenta las opiniones expresadas oralmente y presentadas por escrito</w:t>
      </w:r>
      <w:r w:rsidR="003905B1" w:rsidRPr="009F4FD6">
        <w:rPr>
          <w:lang w:val="es-ES"/>
        </w:rPr>
        <w:t>.</w:t>
      </w:r>
    </w:p>
    <w:p w:rsidR="00844475" w:rsidRPr="009F4FD6" w:rsidRDefault="009F4FD6" w:rsidP="000C6220">
      <w:pPr>
        <w:pStyle w:val="Para1"/>
        <w:tabs>
          <w:tab w:val="clear" w:pos="360"/>
          <w:tab w:val="clear" w:pos="567"/>
          <w:tab w:val="clear" w:pos="2912"/>
        </w:tabs>
        <w:spacing w:line="240" w:lineRule="auto"/>
        <w:rPr>
          <w:lang w:val="es-ES"/>
        </w:rPr>
      </w:pPr>
      <w:r w:rsidRPr="00021D79">
        <w:rPr>
          <w:bCs/>
          <w:lang w:val="es-ES"/>
        </w:rPr>
        <w:t>En su 12ª reunión, el 28 de noviembre de 2018, el Grupo de Trabajo I examinó un proyecto de decisi</w:t>
      </w:r>
      <w:r>
        <w:rPr>
          <w:bCs/>
          <w:lang w:val="es-ES"/>
        </w:rPr>
        <w:t>ón revisado presentado por su Presidente, que lo aprobó para su transmisión a la sesión plenaria como proyecto de decisión</w:t>
      </w:r>
      <w:r w:rsidRPr="00021D79">
        <w:rPr>
          <w:lang w:val="es-ES"/>
        </w:rPr>
        <w:t xml:space="preserve"> </w:t>
      </w:r>
      <w:r w:rsidR="00A508F8" w:rsidRPr="009F4FD6">
        <w:rPr>
          <w:snapToGrid w:val="0"/>
          <w:kern w:val="22"/>
          <w:lang w:val="es-ES"/>
        </w:rPr>
        <w:t>CBD/COP/14/L</w:t>
      </w:r>
      <w:r w:rsidR="00844475" w:rsidRPr="009F4FD6">
        <w:rPr>
          <w:snapToGrid w:val="0"/>
          <w:kern w:val="22"/>
          <w:szCs w:val="22"/>
          <w:lang w:val="es-ES"/>
        </w:rPr>
        <w:t>.11.</w:t>
      </w:r>
    </w:p>
    <w:p w:rsidR="00475D73" w:rsidRPr="009F4FD6" w:rsidRDefault="009F4FD6" w:rsidP="000C6220">
      <w:pPr>
        <w:pStyle w:val="Para1"/>
        <w:tabs>
          <w:tab w:val="clear" w:pos="360"/>
          <w:tab w:val="clear" w:pos="567"/>
          <w:tab w:val="clear" w:pos="2912"/>
        </w:tabs>
        <w:spacing w:line="240" w:lineRule="auto"/>
        <w:rPr>
          <w:lang w:val="es-ES"/>
        </w:rPr>
      </w:pPr>
      <w:r w:rsidRPr="009F4FD6">
        <w:rPr>
          <w:lang w:val="es-ES"/>
        </w:rPr>
        <w:t xml:space="preserve">En su </w:t>
      </w:r>
      <w:r w:rsidR="001E16B7" w:rsidRPr="009F4FD6">
        <w:rPr>
          <w:lang w:val="es-ES"/>
        </w:rPr>
        <w:t>8</w:t>
      </w:r>
      <w:r w:rsidRPr="009F4FD6">
        <w:rPr>
          <w:lang w:val="es-ES"/>
        </w:rPr>
        <w:t xml:space="preserve">ª sesión plenaria, el </w:t>
      </w:r>
      <w:r w:rsidR="001E16B7" w:rsidRPr="009F4FD6">
        <w:rPr>
          <w:lang w:val="es-ES"/>
        </w:rPr>
        <w:t xml:space="preserve">29 </w:t>
      </w:r>
      <w:r w:rsidRPr="009F4FD6">
        <w:rPr>
          <w:lang w:val="es-ES"/>
        </w:rPr>
        <w:t xml:space="preserve">de noviembre de </w:t>
      </w:r>
      <w:r w:rsidR="001E16B7" w:rsidRPr="009F4FD6">
        <w:rPr>
          <w:lang w:val="es-ES"/>
        </w:rPr>
        <w:t xml:space="preserve">2018, </w:t>
      </w:r>
      <w:r w:rsidRPr="009F4FD6">
        <w:rPr>
          <w:lang w:val="es-ES"/>
        </w:rPr>
        <w:t>la Conferencia de las</w:t>
      </w:r>
      <w:r w:rsidR="001E16B7" w:rsidRPr="009F4FD6">
        <w:rPr>
          <w:lang w:val="es-ES"/>
        </w:rPr>
        <w:t xml:space="preserve"> Part</w:t>
      </w:r>
      <w:r w:rsidRPr="009F4FD6">
        <w:rPr>
          <w:lang w:val="es-ES"/>
        </w:rPr>
        <w:t>es que act</w:t>
      </w:r>
      <w:r>
        <w:rPr>
          <w:lang w:val="es-ES"/>
        </w:rPr>
        <w:t xml:space="preserve">úa como reunión de las </w:t>
      </w:r>
      <w:r w:rsidR="001E16B7" w:rsidRPr="009F4FD6">
        <w:rPr>
          <w:lang w:val="es-ES"/>
        </w:rPr>
        <w:t xml:space="preserve">Partes </w:t>
      </w:r>
      <w:r>
        <w:rPr>
          <w:lang w:val="es-ES"/>
        </w:rPr>
        <w:t xml:space="preserve">en el Protocolo de </w:t>
      </w:r>
      <w:r w:rsidR="00EF027F" w:rsidRPr="009F4FD6">
        <w:rPr>
          <w:lang w:val="es-ES"/>
        </w:rPr>
        <w:t xml:space="preserve">Nagoya </w:t>
      </w:r>
      <w:r>
        <w:rPr>
          <w:lang w:val="es-ES"/>
        </w:rPr>
        <w:t xml:space="preserve">adoptó el proyecto de decisión </w:t>
      </w:r>
      <w:r w:rsidR="001E16B7" w:rsidRPr="009F4FD6">
        <w:rPr>
          <w:lang w:val="es-ES"/>
        </w:rPr>
        <w:t xml:space="preserve">CBD/NP/MOP/3/L.11 </w:t>
      </w:r>
      <w:r>
        <w:rPr>
          <w:lang w:val="es-ES"/>
        </w:rPr>
        <w:t>como decisión</w:t>
      </w:r>
      <w:r w:rsidR="001E16B7" w:rsidRPr="009F4FD6">
        <w:rPr>
          <w:lang w:val="es-ES"/>
        </w:rPr>
        <w:t xml:space="preserve"> NP-3/9 (</w:t>
      </w:r>
      <w:r>
        <w:rPr>
          <w:lang w:val="es-ES"/>
        </w:rPr>
        <w:t>para el texto, véase el capítulo</w:t>
      </w:r>
      <w:r w:rsidR="00586748" w:rsidRPr="009F4FD6">
        <w:rPr>
          <w:lang w:val="es-ES"/>
        </w:rPr>
        <w:t> </w:t>
      </w:r>
      <w:r w:rsidR="001E16B7" w:rsidRPr="009F4FD6">
        <w:rPr>
          <w:lang w:val="es-ES"/>
        </w:rPr>
        <w:t>I).</w:t>
      </w:r>
    </w:p>
    <w:p w:rsidR="00475D73" w:rsidRPr="009F4FD6" w:rsidRDefault="009F4FD6" w:rsidP="000C6220">
      <w:pPr>
        <w:pStyle w:val="Heading1-item"/>
        <w:spacing w:before="120" w:line="240" w:lineRule="auto"/>
        <w:ind w:left="1701" w:right="0" w:hanging="1134"/>
        <w:jc w:val="left"/>
        <w:rPr>
          <w:rFonts w:hint="eastAsia"/>
          <w:lang w:val="es-ES"/>
        </w:rPr>
      </w:pPr>
      <w:bookmarkStart w:id="42" w:name="_Toc256231"/>
      <w:r w:rsidRPr="00007AFE">
        <w:rPr>
          <w:rFonts w:ascii="Times New Roman" w:hAnsi="Times New Roman" w:cs="Times New Roman"/>
          <w:lang w:val="es-ES"/>
        </w:rPr>
        <w:t>TEMA</w:t>
      </w:r>
      <w:r w:rsidR="00475D73" w:rsidRPr="00007AFE">
        <w:rPr>
          <w:rFonts w:ascii="Times New Roman" w:hAnsi="Times New Roman" w:cs="Times New Roman"/>
          <w:lang w:val="es-ES"/>
        </w:rPr>
        <w:t xml:space="preserve"> 14.</w:t>
      </w:r>
      <w:r w:rsidR="00475D73" w:rsidRPr="00007AFE">
        <w:rPr>
          <w:rFonts w:ascii="Times New Roman" w:hAnsi="Times New Roman" w:cs="Times New Roman"/>
          <w:lang w:val="es-ES"/>
        </w:rPr>
        <w:tab/>
      </w:r>
      <w:r w:rsidR="00475D73" w:rsidRPr="009F4FD6">
        <w:rPr>
          <w:rFonts w:ascii="Times New Roman" w:hAnsi="Times New Roman" w:cs="Times New Roman"/>
          <w:lang w:val="es-ES"/>
        </w:rPr>
        <w:t>Coopera</w:t>
      </w:r>
      <w:r w:rsidRPr="009F4FD6">
        <w:rPr>
          <w:rFonts w:ascii="Times New Roman" w:hAnsi="Times New Roman" w:cs="Times New Roman"/>
          <w:lang w:val="es-ES"/>
        </w:rPr>
        <w:t xml:space="preserve">CIÓN CON OTROS CONVENIOS, ORGANIZACIONES E INICIATIVAS INTERNACIONALES </w:t>
      </w:r>
      <w:bookmarkEnd w:id="42"/>
    </w:p>
    <w:p w:rsidR="003905B1" w:rsidRPr="009F4FD6" w:rsidRDefault="009F4FD6" w:rsidP="000C6220">
      <w:pPr>
        <w:pStyle w:val="Para1"/>
        <w:tabs>
          <w:tab w:val="clear" w:pos="360"/>
          <w:tab w:val="clear" w:pos="567"/>
          <w:tab w:val="clear" w:pos="2912"/>
        </w:tabs>
        <w:spacing w:line="240" w:lineRule="auto"/>
        <w:rPr>
          <w:lang w:val="es-ES"/>
        </w:rPr>
      </w:pPr>
      <w:r w:rsidRPr="00BD1CDE">
        <w:rPr>
          <w:rFonts w:eastAsia="MS Mincho"/>
          <w:lang w:val="es-ES"/>
        </w:rPr>
        <w:t>El Grupo de Trabajo I comenzó a tratar el tema 14 del programa en su sexta reunión, el 21 de noviembre de 2018. Para examinar este tema, el Grupo de Trabajo tuvo ante sí una nota resumiendo las actividades de cooperación pertinentes (CBD/NP/MOP/3/9)</w:t>
      </w:r>
      <w:r>
        <w:rPr>
          <w:rFonts w:eastAsia="MS Mincho"/>
          <w:lang w:val="es-ES"/>
        </w:rPr>
        <w:t>, así como los siguientes documentos informativos: a)</w:t>
      </w:r>
      <w:r w:rsidRPr="00BD1CDE">
        <w:rPr>
          <w:rFonts w:eastAsia="MS Mincho"/>
          <w:lang w:val="es-ES"/>
        </w:rPr>
        <w:t xml:space="preserve"> un </w:t>
      </w:r>
      <w:r>
        <w:rPr>
          <w:rFonts w:eastAsia="MS Mincho"/>
          <w:lang w:val="es-ES"/>
        </w:rPr>
        <w:t xml:space="preserve">informe sobre un </w:t>
      </w:r>
      <w:r w:rsidRPr="00BD1CDE">
        <w:rPr>
          <w:rFonts w:eastAsia="MS Mincho"/>
          <w:lang w:val="es-ES"/>
        </w:rPr>
        <w:t>estudio llevado a cabo por la secretaría de la Organización Mundial de la Salud (CBD/NP/MOP/3/INF/3)</w:t>
      </w:r>
      <w:r>
        <w:rPr>
          <w:rFonts w:eastAsia="MS Mincho"/>
          <w:lang w:val="es-ES"/>
        </w:rPr>
        <w:t>; b)</w:t>
      </w:r>
      <w:r w:rsidRPr="00BD1CDE">
        <w:rPr>
          <w:rFonts w:eastAsia="MS Mincho"/>
          <w:lang w:val="es-ES"/>
        </w:rPr>
        <w:t xml:space="preserve"> el documento proporcionado por la Secretaria Ejecutiva a la secretaría de la Organización Mundial de la Salud sobre información proporcionada por las Partes </w:t>
      </w:r>
      <w:r>
        <w:rPr>
          <w:rFonts w:eastAsia="MS Mincho"/>
          <w:lang w:val="es-ES"/>
        </w:rPr>
        <w:t>en el Protocolo de Nagoya sobre la aplicación nacional del artículo 8 b) y otras disposiciones pertinentes del P</w:t>
      </w:r>
      <w:r w:rsidRPr="00BD1CDE">
        <w:rPr>
          <w:rFonts w:eastAsia="MS Mincho"/>
          <w:lang w:val="es-ES"/>
        </w:rPr>
        <w:t>rotocolo de Nagoya</w:t>
      </w:r>
      <w:r>
        <w:rPr>
          <w:rFonts w:eastAsia="MS Mincho"/>
          <w:lang w:val="es-ES"/>
        </w:rPr>
        <w:t xml:space="preserve"> </w:t>
      </w:r>
      <w:r w:rsidRPr="00BD1CDE">
        <w:rPr>
          <w:rFonts w:eastAsia="MS Mincho"/>
          <w:lang w:val="es-ES"/>
        </w:rPr>
        <w:t xml:space="preserve">(CBD/NP/MOP/3/INF/4); </w:t>
      </w:r>
      <w:r>
        <w:rPr>
          <w:rFonts w:eastAsia="MS Mincho"/>
          <w:lang w:val="es-ES"/>
        </w:rPr>
        <w:t xml:space="preserve">c) </w:t>
      </w:r>
      <w:r w:rsidR="008632AF">
        <w:rPr>
          <w:rFonts w:eastAsia="MS Mincho"/>
          <w:lang w:val="es-ES"/>
        </w:rPr>
        <w:t>“A</w:t>
      </w:r>
      <w:r w:rsidRPr="00BD1CDE">
        <w:rPr>
          <w:rFonts w:eastAsia="MS Mincho"/>
          <w:lang w:val="es-ES"/>
        </w:rPr>
        <w:t xml:space="preserve">plicación del Protocolo de Nagoya en el contexto de la salud humana y animal y la seguridad alimentaria: Acceso a patógenos y participación justa y equitativa en los beneficios - Preguntas y respuestas” (CBD/NP/MOP/3/INF/5); </w:t>
      </w:r>
      <w:r w:rsidR="008632AF">
        <w:rPr>
          <w:rFonts w:eastAsia="MS Mincho"/>
          <w:lang w:val="es-ES"/>
        </w:rPr>
        <w:t xml:space="preserve">actualización de </w:t>
      </w:r>
      <w:r w:rsidRPr="00BD1CDE">
        <w:rPr>
          <w:rFonts w:eastAsia="MS Mincho"/>
          <w:lang w:val="es-ES"/>
        </w:rPr>
        <w:t xml:space="preserve">acontecimientos recientes en el marco del Tratado Internacional sobre los Recursos Fitogenéticos para la Alimentación y la Agricultura pertinentes para el Convenio sobre la Diversidad Biológica y el Protocolo de Nagoya </w:t>
      </w:r>
      <w:r w:rsidR="003905B1" w:rsidRPr="009F4FD6">
        <w:rPr>
          <w:lang w:val="es-ES"/>
        </w:rPr>
        <w:t>(CBD/NP/MOP/3/INF/30).</w:t>
      </w:r>
    </w:p>
    <w:p w:rsidR="003905B1" w:rsidRPr="006532F0" w:rsidRDefault="006532F0" w:rsidP="000C6220">
      <w:pPr>
        <w:pStyle w:val="Para1"/>
        <w:tabs>
          <w:tab w:val="clear" w:pos="360"/>
          <w:tab w:val="clear" w:pos="567"/>
          <w:tab w:val="clear" w:pos="2912"/>
        </w:tabs>
        <w:spacing w:line="240" w:lineRule="auto"/>
        <w:rPr>
          <w:lang w:val="es-ES"/>
        </w:rPr>
      </w:pPr>
      <w:r w:rsidRPr="00BD1CDE">
        <w:rPr>
          <w:rFonts w:eastAsia="MS Mincho"/>
          <w:lang w:val="es-ES"/>
        </w:rPr>
        <w:t>Formularon declaraciones los representantes de Kenya, México y la Unión Europea y sus 28 Estados miembros</w:t>
      </w:r>
      <w:r w:rsidR="003905B1" w:rsidRPr="006532F0">
        <w:rPr>
          <w:lang w:val="es-ES"/>
        </w:rPr>
        <w:t>.</w:t>
      </w:r>
    </w:p>
    <w:p w:rsidR="003905B1" w:rsidRPr="006532F0" w:rsidRDefault="006532F0" w:rsidP="000C6220">
      <w:pPr>
        <w:pStyle w:val="Para1"/>
        <w:tabs>
          <w:tab w:val="clear" w:pos="360"/>
          <w:tab w:val="clear" w:pos="567"/>
          <w:tab w:val="clear" w:pos="2912"/>
        </w:tabs>
        <w:spacing w:line="240" w:lineRule="auto"/>
        <w:rPr>
          <w:lang w:val="es-ES"/>
        </w:rPr>
      </w:pPr>
      <w:r w:rsidRPr="00BD1CDE">
        <w:rPr>
          <w:rFonts w:eastAsia="MS Mincho"/>
          <w:lang w:val="es-ES"/>
        </w:rPr>
        <w:t>También formularon declaraciones los representantes de la Organización Mundial de la Salud y la Organización Mundial de la Propiedad Intelectual</w:t>
      </w:r>
      <w:r w:rsidR="003905B1" w:rsidRPr="006532F0">
        <w:rPr>
          <w:lang w:val="es-ES"/>
        </w:rPr>
        <w:t>.</w:t>
      </w:r>
    </w:p>
    <w:p w:rsidR="003905B1" w:rsidRPr="006532F0" w:rsidRDefault="006532F0" w:rsidP="000C6220">
      <w:pPr>
        <w:pStyle w:val="Para1"/>
        <w:tabs>
          <w:tab w:val="clear" w:pos="360"/>
          <w:tab w:val="clear" w:pos="567"/>
          <w:tab w:val="clear" w:pos="2912"/>
        </w:tabs>
        <w:spacing w:line="240" w:lineRule="auto"/>
        <w:rPr>
          <w:lang w:val="es-ES"/>
        </w:rPr>
      </w:pPr>
      <w:r w:rsidRPr="00BD1CDE">
        <w:rPr>
          <w:rFonts w:eastAsia="MS Mincho"/>
          <w:lang w:val="es-ES"/>
        </w:rPr>
        <w:t>El Presidente dijo que prepararía un proyecto de decisión, teniendo en cuenta las opiniones expresadas oralmente y presentadas por escrito</w:t>
      </w:r>
      <w:r w:rsidR="003905B1" w:rsidRPr="006532F0">
        <w:rPr>
          <w:lang w:val="es-ES"/>
        </w:rPr>
        <w:t>.</w:t>
      </w:r>
    </w:p>
    <w:p w:rsidR="003905B1" w:rsidRPr="006532F0" w:rsidRDefault="006532F0" w:rsidP="000C6220">
      <w:pPr>
        <w:pStyle w:val="Para1"/>
        <w:tabs>
          <w:tab w:val="clear" w:pos="360"/>
          <w:tab w:val="clear" w:pos="567"/>
          <w:tab w:val="clear" w:pos="2912"/>
        </w:tabs>
        <w:spacing w:line="240" w:lineRule="auto"/>
        <w:rPr>
          <w:lang w:val="es-ES"/>
        </w:rPr>
      </w:pPr>
      <w:r w:rsidRPr="00BD1CDE">
        <w:rPr>
          <w:rFonts w:eastAsia="MS Mincho"/>
          <w:lang w:val="es-ES"/>
        </w:rPr>
        <w:t>En su 11</w:t>
      </w:r>
      <w:r w:rsidRPr="00BD1CDE">
        <w:rPr>
          <w:rFonts w:eastAsia="MS Mincho"/>
          <w:vertAlign w:val="superscript"/>
          <w:lang w:val="es-ES"/>
        </w:rPr>
        <w:t>a</w:t>
      </w:r>
      <w:r w:rsidRPr="00BD1CDE">
        <w:rPr>
          <w:rFonts w:eastAsia="MS Mincho"/>
          <w:lang w:val="es-ES"/>
        </w:rPr>
        <w:t xml:space="preserve"> reunión, el 26 de noviembre de 2018, el Grupo de Trabajo consideró un proyecto de decisión presentado por su Presidente</w:t>
      </w:r>
      <w:r w:rsidR="003905B1" w:rsidRPr="006532F0">
        <w:rPr>
          <w:lang w:val="es-ES"/>
        </w:rPr>
        <w:t>.</w:t>
      </w:r>
    </w:p>
    <w:p w:rsidR="00475D73" w:rsidRPr="006532F0" w:rsidRDefault="006532F0" w:rsidP="000C6220">
      <w:pPr>
        <w:pStyle w:val="Para1"/>
        <w:tabs>
          <w:tab w:val="clear" w:pos="360"/>
          <w:tab w:val="clear" w:pos="567"/>
          <w:tab w:val="clear" w:pos="2912"/>
        </w:tabs>
        <w:spacing w:line="240" w:lineRule="auto"/>
        <w:rPr>
          <w:lang w:val="es-ES"/>
        </w:rPr>
      </w:pPr>
      <w:r w:rsidRPr="00BD1CDE">
        <w:rPr>
          <w:rFonts w:eastAsia="MS Mincho"/>
          <w:lang w:val="es-ES"/>
        </w:rPr>
        <w:t>Formularon declaraciones los representantes de México, Noruega, Suiza, Uganda, la Unión Europea y sus 28 Estados miembros, Venezuela (República Bolivariana de) y Vietnam</w:t>
      </w:r>
      <w:r w:rsidR="003905B1" w:rsidRPr="006532F0">
        <w:rPr>
          <w:lang w:val="es-ES"/>
        </w:rPr>
        <w:t>.</w:t>
      </w:r>
    </w:p>
    <w:p w:rsidR="00616E9D" w:rsidRPr="006532F0" w:rsidRDefault="006532F0" w:rsidP="000C6220">
      <w:pPr>
        <w:pStyle w:val="Para1"/>
        <w:tabs>
          <w:tab w:val="clear" w:pos="360"/>
          <w:tab w:val="clear" w:pos="567"/>
          <w:tab w:val="clear" w:pos="2912"/>
        </w:tabs>
        <w:spacing w:line="240" w:lineRule="auto"/>
        <w:rPr>
          <w:lang w:val="es-ES"/>
        </w:rPr>
      </w:pPr>
      <w:r w:rsidRPr="00021D79">
        <w:rPr>
          <w:lang w:val="es-ES"/>
        </w:rPr>
        <w:t>En su 13ª reunión, el 28 de noviembre de 2018, el Grupo de Trabajo examin</w:t>
      </w:r>
      <w:r>
        <w:rPr>
          <w:lang w:val="es-ES"/>
        </w:rPr>
        <w:t>ó un proyecto de decisión revisado presentado por la Presidencia</w:t>
      </w:r>
      <w:r w:rsidR="00616E9D" w:rsidRPr="006532F0">
        <w:rPr>
          <w:lang w:val="es-ES"/>
        </w:rPr>
        <w:t>.</w:t>
      </w:r>
    </w:p>
    <w:p w:rsidR="00F65F9A" w:rsidRPr="006532F0" w:rsidRDefault="006532F0" w:rsidP="000C6220">
      <w:pPr>
        <w:pStyle w:val="Para1"/>
        <w:tabs>
          <w:tab w:val="clear" w:pos="360"/>
          <w:tab w:val="clear" w:pos="567"/>
          <w:tab w:val="clear" w:pos="2912"/>
        </w:tabs>
        <w:spacing w:line="240" w:lineRule="auto"/>
        <w:rPr>
          <w:lang w:val="es-ES"/>
        </w:rPr>
      </w:pPr>
      <w:r w:rsidRPr="00021D79">
        <w:rPr>
          <w:lang w:val="es-ES"/>
        </w:rPr>
        <w:t>Formularon declaraciones los representantes de Argentina, M</w:t>
      </w:r>
      <w:r>
        <w:rPr>
          <w:lang w:val="es-ES"/>
        </w:rPr>
        <w:t>é</w:t>
      </w:r>
      <w:r w:rsidRPr="00021D79">
        <w:rPr>
          <w:lang w:val="es-ES"/>
        </w:rPr>
        <w:t>xico, Nor</w:t>
      </w:r>
      <w:r>
        <w:rPr>
          <w:lang w:val="es-ES"/>
        </w:rPr>
        <w:t>uega,</w:t>
      </w:r>
      <w:r w:rsidRPr="00021D79">
        <w:rPr>
          <w:lang w:val="es-ES"/>
        </w:rPr>
        <w:t xml:space="preserve"> S</w:t>
      </w:r>
      <w:r>
        <w:rPr>
          <w:lang w:val="es-ES"/>
        </w:rPr>
        <w:t xml:space="preserve">udáfrica, Suiza y </w:t>
      </w:r>
      <w:r w:rsidRPr="00021D79">
        <w:rPr>
          <w:lang w:val="es-ES"/>
        </w:rPr>
        <w:t>Ugand</w:t>
      </w:r>
      <w:r>
        <w:rPr>
          <w:lang w:val="es-ES"/>
        </w:rPr>
        <w:t>a</w:t>
      </w:r>
      <w:r w:rsidR="00F65F9A" w:rsidRPr="006532F0">
        <w:rPr>
          <w:lang w:val="es-ES"/>
        </w:rPr>
        <w:t>.</w:t>
      </w:r>
    </w:p>
    <w:p w:rsidR="00616E9D" w:rsidRPr="006532F0" w:rsidRDefault="006532F0" w:rsidP="000C6220">
      <w:pPr>
        <w:pStyle w:val="Para1"/>
        <w:tabs>
          <w:tab w:val="clear" w:pos="360"/>
          <w:tab w:val="clear" w:pos="567"/>
          <w:tab w:val="clear" w:pos="2912"/>
        </w:tabs>
        <w:spacing w:line="240" w:lineRule="auto"/>
        <w:rPr>
          <w:lang w:val="es-ES"/>
        </w:rPr>
      </w:pPr>
      <w:r w:rsidRPr="00021D79">
        <w:rPr>
          <w:lang w:val="es-ES"/>
        </w:rPr>
        <w:t xml:space="preserve">El Grupo de Trabajo aprobó el proyecto de decisión revisado, </w:t>
      </w:r>
      <w:r>
        <w:rPr>
          <w:lang w:val="es-ES"/>
        </w:rPr>
        <w:t>en su forma enmendada oralmente</w:t>
      </w:r>
      <w:r w:rsidRPr="00021D79">
        <w:rPr>
          <w:lang w:val="es-ES"/>
        </w:rPr>
        <w:t xml:space="preserve">, </w:t>
      </w:r>
      <w:r>
        <w:rPr>
          <w:lang w:val="es-ES"/>
        </w:rPr>
        <w:t xml:space="preserve">para su transmisión a la sesión plenaria como proyecto de decisión </w:t>
      </w:r>
      <w:r w:rsidR="00616E9D" w:rsidRPr="006532F0">
        <w:rPr>
          <w:lang w:val="es-ES"/>
        </w:rPr>
        <w:t>CBD/NP/MOP/3/L.14.</w:t>
      </w:r>
    </w:p>
    <w:p w:rsidR="002E60B6" w:rsidRPr="006532F0" w:rsidRDefault="006532F0" w:rsidP="000C6220">
      <w:pPr>
        <w:pStyle w:val="Para1"/>
        <w:tabs>
          <w:tab w:val="clear" w:pos="360"/>
          <w:tab w:val="clear" w:pos="567"/>
          <w:tab w:val="clear" w:pos="2912"/>
        </w:tabs>
        <w:spacing w:line="240" w:lineRule="auto"/>
        <w:rPr>
          <w:lang w:val="es-ES"/>
        </w:rPr>
      </w:pPr>
      <w:r w:rsidRPr="006532F0">
        <w:rPr>
          <w:lang w:val="es-ES"/>
        </w:rPr>
        <w:t>La</w:t>
      </w:r>
      <w:r w:rsidR="002E60B6" w:rsidRPr="006532F0">
        <w:rPr>
          <w:lang w:val="es-ES"/>
        </w:rPr>
        <w:t xml:space="preserve"> Conferenc</w:t>
      </w:r>
      <w:r w:rsidRPr="006532F0">
        <w:rPr>
          <w:lang w:val="es-ES"/>
        </w:rPr>
        <w:t>ia de las</w:t>
      </w:r>
      <w:r w:rsidR="002E60B6" w:rsidRPr="006532F0">
        <w:rPr>
          <w:lang w:val="es-ES"/>
        </w:rPr>
        <w:t xml:space="preserve"> Partes </w:t>
      </w:r>
      <w:r w:rsidRPr="006532F0">
        <w:rPr>
          <w:lang w:val="es-ES"/>
        </w:rPr>
        <w:t xml:space="preserve">que actúa como reunión de las </w:t>
      </w:r>
      <w:r w:rsidR="002E60B6" w:rsidRPr="006532F0">
        <w:rPr>
          <w:lang w:val="es-ES"/>
        </w:rPr>
        <w:t xml:space="preserve">Partes </w:t>
      </w:r>
      <w:r w:rsidRPr="006532F0">
        <w:rPr>
          <w:lang w:val="es-ES"/>
        </w:rPr>
        <w:t xml:space="preserve">en el Protocolo de </w:t>
      </w:r>
      <w:r w:rsidR="0047190A" w:rsidRPr="006532F0">
        <w:rPr>
          <w:lang w:val="es-ES"/>
        </w:rPr>
        <w:t>Nagoya</w:t>
      </w:r>
      <w:r>
        <w:rPr>
          <w:lang w:val="es-ES"/>
        </w:rPr>
        <w:t xml:space="preserve"> trató el proyecto de decisión en la 8ª sesión plenaria, el </w:t>
      </w:r>
      <w:r w:rsidR="002E60B6" w:rsidRPr="006532F0">
        <w:rPr>
          <w:lang w:val="es-ES"/>
        </w:rPr>
        <w:t xml:space="preserve">29 </w:t>
      </w:r>
      <w:r>
        <w:rPr>
          <w:lang w:val="es-ES"/>
        </w:rPr>
        <w:t xml:space="preserve">de noviembre de </w:t>
      </w:r>
      <w:r w:rsidR="002E60B6" w:rsidRPr="006532F0">
        <w:rPr>
          <w:lang w:val="es-ES"/>
        </w:rPr>
        <w:t>2018.</w:t>
      </w:r>
    </w:p>
    <w:p w:rsidR="002E60B6" w:rsidRPr="006532F0" w:rsidRDefault="006532F0" w:rsidP="000C6220">
      <w:pPr>
        <w:pStyle w:val="Para1"/>
        <w:tabs>
          <w:tab w:val="clear" w:pos="360"/>
          <w:tab w:val="clear" w:pos="567"/>
          <w:tab w:val="clear" w:pos="2912"/>
        </w:tabs>
        <w:spacing w:line="240" w:lineRule="auto"/>
        <w:rPr>
          <w:lang w:val="es-ES"/>
        </w:rPr>
      </w:pPr>
      <w:r w:rsidRPr="006532F0">
        <w:rPr>
          <w:lang w:val="es-ES"/>
        </w:rPr>
        <w:t>Formularon declaraciones los representantes de Japón, M</w:t>
      </w:r>
      <w:r>
        <w:rPr>
          <w:lang w:val="es-ES"/>
        </w:rPr>
        <w:t>éxico, Uganda y la Unión Europea y sus 28 Estados miembros</w:t>
      </w:r>
      <w:r w:rsidR="002E60B6" w:rsidRPr="006532F0">
        <w:rPr>
          <w:lang w:val="es-ES"/>
        </w:rPr>
        <w:t>.</w:t>
      </w:r>
    </w:p>
    <w:p w:rsidR="00475D73" w:rsidRPr="006532F0" w:rsidRDefault="006532F0" w:rsidP="000C6220">
      <w:pPr>
        <w:pStyle w:val="Para1"/>
        <w:tabs>
          <w:tab w:val="clear" w:pos="360"/>
          <w:tab w:val="clear" w:pos="567"/>
          <w:tab w:val="clear" w:pos="2912"/>
        </w:tabs>
        <w:spacing w:line="240" w:lineRule="auto"/>
        <w:rPr>
          <w:lang w:val="es-ES"/>
        </w:rPr>
      </w:pPr>
      <w:r w:rsidRPr="006532F0">
        <w:rPr>
          <w:lang w:val="es-ES"/>
        </w:rPr>
        <w:lastRenderedPageBreak/>
        <w:t xml:space="preserve">La Conferencia de las Partes que actúa como reunión de las Partes en el Protocolo de </w:t>
      </w:r>
      <w:r w:rsidR="003806A4" w:rsidRPr="006532F0">
        <w:rPr>
          <w:lang w:val="es-ES"/>
        </w:rPr>
        <w:t xml:space="preserve">Nagoya </w:t>
      </w:r>
      <w:r w:rsidRPr="006532F0">
        <w:rPr>
          <w:lang w:val="es-ES"/>
        </w:rPr>
        <w:t>adopt</w:t>
      </w:r>
      <w:r>
        <w:rPr>
          <w:lang w:val="es-ES"/>
        </w:rPr>
        <w:t xml:space="preserve">ó, </w:t>
      </w:r>
      <w:r>
        <w:rPr>
          <w:bCs/>
          <w:szCs w:val="22"/>
          <w:lang w:val="es-ES"/>
        </w:rPr>
        <w:t>en su forma enmendada oralmente</w:t>
      </w:r>
      <w:r w:rsidR="002E60B6" w:rsidRPr="006532F0">
        <w:rPr>
          <w:lang w:val="es-ES"/>
        </w:rPr>
        <w:t xml:space="preserve">, </w:t>
      </w:r>
      <w:r>
        <w:rPr>
          <w:lang w:val="es-ES"/>
        </w:rPr>
        <w:t xml:space="preserve">el proyecto de decisión </w:t>
      </w:r>
      <w:r w:rsidR="002E60B6" w:rsidRPr="006532F0">
        <w:rPr>
          <w:lang w:val="es-ES"/>
        </w:rPr>
        <w:t xml:space="preserve">CBD/NP/MOP/3/L.14 </w:t>
      </w:r>
      <w:r>
        <w:rPr>
          <w:lang w:val="es-ES"/>
        </w:rPr>
        <w:t>como decisión</w:t>
      </w:r>
      <w:r w:rsidR="002E60B6" w:rsidRPr="006532F0">
        <w:rPr>
          <w:lang w:val="es-ES"/>
        </w:rPr>
        <w:t xml:space="preserve"> NP-3/7 (</w:t>
      </w:r>
      <w:r>
        <w:rPr>
          <w:lang w:val="es-ES"/>
        </w:rPr>
        <w:t xml:space="preserve">para el texto, véase el capítulo </w:t>
      </w:r>
      <w:r w:rsidR="002E60B6" w:rsidRPr="006532F0">
        <w:rPr>
          <w:lang w:val="es-ES"/>
        </w:rPr>
        <w:t>I).</w:t>
      </w:r>
    </w:p>
    <w:p w:rsidR="00475D73" w:rsidRPr="006532F0" w:rsidRDefault="006532F0" w:rsidP="000C6220">
      <w:pPr>
        <w:pStyle w:val="Heading1-item"/>
        <w:tabs>
          <w:tab w:val="left" w:pos="1134"/>
        </w:tabs>
        <w:spacing w:before="120" w:line="240" w:lineRule="auto"/>
        <w:ind w:right="0"/>
        <w:rPr>
          <w:rFonts w:hint="eastAsia"/>
          <w:lang w:val="es-ES"/>
        </w:rPr>
      </w:pPr>
      <w:bookmarkStart w:id="43" w:name="_Toc256232"/>
      <w:r>
        <w:rPr>
          <w:rFonts w:ascii="Times New Roman" w:hAnsi="Times New Roman" w:cs="Times New Roman"/>
          <w:lang w:val="es-ES"/>
        </w:rPr>
        <w:t>TEMA</w:t>
      </w:r>
      <w:r w:rsidR="00475D73" w:rsidRPr="006532F0">
        <w:rPr>
          <w:rFonts w:ascii="Times New Roman" w:hAnsi="Times New Roman" w:cs="Times New Roman"/>
          <w:lang w:val="es-ES"/>
        </w:rPr>
        <w:t xml:space="preserve"> 15.</w:t>
      </w:r>
      <w:r w:rsidR="00475D73" w:rsidRPr="006532F0">
        <w:rPr>
          <w:rFonts w:ascii="Times New Roman" w:hAnsi="Times New Roman" w:cs="Times New Roman"/>
          <w:lang w:val="es-ES"/>
        </w:rPr>
        <w:tab/>
      </w:r>
      <w:bookmarkEnd w:id="43"/>
      <w:r w:rsidRPr="006532F0">
        <w:rPr>
          <w:rFonts w:ascii="Times New Roman" w:hAnsi="Times New Roman" w:cs="Times New Roman"/>
          <w:lang w:val="es-ES"/>
        </w:rPr>
        <w:t>REVISIÓN DE LA EFICACIA DE LAS ESTRUCTURAS Y LOS PROCESOS</w:t>
      </w:r>
    </w:p>
    <w:p w:rsidR="00612D3A" w:rsidRPr="006532F0" w:rsidRDefault="006532F0" w:rsidP="000C6220">
      <w:pPr>
        <w:pStyle w:val="Ttulo3"/>
        <w:spacing w:line="240" w:lineRule="auto"/>
        <w:rPr>
          <w:color w:val="000000" w:themeColor="text1"/>
          <w:lang w:val="es-ES"/>
        </w:rPr>
      </w:pPr>
      <w:r w:rsidRPr="00F02F97">
        <w:rPr>
          <w:rFonts w:eastAsia="MS Mincho"/>
          <w:color w:val="000000"/>
          <w:lang w:val="es-ES"/>
        </w:rPr>
        <w:t xml:space="preserve">Revisión de la experiencia relativa a la celebración de reuniones concurrentes del Convenio y </w:t>
      </w:r>
      <w:r>
        <w:rPr>
          <w:rFonts w:eastAsia="MS Mincho"/>
          <w:color w:val="000000"/>
          <w:lang w:val="es-ES"/>
        </w:rPr>
        <w:t>sus</w:t>
      </w:r>
      <w:r w:rsidRPr="00F02F97">
        <w:rPr>
          <w:rFonts w:eastAsia="MS Mincho"/>
          <w:color w:val="000000"/>
          <w:lang w:val="es-ES"/>
        </w:rPr>
        <w:t xml:space="preserve"> Protocolos</w:t>
      </w:r>
      <w:r w:rsidRPr="006532F0">
        <w:rPr>
          <w:color w:val="000000" w:themeColor="text1"/>
          <w:lang w:val="es-ES"/>
        </w:rPr>
        <w:t xml:space="preserve"> </w:t>
      </w:r>
    </w:p>
    <w:p w:rsidR="003905B1" w:rsidRPr="006532F0" w:rsidRDefault="006532F0" w:rsidP="000C6220">
      <w:pPr>
        <w:pStyle w:val="Para1"/>
        <w:tabs>
          <w:tab w:val="clear" w:pos="360"/>
          <w:tab w:val="clear" w:pos="567"/>
          <w:tab w:val="clear" w:pos="2912"/>
        </w:tabs>
        <w:spacing w:line="240" w:lineRule="auto"/>
        <w:rPr>
          <w:rFonts w:eastAsia="MS Mincho"/>
          <w:lang w:val="es-ES"/>
        </w:rPr>
      </w:pPr>
      <w:r w:rsidRPr="00BD1CDE">
        <w:rPr>
          <w:rFonts w:eastAsia="MS Mincho"/>
          <w:lang w:val="es-ES"/>
        </w:rPr>
        <w:t>El Grupo de Trabajo I comenzó a tratar el primer aspecto del tema 13 del programa en su sexta reunión, el 21 de noviembre de 2018. Para examinar este tema, el Grupo de Trabajo tuvo ante sí un proyecto de decisión basado en la Parte A de la recomendación SBI-2/15, que figura en la recopilación de proyectos de decisión (CBD/CP/MOP/9/1/Add.2).</w:t>
      </w:r>
    </w:p>
    <w:p w:rsidR="003905B1" w:rsidRPr="00C4109A" w:rsidRDefault="00C4109A" w:rsidP="000C6220">
      <w:pPr>
        <w:pStyle w:val="Para1"/>
        <w:tabs>
          <w:tab w:val="clear" w:pos="360"/>
          <w:tab w:val="clear" w:pos="567"/>
          <w:tab w:val="clear" w:pos="2912"/>
        </w:tabs>
        <w:spacing w:line="240" w:lineRule="auto"/>
        <w:rPr>
          <w:lang w:val="es-ES"/>
        </w:rPr>
      </w:pPr>
      <w:r w:rsidRPr="00BD1CDE">
        <w:rPr>
          <w:rFonts w:eastAsia="MS Mincho"/>
          <w:lang w:val="es-ES"/>
        </w:rPr>
        <w:t>Formularon declaraciones los representantes de Argentina, Honduras, India, Jordania, México, Panamá, Suiza, Uganda (</w:t>
      </w:r>
      <w:r w:rsidR="004D1F52">
        <w:rPr>
          <w:lang w:val="es-ES"/>
        </w:rPr>
        <w:t>en nombre del Grupo de Estados de África</w:t>
      </w:r>
      <w:r w:rsidRPr="00BD1CDE">
        <w:rPr>
          <w:rFonts w:eastAsia="MS Mincho"/>
          <w:lang w:val="es-ES"/>
        </w:rPr>
        <w:t>) y la Unión Europea y sus 28 Estados miembros</w:t>
      </w:r>
      <w:r w:rsidR="003905B1" w:rsidRPr="00C4109A">
        <w:rPr>
          <w:lang w:val="es-ES"/>
        </w:rPr>
        <w:t>.</w:t>
      </w:r>
    </w:p>
    <w:p w:rsidR="003905B1" w:rsidRPr="00C4109A" w:rsidRDefault="00C4109A" w:rsidP="000C6220">
      <w:pPr>
        <w:pStyle w:val="Para1"/>
        <w:tabs>
          <w:tab w:val="clear" w:pos="360"/>
          <w:tab w:val="clear" w:pos="567"/>
          <w:tab w:val="clear" w:pos="2912"/>
        </w:tabs>
        <w:spacing w:line="240" w:lineRule="auto"/>
        <w:rPr>
          <w:lang w:val="es-ES"/>
        </w:rPr>
      </w:pPr>
      <w:r w:rsidRPr="00C4109A">
        <w:rPr>
          <w:lang w:val="es-ES"/>
        </w:rPr>
        <w:t xml:space="preserve">También </w:t>
      </w:r>
      <w:r w:rsidRPr="00BD1CDE">
        <w:rPr>
          <w:rFonts w:eastAsia="MS Mincho"/>
          <w:lang w:val="es-ES"/>
        </w:rPr>
        <w:t>formularon declaraciones los representantes de Canadá, Marruecos, Nueva Zelanda y  Paraguay</w:t>
      </w:r>
      <w:r w:rsidR="003905B1" w:rsidRPr="00C4109A">
        <w:rPr>
          <w:lang w:val="es-ES"/>
        </w:rPr>
        <w:t>.</w:t>
      </w:r>
    </w:p>
    <w:p w:rsidR="003905B1" w:rsidRPr="00C4109A" w:rsidRDefault="00C4109A" w:rsidP="000C6220">
      <w:pPr>
        <w:pStyle w:val="Para1"/>
        <w:tabs>
          <w:tab w:val="clear" w:pos="360"/>
          <w:tab w:val="clear" w:pos="567"/>
          <w:tab w:val="clear" w:pos="2912"/>
        </w:tabs>
        <w:spacing w:line="240" w:lineRule="auto"/>
        <w:rPr>
          <w:lang w:val="es-ES"/>
        </w:rPr>
      </w:pPr>
      <w:r w:rsidRPr="00BD1CDE">
        <w:rPr>
          <w:rFonts w:eastAsia="MS Mincho"/>
          <w:lang w:val="es-ES"/>
        </w:rPr>
        <w:t>Asimismo, intervinieron los representantes del Instituto J. Craig Venter, PRRI, y la Red del Tercer Mundo (en nombre de Corporate Europe Observatory, EcoNexus, Grupo ETC, Amigos de la Tierra Internacional y Pro Natura</w:t>
      </w:r>
      <w:r w:rsidR="003905B1" w:rsidRPr="00C4109A">
        <w:rPr>
          <w:lang w:val="es-ES"/>
        </w:rPr>
        <w:t>).</w:t>
      </w:r>
    </w:p>
    <w:p w:rsidR="00612D3A" w:rsidRPr="00C4109A" w:rsidRDefault="00C4109A" w:rsidP="000C6220">
      <w:pPr>
        <w:pStyle w:val="Para1"/>
        <w:tabs>
          <w:tab w:val="clear" w:pos="360"/>
          <w:tab w:val="clear" w:pos="567"/>
          <w:tab w:val="clear" w:pos="2912"/>
        </w:tabs>
        <w:spacing w:line="240" w:lineRule="auto"/>
        <w:rPr>
          <w:lang w:val="es-ES"/>
        </w:rPr>
      </w:pPr>
      <w:r w:rsidRPr="00BD1CDE">
        <w:rPr>
          <w:rFonts w:eastAsia="MS Mincho"/>
          <w:lang w:val="es-ES"/>
        </w:rPr>
        <w:t xml:space="preserve">En su </w:t>
      </w:r>
      <w:r>
        <w:rPr>
          <w:rFonts w:eastAsia="MS Mincho"/>
          <w:lang w:val="es-ES"/>
        </w:rPr>
        <w:t>10ª</w:t>
      </w:r>
      <w:r w:rsidRPr="00BD1CDE">
        <w:rPr>
          <w:rFonts w:eastAsia="MS Mincho"/>
          <w:lang w:val="es-ES"/>
        </w:rPr>
        <w:t xml:space="preserve"> reunión, el 25 de noviembre de 2018, el Grupo de Trabajo examinó un proyecto revisado de decisión presentado por el Presidente, y lo aprobó para que fuera trasmitido a la sesión plenaria como proyecto de decisión </w:t>
      </w:r>
      <w:r w:rsidR="003905B1" w:rsidRPr="00C4109A">
        <w:rPr>
          <w:snapToGrid w:val="0"/>
          <w:lang w:val="es-ES"/>
        </w:rPr>
        <w:t>CBD/NP/MOP/3/L.9.</w:t>
      </w:r>
    </w:p>
    <w:p w:rsidR="00612D3A" w:rsidRPr="00C4109A" w:rsidRDefault="00C4109A" w:rsidP="000C6220">
      <w:pPr>
        <w:pStyle w:val="Para1"/>
        <w:tabs>
          <w:tab w:val="clear" w:pos="360"/>
          <w:tab w:val="clear" w:pos="567"/>
          <w:tab w:val="clear" w:pos="2912"/>
        </w:tabs>
        <w:spacing w:line="240" w:lineRule="auto"/>
        <w:rPr>
          <w:lang w:val="es-ES"/>
        </w:rPr>
      </w:pPr>
      <w:r w:rsidRPr="00C4109A">
        <w:rPr>
          <w:lang w:val="es-ES"/>
        </w:rPr>
        <w:t xml:space="preserve">En su </w:t>
      </w:r>
      <w:r w:rsidR="001E16B7" w:rsidRPr="00C4109A">
        <w:rPr>
          <w:lang w:val="es-ES"/>
        </w:rPr>
        <w:t>8</w:t>
      </w:r>
      <w:r w:rsidRPr="00C4109A">
        <w:rPr>
          <w:lang w:val="es-ES"/>
        </w:rPr>
        <w:t xml:space="preserve">ª sesión plenaria, el </w:t>
      </w:r>
      <w:r w:rsidR="001E16B7" w:rsidRPr="00C4109A">
        <w:rPr>
          <w:lang w:val="es-ES"/>
        </w:rPr>
        <w:t xml:space="preserve">29 </w:t>
      </w:r>
      <w:r w:rsidRPr="00C4109A">
        <w:rPr>
          <w:lang w:val="es-ES"/>
        </w:rPr>
        <w:t xml:space="preserve">de noviembre de </w:t>
      </w:r>
      <w:r w:rsidR="001E16B7" w:rsidRPr="00C4109A">
        <w:rPr>
          <w:lang w:val="es-ES"/>
        </w:rPr>
        <w:t xml:space="preserve">2018, </w:t>
      </w:r>
      <w:r w:rsidRPr="00C4109A">
        <w:rPr>
          <w:lang w:val="es-ES"/>
        </w:rPr>
        <w:t>la</w:t>
      </w:r>
      <w:r w:rsidR="001E16B7" w:rsidRPr="00C4109A">
        <w:rPr>
          <w:lang w:val="es-ES"/>
        </w:rPr>
        <w:t xml:space="preserve"> Conferenc</w:t>
      </w:r>
      <w:r w:rsidRPr="00C4109A">
        <w:rPr>
          <w:lang w:val="es-ES"/>
        </w:rPr>
        <w:t xml:space="preserve">ia de las </w:t>
      </w:r>
      <w:r w:rsidR="001E16B7" w:rsidRPr="00C4109A">
        <w:rPr>
          <w:lang w:val="es-ES"/>
        </w:rPr>
        <w:t>Part</w:t>
      </w:r>
      <w:r w:rsidRPr="00C4109A">
        <w:rPr>
          <w:lang w:val="es-ES"/>
        </w:rPr>
        <w:t>es que act</w:t>
      </w:r>
      <w:r>
        <w:rPr>
          <w:lang w:val="es-ES"/>
        </w:rPr>
        <w:t xml:space="preserve">úa como reunión de las </w:t>
      </w:r>
      <w:r w:rsidR="001E16B7" w:rsidRPr="00C4109A">
        <w:rPr>
          <w:lang w:val="es-ES"/>
        </w:rPr>
        <w:t xml:space="preserve">Partes </w:t>
      </w:r>
      <w:r>
        <w:rPr>
          <w:lang w:val="es-ES"/>
        </w:rPr>
        <w:t>en el Protocolo de</w:t>
      </w:r>
      <w:r w:rsidR="00E5173D" w:rsidRPr="00C4109A">
        <w:rPr>
          <w:lang w:val="es-ES"/>
        </w:rPr>
        <w:t xml:space="preserve"> Nagoya</w:t>
      </w:r>
      <w:r>
        <w:rPr>
          <w:lang w:val="es-ES"/>
        </w:rPr>
        <w:t xml:space="preserve"> adoptó el proyecto de decisión </w:t>
      </w:r>
      <w:r w:rsidR="001E16B7" w:rsidRPr="00C4109A">
        <w:rPr>
          <w:lang w:val="es-ES"/>
        </w:rPr>
        <w:t xml:space="preserve">CBD/NP/MOP/3/L.9 </w:t>
      </w:r>
      <w:r>
        <w:rPr>
          <w:lang w:val="es-ES"/>
        </w:rPr>
        <w:t>como decisión</w:t>
      </w:r>
      <w:r w:rsidR="001E16B7" w:rsidRPr="00C4109A">
        <w:rPr>
          <w:lang w:val="es-ES"/>
        </w:rPr>
        <w:t xml:space="preserve"> NP-3/10 (</w:t>
      </w:r>
      <w:r>
        <w:rPr>
          <w:lang w:val="es-ES"/>
        </w:rPr>
        <w:t xml:space="preserve">para el texto, véase el capítulo </w:t>
      </w:r>
      <w:r w:rsidR="001E16B7" w:rsidRPr="00C4109A">
        <w:rPr>
          <w:lang w:val="es-ES"/>
        </w:rPr>
        <w:t>I).</w:t>
      </w:r>
    </w:p>
    <w:p w:rsidR="00612D3A" w:rsidRPr="00C4109A" w:rsidRDefault="00C4109A" w:rsidP="000C6220">
      <w:pPr>
        <w:pStyle w:val="Ttulo3"/>
        <w:spacing w:line="240" w:lineRule="auto"/>
        <w:rPr>
          <w:color w:val="000000" w:themeColor="text1"/>
          <w:lang w:val="es-ES"/>
        </w:rPr>
      </w:pPr>
      <w:r w:rsidRPr="00F16846">
        <w:rPr>
          <w:lang w:val="es-ES"/>
        </w:rPr>
        <w:t>Procedimiento para evitar o tratar conflictos de intereses en los grupos de experto</w:t>
      </w:r>
      <w:r>
        <w:rPr>
          <w:lang w:val="es-ES"/>
        </w:rPr>
        <w:t>s</w:t>
      </w:r>
    </w:p>
    <w:p w:rsidR="003905B1" w:rsidRPr="003D5CCF" w:rsidRDefault="003D5CCF" w:rsidP="000C6220">
      <w:pPr>
        <w:pStyle w:val="Para1"/>
        <w:tabs>
          <w:tab w:val="clear" w:pos="360"/>
          <w:tab w:val="clear" w:pos="567"/>
          <w:tab w:val="clear" w:pos="2912"/>
        </w:tabs>
        <w:spacing w:line="240" w:lineRule="auto"/>
        <w:rPr>
          <w:lang w:val="es-ES"/>
        </w:rPr>
      </w:pPr>
      <w:r w:rsidRPr="00BD1CDE">
        <w:rPr>
          <w:rFonts w:eastAsia="MS Mincho"/>
          <w:lang w:val="es-ES"/>
        </w:rPr>
        <w:t>El Grupo de Trabajo I comenzó a tratar el segundo aspecto del tema 15 del programa en su sexta reunión, el 21 de noviembre de 2018. Para examinar este tema, el Grupo de Trabajo tuvo ante sí un proyecto de decisión basado en la Parte B de la recomendación SBI-2/15, que figura en la recopilación de proyectos de decisión (CBD/NP/MOP/3/1/Add.2), y un resumen de opiniones comunicadas por las Partes y observadores sobre el procedimiento para evitar o tratar conflictos de intere</w:t>
      </w:r>
      <w:r>
        <w:rPr>
          <w:rFonts w:eastAsia="MS Mincho"/>
          <w:lang w:val="es-ES"/>
        </w:rPr>
        <w:t xml:space="preserve">ses en los grupos de expertos </w:t>
      </w:r>
      <w:r w:rsidR="003905B1" w:rsidRPr="003D5CCF">
        <w:rPr>
          <w:lang w:val="es-ES"/>
        </w:rPr>
        <w:t>(CBD/COP/14/INF/3).</w:t>
      </w:r>
    </w:p>
    <w:p w:rsidR="003905B1" w:rsidRPr="003D5CCF" w:rsidRDefault="003D5CCF" w:rsidP="000C6220">
      <w:pPr>
        <w:pStyle w:val="Para1"/>
        <w:tabs>
          <w:tab w:val="clear" w:pos="360"/>
          <w:tab w:val="clear" w:pos="567"/>
          <w:tab w:val="clear" w:pos="2912"/>
        </w:tabs>
        <w:spacing w:line="240" w:lineRule="auto"/>
        <w:rPr>
          <w:lang w:val="es-ES"/>
        </w:rPr>
      </w:pPr>
      <w:r w:rsidRPr="00BD1CDE">
        <w:rPr>
          <w:rFonts w:eastAsia="MS Mincho"/>
          <w:lang w:val="es-ES"/>
        </w:rPr>
        <w:t>Formularon declaraciones los representantes de Argentina, Honduras, India, Jordania, México, Panamá, Suiza, Uganda (</w:t>
      </w:r>
      <w:r w:rsidR="004D1F52">
        <w:rPr>
          <w:lang w:val="es-ES"/>
        </w:rPr>
        <w:t>en nombre del Grupo de Estados de África</w:t>
      </w:r>
      <w:r w:rsidRPr="00BD1CDE">
        <w:rPr>
          <w:rFonts w:eastAsia="MS Mincho"/>
          <w:lang w:val="es-ES"/>
        </w:rPr>
        <w:t>) y la Unión Europea y sus 28 Estados miembros</w:t>
      </w:r>
      <w:r w:rsidR="003905B1" w:rsidRPr="003D5CCF">
        <w:rPr>
          <w:lang w:val="es-ES"/>
        </w:rPr>
        <w:t>.</w:t>
      </w:r>
    </w:p>
    <w:p w:rsidR="003905B1" w:rsidRPr="003D5CCF" w:rsidRDefault="003D5CCF" w:rsidP="000C6220">
      <w:pPr>
        <w:pStyle w:val="Para1"/>
        <w:tabs>
          <w:tab w:val="clear" w:pos="360"/>
          <w:tab w:val="clear" w:pos="567"/>
          <w:tab w:val="clear" w:pos="2912"/>
        </w:tabs>
        <w:spacing w:line="240" w:lineRule="auto"/>
        <w:rPr>
          <w:lang w:val="es-ES"/>
        </w:rPr>
      </w:pPr>
      <w:r w:rsidRPr="00BD1CDE">
        <w:rPr>
          <w:rFonts w:eastAsia="MS Mincho"/>
          <w:lang w:val="es-ES"/>
        </w:rPr>
        <w:t>También formularon declaraciones los representantes de Canadá, Marruecos, Nueva Zelanda y  Paraguay</w:t>
      </w:r>
      <w:r w:rsidR="003905B1" w:rsidRPr="003D5CCF">
        <w:rPr>
          <w:lang w:val="es-ES"/>
        </w:rPr>
        <w:t>.</w:t>
      </w:r>
    </w:p>
    <w:p w:rsidR="003905B1" w:rsidRPr="003D5CCF" w:rsidRDefault="003D5CCF" w:rsidP="000C6220">
      <w:pPr>
        <w:pStyle w:val="Para1"/>
        <w:tabs>
          <w:tab w:val="clear" w:pos="360"/>
          <w:tab w:val="clear" w:pos="567"/>
          <w:tab w:val="clear" w:pos="2912"/>
        </w:tabs>
        <w:spacing w:line="240" w:lineRule="auto"/>
        <w:rPr>
          <w:lang w:val="es-ES"/>
        </w:rPr>
      </w:pPr>
      <w:r w:rsidRPr="00BD1CDE">
        <w:rPr>
          <w:rFonts w:eastAsia="MS Mincho"/>
          <w:lang w:val="es-ES"/>
        </w:rPr>
        <w:t>Asimismo, intervinieron los representantes del Instituto J. Craig Venter, PRRI, y la Red del Tercer Mundo (en nombre de Corporate Europe Observatory, EcoNexus, Grupo ETC, Amigos de la Tierra Internacional y Pro Natura</w:t>
      </w:r>
      <w:r w:rsidR="003905B1" w:rsidRPr="003D5CCF">
        <w:rPr>
          <w:lang w:val="es-ES"/>
        </w:rPr>
        <w:t>).</w:t>
      </w:r>
    </w:p>
    <w:p w:rsidR="00475D73" w:rsidRPr="003D5CCF" w:rsidRDefault="003D5CCF" w:rsidP="000C6220">
      <w:pPr>
        <w:pStyle w:val="Para1"/>
        <w:tabs>
          <w:tab w:val="clear" w:pos="360"/>
          <w:tab w:val="clear" w:pos="567"/>
          <w:tab w:val="clear" w:pos="2912"/>
        </w:tabs>
        <w:spacing w:line="240" w:lineRule="auto"/>
        <w:rPr>
          <w:lang w:val="es-ES"/>
        </w:rPr>
      </w:pPr>
      <w:r w:rsidRPr="00BD1CDE">
        <w:rPr>
          <w:rFonts w:eastAsia="MS Mincho"/>
          <w:lang w:val="es-ES"/>
        </w:rPr>
        <w:t>Tras el intercambio de opiniones, el Presidente estableció un grupo de Amigos de la Presidencia para continuar debatiendo las cuestiones sin resolver</w:t>
      </w:r>
      <w:r w:rsidR="003905B1" w:rsidRPr="003D5CCF">
        <w:rPr>
          <w:lang w:val="es-ES"/>
        </w:rPr>
        <w:t>.</w:t>
      </w:r>
    </w:p>
    <w:p w:rsidR="00A508F8" w:rsidRPr="003D5CCF" w:rsidRDefault="003D5CCF" w:rsidP="000C6220">
      <w:pPr>
        <w:pStyle w:val="Para1"/>
        <w:tabs>
          <w:tab w:val="clear" w:pos="360"/>
          <w:tab w:val="clear" w:pos="567"/>
          <w:tab w:val="clear" w:pos="2912"/>
        </w:tabs>
        <w:spacing w:line="240" w:lineRule="auto"/>
        <w:rPr>
          <w:szCs w:val="22"/>
          <w:lang w:val="es-ES"/>
        </w:rPr>
      </w:pPr>
      <w:r w:rsidRPr="00021D79">
        <w:rPr>
          <w:szCs w:val="22"/>
          <w:lang w:val="es-ES"/>
        </w:rPr>
        <w:t>En su 12ª reunión, el 28 de noviembre de 2018, el Grupo de Trabajo I examin</w:t>
      </w:r>
      <w:r>
        <w:rPr>
          <w:szCs w:val="22"/>
          <w:lang w:val="es-ES"/>
        </w:rPr>
        <w:t>ó un proyecto de decisión revisado presentado por su Presidente</w:t>
      </w:r>
      <w:r w:rsidR="00A508F8" w:rsidRPr="003D5CCF">
        <w:rPr>
          <w:szCs w:val="22"/>
          <w:lang w:val="es-ES"/>
        </w:rPr>
        <w:t>.</w:t>
      </w:r>
    </w:p>
    <w:p w:rsidR="00A508F8" w:rsidRPr="003D5CCF" w:rsidRDefault="003D5CCF" w:rsidP="000C6220">
      <w:pPr>
        <w:pStyle w:val="Para1"/>
        <w:tabs>
          <w:tab w:val="clear" w:pos="360"/>
          <w:tab w:val="clear" w:pos="567"/>
          <w:tab w:val="clear" w:pos="2912"/>
        </w:tabs>
        <w:spacing w:line="240" w:lineRule="auto"/>
        <w:rPr>
          <w:szCs w:val="22"/>
          <w:lang w:val="es-ES"/>
        </w:rPr>
      </w:pPr>
      <w:r w:rsidRPr="00021D79">
        <w:rPr>
          <w:lang w:val="es-ES"/>
        </w:rPr>
        <w:t>Formularon declaraciones los representantes de</w:t>
      </w:r>
      <w:r>
        <w:rPr>
          <w:lang w:val="es-ES"/>
        </w:rPr>
        <w:t xml:space="preserve"> Suiza y</w:t>
      </w:r>
      <w:r w:rsidRPr="00021D79">
        <w:rPr>
          <w:lang w:val="es-ES"/>
        </w:rPr>
        <w:t xml:space="preserve"> la Unión Europea y sus 28 Estados miembros</w:t>
      </w:r>
      <w:r w:rsidR="00A508F8" w:rsidRPr="003D5CCF">
        <w:rPr>
          <w:szCs w:val="22"/>
          <w:lang w:val="es-ES"/>
        </w:rPr>
        <w:t>.</w:t>
      </w:r>
    </w:p>
    <w:p w:rsidR="00A508F8" w:rsidRPr="003D5CCF" w:rsidRDefault="003D5CCF" w:rsidP="000C6220">
      <w:pPr>
        <w:pStyle w:val="Para1"/>
        <w:tabs>
          <w:tab w:val="clear" w:pos="360"/>
          <w:tab w:val="clear" w:pos="567"/>
          <w:tab w:val="clear" w:pos="2912"/>
        </w:tabs>
        <w:spacing w:line="240" w:lineRule="auto"/>
        <w:rPr>
          <w:lang w:val="es-ES"/>
        </w:rPr>
      </w:pPr>
      <w:r w:rsidRPr="00021D79">
        <w:rPr>
          <w:lang w:val="es-ES"/>
        </w:rPr>
        <w:t>El Grupo de Trabajo aprobó el proyecto de decisión revisado</w:t>
      </w:r>
      <w:r w:rsidRPr="00021D79">
        <w:rPr>
          <w:szCs w:val="22"/>
          <w:lang w:val="es-ES"/>
        </w:rPr>
        <w:t xml:space="preserve">, en su forma enmendada oralmente, </w:t>
      </w:r>
      <w:r>
        <w:rPr>
          <w:szCs w:val="22"/>
          <w:lang w:val="es-ES"/>
        </w:rPr>
        <w:t xml:space="preserve">para su transmisión a la sesión plenaria como proyecto de decisión </w:t>
      </w:r>
      <w:r w:rsidR="00B8152A" w:rsidRPr="003D5CCF">
        <w:rPr>
          <w:szCs w:val="22"/>
          <w:lang w:val="es-ES"/>
        </w:rPr>
        <w:t>CBD/NP/MOP/3/L.10</w:t>
      </w:r>
      <w:r w:rsidR="00A508F8" w:rsidRPr="003D5CCF">
        <w:rPr>
          <w:snapToGrid w:val="0"/>
          <w:kern w:val="22"/>
          <w:lang w:val="es-ES"/>
        </w:rPr>
        <w:t>.</w:t>
      </w:r>
    </w:p>
    <w:p w:rsidR="00475D73" w:rsidRPr="003D5CCF" w:rsidRDefault="003D5CCF" w:rsidP="000C6220">
      <w:pPr>
        <w:pStyle w:val="Para1"/>
        <w:tabs>
          <w:tab w:val="clear" w:pos="360"/>
          <w:tab w:val="clear" w:pos="567"/>
          <w:tab w:val="clear" w:pos="2912"/>
        </w:tabs>
        <w:spacing w:line="240" w:lineRule="auto"/>
        <w:rPr>
          <w:lang w:val="es-ES"/>
        </w:rPr>
      </w:pPr>
      <w:r w:rsidRPr="003D5CCF">
        <w:rPr>
          <w:lang w:val="es-ES"/>
        </w:rPr>
        <w:lastRenderedPageBreak/>
        <w:t xml:space="preserve">En su 8ª sesión plenaria, el </w:t>
      </w:r>
      <w:r w:rsidR="00C576FA" w:rsidRPr="003D5CCF">
        <w:rPr>
          <w:lang w:val="es-ES"/>
        </w:rPr>
        <w:t xml:space="preserve">29 </w:t>
      </w:r>
      <w:r w:rsidRPr="003D5CCF">
        <w:rPr>
          <w:lang w:val="es-ES"/>
        </w:rPr>
        <w:t xml:space="preserve">de noviembre de 2018, la </w:t>
      </w:r>
      <w:r w:rsidR="00C576FA" w:rsidRPr="003D5CCF">
        <w:rPr>
          <w:lang w:val="es-ES"/>
        </w:rPr>
        <w:t>Conferenc</w:t>
      </w:r>
      <w:r w:rsidRPr="003D5CCF">
        <w:rPr>
          <w:lang w:val="es-ES"/>
        </w:rPr>
        <w:t xml:space="preserve">ia de las </w:t>
      </w:r>
      <w:r w:rsidR="00C576FA" w:rsidRPr="003D5CCF">
        <w:rPr>
          <w:lang w:val="es-ES"/>
        </w:rPr>
        <w:t>Part</w:t>
      </w:r>
      <w:r w:rsidRPr="003D5CCF">
        <w:rPr>
          <w:lang w:val="es-ES"/>
        </w:rPr>
        <w:t>es que actúa como reuni</w:t>
      </w:r>
      <w:r>
        <w:rPr>
          <w:lang w:val="es-ES"/>
        </w:rPr>
        <w:t>ón de las Partes adoptó, en su forma oralmente corregida por la Secretaría</w:t>
      </w:r>
      <w:r w:rsidR="00C576FA" w:rsidRPr="003D5CCF">
        <w:rPr>
          <w:lang w:val="es-ES"/>
        </w:rPr>
        <w:t xml:space="preserve">, </w:t>
      </w:r>
      <w:r>
        <w:rPr>
          <w:lang w:val="es-ES"/>
        </w:rPr>
        <w:t xml:space="preserve">el proyecto de decisión </w:t>
      </w:r>
      <w:r w:rsidR="00C576FA" w:rsidRPr="003D5CCF">
        <w:rPr>
          <w:lang w:val="es-ES"/>
        </w:rPr>
        <w:t>C</w:t>
      </w:r>
      <w:r w:rsidR="003D06C9" w:rsidRPr="003D5CCF">
        <w:rPr>
          <w:lang w:val="es-ES"/>
        </w:rPr>
        <w:t xml:space="preserve">BD/NP/MOP/3/L.10 </w:t>
      </w:r>
      <w:r>
        <w:rPr>
          <w:lang w:val="es-ES"/>
        </w:rPr>
        <w:t xml:space="preserve">como decisión </w:t>
      </w:r>
      <w:r w:rsidR="003D06C9" w:rsidRPr="003D5CCF">
        <w:rPr>
          <w:lang w:val="es-ES"/>
        </w:rPr>
        <w:t>NP</w:t>
      </w:r>
      <w:r w:rsidR="003D06C9" w:rsidRPr="003D5CCF">
        <w:rPr>
          <w:lang w:val="es-ES"/>
        </w:rPr>
        <w:noBreakHyphen/>
      </w:r>
      <w:r w:rsidR="00C576FA" w:rsidRPr="003D5CCF">
        <w:rPr>
          <w:lang w:val="es-ES"/>
        </w:rPr>
        <w:t>3/11 (</w:t>
      </w:r>
      <w:r>
        <w:rPr>
          <w:lang w:val="es-ES"/>
        </w:rPr>
        <w:t xml:space="preserve">para el texto, véase el capítulo </w:t>
      </w:r>
      <w:r w:rsidR="00C576FA" w:rsidRPr="003D5CCF">
        <w:rPr>
          <w:lang w:val="es-ES"/>
        </w:rPr>
        <w:t>I)</w:t>
      </w:r>
      <w:r w:rsidR="003D06C9" w:rsidRPr="003D5CCF">
        <w:rPr>
          <w:lang w:val="es-ES"/>
        </w:rPr>
        <w:t>.</w:t>
      </w:r>
    </w:p>
    <w:p w:rsidR="00BD0496" w:rsidRPr="003D5CCF" w:rsidRDefault="003D5CCF" w:rsidP="000C6220">
      <w:pPr>
        <w:pStyle w:val="Heading1-item"/>
        <w:spacing w:before="120" w:line="240" w:lineRule="auto"/>
        <w:ind w:left="1843" w:hanging="1276"/>
        <w:jc w:val="left"/>
        <w:rPr>
          <w:rFonts w:hint="eastAsia"/>
          <w:lang w:val="es-ES" w:eastAsia="en-CA"/>
        </w:rPr>
      </w:pPr>
      <w:bookmarkStart w:id="44" w:name="_Toc256233"/>
      <w:r w:rsidRPr="00007AFE">
        <w:rPr>
          <w:rFonts w:ascii="Times New Roman" w:hAnsi="Times New Roman" w:cs="Times New Roman"/>
          <w:lang w:val="es-ES"/>
        </w:rPr>
        <w:t>TEMA</w:t>
      </w:r>
      <w:r w:rsidR="00BD0496" w:rsidRPr="00007AFE">
        <w:rPr>
          <w:rFonts w:ascii="Times New Roman" w:hAnsi="Times New Roman" w:cs="Times New Roman"/>
          <w:lang w:val="es-ES"/>
        </w:rPr>
        <w:t xml:space="preserve"> 1</w:t>
      </w:r>
      <w:r w:rsidR="00475D73" w:rsidRPr="00007AFE">
        <w:rPr>
          <w:rFonts w:ascii="Times New Roman" w:hAnsi="Times New Roman" w:cs="Times New Roman"/>
          <w:lang w:val="es-ES"/>
        </w:rPr>
        <w:t>6</w:t>
      </w:r>
      <w:r w:rsidR="00BD0496" w:rsidRPr="00007AFE">
        <w:rPr>
          <w:rFonts w:ascii="Times New Roman" w:hAnsi="Times New Roman" w:cs="Times New Roman"/>
          <w:lang w:val="es-ES"/>
        </w:rPr>
        <w:t>.</w:t>
      </w:r>
      <w:r w:rsidR="00BD0496" w:rsidRPr="00007AFE">
        <w:rPr>
          <w:rFonts w:ascii="Times New Roman" w:hAnsi="Times New Roman" w:cs="Times New Roman"/>
          <w:lang w:val="es-ES"/>
        </w:rPr>
        <w:tab/>
      </w:r>
      <w:r w:rsidR="00BD0496" w:rsidRPr="003D5CCF">
        <w:rPr>
          <w:rFonts w:ascii="Times New Roman" w:hAnsi="Times New Roman" w:cs="Times New Roman"/>
          <w:lang w:val="es-ES"/>
        </w:rPr>
        <w:t>PREPARA</w:t>
      </w:r>
      <w:r w:rsidRPr="003D5CCF">
        <w:rPr>
          <w:rFonts w:ascii="Times New Roman" w:hAnsi="Times New Roman" w:cs="Times New Roman"/>
          <w:lang w:val="es-ES"/>
        </w:rPr>
        <w:t>CIÓN PARA EL SEGUIMIENTO DEL PLAN ESTRATÉGICO PARA LA DIVERSIDAD BIOLÓGICA</w:t>
      </w:r>
      <w:r w:rsidR="00A864A9" w:rsidRPr="003D5CCF">
        <w:rPr>
          <w:rFonts w:ascii="Times New Roman" w:hAnsi="Times New Roman" w:cs="Times New Roman"/>
          <w:lang w:val="es-ES"/>
        </w:rPr>
        <w:t xml:space="preserve"> 2011-2020</w:t>
      </w:r>
      <w:bookmarkEnd w:id="44"/>
    </w:p>
    <w:p w:rsidR="000539B9" w:rsidRPr="006E2885" w:rsidRDefault="003D5CCF" w:rsidP="000C6220">
      <w:pPr>
        <w:numPr>
          <w:ilvl w:val="0"/>
          <w:numId w:val="12"/>
        </w:numPr>
        <w:suppressLineNumbers/>
        <w:tabs>
          <w:tab w:val="clear" w:pos="360"/>
        </w:tabs>
        <w:suppressAutoHyphens/>
        <w:kinsoku w:val="0"/>
        <w:overflowPunct w:val="0"/>
        <w:autoSpaceDE w:val="0"/>
        <w:autoSpaceDN w:val="0"/>
        <w:snapToGrid w:val="0"/>
        <w:spacing w:before="120" w:line="240" w:lineRule="auto"/>
        <w:rPr>
          <w:rFonts w:eastAsia="Times New Roman"/>
          <w:snapToGrid w:val="0"/>
          <w:kern w:val="22"/>
          <w:szCs w:val="22"/>
          <w:lang w:val="es-ES" w:eastAsia="en-CA"/>
        </w:rPr>
      </w:pPr>
      <w:bookmarkStart w:id="45" w:name="_Hlk530243594"/>
      <w:r w:rsidRPr="00F16846">
        <w:rPr>
          <w:lang w:val="es-ES"/>
        </w:rPr>
        <w:t>El tema 16 del programa se examinó en la</w:t>
      </w:r>
      <w:r>
        <w:rPr>
          <w:lang w:val="es-ES"/>
        </w:rPr>
        <w:t xml:space="preserve"> 3ª </w:t>
      </w:r>
      <w:r w:rsidRPr="00F16846">
        <w:rPr>
          <w:lang w:val="es-ES"/>
        </w:rPr>
        <w:t>sesión plenaria de la reunión, el</w:t>
      </w:r>
      <w:r>
        <w:rPr>
          <w:lang w:val="es-ES"/>
        </w:rPr>
        <w:t xml:space="preserve"> 20 de noviembre de 2018 en conjunto con el tema 17 del programa de la Conferencia de las Partes </w:t>
      </w:r>
      <w:r>
        <w:rPr>
          <w:snapToGrid w:val="0"/>
          <w:lang w:val="es-ES"/>
        </w:rPr>
        <w:t xml:space="preserve">y el tema </w:t>
      </w:r>
      <w:r w:rsidRPr="00021D79">
        <w:rPr>
          <w:snapToGrid w:val="0"/>
          <w:lang w:val="es-ES"/>
        </w:rPr>
        <w:t xml:space="preserve">14 </w:t>
      </w:r>
      <w:r>
        <w:rPr>
          <w:snapToGrid w:val="0"/>
          <w:lang w:val="es-ES"/>
        </w:rPr>
        <w:t xml:space="preserve">del programa de la Conferencia de las Partes que actúa como reunión de las Partes en el Protocolo de </w:t>
      </w:r>
      <w:r w:rsidRPr="00021D79">
        <w:rPr>
          <w:snapToGrid w:val="0"/>
          <w:lang w:val="es-ES"/>
        </w:rPr>
        <w:t>Cartagena</w:t>
      </w:r>
      <w:r w:rsidRPr="00F16846">
        <w:rPr>
          <w:lang w:val="es-ES"/>
        </w:rPr>
        <w:t xml:space="preserve">. Al examinar el tema, la Conferencia de las Partes que actúa como reunión de las Partes </w:t>
      </w:r>
      <w:r w:rsidR="006E2885">
        <w:rPr>
          <w:lang w:val="es-ES"/>
        </w:rPr>
        <w:t xml:space="preserve">en el Protocolo de Nagoya </w:t>
      </w:r>
      <w:r w:rsidRPr="00F16846">
        <w:rPr>
          <w:lang w:val="es-ES"/>
        </w:rPr>
        <w:t xml:space="preserve">tuvo ante sí </w:t>
      </w:r>
      <w:r>
        <w:rPr>
          <w:snapToGrid w:val="0"/>
          <w:lang w:val="es-ES"/>
        </w:rPr>
        <w:t xml:space="preserve">un proyecto de decisión basado en la </w:t>
      </w:r>
      <w:r w:rsidRPr="00F16846">
        <w:rPr>
          <w:lang w:val="es-ES"/>
        </w:rPr>
        <w:t xml:space="preserve">recomendación </w:t>
      </w:r>
      <w:r w:rsidRPr="00F16846">
        <w:rPr>
          <w:rFonts w:eastAsia="Times New Roman"/>
          <w:snapToGrid w:val="0"/>
          <w:kern w:val="22"/>
          <w:szCs w:val="22"/>
          <w:lang w:val="es-ES" w:eastAsia="en-CA"/>
        </w:rPr>
        <w:t>SBI-2/19</w:t>
      </w:r>
      <w:r>
        <w:rPr>
          <w:rFonts w:eastAsia="Times New Roman"/>
          <w:snapToGrid w:val="0"/>
          <w:kern w:val="22"/>
          <w:szCs w:val="22"/>
          <w:lang w:val="es-ES" w:eastAsia="en-CA"/>
        </w:rPr>
        <w:t xml:space="preserve"> y </w:t>
      </w:r>
      <w:r w:rsidRPr="00F16846">
        <w:rPr>
          <w:rFonts w:eastAsia="Times New Roman"/>
          <w:snapToGrid w:val="0"/>
          <w:kern w:val="22"/>
          <w:szCs w:val="22"/>
          <w:lang w:val="es-ES" w:eastAsia="en-CA"/>
        </w:rPr>
        <w:t xml:space="preserve">las recomendaciones pertinentes del Comité de Cumplimiento, que </w:t>
      </w:r>
      <w:r>
        <w:rPr>
          <w:rFonts w:eastAsia="Times New Roman"/>
          <w:snapToGrid w:val="0"/>
          <w:kern w:val="22"/>
          <w:szCs w:val="22"/>
          <w:lang w:val="es-ES" w:eastAsia="en-CA"/>
        </w:rPr>
        <w:t>figuran</w:t>
      </w:r>
      <w:r w:rsidRPr="00F16846">
        <w:rPr>
          <w:rFonts w:eastAsia="Times New Roman"/>
          <w:snapToGrid w:val="0"/>
          <w:kern w:val="22"/>
          <w:szCs w:val="22"/>
          <w:lang w:val="es-ES" w:eastAsia="en-CA"/>
        </w:rPr>
        <w:t xml:space="preserve"> en la recopilación de los proyectos de decisiones </w:t>
      </w:r>
      <w:bookmarkEnd w:id="45"/>
      <w:r w:rsidR="00E02386" w:rsidRPr="006E2885">
        <w:rPr>
          <w:snapToGrid w:val="0"/>
          <w:kern w:val="22"/>
          <w:lang w:val="es-ES"/>
        </w:rPr>
        <w:t>(CBD/NP/MOP/3/1/Add.2)</w:t>
      </w:r>
      <w:r w:rsidR="0018350F" w:rsidRPr="006E2885">
        <w:rPr>
          <w:rFonts w:eastAsia="Times New Roman"/>
          <w:snapToGrid w:val="0"/>
          <w:kern w:val="22"/>
          <w:szCs w:val="22"/>
          <w:lang w:val="es-ES" w:eastAsia="en-CA"/>
        </w:rPr>
        <w:t>.</w:t>
      </w:r>
    </w:p>
    <w:p w:rsidR="009134BF" w:rsidRPr="006E2885" w:rsidRDefault="006E2885" w:rsidP="000C6220">
      <w:pPr>
        <w:pStyle w:val="Para1"/>
        <w:tabs>
          <w:tab w:val="clear" w:pos="360"/>
          <w:tab w:val="clear" w:pos="567"/>
          <w:tab w:val="clear" w:pos="2912"/>
        </w:tabs>
        <w:spacing w:line="240" w:lineRule="auto"/>
        <w:rPr>
          <w:lang w:val="es-ES"/>
        </w:rPr>
      </w:pPr>
      <w:r w:rsidRPr="007721BC">
        <w:rPr>
          <w:rFonts w:eastAsia="MS Mincho"/>
          <w:lang w:val="es-ES"/>
        </w:rPr>
        <w:t xml:space="preserve">Formularon declaraciones los representantes de </w:t>
      </w:r>
      <w:r w:rsidRPr="007721BC">
        <w:rPr>
          <w:lang w:val="es-ES"/>
        </w:rPr>
        <w:t>Antigua y Barbuda, Argentina, Botswana, Burkina Faso, Camboya, Camerún, China, Côte d’Ivoire, Cuba (en nombre de los pequeños Estados insulares en desarrollo),</w:t>
      </w:r>
      <w:r>
        <w:rPr>
          <w:lang w:val="es-ES"/>
        </w:rPr>
        <w:t xml:space="preserve"> </w:t>
      </w:r>
      <w:r w:rsidRPr="007721BC">
        <w:rPr>
          <w:lang w:val="es-ES"/>
        </w:rPr>
        <w:t>Ecuador, Eg</w:t>
      </w:r>
      <w:r>
        <w:rPr>
          <w:lang w:val="es-ES"/>
        </w:rPr>
        <w:t>ipto</w:t>
      </w:r>
      <w:r w:rsidRPr="007721BC">
        <w:rPr>
          <w:lang w:val="es-ES"/>
        </w:rPr>
        <w:t>, Etiop</w:t>
      </w:r>
      <w:r>
        <w:rPr>
          <w:lang w:val="es-ES"/>
        </w:rPr>
        <w:t>í</w:t>
      </w:r>
      <w:r w:rsidRPr="007721BC">
        <w:rPr>
          <w:lang w:val="es-ES"/>
        </w:rPr>
        <w:t xml:space="preserve">a, </w:t>
      </w:r>
      <w:r>
        <w:rPr>
          <w:lang w:val="es-ES"/>
        </w:rPr>
        <w:t xml:space="preserve">Filipinas, </w:t>
      </w:r>
      <w:r w:rsidRPr="007721BC">
        <w:rPr>
          <w:lang w:val="es-ES"/>
        </w:rPr>
        <w:t>Gab</w:t>
      </w:r>
      <w:r>
        <w:rPr>
          <w:lang w:val="es-ES"/>
        </w:rPr>
        <w:t>ó</w:t>
      </w:r>
      <w:r w:rsidRPr="007721BC">
        <w:rPr>
          <w:lang w:val="es-ES"/>
        </w:rPr>
        <w:t>n, India, Jap</w:t>
      </w:r>
      <w:r>
        <w:rPr>
          <w:lang w:val="es-ES"/>
        </w:rPr>
        <w:t>ó</w:t>
      </w:r>
      <w:r w:rsidRPr="007721BC">
        <w:rPr>
          <w:lang w:val="es-ES"/>
        </w:rPr>
        <w:t>n, Kenya, Malawi, M</w:t>
      </w:r>
      <w:r>
        <w:rPr>
          <w:lang w:val="es-ES"/>
        </w:rPr>
        <w:t>é</w:t>
      </w:r>
      <w:r w:rsidRPr="007721BC">
        <w:rPr>
          <w:lang w:val="es-ES"/>
        </w:rPr>
        <w:t>xico, Nor</w:t>
      </w:r>
      <w:r>
        <w:rPr>
          <w:lang w:val="es-ES"/>
        </w:rPr>
        <w:t>uega,</w:t>
      </w:r>
      <w:r w:rsidRPr="007721BC">
        <w:rPr>
          <w:lang w:val="es-ES"/>
        </w:rPr>
        <w:t xml:space="preserve"> Palau (</w:t>
      </w:r>
      <w:r>
        <w:rPr>
          <w:lang w:val="es-ES"/>
        </w:rPr>
        <w:t>en nombre de los países insulares del Pacífico</w:t>
      </w:r>
      <w:r w:rsidRPr="007721BC">
        <w:rPr>
          <w:lang w:val="es-ES"/>
        </w:rPr>
        <w:t>), Panam</w:t>
      </w:r>
      <w:r>
        <w:rPr>
          <w:lang w:val="es-ES"/>
        </w:rPr>
        <w:t>á</w:t>
      </w:r>
      <w:r w:rsidRPr="007721BC">
        <w:rPr>
          <w:lang w:val="es-ES"/>
        </w:rPr>
        <w:t>, Rep</w:t>
      </w:r>
      <w:r>
        <w:rPr>
          <w:lang w:val="es-ES"/>
        </w:rPr>
        <w:t xml:space="preserve">ública </w:t>
      </w:r>
      <w:r w:rsidRPr="007721BC">
        <w:rPr>
          <w:lang w:val="es-ES"/>
        </w:rPr>
        <w:t>Dominican</w:t>
      </w:r>
      <w:r>
        <w:rPr>
          <w:lang w:val="es-ES"/>
        </w:rPr>
        <w:t xml:space="preserve">a, la República Unida de Tanzania, </w:t>
      </w:r>
      <w:r w:rsidRPr="007721BC">
        <w:rPr>
          <w:lang w:val="es-ES"/>
        </w:rPr>
        <w:t xml:space="preserve">Saint Kitts </w:t>
      </w:r>
      <w:r>
        <w:rPr>
          <w:lang w:val="es-ES"/>
        </w:rPr>
        <w:t>y</w:t>
      </w:r>
      <w:r w:rsidRPr="007721BC">
        <w:rPr>
          <w:lang w:val="es-ES"/>
        </w:rPr>
        <w:t xml:space="preserve"> Nevis (</w:t>
      </w:r>
      <w:r>
        <w:rPr>
          <w:lang w:val="es-ES"/>
        </w:rPr>
        <w:t xml:space="preserve">en nombre del Grupo de América </w:t>
      </w:r>
      <w:r w:rsidRPr="007721BC">
        <w:rPr>
          <w:lang w:val="es-ES"/>
        </w:rPr>
        <w:t>Latin</w:t>
      </w:r>
      <w:r>
        <w:rPr>
          <w:lang w:val="es-ES"/>
        </w:rPr>
        <w:t>a y el Caribe</w:t>
      </w:r>
      <w:r w:rsidRPr="007721BC">
        <w:rPr>
          <w:lang w:val="es-ES"/>
        </w:rPr>
        <w:t>),</w:t>
      </w:r>
      <w:r>
        <w:rPr>
          <w:lang w:val="es-ES"/>
        </w:rPr>
        <w:t xml:space="preserve"> </w:t>
      </w:r>
      <w:r w:rsidRPr="007721BC">
        <w:rPr>
          <w:lang w:val="es-ES"/>
        </w:rPr>
        <w:t>S</w:t>
      </w:r>
      <w:r>
        <w:rPr>
          <w:lang w:val="es-ES"/>
        </w:rPr>
        <w:t>udáfrica</w:t>
      </w:r>
      <w:r w:rsidRPr="007721BC">
        <w:rPr>
          <w:lang w:val="es-ES"/>
        </w:rPr>
        <w:t xml:space="preserve"> (</w:t>
      </w:r>
      <w:r>
        <w:rPr>
          <w:lang w:val="es-ES"/>
        </w:rPr>
        <w:t>en nombre del Grupo de Estados de África</w:t>
      </w:r>
      <w:r w:rsidRPr="007721BC">
        <w:rPr>
          <w:lang w:val="es-ES"/>
        </w:rPr>
        <w:t>), Sud</w:t>
      </w:r>
      <w:r>
        <w:rPr>
          <w:lang w:val="es-ES"/>
        </w:rPr>
        <w:t>á</w:t>
      </w:r>
      <w:r w:rsidRPr="007721BC">
        <w:rPr>
          <w:lang w:val="es-ES"/>
        </w:rPr>
        <w:t>n, S</w:t>
      </w:r>
      <w:r>
        <w:rPr>
          <w:lang w:val="es-ES"/>
        </w:rPr>
        <w:t>uiza</w:t>
      </w:r>
      <w:r w:rsidRPr="007721BC">
        <w:rPr>
          <w:lang w:val="es-ES"/>
        </w:rPr>
        <w:t xml:space="preserve">, Uganda, </w:t>
      </w:r>
      <w:r>
        <w:rPr>
          <w:lang w:val="es-ES"/>
        </w:rPr>
        <w:t xml:space="preserve">la Unión Europea y sus 28 Estados miembros, </w:t>
      </w:r>
      <w:r w:rsidRPr="007721BC">
        <w:rPr>
          <w:lang w:val="es-ES"/>
        </w:rPr>
        <w:t xml:space="preserve">Uruguay </w:t>
      </w:r>
      <w:r>
        <w:rPr>
          <w:lang w:val="es-ES"/>
        </w:rPr>
        <w:t>y</w:t>
      </w:r>
      <w:r w:rsidRPr="007721BC">
        <w:rPr>
          <w:lang w:val="es-ES"/>
        </w:rPr>
        <w:t xml:space="preserve"> Venezuela (</w:t>
      </w:r>
      <w:r>
        <w:rPr>
          <w:lang w:val="es-ES"/>
        </w:rPr>
        <w:t xml:space="preserve">República </w:t>
      </w:r>
      <w:r w:rsidRPr="007721BC">
        <w:rPr>
          <w:lang w:val="es-ES"/>
        </w:rPr>
        <w:t>Bolivarian</w:t>
      </w:r>
      <w:r>
        <w:rPr>
          <w:lang w:val="es-ES"/>
        </w:rPr>
        <w:t>a de</w:t>
      </w:r>
      <w:r w:rsidR="009134BF" w:rsidRPr="006E2885">
        <w:rPr>
          <w:lang w:val="es-ES"/>
        </w:rPr>
        <w:t>).</w:t>
      </w:r>
    </w:p>
    <w:p w:rsidR="009134BF" w:rsidRPr="00A474E9" w:rsidRDefault="00A474E9" w:rsidP="000C6220">
      <w:pPr>
        <w:pStyle w:val="Para1"/>
        <w:tabs>
          <w:tab w:val="clear" w:pos="360"/>
          <w:tab w:val="clear" w:pos="567"/>
          <w:tab w:val="clear" w:pos="2912"/>
        </w:tabs>
        <w:spacing w:line="240" w:lineRule="auto"/>
        <w:rPr>
          <w:rFonts w:eastAsia="MS Mincho"/>
          <w:snapToGrid w:val="0"/>
          <w:kern w:val="22"/>
          <w:lang w:val="es-ES"/>
        </w:rPr>
      </w:pPr>
      <w:r w:rsidRPr="00BD1CDE">
        <w:rPr>
          <w:rFonts w:eastAsia="MS Mincho"/>
          <w:lang w:val="es-ES"/>
        </w:rPr>
        <w:t xml:space="preserve">También formularon declaraciones los representantes </w:t>
      </w:r>
      <w:r>
        <w:rPr>
          <w:rFonts w:eastAsia="MS Mincho"/>
          <w:lang w:val="es-ES"/>
        </w:rPr>
        <w:t>de Argelia</w:t>
      </w:r>
      <w:r w:rsidRPr="00F43D9E">
        <w:rPr>
          <w:lang w:val="es-ES"/>
        </w:rPr>
        <w:t>, Bangladesh, Bosnia y Herzegovina, Canadá, Colombia (en nombre de</w:t>
      </w:r>
      <w:r>
        <w:rPr>
          <w:lang w:val="es-ES"/>
        </w:rPr>
        <w:t>l Grupo de Países Megadiversos Afines</w:t>
      </w:r>
      <w:r w:rsidRPr="00F43D9E">
        <w:rPr>
          <w:lang w:val="es-ES"/>
        </w:rPr>
        <w:t>), Costa Rica, Iraq, Jamaica, M</w:t>
      </w:r>
      <w:r>
        <w:rPr>
          <w:lang w:val="es-ES"/>
        </w:rPr>
        <w:t>arruecos</w:t>
      </w:r>
      <w:r w:rsidRPr="00F43D9E">
        <w:rPr>
          <w:lang w:val="es-ES"/>
        </w:rPr>
        <w:t>, Nepal, N</w:t>
      </w:r>
      <w:r>
        <w:rPr>
          <w:lang w:val="es-ES"/>
        </w:rPr>
        <w:t xml:space="preserve">ueva Zelanda y </w:t>
      </w:r>
      <w:r w:rsidRPr="00F43D9E">
        <w:rPr>
          <w:lang w:val="es-ES"/>
        </w:rPr>
        <w:t>Tur</w:t>
      </w:r>
      <w:r>
        <w:rPr>
          <w:lang w:val="es-ES"/>
        </w:rPr>
        <w:t>quía</w:t>
      </w:r>
      <w:r w:rsidR="009134BF" w:rsidRPr="00A474E9">
        <w:rPr>
          <w:lang w:val="es-ES"/>
        </w:rPr>
        <w:t>.</w:t>
      </w:r>
    </w:p>
    <w:p w:rsidR="009134BF" w:rsidRPr="00A474E9" w:rsidRDefault="00A474E9" w:rsidP="000C6220">
      <w:pPr>
        <w:pStyle w:val="Para1"/>
        <w:tabs>
          <w:tab w:val="clear" w:pos="360"/>
          <w:tab w:val="clear" w:pos="567"/>
          <w:tab w:val="clear" w:pos="2912"/>
        </w:tabs>
        <w:spacing w:line="240" w:lineRule="auto"/>
        <w:rPr>
          <w:lang w:val="es-ES"/>
        </w:rPr>
      </w:pPr>
      <w:r w:rsidRPr="00167022">
        <w:rPr>
          <w:lang w:val="es-ES"/>
        </w:rPr>
        <w:t xml:space="preserve">Formularon declaraciones adicionales los representantes de la </w:t>
      </w:r>
      <w:r w:rsidRPr="00167022">
        <w:rPr>
          <w:rFonts w:eastAsia="MS Mincho"/>
          <w:lang w:val="es-ES"/>
        </w:rPr>
        <w:t xml:space="preserve">Organización de las Naciones Unidas para la Alimentación y la Agricultura (FAO) </w:t>
      </w:r>
      <w:r w:rsidRPr="00167022">
        <w:rPr>
          <w:lang w:val="es-ES"/>
        </w:rPr>
        <w:t>(en nombre del Tratado Internacional</w:t>
      </w:r>
      <w:r>
        <w:rPr>
          <w:lang w:val="es-ES"/>
        </w:rPr>
        <w:t xml:space="preserve"> sobre los Recursos Fitogenéticos para la Alimentación y la Agricultura</w:t>
      </w:r>
      <w:r w:rsidRPr="00167022">
        <w:rPr>
          <w:lang w:val="es-ES"/>
        </w:rPr>
        <w:t xml:space="preserve">), </w:t>
      </w:r>
      <w:r>
        <w:rPr>
          <w:lang w:val="es-ES"/>
        </w:rPr>
        <w:t xml:space="preserve">la </w:t>
      </w:r>
      <w:r w:rsidRPr="00BD1CDE">
        <w:rPr>
          <w:rFonts w:eastAsia="MS Mincho"/>
          <w:lang w:val="es-ES"/>
        </w:rPr>
        <w:t>Entidad de las Naciones Unidas para la Igualdad de Género y el Empoderamiento de las Mujeres (ONU-Mujeres</w:t>
      </w:r>
      <w:r w:rsidRPr="00167022">
        <w:rPr>
          <w:lang w:val="es-ES"/>
        </w:rPr>
        <w:t xml:space="preserve">) </w:t>
      </w:r>
      <w:r>
        <w:rPr>
          <w:lang w:val="es-ES"/>
        </w:rPr>
        <w:t>y la secretaría de la Convención sobre</w:t>
      </w:r>
      <w:r w:rsidRPr="003619C5">
        <w:rPr>
          <w:lang w:val="es-ES"/>
        </w:rPr>
        <w:t xml:space="preserve"> </w:t>
      </w:r>
      <w:r>
        <w:rPr>
          <w:lang w:val="es-ES"/>
        </w:rPr>
        <w:t xml:space="preserve">el Comercio </w:t>
      </w:r>
      <w:r w:rsidRPr="003619C5">
        <w:rPr>
          <w:lang w:val="es-ES"/>
        </w:rPr>
        <w:t>Interna</w:t>
      </w:r>
      <w:r>
        <w:rPr>
          <w:lang w:val="es-ES"/>
        </w:rPr>
        <w:t>c</w:t>
      </w:r>
      <w:r w:rsidRPr="003619C5">
        <w:rPr>
          <w:lang w:val="es-ES"/>
        </w:rPr>
        <w:t xml:space="preserve">ional </w:t>
      </w:r>
      <w:r>
        <w:rPr>
          <w:lang w:val="es-ES"/>
        </w:rPr>
        <w:t>de Especies Amenazadas de Fauna y Flora Silvestres</w:t>
      </w:r>
      <w:r w:rsidRPr="003619C5">
        <w:rPr>
          <w:lang w:val="es-ES"/>
        </w:rPr>
        <w:t xml:space="preserve"> (CITES) (</w:t>
      </w:r>
      <w:r>
        <w:rPr>
          <w:lang w:val="es-ES"/>
        </w:rPr>
        <w:t>en nombre del Grupo de Enlace de las Convenciones relacionadas con la diversidad biológica</w:t>
      </w:r>
      <w:r w:rsidR="009134BF" w:rsidRPr="00A474E9">
        <w:rPr>
          <w:lang w:val="es-ES"/>
        </w:rPr>
        <w:t>).</w:t>
      </w:r>
    </w:p>
    <w:p w:rsidR="009134BF" w:rsidRPr="00A474E9" w:rsidRDefault="00A474E9" w:rsidP="000C6220">
      <w:pPr>
        <w:pStyle w:val="Para1"/>
        <w:tabs>
          <w:tab w:val="clear" w:pos="360"/>
          <w:tab w:val="clear" w:pos="567"/>
          <w:tab w:val="clear" w:pos="2912"/>
        </w:tabs>
        <w:spacing w:line="240" w:lineRule="auto"/>
        <w:rPr>
          <w:lang w:val="es-ES"/>
        </w:rPr>
      </w:pPr>
      <w:r w:rsidRPr="00DC2C63">
        <w:rPr>
          <w:lang w:val="es-ES"/>
        </w:rPr>
        <w:t xml:space="preserve">También formularon declaraciones los representantes de </w:t>
      </w:r>
      <w:r w:rsidRPr="00DC2C63">
        <w:rPr>
          <w:szCs w:val="22"/>
          <w:lang w:val="es-ES"/>
        </w:rPr>
        <w:t>BirdLife International (también en nombre de Conservation International, GYBN, el Fondo Internacional para el Bienestar Animal (IFAW, por sus siglas en inglés), Rare, la Royal Society for the Protection of Birds (RSPB), The Nature Conservancy, The Pew Charitable Trusts y WWF), Amigos de la Tierra Internacional (también en nombre de EcoNexus, la Red Europea para la Reflexión y la Acci</w:t>
      </w:r>
      <w:r>
        <w:rPr>
          <w:szCs w:val="22"/>
          <w:lang w:val="es-ES"/>
        </w:rPr>
        <w:t xml:space="preserve">ón </w:t>
      </w:r>
      <w:r w:rsidRPr="00DC2C63">
        <w:rPr>
          <w:szCs w:val="22"/>
          <w:lang w:val="es-ES"/>
        </w:rPr>
        <w:t>Ecológic</w:t>
      </w:r>
      <w:r>
        <w:rPr>
          <w:szCs w:val="22"/>
          <w:lang w:val="es-ES"/>
        </w:rPr>
        <w:t>as</w:t>
      </w:r>
      <w:r w:rsidRPr="00DC2C63">
        <w:rPr>
          <w:szCs w:val="22"/>
          <w:lang w:val="es-ES"/>
        </w:rPr>
        <w:t xml:space="preserve"> (ECOROPA), Forests of the World, </w:t>
      </w:r>
      <w:r w:rsidRPr="00DC2C63">
        <w:rPr>
          <w:rFonts w:eastAsia="Times New Roman"/>
          <w:bCs/>
          <w:szCs w:val="22"/>
          <w:shd w:val="clear" w:color="auto" w:fill="FFFFFF"/>
          <w:lang w:val="es-ES"/>
        </w:rPr>
        <w:t>Fundación</w:t>
      </w:r>
      <w:r w:rsidRPr="00DC2C63">
        <w:rPr>
          <w:rFonts w:eastAsia="Times New Roman"/>
          <w:szCs w:val="22"/>
          <w:shd w:val="clear" w:color="auto" w:fill="FFFFFF"/>
          <w:lang w:val="es-ES"/>
        </w:rPr>
        <w:t xml:space="preserve"> Ambiente y </w:t>
      </w:r>
      <w:r w:rsidRPr="00DC2C63">
        <w:rPr>
          <w:rFonts w:eastAsia="Times New Roman"/>
          <w:bCs/>
          <w:szCs w:val="22"/>
          <w:shd w:val="clear" w:color="auto" w:fill="FFFFFF"/>
          <w:lang w:val="es-ES"/>
        </w:rPr>
        <w:t>Recursos Naturales (FARN)</w:t>
      </w:r>
      <w:r w:rsidRPr="00DC2C63">
        <w:rPr>
          <w:rFonts w:eastAsia="Times New Roman"/>
          <w:bCs/>
          <w:color w:val="6A6A6A"/>
          <w:szCs w:val="22"/>
          <w:shd w:val="clear" w:color="auto" w:fill="FFFFFF"/>
          <w:lang w:val="es-ES"/>
        </w:rPr>
        <w:t xml:space="preserve"> </w:t>
      </w:r>
      <w:r>
        <w:rPr>
          <w:rFonts w:eastAsia="Times New Roman"/>
          <w:szCs w:val="22"/>
          <w:lang w:val="es-ES"/>
        </w:rPr>
        <w:t>y la Coalición Mundial de Bosques</w:t>
      </w:r>
      <w:r w:rsidRPr="00DC2C63">
        <w:rPr>
          <w:szCs w:val="22"/>
          <w:lang w:val="es-ES"/>
        </w:rPr>
        <w:t xml:space="preserve">), </w:t>
      </w:r>
      <w:r>
        <w:rPr>
          <w:szCs w:val="22"/>
          <w:lang w:val="es-ES"/>
        </w:rPr>
        <w:t xml:space="preserve">el Grupo de Observaciones de la Tierra – Red de Observación de la Diversidad Biológica </w:t>
      </w:r>
      <w:r w:rsidRPr="00DC2C63">
        <w:rPr>
          <w:szCs w:val="22"/>
          <w:lang w:val="es-ES"/>
        </w:rPr>
        <w:t xml:space="preserve">(GEO BON), GYBN, </w:t>
      </w:r>
      <w:r>
        <w:rPr>
          <w:szCs w:val="22"/>
          <w:lang w:val="es-ES"/>
        </w:rPr>
        <w:t>el Comité Internacional para la Soberanía Alimentaria</w:t>
      </w:r>
      <w:r w:rsidRPr="00DC2C63">
        <w:rPr>
          <w:szCs w:val="22"/>
          <w:lang w:val="es-ES"/>
        </w:rPr>
        <w:t xml:space="preserve">, </w:t>
      </w:r>
      <w:r>
        <w:rPr>
          <w:szCs w:val="22"/>
          <w:lang w:val="es-ES"/>
        </w:rPr>
        <w:t>el FIIB</w:t>
      </w:r>
      <w:r w:rsidRPr="00DC2C63">
        <w:rPr>
          <w:szCs w:val="22"/>
          <w:lang w:val="es-ES"/>
        </w:rPr>
        <w:t xml:space="preserve">, </w:t>
      </w:r>
      <w:r>
        <w:rPr>
          <w:szCs w:val="22"/>
          <w:lang w:val="es-ES"/>
        </w:rPr>
        <w:t>la Unión Internacional para la Conservación de la Naturaleza</w:t>
      </w:r>
      <w:r w:rsidRPr="00DC2C63">
        <w:rPr>
          <w:szCs w:val="22"/>
          <w:lang w:val="es-ES"/>
        </w:rPr>
        <w:t xml:space="preserve"> (</w:t>
      </w:r>
      <w:r>
        <w:rPr>
          <w:szCs w:val="22"/>
          <w:lang w:val="es-ES"/>
        </w:rPr>
        <w:t>UI</w:t>
      </w:r>
      <w:r w:rsidRPr="00DC2C63">
        <w:rPr>
          <w:szCs w:val="22"/>
          <w:lang w:val="es-ES"/>
        </w:rPr>
        <w:t xml:space="preserve">CN), </w:t>
      </w:r>
      <w:r>
        <w:rPr>
          <w:szCs w:val="22"/>
          <w:lang w:val="es-ES"/>
        </w:rPr>
        <w:t xml:space="preserve">el Instituto para el Estudio Avanzado de la Sostenibilidad de la Universidad de las Naciones Unidas </w:t>
      </w:r>
      <w:r w:rsidRPr="00DC2C63">
        <w:rPr>
          <w:szCs w:val="22"/>
          <w:lang w:val="es-ES"/>
        </w:rPr>
        <w:t>(UNU</w:t>
      </w:r>
      <w:r w:rsidRPr="00DC2C63">
        <w:rPr>
          <w:szCs w:val="22"/>
          <w:lang w:val="es-ES"/>
        </w:rPr>
        <w:noBreakHyphen/>
        <w:t>IAS)</w:t>
      </w:r>
      <w:r>
        <w:rPr>
          <w:szCs w:val="22"/>
          <w:lang w:val="es-ES"/>
        </w:rPr>
        <w:t xml:space="preserve"> y el </w:t>
      </w:r>
      <w:r w:rsidRPr="00DC2C63">
        <w:rPr>
          <w:szCs w:val="22"/>
          <w:lang w:val="es-ES"/>
        </w:rPr>
        <w:t>WWF</w:t>
      </w:r>
      <w:r w:rsidR="009134BF" w:rsidRPr="00A474E9">
        <w:rPr>
          <w:lang w:val="es-ES"/>
        </w:rPr>
        <w:t>.</w:t>
      </w:r>
    </w:p>
    <w:p w:rsidR="00427165" w:rsidRPr="00A474E9" w:rsidRDefault="00A474E9" w:rsidP="000C6220">
      <w:pPr>
        <w:pStyle w:val="Para1"/>
        <w:tabs>
          <w:tab w:val="clear" w:pos="360"/>
          <w:tab w:val="clear" w:pos="567"/>
          <w:tab w:val="clear" w:pos="2912"/>
        </w:tabs>
        <w:spacing w:line="240" w:lineRule="auto"/>
        <w:rPr>
          <w:lang w:val="es-ES"/>
        </w:rPr>
      </w:pPr>
      <w:r w:rsidRPr="009750DC">
        <w:rPr>
          <w:lang w:val="es-ES"/>
        </w:rPr>
        <w:t xml:space="preserve">Teniendo en cuenta las opiniones expresadas, la Conferencia de las Partes que actúa como reunión de las Partes </w:t>
      </w:r>
      <w:r>
        <w:rPr>
          <w:lang w:val="es-ES"/>
        </w:rPr>
        <w:t xml:space="preserve">en el Protocolo de Nagoya </w:t>
      </w:r>
      <w:r w:rsidRPr="009750DC">
        <w:rPr>
          <w:lang w:val="es-ES"/>
        </w:rPr>
        <w:t>acord</w:t>
      </w:r>
      <w:r>
        <w:rPr>
          <w:lang w:val="es-ES"/>
        </w:rPr>
        <w:t>ó crear un grupo de contacto</w:t>
      </w:r>
      <w:r w:rsidRPr="009750DC">
        <w:rPr>
          <w:lang w:val="es-ES"/>
        </w:rPr>
        <w:t xml:space="preserve">, </w:t>
      </w:r>
      <w:r>
        <w:rPr>
          <w:lang w:val="es-ES"/>
        </w:rPr>
        <w:t>presidido por la Sra</w:t>
      </w:r>
      <w:r w:rsidRPr="009750DC">
        <w:rPr>
          <w:lang w:val="es-ES"/>
        </w:rPr>
        <w:t>. Charlotta Sörqvist (S</w:t>
      </w:r>
      <w:r>
        <w:rPr>
          <w:lang w:val="es-ES"/>
        </w:rPr>
        <w:t>uecia</w:t>
      </w:r>
      <w:r w:rsidRPr="009750DC">
        <w:rPr>
          <w:lang w:val="es-ES"/>
        </w:rPr>
        <w:t xml:space="preserve">), </w:t>
      </w:r>
      <w:r>
        <w:rPr>
          <w:lang w:val="es-ES"/>
        </w:rPr>
        <w:t xml:space="preserve">para debatir sobre el proceso preliminar para el marco mundial de la diversidad biológica posterior a  </w:t>
      </w:r>
      <w:r w:rsidR="00427165" w:rsidRPr="00A474E9">
        <w:rPr>
          <w:lang w:val="es-ES"/>
        </w:rPr>
        <w:t>2020.</w:t>
      </w:r>
    </w:p>
    <w:p w:rsidR="00427165" w:rsidRPr="00A474E9" w:rsidRDefault="00A474E9" w:rsidP="000C6220">
      <w:pPr>
        <w:pStyle w:val="Para1"/>
        <w:tabs>
          <w:tab w:val="clear" w:pos="360"/>
          <w:tab w:val="clear" w:pos="567"/>
          <w:tab w:val="clear" w:pos="2912"/>
        </w:tabs>
        <w:spacing w:line="240" w:lineRule="auto"/>
        <w:rPr>
          <w:lang w:val="es-ES"/>
        </w:rPr>
      </w:pPr>
      <w:r w:rsidRPr="009750DC">
        <w:rPr>
          <w:lang w:val="es-ES"/>
        </w:rPr>
        <w:t>En la 4ª sesión plenaria de la reunión, el 22 de noviembre de 2018, la presidenta del grupo de contacto inform</w:t>
      </w:r>
      <w:r>
        <w:rPr>
          <w:lang w:val="es-ES"/>
        </w:rPr>
        <w:t>ó sobre los progresos realizados</w:t>
      </w:r>
      <w:r w:rsidR="00427165" w:rsidRPr="00A474E9">
        <w:rPr>
          <w:lang w:val="es-ES"/>
        </w:rPr>
        <w:t>.</w:t>
      </w:r>
    </w:p>
    <w:p w:rsidR="00427165" w:rsidRPr="00914903" w:rsidRDefault="00914903" w:rsidP="000C6220">
      <w:pPr>
        <w:pStyle w:val="Para1"/>
        <w:tabs>
          <w:tab w:val="clear" w:pos="360"/>
          <w:tab w:val="clear" w:pos="567"/>
          <w:tab w:val="clear" w:pos="2912"/>
        </w:tabs>
        <w:spacing w:line="240" w:lineRule="auto"/>
        <w:rPr>
          <w:color w:val="000000"/>
          <w:lang w:val="es-ES"/>
        </w:rPr>
      </w:pPr>
      <w:r w:rsidRPr="009750DC">
        <w:rPr>
          <w:lang w:val="es-ES"/>
        </w:rPr>
        <w:t>En la 5ª sesión plenaria de la reunión, el 25 de noviembre de 2018, la Conferencia de las Partes que act</w:t>
      </w:r>
      <w:r>
        <w:rPr>
          <w:lang w:val="es-ES"/>
        </w:rPr>
        <w:t>úa como reunión de las Partes en el Protocolo de Nagoya escuchó otro informe de la presidenta del grupo de contacto</w:t>
      </w:r>
      <w:r w:rsidR="00427165" w:rsidRPr="00914903">
        <w:rPr>
          <w:lang w:val="es-ES"/>
        </w:rPr>
        <w:t>.</w:t>
      </w:r>
    </w:p>
    <w:p w:rsidR="00427165" w:rsidRPr="00914903" w:rsidRDefault="00914903" w:rsidP="000C6220">
      <w:pPr>
        <w:pStyle w:val="Para1"/>
        <w:tabs>
          <w:tab w:val="clear" w:pos="360"/>
          <w:tab w:val="clear" w:pos="567"/>
          <w:tab w:val="clear" w:pos="2912"/>
        </w:tabs>
        <w:spacing w:line="240" w:lineRule="auto"/>
        <w:rPr>
          <w:color w:val="000000"/>
          <w:lang w:val="es-ES"/>
        </w:rPr>
      </w:pPr>
      <w:bookmarkStart w:id="46" w:name="_Hlk532983213"/>
      <w:r w:rsidRPr="009750DC">
        <w:rPr>
          <w:lang w:val="es-ES"/>
        </w:rPr>
        <w:t xml:space="preserve">El representante de Noruega informó a la Conferencia de las Partes que actúa como reunión de las Partes </w:t>
      </w:r>
      <w:r>
        <w:rPr>
          <w:lang w:val="es-ES"/>
        </w:rPr>
        <w:t xml:space="preserve">en el Protocolo de Nagoya </w:t>
      </w:r>
      <w:r w:rsidRPr="009750DC">
        <w:rPr>
          <w:lang w:val="es-ES"/>
        </w:rPr>
        <w:t xml:space="preserve">que, </w:t>
      </w:r>
      <w:r>
        <w:rPr>
          <w:lang w:val="es-ES"/>
        </w:rPr>
        <w:t>previa</w:t>
      </w:r>
      <w:r w:rsidRPr="009750DC">
        <w:rPr>
          <w:lang w:val="es-ES"/>
        </w:rPr>
        <w:t xml:space="preserve"> aprobación parlamentaria, Noruega donaría 350</w:t>
      </w:r>
      <w:r>
        <w:rPr>
          <w:lang w:val="es-ES"/>
        </w:rPr>
        <w:t xml:space="preserve"> </w:t>
      </w:r>
      <w:r w:rsidRPr="009750DC">
        <w:rPr>
          <w:lang w:val="es-ES"/>
        </w:rPr>
        <w:t>000 $</w:t>
      </w:r>
      <w:r>
        <w:rPr>
          <w:lang w:val="es-ES"/>
        </w:rPr>
        <w:t xml:space="preserve"> para talleres regionales en África, la región de América Latina y el Caribe y la región de Asia y el Pacífico, como </w:t>
      </w:r>
      <w:r>
        <w:rPr>
          <w:lang w:val="es-ES"/>
        </w:rPr>
        <w:lastRenderedPageBreak/>
        <w:t>contribución para futuros debates sobre el marco posterior a 2020</w:t>
      </w:r>
      <w:r w:rsidRPr="009750DC">
        <w:rPr>
          <w:lang w:val="es-ES"/>
        </w:rPr>
        <w:t xml:space="preserve">. </w:t>
      </w:r>
      <w:r w:rsidRPr="00914903">
        <w:rPr>
          <w:lang w:val="es-ES"/>
        </w:rPr>
        <w:t>También dijo que Noruega brindaría apoyo en materia de viajes a los delegados procedentes de países en desarrollo que asistieran a la novena Conferencia de Trondheim sobre Biodiversidad, que se celebrará en julio de 2019</w:t>
      </w:r>
      <w:r w:rsidR="00427165" w:rsidRPr="00914903">
        <w:rPr>
          <w:lang w:val="es-ES"/>
        </w:rPr>
        <w:t>.</w:t>
      </w:r>
    </w:p>
    <w:bookmarkEnd w:id="46"/>
    <w:p w:rsidR="00961BBA" w:rsidRPr="001956D6" w:rsidRDefault="001956D6" w:rsidP="000C6220">
      <w:pPr>
        <w:pStyle w:val="Para1"/>
        <w:tabs>
          <w:tab w:val="clear" w:pos="360"/>
          <w:tab w:val="clear" w:pos="567"/>
          <w:tab w:val="clear" w:pos="2912"/>
        </w:tabs>
        <w:spacing w:line="240" w:lineRule="auto"/>
        <w:rPr>
          <w:lang w:val="es-ES"/>
        </w:rPr>
      </w:pPr>
      <w:r w:rsidRPr="00DC2C63">
        <w:rPr>
          <w:lang w:val="es-ES"/>
        </w:rPr>
        <w:t>En la 6ª sesión plenaria de la reunión, el 28 de noviembre de 2018, la Conferencia de las Partes que act</w:t>
      </w:r>
      <w:r>
        <w:rPr>
          <w:lang w:val="es-ES"/>
        </w:rPr>
        <w:t>úa como reunión de las Partes reanudó el examen del proyecto de decisión sobre la cuestión</w:t>
      </w:r>
      <w:r w:rsidR="00961BBA" w:rsidRPr="001956D6">
        <w:rPr>
          <w:lang w:val="es-ES"/>
        </w:rPr>
        <w:t>.</w:t>
      </w:r>
    </w:p>
    <w:p w:rsidR="00961BBA" w:rsidRPr="001956D6" w:rsidRDefault="001956D6" w:rsidP="000C6220">
      <w:pPr>
        <w:pStyle w:val="Para1"/>
        <w:tabs>
          <w:tab w:val="clear" w:pos="360"/>
          <w:tab w:val="clear" w:pos="567"/>
          <w:tab w:val="clear" w:pos="2912"/>
        </w:tabs>
        <w:spacing w:line="240" w:lineRule="auto"/>
        <w:rPr>
          <w:lang w:val="es-ES"/>
        </w:rPr>
      </w:pPr>
      <w:r w:rsidRPr="00DC2C63">
        <w:rPr>
          <w:lang w:val="es-ES"/>
        </w:rPr>
        <w:t xml:space="preserve">Formularon declaraciones los representantes de Argentina, </w:t>
      </w:r>
      <w:r>
        <w:rPr>
          <w:lang w:val="es-ES"/>
        </w:rPr>
        <w:t xml:space="preserve">Gabón, Japón, México, Perú, Sudáfrica, Suiza y </w:t>
      </w:r>
      <w:r w:rsidRPr="00DC2C63">
        <w:rPr>
          <w:lang w:val="es-ES"/>
        </w:rPr>
        <w:t>la Uni</w:t>
      </w:r>
      <w:r>
        <w:rPr>
          <w:lang w:val="es-ES"/>
        </w:rPr>
        <w:t xml:space="preserve">ón Europea y sus </w:t>
      </w:r>
      <w:r w:rsidRPr="00DC2C63">
        <w:rPr>
          <w:lang w:val="es-ES"/>
        </w:rPr>
        <w:t xml:space="preserve">28 </w:t>
      </w:r>
      <w:r>
        <w:rPr>
          <w:lang w:val="es-ES"/>
        </w:rPr>
        <w:t>Estados miembros</w:t>
      </w:r>
      <w:r w:rsidR="00961BBA" w:rsidRPr="001956D6">
        <w:rPr>
          <w:lang w:val="es-ES"/>
        </w:rPr>
        <w:t>.</w:t>
      </w:r>
    </w:p>
    <w:p w:rsidR="00C576FA" w:rsidRPr="00936156" w:rsidRDefault="00936156" w:rsidP="000C6220">
      <w:pPr>
        <w:pStyle w:val="Para1"/>
        <w:tabs>
          <w:tab w:val="clear" w:pos="360"/>
          <w:tab w:val="clear" w:pos="567"/>
          <w:tab w:val="clear" w:pos="2912"/>
        </w:tabs>
        <w:spacing w:line="240" w:lineRule="auto"/>
        <w:rPr>
          <w:lang w:val="es-ES"/>
        </w:rPr>
      </w:pPr>
      <w:r w:rsidRPr="00936156">
        <w:rPr>
          <w:lang w:val="es-ES"/>
        </w:rPr>
        <w:t xml:space="preserve">Posteriormente, en la </w:t>
      </w:r>
      <w:r w:rsidR="00C576FA" w:rsidRPr="00936156">
        <w:rPr>
          <w:lang w:val="es-ES"/>
        </w:rPr>
        <w:t>8</w:t>
      </w:r>
      <w:r w:rsidRPr="00936156">
        <w:rPr>
          <w:lang w:val="es-ES"/>
        </w:rPr>
        <w:t xml:space="preserve">ª sesión plenaria, el </w:t>
      </w:r>
      <w:r w:rsidR="00C576FA" w:rsidRPr="00936156">
        <w:rPr>
          <w:lang w:val="es-ES"/>
        </w:rPr>
        <w:t xml:space="preserve">29 </w:t>
      </w:r>
      <w:r w:rsidRPr="00936156">
        <w:rPr>
          <w:lang w:val="es-ES"/>
        </w:rPr>
        <w:t xml:space="preserve">de noviembre de </w:t>
      </w:r>
      <w:r w:rsidR="00C576FA" w:rsidRPr="00936156">
        <w:rPr>
          <w:lang w:val="es-ES"/>
        </w:rPr>
        <w:t xml:space="preserve">2018, </w:t>
      </w:r>
      <w:r w:rsidRPr="00936156">
        <w:rPr>
          <w:lang w:val="es-ES"/>
        </w:rPr>
        <w:t>la</w:t>
      </w:r>
      <w:r w:rsidR="00C576FA" w:rsidRPr="00936156">
        <w:rPr>
          <w:lang w:val="es-ES"/>
        </w:rPr>
        <w:t xml:space="preserve"> Conferenc</w:t>
      </w:r>
      <w:r w:rsidRPr="00936156">
        <w:rPr>
          <w:lang w:val="es-ES"/>
        </w:rPr>
        <w:t xml:space="preserve">ia de las </w:t>
      </w:r>
      <w:r w:rsidR="00C576FA" w:rsidRPr="00936156">
        <w:rPr>
          <w:lang w:val="es-ES"/>
        </w:rPr>
        <w:t xml:space="preserve">Partes </w:t>
      </w:r>
      <w:r w:rsidRPr="00936156">
        <w:rPr>
          <w:lang w:val="es-ES"/>
        </w:rPr>
        <w:t>que act</w:t>
      </w:r>
      <w:r>
        <w:rPr>
          <w:lang w:val="es-ES"/>
        </w:rPr>
        <w:t xml:space="preserve">úa como reunión de las Partes en el Protocolo de </w:t>
      </w:r>
      <w:r w:rsidR="00ED13EC" w:rsidRPr="00936156">
        <w:rPr>
          <w:lang w:val="es-ES"/>
        </w:rPr>
        <w:t xml:space="preserve">Nagoya </w:t>
      </w:r>
      <w:r>
        <w:rPr>
          <w:lang w:val="es-ES"/>
        </w:rPr>
        <w:t>trató una versión revisada del proyecto de decisión</w:t>
      </w:r>
      <w:r w:rsidR="00C576FA" w:rsidRPr="00936156">
        <w:rPr>
          <w:lang w:val="es-ES"/>
        </w:rPr>
        <w:t xml:space="preserve">, </w:t>
      </w:r>
      <w:r>
        <w:rPr>
          <w:lang w:val="es-ES"/>
        </w:rPr>
        <w:t xml:space="preserve">presentado como proyecto de decisión </w:t>
      </w:r>
      <w:r w:rsidR="00C576FA" w:rsidRPr="00936156">
        <w:rPr>
          <w:lang w:val="es-ES"/>
        </w:rPr>
        <w:t>CBD/NP/MOP/3/L.12.</w:t>
      </w:r>
    </w:p>
    <w:p w:rsidR="00C576FA" w:rsidRPr="00936156" w:rsidRDefault="00936156" w:rsidP="000C6220">
      <w:pPr>
        <w:pStyle w:val="Para1"/>
        <w:tabs>
          <w:tab w:val="clear" w:pos="360"/>
          <w:tab w:val="clear" w:pos="567"/>
          <w:tab w:val="clear" w:pos="2912"/>
        </w:tabs>
        <w:spacing w:line="240" w:lineRule="auto"/>
        <w:rPr>
          <w:lang w:val="es-ES"/>
        </w:rPr>
      </w:pPr>
      <w:r>
        <w:rPr>
          <w:lang w:val="es-ES"/>
        </w:rPr>
        <w:t xml:space="preserve">Formularon declaraciones los representantes de México y la Unión Europea y sus </w:t>
      </w:r>
      <w:r w:rsidR="00C576FA" w:rsidRPr="00936156">
        <w:rPr>
          <w:lang w:val="es-ES"/>
        </w:rPr>
        <w:t>28</w:t>
      </w:r>
      <w:r>
        <w:rPr>
          <w:lang w:val="es-ES"/>
        </w:rPr>
        <w:t xml:space="preserve"> Estados miembros</w:t>
      </w:r>
      <w:r w:rsidR="00C576FA" w:rsidRPr="00936156">
        <w:rPr>
          <w:lang w:val="es-ES"/>
        </w:rPr>
        <w:t>.</w:t>
      </w:r>
    </w:p>
    <w:p w:rsidR="009134BF" w:rsidRPr="00936156" w:rsidRDefault="00936156" w:rsidP="000C6220">
      <w:pPr>
        <w:pStyle w:val="Para1"/>
        <w:tabs>
          <w:tab w:val="clear" w:pos="360"/>
          <w:tab w:val="clear" w:pos="567"/>
          <w:tab w:val="clear" w:pos="2912"/>
        </w:tabs>
        <w:spacing w:line="240" w:lineRule="auto"/>
        <w:rPr>
          <w:lang w:val="es-ES"/>
        </w:rPr>
      </w:pPr>
      <w:r w:rsidRPr="00936156">
        <w:rPr>
          <w:lang w:val="es-ES"/>
        </w:rPr>
        <w:t>La Conferencia de las Partes que actúa como reunión de las Partes en el Protocolo de Nag</w:t>
      </w:r>
      <w:r w:rsidR="004C090E" w:rsidRPr="00936156">
        <w:rPr>
          <w:lang w:val="es-ES"/>
        </w:rPr>
        <w:t>oya</w:t>
      </w:r>
      <w:r>
        <w:rPr>
          <w:lang w:val="es-ES"/>
        </w:rPr>
        <w:t xml:space="preserve"> adoptó el proyecto de decisión, </w:t>
      </w:r>
      <w:r w:rsidRPr="00BD1CDE">
        <w:rPr>
          <w:rFonts w:eastAsia="MS Mincho"/>
          <w:lang w:val="es-ES"/>
        </w:rPr>
        <w:t>con las enmiendas efectuadas oralmente</w:t>
      </w:r>
      <w:r w:rsidR="00C576FA" w:rsidRPr="00936156">
        <w:rPr>
          <w:lang w:val="es-ES"/>
        </w:rPr>
        <w:t xml:space="preserve">, </w:t>
      </w:r>
      <w:r>
        <w:rPr>
          <w:lang w:val="es-ES"/>
        </w:rPr>
        <w:t>como decisión</w:t>
      </w:r>
      <w:r w:rsidR="00C576FA" w:rsidRPr="00936156">
        <w:rPr>
          <w:lang w:val="es-ES"/>
        </w:rPr>
        <w:t xml:space="preserve"> NP-3/15 (</w:t>
      </w:r>
      <w:r>
        <w:rPr>
          <w:lang w:val="es-ES"/>
        </w:rPr>
        <w:t xml:space="preserve">para el texto, véase el capítulo </w:t>
      </w:r>
      <w:r w:rsidR="00C576FA" w:rsidRPr="00936156">
        <w:rPr>
          <w:lang w:val="es-ES"/>
        </w:rPr>
        <w:t>I).</w:t>
      </w:r>
    </w:p>
    <w:p w:rsidR="00475D73" w:rsidRPr="00936156" w:rsidRDefault="00936156" w:rsidP="000C6220">
      <w:pPr>
        <w:pStyle w:val="Heading1-item"/>
        <w:tabs>
          <w:tab w:val="left" w:pos="1134"/>
        </w:tabs>
        <w:spacing w:before="120" w:line="240" w:lineRule="auto"/>
        <w:ind w:right="0"/>
        <w:rPr>
          <w:rFonts w:hint="eastAsia"/>
          <w:lang w:val="es-ES"/>
        </w:rPr>
      </w:pPr>
      <w:bookmarkStart w:id="47" w:name="_Toc256234"/>
      <w:r>
        <w:rPr>
          <w:rFonts w:ascii="Times New Roman" w:hAnsi="Times New Roman" w:cs="Times New Roman"/>
          <w:lang w:val="es-ES"/>
        </w:rPr>
        <w:t>TEMA</w:t>
      </w:r>
      <w:r w:rsidR="00475D73" w:rsidRPr="00936156">
        <w:rPr>
          <w:rFonts w:ascii="Times New Roman" w:hAnsi="Times New Roman" w:cs="Times New Roman"/>
          <w:lang w:val="es-ES"/>
        </w:rPr>
        <w:t xml:space="preserve"> 17.</w:t>
      </w:r>
      <w:r w:rsidR="00475D73" w:rsidRPr="00936156">
        <w:rPr>
          <w:rFonts w:ascii="Times New Roman" w:hAnsi="Times New Roman" w:cs="Times New Roman"/>
          <w:lang w:val="es-ES"/>
        </w:rPr>
        <w:tab/>
      </w:r>
      <w:r w:rsidRPr="00936156">
        <w:rPr>
          <w:rFonts w:ascii="Times New Roman" w:hAnsi="Times New Roman" w:cs="Times New Roman"/>
          <w:lang w:val="es-ES"/>
        </w:rPr>
        <w:t>INFORMACIÓN DIGITAL SOBRE SECUENCIAS DE RECURSOS GEN</w:t>
      </w:r>
      <w:r>
        <w:rPr>
          <w:rFonts w:ascii="Times New Roman" w:hAnsi="Times New Roman" w:cs="Times New Roman"/>
          <w:lang w:val="es-ES"/>
        </w:rPr>
        <w:t>ÉTICOS</w:t>
      </w:r>
      <w:bookmarkEnd w:id="47"/>
    </w:p>
    <w:p w:rsidR="002437E5" w:rsidRPr="004A0E10" w:rsidRDefault="004A0E10" w:rsidP="000C6220">
      <w:pPr>
        <w:pStyle w:val="Para1"/>
        <w:tabs>
          <w:tab w:val="clear" w:pos="360"/>
          <w:tab w:val="clear" w:pos="567"/>
          <w:tab w:val="clear" w:pos="2912"/>
        </w:tabs>
        <w:spacing w:line="240" w:lineRule="auto"/>
        <w:rPr>
          <w:szCs w:val="22"/>
          <w:lang w:val="es-ES"/>
        </w:rPr>
      </w:pPr>
      <w:r w:rsidRPr="00BD1CDE">
        <w:rPr>
          <w:rFonts w:eastAsia="MS Mincho"/>
          <w:lang w:val="es-ES"/>
        </w:rPr>
        <w:t>El Grupo de Trabajo I comenzó a tratar el tema 17 del programa en su segunda reunión, el 18 de noviembre de 2018</w:t>
      </w:r>
      <w:r>
        <w:rPr>
          <w:rFonts w:eastAsia="MS Mincho"/>
          <w:lang w:val="es-ES"/>
        </w:rPr>
        <w:t xml:space="preserve"> en conjunto con el tema 18 del programa de la Conferencia de las Partes</w:t>
      </w:r>
      <w:r w:rsidRPr="00BD1CDE">
        <w:rPr>
          <w:rFonts w:eastAsia="MS Mincho"/>
          <w:lang w:val="es-ES"/>
        </w:rPr>
        <w:t>. Para examinar este tema, el Grupo de Trabajo tuvo ante sí un</w:t>
      </w:r>
      <w:r>
        <w:rPr>
          <w:rFonts w:eastAsia="MS Mincho"/>
          <w:lang w:val="es-ES"/>
        </w:rPr>
        <w:t xml:space="preserve"> proyecto de decisión basado en la recomendación </w:t>
      </w:r>
      <w:r w:rsidRPr="004A0E10">
        <w:rPr>
          <w:szCs w:val="22"/>
          <w:lang w:val="es-ES"/>
        </w:rPr>
        <w:t>SBSTTA-22/1</w:t>
      </w:r>
      <w:r>
        <w:rPr>
          <w:szCs w:val="22"/>
          <w:lang w:val="es-ES"/>
        </w:rPr>
        <w:t xml:space="preserve">, </w:t>
      </w:r>
      <w:r w:rsidRPr="00BD1CDE">
        <w:rPr>
          <w:rFonts w:eastAsia="MS Mincho"/>
          <w:lang w:val="es-ES"/>
        </w:rPr>
        <w:t xml:space="preserve">que figura en la recopilación de proyectos de decisión </w:t>
      </w:r>
      <w:r w:rsidR="008D087C" w:rsidRPr="004A0E10">
        <w:rPr>
          <w:szCs w:val="22"/>
          <w:lang w:val="es-ES"/>
        </w:rPr>
        <w:t xml:space="preserve">(CBD/NP/MOP/3/1/Add.2). </w:t>
      </w:r>
      <w:r w:rsidRPr="004A0E10">
        <w:rPr>
          <w:szCs w:val="22"/>
          <w:lang w:val="es-ES"/>
        </w:rPr>
        <w:t xml:space="preserve">Los siguientes documentos también se publicaron para información de la reunión de las </w:t>
      </w:r>
      <w:r w:rsidR="008D087C" w:rsidRPr="004A0E10">
        <w:rPr>
          <w:szCs w:val="22"/>
          <w:lang w:val="es-ES"/>
        </w:rPr>
        <w:t xml:space="preserve">Partes: </w:t>
      </w:r>
      <w:r w:rsidRPr="00BD1CDE">
        <w:rPr>
          <w:rFonts w:eastAsia="MS Mincho"/>
          <w:lang w:val="es-ES"/>
        </w:rPr>
        <w:t>una síntesis de opiniones e información sobre las posibles repercusiones del uso de información digital sobre secuencias de recursos genéticos para los tres objetivos del Convenio y el objetivo del Protocolo de Nagoya (CBD/DSI/AHTEG/2018/1/2); estudios de caso y ejemplos del uso de información digital sobre secuencias de recursos genéticos en relación con los objetivos del Convenio y el Protocolo de Nagoya (CBD/DSI/AHTEG/2018/1/2/Add.1); información digital sobre secuencias de recursos genéticos en los procesos internacionales en curso y en los debates de política pertinentes (CBD/DSI/AHTEG/2018/1/2/Add.2); un estudio exploratorio y de alcance sobre información digital sobre secuencias de recursos genéticos en el contexto del Convenio sobre la Diversidad Biológica y el Protocolo de Nagoya (CBD/DSI/AHTEG/2018/1/3)</w:t>
      </w:r>
      <w:r>
        <w:rPr>
          <w:rFonts w:eastAsia="MS Mincho"/>
          <w:lang w:val="es-ES"/>
        </w:rPr>
        <w:t xml:space="preserve">; y una presentación de la secretaría de la </w:t>
      </w:r>
      <w:r w:rsidRPr="00103F58">
        <w:rPr>
          <w:lang w:val="es-ES"/>
        </w:rPr>
        <w:t>Com</w:t>
      </w:r>
      <w:r>
        <w:rPr>
          <w:lang w:val="es-ES"/>
        </w:rPr>
        <w:t xml:space="preserve">isión de Recursos Genéticos para la Alimentación y la Agricultura </w:t>
      </w:r>
      <w:r w:rsidR="00427165" w:rsidRPr="004A0E10">
        <w:rPr>
          <w:szCs w:val="22"/>
          <w:lang w:val="es-ES"/>
        </w:rPr>
        <w:t>(CBD/COP/14/INF/29).</w:t>
      </w:r>
    </w:p>
    <w:p w:rsidR="002437E5" w:rsidRPr="004A0E10" w:rsidRDefault="004A0E10" w:rsidP="00524ED6">
      <w:pPr>
        <w:pStyle w:val="Para1"/>
        <w:tabs>
          <w:tab w:val="clear" w:pos="360"/>
          <w:tab w:val="clear" w:pos="567"/>
          <w:tab w:val="clear" w:pos="2912"/>
          <w:tab w:val="left" w:pos="6663"/>
        </w:tabs>
        <w:spacing w:line="240" w:lineRule="auto"/>
        <w:rPr>
          <w:szCs w:val="22"/>
          <w:lang w:val="es-ES"/>
        </w:rPr>
      </w:pPr>
      <w:r w:rsidRPr="00BD1CDE">
        <w:rPr>
          <w:rFonts w:eastAsia="MS Mincho"/>
          <w:lang w:val="es-ES"/>
        </w:rPr>
        <w:t xml:space="preserve">Formularon declaraciones los representantes de Argentina, Belarús, Bolivia (Estado Plurinacional de), Botswana, Camerún, China, </w:t>
      </w:r>
      <w:r>
        <w:rPr>
          <w:rFonts w:eastAsia="MS Mincho"/>
          <w:lang w:val="es-ES"/>
        </w:rPr>
        <w:t xml:space="preserve">la </w:t>
      </w:r>
      <w:r w:rsidRPr="00BD1CDE">
        <w:rPr>
          <w:rFonts w:eastAsia="MS Mincho"/>
          <w:lang w:val="es-ES"/>
        </w:rPr>
        <w:t xml:space="preserve">República Dominicana, Ecuador, Etiopía, </w:t>
      </w:r>
      <w:r>
        <w:rPr>
          <w:rFonts w:eastAsia="MS Mincho"/>
          <w:lang w:val="es-ES"/>
        </w:rPr>
        <w:t xml:space="preserve">Filipinas </w:t>
      </w:r>
      <w:r w:rsidRPr="00BD1CDE">
        <w:rPr>
          <w:rFonts w:eastAsia="MS Mincho"/>
          <w:lang w:val="es-ES"/>
        </w:rPr>
        <w:t>Guatemala, Guinea-Bissau, India, Indonesia, Japón, Jordania, Kenya, Madagascar, Malawi (</w:t>
      </w:r>
      <w:r w:rsidR="00524ED6">
        <w:rPr>
          <w:lang w:val="es-ES"/>
        </w:rPr>
        <w:t>en nombre del Grupo de Estados de África</w:t>
      </w:r>
      <w:r w:rsidRPr="00BD1CDE">
        <w:rPr>
          <w:rFonts w:eastAsia="MS Mincho"/>
          <w:lang w:val="es-ES"/>
        </w:rPr>
        <w:t xml:space="preserve">), Malasia, México, Noruega, Perú, </w:t>
      </w:r>
      <w:r>
        <w:rPr>
          <w:rFonts w:eastAsia="MS Mincho"/>
          <w:lang w:val="es-ES"/>
        </w:rPr>
        <w:t xml:space="preserve">la </w:t>
      </w:r>
      <w:r w:rsidRPr="00BD1CDE">
        <w:rPr>
          <w:rFonts w:eastAsia="MS Mincho"/>
          <w:lang w:val="es-ES"/>
        </w:rPr>
        <w:t>República de Corea, Senegal, Sudáfrica, Sudán,</w:t>
      </w:r>
      <w:r>
        <w:rPr>
          <w:rFonts w:eastAsia="MS Mincho"/>
          <w:lang w:val="es-ES"/>
        </w:rPr>
        <w:t xml:space="preserve"> Suiza, Togo</w:t>
      </w:r>
      <w:r w:rsidRPr="00BD1CDE">
        <w:rPr>
          <w:rFonts w:eastAsia="MS Mincho"/>
          <w:lang w:val="es-ES"/>
        </w:rPr>
        <w:t xml:space="preserve">, Uganda, </w:t>
      </w:r>
      <w:r>
        <w:rPr>
          <w:rFonts w:eastAsia="MS Mincho"/>
          <w:lang w:val="es-ES"/>
        </w:rPr>
        <w:t xml:space="preserve">la </w:t>
      </w:r>
      <w:r w:rsidRPr="00BD1CDE">
        <w:rPr>
          <w:rFonts w:eastAsia="MS Mincho"/>
          <w:lang w:val="es-ES"/>
        </w:rPr>
        <w:t>República Unida de Tanzania, la Unión Europea y sus 28 Estados miembros, Uruguay y Venezuela (República Bolivariana de</w:t>
      </w:r>
      <w:r>
        <w:rPr>
          <w:szCs w:val="22"/>
          <w:lang w:val="es-ES"/>
        </w:rPr>
        <w:t>)</w:t>
      </w:r>
      <w:r w:rsidR="002437E5" w:rsidRPr="004A0E10">
        <w:rPr>
          <w:szCs w:val="22"/>
          <w:lang w:val="es-ES"/>
        </w:rPr>
        <w:t>.</w:t>
      </w:r>
    </w:p>
    <w:p w:rsidR="002437E5" w:rsidRPr="004D1F52" w:rsidRDefault="004D1F52" w:rsidP="000C6220">
      <w:pPr>
        <w:pStyle w:val="Para1"/>
        <w:tabs>
          <w:tab w:val="clear" w:pos="360"/>
          <w:tab w:val="clear" w:pos="567"/>
          <w:tab w:val="clear" w:pos="2912"/>
        </w:tabs>
        <w:spacing w:line="240" w:lineRule="auto"/>
        <w:rPr>
          <w:szCs w:val="22"/>
          <w:lang w:val="es-ES"/>
        </w:rPr>
      </w:pPr>
      <w:r w:rsidRPr="00BD1CDE">
        <w:rPr>
          <w:rFonts w:eastAsia="MS Mincho"/>
          <w:lang w:val="es-ES"/>
        </w:rPr>
        <w:t>Asimismo, formularon declaraciones los representantes de Brasil (en nombre d</w:t>
      </w:r>
      <w:r>
        <w:rPr>
          <w:rFonts w:eastAsia="MS Mincho"/>
          <w:lang w:val="es-ES"/>
        </w:rPr>
        <w:t>el Grupo de</w:t>
      </w:r>
      <w:r w:rsidRPr="00BD1CDE">
        <w:rPr>
          <w:rFonts w:eastAsia="MS Mincho"/>
          <w:lang w:val="es-ES"/>
        </w:rPr>
        <w:t xml:space="preserve"> Países Megadiversos Afines), Canadá, Colombia, Costa Rica, Marruecos, Nueva Zelanda, Tailandia y Turquía</w:t>
      </w:r>
      <w:r w:rsidR="002437E5" w:rsidRPr="004D1F52">
        <w:rPr>
          <w:szCs w:val="22"/>
          <w:lang w:val="es-ES"/>
        </w:rPr>
        <w:t>.</w:t>
      </w:r>
    </w:p>
    <w:p w:rsidR="002437E5" w:rsidRPr="004D1F52" w:rsidRDefault="004D1F52" w:rsidP="000C6220">
      <w:pPr>
        <w:pStyle w:val="Para1"/>
        <w:tabs>
          <w:tab w:val="clear" w:pos="360"/>
          <w:tab w:val="clear" w:pos="567"/>
          <w:tab w:val="clear" w:pos="2912"/>
        </w:tabs>
        <w:spacing w:line="240" w:lineRule="auto"/>
        <w:rPr>
          <w:szCs w:val="22"/>
          <w:lang w:val="es-ES"/>
        </w:rPr>
      </w:pPr>
      <w:r w:rsidRPr="00BD1CDE">
        <w:rPr>
          <w:rFonts w:eastAsia="MS Mincho"/>
          <w:lang w:val="es-ES"/>
        </w:rPr>
        <w:t>También intervinieron los representantes de la Unión Africana, la División de Asuntos Oceánicos y del Derecho del Mar (DOALOS)</w:t>
      </w:r>
      <w:r>
        <w:rPr>
          <w:rFonts w:eastAsia="MS Mincho"/>
          <w:lang w:val="es-ES"/>
        </w:rPr>
        <w:t xml:space="preserve"> de la Oficina de Asuntos Jurídicos de las Naciones Unidas</w:t>
      </w:r>
      <w:r w:rsidRPr="00BD1CDE">
        <w:rPr>
          <w:rFonts w:eastAsia="MS Mincho"/>
          <w:lang w:val="es-ES"/>
        </w:rPr>
        <w:t>, la Organización Mundial de la Salud (OMS) y la Organización Mundial de la Propiedad Intelectual (OMPI</w:t>
      </w:r>
      <w:r>
        <w:rPr>
          <w:rFonts w:eastAsia="MS Mincho"/>
          <w:lang w:val="es-ES"/>
        </w:rPr>
        <w:t>)</w:t>
      </w:r>
      <w:r w:rsidR="002437E5" w:rsidRPr="004D1F52">
        <w:rPr>
          <w:szCs w:val="22"/>
          <w:shd w:val="clear" w:color="auto" w:fill="FFFFFF"/>
          <w:lang w:val="es-ES"/>
        </w:rPr>
        <w:t>.</w:t>
      </w:r>
    </w:p>
    <w:p w:rsidR="002437E5" w:rsidRPr="004D1F52" w:rsidRDefault="004D1F52" w:rsidP="000C6220">
      <w:pPr>
        <w:pStyle w:val="Para1"/>
        <w:tabs>
          <w:tab w:val="clear" w:pos="360"/>
          <w:tab w:val="clear" w:pos="567"/>
          <w:tab w:val="clear" w:pos="2912"/>
        </w:tabs>
        <w:spacing w:line="240" w:lineRule="auto"/>
        <w:rPr>
          <w:szCs w:val="22"/>
          <w:shd w:val="clear" w:color="auto" w:fill="FFFFFF"/>
          <w:lang w:val="es-ES"/>
        </w:rPr>
      </w:pPr>
      <w:r w:rsidRPr="00BD1CDE">
        <w:rPr>
          <w:rFonts w:eastAsia="MS Mincho"/>
          <w:shd w:val="clear" w:color="auto" w:fill="FFFFFF"/>
          <w:lang w:val="es-ES"/>
        </w:rPr>
        <w:t>Formuló asimismo una declaración el representante del Foro Internacional Indígena sobre Biodiversidad (FIIB</w:t>
      </w:r>
      <w:r>
        <w:rPr>
          <w:rFonts w:eastAsia="MS Mincho"/>
          <w:shd w:val="clear" w:color="auto" w:fill="FFFFFF"/>
          <w:lang w:val="es-ES"/>
        </w:rPr>
        <w:t>)</w:t>
      </w:r>
      <w:r w:rsidR="002437E5" w:rsidRPr="004D1F52">
        <w:rPr>
          <w:szCs w:val="22"/>
          <w:shd w:val="clear" w:color="auto" w:fill="FFFFFF"/>
          <w:lang w:val="es-ES"/>
        </w:rPr>
        <w:t>.</w:t>
      </w:r>
    </w:p>
    <w:p w:rsidR="00475D73" w:rsidRPr="004D1F52" w:rsidRDefault="004D1F52" w:rsidP="000C6220">
      <w:pPr>
        <w:pStyle w:val="Para1"/>
        <w:tabs>
          <w:tab w:val="clear" w:pos="360"/>
          <w:tab w:val="clear" w:pos="567"/>
          <w:tab w:val="clear" w:pos="2912"/>
        </w:tabs>
        <w:spacing w:line="240" w:lineRule="auto"/>
        <w:rPr>
          <w:szCs w:val="22"/>
          <w:lang w:val="es-ES"/>
        </w:rPr>
      </w:pPr>
      <w:r w:rsidRPr="00BD1CDE">
        <w:rPr>
          <w:rFonts w:eastAsia="MS Mincho"/>
          <w:shd w:val="clear" w:color="auto" w:fill="FFFFFF"/>
          <w:lang w:val="es-ES"/>
        </w:rPr>
        <w:t xml:space="preserve">El Grupo de Trabajo </w:t>
      </w:r>
      <w:r>
        <w:rPr>
          <w:rFonts w:eastAsia="MS Mincho"/>
          <w:shd w:val="clear" w:color="auto" w:fill="FFFFFF"/>
          <w:lang w:val="es-ES"/>
        </w:rPr>
        <w:t>decidió</w:t>
      </w:r>
      <w:r w:rsidRPr="00BD1CDE">
        <w:rPr>
          <w:rFonts w:eastAsia="MS Mincho"/>
          <w:shd w:val="clear" w:color="auto" w:fill="FFFFFF"/>
          <w:lang w:val="es-ES"/>
        </w:rPr>
        <w:t xml:space="preserve"> establecer un grupo de contacto, presidido conjuntamente por la Sra. Georgina </w:t>
      </w:r>
      <w:r>
        <w:rPr>
          <w:rFonts w:eastAsia="MS Mincho"/>
          <w:shd w:val="clear" w:color="auto" w:fill="FFFFFF"/>
          <w:lang w:val="es-ES"/>
        </w:rPr>
        <w:t>C</w:t>
      </w:r>
      <w:r w:rsidRPr="00BD1CDE">
        <w:rPr>
          <w:rFonts w:eastAsia="MS Mincho"/>
          <w:lang w:val="es-ES"/>
        </w:rPr>
        <w:t>atacora</w:t>
      </w:r>
      <w:r>
        <w:rPr>
          <w:rFonts w:eastAsia="MS Mincho"/>
          <w:lang w:val="es-ES"/>
        </w:rPr>
        <w:t>-V</w:t>
      </w:r>
      <w:r>
        <w:rPr>
          <w:rFonts w:eastAsia="MS Mincho"/>
          <w:shd w:val="clear" w:color="auto" w:fill="FFFFFF"/>
          <w:lang w:val="es-ES"/>
        </w:rPr>
        <w:t xml:space="preserve">argas </w:t>
      </w:r>
      <w:r w:rsidRPr="00BD1CDE">
        <w:rPr>
          <w:rFonts w:eastAsia="MS Mincho"/>
          <w:shd w:val="clear" w:color="auto" w:fill="FFFFFF"/>
          <w:lang w:val="es-ES"/>
        </w:rPr>
        <w:t>(Bolivia, Estado Plurinacional de) y el Sr. Nikolay Tzvetkov (Bulgaria), para continuar debatiendo las cuestiones relacionadas con el tema</w:t>
      </w:r>
      <w:r w:rsidR="002437E5" w:rsidRPr="004D1F52">
        <w:rPr>
          <w:szCs w:val="22"/>
          <w:shd w:val="clear" w:color="auto" w:fill="FFFFFF"/>
          <w:lang w:val="es-ES"/>
        </w:rPr>
        <w:t>.</w:t>
      </w:r>
    </w:p>
    <w:p w:rsidR="00793870" w:rsidRPr="004D1F52" w:rsidRDefault="004D1F52" w:rsidP="000C6220">
      <w:pPr>
        <w:pStyle w:val="Para1"/>
        <w:tabs>
          <w:tab w:val="clear" w:pos="360"/>
          <w:tab w:val="clear" w:pos="567"/>
          <w:tab w:val="clear" w:pos="2912"/>
        </w:tabs>
        <w:spacing w:line="240" w:lineRule="auto"/>
        <w:rPr>
          <w:szCs w:val="22"/>
          <w:lang w:val="es-ES"/>
        </w:rPr>
      </w:pPr>
      <w:r w:rsidRPr="00103F58">
        <w:rPr>
          <w:lang w:val="es-ES"/>
        </w:rPr>
        <w:t>En su 13ª reunión, el 28 de noviembre de 2018, el Presidente del Grupo de Trabajo present</w:t>
      </w:r>
      <w:r>
        <w:rPr>
          <w:lang w:val="es-ES"/>
        </w:rPr>
        <w:t>ó un proyecto de decisión</w:t>
      </w:r>
      <w:r w:rsidR="00793870" w:rsidRPr="004D1F52">
        <w:rPr>
          <w:szCs w:val="22"/>
          <w:lang w:val="es-ES"/>
        </w:rPr>
        <w:t>.</w:t>
      </w:r>
    </w:p>
    <w:p w:rsidR="00793870" w:rsidRPr="004D1F52" w:rsidRDefault="004D1F52" w:rsidP="000C6220">
      <w:pPr>
        <w:pStyle w:val="Para1"/>
        <w:tabs>
          <w:tab w:val="clear" w:pos="360"/>
          <w:tab w:val="clear" w:pos="567"/>
          <w:tab w:val="clear" w:pos="2912"/>
        </w:tabs>
        <w:spacing w:line="240" w:lineRule="auto"/>
        <w:rPr>
          <w:szCs w:val="22"/>
          <w:lang w:val="es-ES"/>
        </w:rPr>
      </w:pPr>
      <w:r w:rsidRPr="00103F58">
        <w:rPr>
          <w:lang w:val="es-ES"/>
        </w:rPr>
        <w:lastRenderedPageBreak/>
        <w:t xml:space="preserve">Formularon declaraciones los representantes de </w:t>
      </w:r>
      <w:r>
        <w:rPr>
          <w:lang w:val="es-ES"/>
        </w:rPr>
        <w:t>Japón, Malasia, México, la República de Corea, Suiza y la Unión Europea y sus 28 Estados miembros</w:t>
      </w:r>
      <w:r w:rsidR="00793870" w:rsidRPr="004D1F52">
        <w:rPr>
          <w:szCs w:val="22"/>
          <w:lang w:val="es-ES"/>
        </w:rPr>
        <w:t>.</w:t>
      </w:r>
    </w:p>
    <w:p w:rsidR="00793870" w:rsidRPr="004D1F52" w:rsidRDefault="004D1F52" w:rsidP="000C6220">
      <w:pPr>
        <w:pStyle w:val="Para1"/>
        <w:tabs>
          <w:tab w:val="clear" w:pos="360"/>
          <w:tab w:val="clear" w:pos="567"/>
          <w:tab w:val="clear" w:pos="2912"/>
        </w:tabs>
        <w:spacing w:line="240" w:lineRule="auto"/>
        <w:rPr>
          <w:szCs w:val="22"/>
          <w:lang w:val="es-ES"/>
        </w:rPr>
      </w:pPr>
      <w:r w:rsidRPr="00103F58">
        <w:rPr>
          <w:lang w:val="es-ES"/>
        </w:rPr>
        <w:t>El Presidente dijo que la opinión expresada por el representante de Suiza, respaldada por el representante de Jap</w:t>
      </w:r>
      <w:r>
        <w:rPr>
          <w:lang w:val="es-ES"/>
        </w:rPr>
        <w:t>ón, aparecería reflejada en el informe del Grupo de Trabajo</w:t>
      </w:r>
      <w:r w:rsidR="00793870" w:rsidRPr="004D1F52">
        <w:rPr>
          <w:szCs w:val="22"/>
          <w:lang w:val="es-ES"/>
        </w:rPr>
        <w:t>.</w:t>
      </w:r>
    </w:p>
    <w:p w:rsidR="00793870" w:rsidRPr="004D1F52" w:rsidRDefault="004D1F52" w:rsidP="000C6220">
      <w:pPr>
        <w:pStyle w:val="Para1"/>
        <w:tabs>
          <w:tab w:val="clear" w:pos="360"/>
          <w:tab w:val="clear" w:pos="567"/>
          <w:tab w:val="clear" w:pos="2912"/>
        </w:tabs>
        <w:spacing w:line="240" w:lineRule="auto"/>
        <w:rPr>
          <w:lang w:val="es-ES"/>
        </w:rPr>
      </w:pPr>
      <w:r w:rsidRPr="00103F58">
        <w:rPr>
          <w:lang w:val="es-ES"/>
        </w:rPr>
        <w:t xml:space="preserve">El representante de Suiza dijo que aunque apoyaba el proceso de mayor </w:t>
      </w:r>
      <w:r>
        <w:rPr>
          <w:lang w:val="es-ES"/>
        </w:rPr>
        <w:t>aclaración</w:t>
      </w:r>
      <w:r w:rsidRPr="00103F58">
        <w:rPr>
          <w:lang w:val="es-ES"/>
        </w:rPr>
        <w:t xml:space="preserve"> del tema de la información digital sobre secuencias de recursos genéticos, no ve</w:t>
      </w:r>
      <w:r>
        <w:rPr>
          <w:lang w:val="es-ES"/>
        </w:rPr>
        <w:t>ía la necesidad de una decisión aparte sobre el asunto en virtud del Protocolo de Nagoya</w:t>
      </w:r>
      <w:r w:rsidR="00793870" w:rsidRPr="004D1F52">
        <w:rPr>
          <w:lang w:val="es-ES"/>
        </w:rPr>
        <w:t>.</w:t>
      </w:r>
    </w:p>
    <w:p w:rsidR="00844475" w:rsidRPr="004D1F52" w:rsidRDefault="004D1F52" w:rsidP="000C6220">
      <w:pPr>
        <w:pStyle w:val="Para1"/>
        <w:tabs>
          <w:tab w:val="clear" w:pos="360"/>
          <w:tab w:val="clear" w:pos="567"/>
          <w:tab w:val="clear" w:pos="2912"/>
        </w:tabs>
        <w:spacing w:line="240" w:lineRule="auto"/>
        <w:rPr>
          <w:lang w:val="es-ES"/>
        </w:rPr>
      </w:pPr>
      <w:r w:rsidRPr="007A6FC4">
        <w:rPr>
          <w:lang w:val="es-ES"/>
        </w:rPr>
        <w:t xml:space="preserve">Tras el intercambio de opiniones, el Grupo de Trabajo aprobó el proyecto de decisión, </w:t>
      </w:r>
      <w:r>
        <w:rPr>
          <w:lang w:val="es-ES"/>
        </w:rPr>
        <w:t>en su forma enmendada oralmente</w:t>
      </w:r>
      <w:r w:rsidRPr="007A6FC4">
        <w:rPr>
          <w:lang w:val="es-ES"/>
        </w:rPr>
        <w:t xml:space="preserve">, </w:t>
      </w:r>
      <w:r w:rsidRPr="00BD1CDE">
        <w:rPr>
          <w:rFonts w:eastAsia="MS Mincho"/>
          <w:lang w:val="es-ES"/>
        </w:rPr>
        <w:t>para que fuera trasmitido a la sesión ple</w:t>
      </w:r>
      <w:r>
        <w:rPr>
          <w:rFonts w:eastAsia="MS Mincho"/>
          <w:lang w:val="es-ES"/>
        </w:rPr>
        <w:t xml:space="preserve">naria como proyecto de decisión </w:t>
      </w:r>
      <w:r w:rsidR="00066C74" w:rsidRPr="004D1F52">
        <w:rPr>
          <w:lang w:val="es-ES"/>
        </w:rPr>
        <w:t>CBD/NP/</w:t>
      </w:r>
      <w:r w:rsidR="00793870" w:rsidRPr="004D1F52">
        <w:rPr>
          <w:lang w:val="es-ES"/>
        </w:rPr>
        <w:t>MOP/3/L.15.</w:t>
      </w:r>
    </w:p>
    <w:p w:rsidR="00C576FA" w:rsidRPr="004D1F52" w:rsidRDefault="004D1F52" w:rsidP="000C6220">
      <w:pPr>
        <w:pStyle w:val="Para1"/>
        <w:tabs>
          <w:tab w:val="clear" w:pos="360"/>
          <w:tab w:val="clear" w:pos="567"/>
          <w:tab w:val="clear" w:pos="2912"/>
        </w:tabs>
        <w:spacing w:line="240" w:lineRule="auto"/>
        <w:rPr>
          <w:lang w:val="es-ES"/>
        </w:rPr>
      </w:pPr>
      <w:r w:rsidRPr="004D1F52">
        <w:rPr>
          <w:lang w:val="es-ES"/>
        </w:rPr>
        <w:t xml:space="preserve">La Conferencia de las Partes que actúa como reunión de las Partes en el Protocolo de </w:t>
      </w:r>
      <w:r w:rsidR="00CF20E2" w:rsidRPr="004D1F52">
        <w:rPr>
          <w:lang w:val="es-ES"/>
        </w:rPr>
        <w:t>Nagoya</w:t>
      </w:r>
      <w:r w:rsidRPr="004D1F52">
        <w:rPr>
          <w:lang w:val="es-ES"/>
        </w:rPr>
        <w:t xml:space="preserve"> </w:t>
      </w:r>
      <w:r>
        <w:rPr>
          <w:lang w:val="es-ES"/>
        </w:rPr>
        <w:t>comenzó a tratar el proyecto de decisión</w:t>
      </w:r>
      <w:r w:rsidR="00C576FA" w:rsidRPr="004D1F52">
        <w:rPr>
          <w:lang w:val="es-ES"/>
        </w:rPr>
        <w:t xml:space="preserve"> CBD/NP/MOP/3/L.15 </w:t>
      </w:r>
      <w:r>
        <w:rPr>
          <w:lang w:val="es-ES"/>
        </w:rPr>
        <w:t xml:space="preserve">en su </w:t>
      </w:r>
      <w:r w:rsidR="00C576FA" w:rsidRPr="004D1F52">
        <w:rPr>
          <w:lang w:val="es-ES"/>
        </w:rPr>
        <w:t>8</w:t>
      </w:r>
      <w:r>
        <w:rPr>
          <w:lang w:val="es-ES"/>
        </w:rPr>
        <w:t xml:space="preserve">ª sesión plenaria, el </w:t>
      </w:r>
      <w:r w:rsidR="00C576FA" w:rsidRPr="004D1F52">
        <w:rPr>
          <w:lang w:val="es-ES"/>
        </w:rPr>
        <w:t xml:space="preserve">29 </w:t>
      </w:r>
      <w:r>
        <w:rPr>
          <w:lang w:val="es-ES"/>
        </w:rPr>
        <w:t>de noviembre de</w:t>
      </w:r>
      <w:r w:rsidR="00C576FA" w:rsidRPr="004D1F52">
        <w:rPr>
          <w:lang w:val="es-ES"/>
        </w:rPr>
        <w:t xml:space="preserve"> 2018.</w:t>
      </w:r>
    </w:p>
    <w:p w:rsidR="00C576FA" w:rsidRPr="004D1F52" w:rsidRDefault="004D1F52" w:rsidP="000C6220">
      <w:pPr>
        <w:pStyle w:val="Para1"/>
        <w:tabs>
          <w:tab w:val="clear" w:pos="360"/>
          <w:tab w:val="clear" w:pos="567"/>
          <w:tab w:val="clear" w:pos="2912"/>
        </w:tabs>
        <w:spacing w:line="240" w:lineRule="auto"/>
        <w:rPr>
          <w:lang w:val="es-ES"/>
        </w:rPr>
      </w:pPr>
      <w:r w:rsidRPr="004D1F52">
        <w:rPr>
          <w:lang w:val="es-ES"/>
        </w:rPr>
        <w:t>Formularon declaraciones los representantes de A</w:t>
      </w:r>
      <w:r w:rsidR="00C576FA" w:rsidRPr="004D1F52">
        <w:rPr>
          <w:lang w:val="es-ES"/>
        </w:rPr>
        <w:t>rgentina, Jap</w:t>
      </w:r>
      <w:r w:rsidRPr="004D1F52">
        <w:rPr>
          <w:lang w:val="es-ES"/>
        </w:rPr>
        <w:t>ó</w:t>
      </w:r>
      <w:r w:rsidR="00C576FA" w:rsidRPr="004D1F52">
        <w:rPr>
          <w:lang w:val="es-ES"/>
        </w:rPr>
        <w:t>n, Malasia (</w:t>
      </w:r>
      <w:r w:rsidRPr="004D1F52">
        <w:rPr>
          <w:lang w:val="es-ES"/>
        </w:rPr>
        <w:t xml:space="preserve">en nombre del </w:t>
      </w:r>
      <w:r w:rsidR="00133FD7" w:rsidRPr="004D1F52">
        <w:rPr>
          <w:lang w:val="es-ES"/>
        </w:rPr>
        <w:t>G</w:t>
      </w:r>
      <w:r w:rsidRPr="004D1F52">
        <w:rPr>
          <w:lang w:val="es-ES"/>
        </w:rPr>
        <w:t>rupo de Pa</w:t>
      </w:r>
      <w:r>
        <w:rPr>
          <w:lang w:val="es-ES"/>
        </w:rPr>
        <w:t>íses Megadiversos Afines), Mé</w:t>
      </w:r>
      <w:r w:rsidR="00C576FA" w:rsidRPr="004D1F52">
        <w:rPr>
          <w:lang w:val="es-ES"/>
        </w:rPr>
        <w:t xml:space="preserve">xico, </w:t>
      </w:r>
      <w:r>
        <w:rPr>
          <w:lang w:val="es-ES"/>
        </w:rPr>
        <w:t>la República de C</w:t>
      </w:r>
      <w:r w:rsidR="00C576FA" w:rsidRPr="004D1F52">
        <w:rPr>
          <w:lang w:val="es-ES"/>
        </w:rPr>
        <w:t>orea, S</w:t>
      </w:r>
      <w:r>
        <w:rPr>
          <w:lang w:val="es-ES"/>
        </w:rPr>
        <w:t xml:space="preserve">uiza, </w:t>
      </w:r>
      <w:r w:rsidR="00C576FA" w:rsidRPr="004D1F52">
        <w:rPr>
          <w:lang w:val="es-ES"/>
        </w:rPr>
        <w:t>Uganda (</w:t>
      </w:r>
      <w:r>
        <w:rPr>
          <w:lang w:val="es-ES"/>
        </w:rPr>
        <w:t>en nombre del Grupo de Estados de África</w:t>
      </w:r>
      <w:r w:rsidR="00C576FA" w:rsidRPr="004D1F52">
        <w:rPr>
          <w:lang w:val="es-ES"/>
        </w:rPr>
        <w:t>)</w:t>
      </w:r>
      <w:r w:rsidRPr="004D1F52">
        <w:rPr>
          <w:lang w:val="es-ES"/>
        </w:rPr>
        <w:t xml:space="preserve"> y la Unión Europea y sus 28 Estados miembros</w:t>
      </w:r>
      <w:r w:rsidR="00C576FA" w:rsidRPr="004D1F52">
        <w:rPr>
          <w:lang w:val="es-ES"/>
        </w:rPr>
        <w:t>.</w:t>
      </w:r>
    </w:p>
    <w:p w:rsidR="00C576FA" w:rsidRPr="00524ED6" w:rsidRDefault="00524ED6" w:rsidP="000C6220">
      <w:pPr>
        <w:pStyle w:val="Para1"/>
        <w:tabs>
          <w:tab w:val="clear" w:pos="360"/>
          <w:tab w:val="clear" w:pos="567"/>
          <w:tab w:val="clear" w:pos="2912"/>
        </w:tabs>
        <w:spacing w:line="240" w:lineRule="auto"/>
        <w:rPr>
          <w:lang w:val="es-ES"/>
        </w:rPr>
      </w:pPr>
      <w:r w:rsidRPr="00524ED6">
        <w:rPr>
          <w:lang w:val="es-ES"/>
        </w:rPr>
        <w:t xml:space="preserve">Una representante de </w:t>
      </w:r>
      <w:r w:rsidR="00C576FA" w:rsidRPr="00524ED6">
        <w:rPr>
          <w:lang w:val="es-ES"/>
        </w:rPr>
        <w:t>M</w:t>
      </w:r>
      <w:r w:rsidRPr="00524ED6">
        <w:rPr>
          <w:lang w:val="es-ES"/>
        </w:rPr>
        <w:t>é</w:t>
      </w:r>
      <w:r w:rsidR="00C576FA" w:rsidRPr="00524ED6">
        <w:rPr>
          <w:lang w:val="es-ES"/>
        </w:rPr>
        <w:t xml:space="preserve">xico, </w:t>
      </w:r>
      <w:r w:rsidRPr="00524ED6">
        <w:rPr>
          <w:lang w:val="es-ES"/>
        </w:rPr>
        <w:t xml:space="preserve">que pidió que su declaración constase en el informe, expresó agradecimiento por el espíritu de compromiso </w:t>
      </w:r>
      <w:r>
        <w:rPr>
          <w:lang w:val="es-ES"/>
        </w:rPr>
        <w:t>de</w:t>
      </w:r>
      <w:r w:rsidRPr="00524ED6">
        <w:rPr>
          <w:lang w:val="es-ES"/>
        </w:rPr>
        <w:t>mostrado al acordar el texto conse</w:t>
      </w:r>
      <w:r>
        <w:rPr>
          <w:lang w:val="es-ES"/>
        </w:rPr>
        <w:t>n</w:t>
      </w:r>
      <w:r w:rsidRPr="00524ED6">
        <w:rPr>
          <w:lang w:val="es-ES"/>
        </w:rPr>
        <w:t>suado para el proyecto de decisi</w:t>
      </w:r>
      <w:r>
        <w:rPr>
          <w:lang w:val="es-ES"/>
        </w:rPr>
        <w:t>ón, que México apoyaba ya que propiciaría más progresos, por el momento</w:t>
      </w:r>
      <w:r w:rsidR="00C576FA" w:rsidRPr="00524ED6">
        <w:rPr>
          <w:lang w:val="es-ES"/>
        </w:rPr>
        <w:t xml:space="preserve">, </w:t>
      </w:r>
      <w:r>
        <w:rPr>
          <w:lang w:val="es-ES"/>
        </w:rPr>
        <w:t>en una cuestión de importancia para el cumplimiento del artículo 17 del Protocolo</w:t>
      </w:r>
      <w:r w:rsidR="00C576FA" w:rsidRPr="00524ED6">
        <w:rPr>
          <w:lang w:val="es-ES"/>
        </w:rPr>
        <w:t>.</w:t>
      </w:r>
    </w:p>
    <w:p w:rsidR="00475D73" w:rsidRPr="00524ED6" w:rsidRDefault="00524ED6" w:rsidP="000C6220">
      <w:pPr>
        <w:pStyle w:val="Para1"/>
        <w:tabs>
          <w:tab w:val="clear" w:pos="360"/>
          <w:tab w:val="clear" w:pos="567"/>
          <w:tab w:val="clear" w:pos="2912"/>
        </w:tabs>
        <w:spacing w:line="240" w:lineRule="auto"/>
        <w:rPr>
          <w:lang w:val="es-ES"/>
        </w:rPr>
      </w:pPr>
      <w:r w:rsidRPr="00524ED6">
        <w:rPr>
          <w:lang w:val="es-ES"/>
        </w:rPr>
        <w:t>Tras el intercambio de opiniones, la Conferencia de las Partes que actúa como reunión de las Partes en el Protocolo de Nagoya</w:t>
      </w:r>
      <w:r w:rsidR="00CC0B25" w:rsidRPr="00524ED6">
        <w:rPr>
          <w:lang w:val="es-ES"/>
        </w:rPr>
        <w:t xml:space="preserve"> </w:t>
      </w:r>
      <w:r w:rsidR="00C576FA" w:rsidRPr="00524ED6">
        <w:rPr>
          <w:lang w:val="es-ES"/>
        </w:rPr>
        <w:t>adopt</w:t>
      </w:r>
      <w:r w:rsidRPr="00524ED6">
        <w:rPr>
          <w:lang w:val="es-ES"/>
        </w:rPr>
        <w:t>ó el proyecto de decisi</w:t>
      </w:r>
      <w:r>
        <w:rPr>
          <w:lang w:val="es-ES"/>
        </w:rPr>
        <w:t xml:space="preserve">ón </w:t>
      </w:r>
      <w:r w:rsidR="00C576FA" w:rsidRPr="00524ED6">
        <w:rPr>
          <w:lang w:val="es-ES"/>
        </w:rPr>
        <w:t xml:space="preserve">CBD/NP/MOP/3/L.15, </w:t>
      </w:r>
      <w:r>
        <w:rPr>
          <w:lang w:val="es-ES"/>
        </w:rPr>
        <w:t>con las enmiendas efectuadas oralmente</w:t>
      </w:r>
      <w:r w:rsidR="00C576FA" w:rsidRPr="00524ED6">
        <w:rPr>
          <w:lang w:val="es-ES"/>
        </w:rPr>
        <w:t xml:space="preserve">, </w:t>
      </w:r>
      <w:r>
        <w:rPr>
          <w:lang w:val="es-ES"/>
        </w:rPr>
        <w:t>como decisión NP-3/12 (para el texto, véase el capítulo</w:t>
      </w:r>
      <w:r w:rsidR="006E68A1" w:rsidRPr="00524ED6">
        <w:rPr>
          <w:lang w:val="es-ES"/>
        </w:rPr>
        <w:t> </w:t>
      </w:r>
      <w:r w:rsidR="00C576FA" w:rsidRPr="00524ED6">
        <w:rPr>
          <w:lang w:val="es-ES"/>
        </w:rPr>
        <w:t>I).</w:t>
      </w:r>
    </w:p>
    <w:p w:rsidR="00475D73" w:rsidRPr="00524ED6" w:rsidRDefault="00524ED6" w:rsidP="000C6220">
      <w:pPr>
        <w:pStyle w:val="Heading1-item"/>
        <w:spacing w:before="120" w:line="240" w:lineRule="auto"/>
        <w:ind w:left="1843" w:right="1035" w:hanging="1276"/>
        <w:jc w:val="left"/>
        <w:rPr>
          <w:rFonts w:hint="eastAsia"/>
          <w:lang w:val="es-ES"/>
        </w:rPr>
      </w:pPr>
      <w:bookmarkStart w:id="48" w:name="_Toc256235"/>
      <w:r w:rsidRPr="00524ED6">
        <w:rPr>
          <w:rFonts w:ascii="Times New Roman" w:hAnsi="Times New Roman" w:cs="Times New Roman"/>
          <w:lang w:val="es-ES"/>
        </w:rPr>
        <w:t>TEMA</w:t>
      </w:r>
      <w:r w:rsidR="00475D73" w:rsidRPr="00524ED6">
        <w:rPr>
          <w:rFonts w:ascii="Times New Roman" w:hAnsi="Times New Roman" w:cs="Times New Roman"/>
          <w:lang w:val="es-ES"/>
        </w:rPr>
        <w:t xml:space="preserve"> 18.</w:t>
      </w:r>
      <w:r w:rsidR="00475D73" w:rsidRPr="00524ED6">
        <w:rPr>
          <w:rFonts w:ascii="Times New Roman" w:hAnsi="Times New Roman" w:cs="Times New Roman"/>
          <w:lang w:val="es-ES"/>
        </w:rPr>
        <w:tab/>
      </w:r>
      <w:r w:rsidRPr="00524ED6">
        <w:rPr>
          <w:rFonts w:ascii="Times New Roman" w:hAnsi="Times New Roman" w:cs="Times New Roman"/>
          <w:lang w:val="es-ES"/>
        </w:rPr>
        <w:t xml:space="preserve">INSTRUMENTOS INTERNACIONALES ESPECIALIZADOS DE ACCESO Y PARTICIPACIÓN EN LOS BENEFICIOS </w:t>
      </w:r>
      <w:r>
        <w:rPr>
          <w:rFonts w:ascii="Times New Roman" w:hAnsi="Times New Roman" w:cs="Times New Roman"/>
          <w:lang w:val="es-ES"/>
        </w:rPr>
        <w:t>DENTRO</w:t>
      </w:r>
      <w:r w:rsidRPr="00524ED6">
        <w:rPr>
          <w:rFonts w:ascii="Times New Roman" w:hAnsi="Times New Roman" w:cs="Times New Roman"/>
          <w:lang w:val="es-ES"/>
        </w:rPr>
        <w:t xml:space="preserve"> </w:t>
      </w:r>
      <w:r>
        <w:rPr>
          <w:rFonts w:ascii="Times New Roman" w:hAnsi="Times New Roman" w:cs="Times New Roman"/>
          <w:lang w:val="es-ES"/>
        </w:rPr>
        <w:t>D</w:t>
      </w:r>
      <w:r w:rsidRPr="00524ED6">
        <w:rPr>
          <w:rFonts w:ascii="Times New Roman" w:hAnsi="Times New Roman" w:cs="Times New Roman"/>
          <w:lang w:val="es-ES"/>
        </w:rPr>
        <w:t>EL CONTEXTO DEL PÁRRAFO 4 DEL ARTÍCULO 4 DEL PROTOCOLO DE NAGOYA</w:t>
      </w:r>
      <w:bookmarkEnd w:id="48"/>
    </w:p>
    <w:p w:rsidR="002437E5" w:rsidRPr="00AD0046" w:rsidRDefault="00524ED6" w:rsidP="000C6220">
      <w:pPr>
        <w:pStyle w:val="Para1"/>
        <w:tabs>
          <w:tab w:val="clear" w:pos="360"/>
          <w:tab w:val="clear" w:pos="567"/>
          <w:tab w:val="clear" w:pos="2912"/>
        </w:tabs>
        <w:spacing w:line="240" w:lineRule="auto"/>
        <w:rPr>
          <w:szCs w:val="22"/>
          <w:lang w:val="es-ES"/>
        </w:rPr>
      </w:pPr>
      <w:r w:rsidRPr="00BD1CDE">
        <w:rPr>
          <w:rFonts w:eastAsia="MS Mincho"/>
          <w:lang w:val="es-ES"/>
        </w:rPr>
        <w:t xml:space="preserve">El Grupo de Trabajo I comenzó a tratar el tema 18 del programa en su segunda reunión, el 18 de noviembre de 2018. Para examinar este tema, tuvo ante sí un </w:t>
      </w:r>
      <w:r w:rsidR="00AD0046">
        <w:rPr>
          <w:rFonts w:eastAsia="MS Mincho"/>
          <w:lang w:val="es-ES"/>
        </w:rPr>
        <w:t xml:space="preserve">proyecto de decisión basado en la recomendación </w:t>
      </w:r>
      <w:r w:rsidR="00AD0046" w:rsidRPr="00AD0046">
        <w:rPr>
          <w:szCs w:val="22"/>
          <w:lang w:val="es-ES"/>
        </w:rPr>
        <w:t>SBI-2/5</w:t>
      </w:r>
      <w:r w:rsidR="00AD0046">
        <w:rPr>
          <w:szCs w:val="22"/>
          <w:lang w:val="es-ES"/>
        </w:rPr>
        <w:t>,</w:t>
      </w:r>
      <w:r w:rsidR="00AD0046">
        <w:rPr>
          <w:rFonts w:eastAsia="MS Mincho"/>
          <w:lang w:val="es-ES"/>
        </w:rPr>
        <w:t xml:space="preserve"> </w:t>
      </w:r>
      <w:r w:rsidR="00AD0046" w:rsidRPr="00BD1CDE">
        <w:rPr>
          <w:rFonts w:eastAsia="MS Mincho"/>
          <w:lang w:val="es-ES"/>
        </w:rPr>
        <w:t xml:space="preserve">que figura en la recopilación de proyectos de decisión </w:t>
      </w:r>
      <w:r w:rsidR="00AD0046" w:rsidRPr="00AD0046">
        <w:rPr>
          <w:szCs w:val="22"/>
          <w:lang w:val="es-ES"/>
        </w:rPr>
        <w:t xml:space="preserve">(CBD/NP/MOP/3/1/Add.2). </w:t>
      </w:r>
      <w:r w:rsidR="00AD0046">
        <w:rPr>
          <w:szCs w:val="22"/>
          <w:lang w:val="es-ES"/>
        </w:rPr>
        <w:t xml:space="preserve">También se publicaron para información de la reunión de las Partes un </w:t>
      </w:r>
      <w:r w:rsidRPr="00BD1CDE">
        <w:rPr>
          <w:rFonts w:eastAsia="MS Mincho"/>
          <w:lang w:val="es-ES"/>
        </w:rPr>
        <w:t>estudio sobre los parámetros para identificar un instrumento internacional especializado en acceso y participación en los beneficios, y un posible proceso para su re</w:t>
      </w:r>
      <w:r w:rsidR="00AD0046">
        <w:rPr>
          <w:rFonts w:eastAsia="MS Mincho"/>
          <w:lang w:val="es-ES"/>
        </w:rPr>
        <w:t>conocimiento (CBD/SBI/2/INF/17) examinados por el Órgano Subsidiario sobre la Aplicación en su segunda reunión</w:t>
      </w:r>
      <w:r w:rsidR="002437E5" w:rsidRPr="00AD0046">
        <w:rPr>
          <w:szCs w:val="22"/>
          <w:lang w:val="es-ES"/>
        </w:rPr>
        <w:t>.</w:t>
      </w:r>
    </w:p>
    <w:p w:rsidR="002437E5" w:rsidRPr="00AD0046" w:rsidRDefault="00AD0046" w:rsidP="000C6220">
      <w:pPr>
        <w:pStyle w:val="Para1"/>
        <w:tabs>
          <w:tab w:val="clear" w:pos="360"/>
          <w:tab w:val="clear" w:pos="567"/>
          <w:tab w:val="clear" w:pos="2912"/>
        </w:tabs>
        <w:spacing w:line="240" w:lineRule="auto"/>
        <w:rPr>
          <w:szCs w:val="22"/>
          <w:lang w:val="es-ES"/>
        </w:rPr>
      </w:pPr>
      <w:r w:rsidRPr="00BD1CDE">
        <w:rPr>
          <w:rFonts w:eastAsia="MS Mincho"/>
          <w:lang w:val="es-ES"/>
        </w:rPr>
        <w:t xml:space="preserve">Formularon declaraciones los representantes de Argentina, Gabón, Filipinas, India, Indonesia, Malawi, México, Noruega, Sudáfrica (en nombre del </w:t>
      </w:r>
      <w:r>
        <w:rPr>
          <w:lang w:val="es-ES"/>
        </w:rPr>
        <w:t>Grupo de Estados de África</w:t>
      </w:r>
      <w:r w:rsidRPr="00BD1CDE">
        <w:rPr>
          <w:rFonts w:eastAsia="MS Mincho"/>
          <w:lang w:val="es-ES"/>
        </w:rPr>
        <w:t>), Suiza, Uganda, la Unión Europea y sus 28 Estados miembros y Venezuela (República Bolivariana</w:t>
      </w:r>
      <w:r>
        <w:rPr>
          <w:rFonts w:eastAsia="MS Mincho"/>
          <w:lang w:val="es-ES"/>
        </w:rPr>
        <w:t xml:space="preserve"> de</w:t>
      </w:r>
      <w:r w:rsidR="002437E5" w:rsidRPr="00AD0046">
        <w:rPr>
          <w:szCs w:val="22"/>
          <w:lang w:val="es-ES"/>
        </w:rPr>
        <w:t>).</w:t>
      </w:r>
    </w:p>
    <w:p w:rsidR="002437E5" w:rsidRPr="00AD0046" w:rsidRDefault="00AD0046" w:rsidP="000C6220">
      <w:pPr>
        <w:pStyle w:val="Para1"/>
        <w:tabs>
          <w:tab w:val="clear" w:pos="360"/>
          <w:tab w:val="clear" w:pos="567"/>
          <w:tab w:val="clear" w:pos="2912"/>
        </w:tabs>
        <w:spacing w:line="240" w:lineRule="auto"/>
        <w:rPr>
          <w:szCs w:val="22"/>
          <w:lang w:val="es-ES"/>
        </w:rPr>
      </w:pPr>
      <w:r w:rsidRPr="00BD1CDE">
        <w:rPr>
          <w:rFonts w:eastAsia="MS Mincho"/>
          <w:lang w:val="es-ES"/>
        </w:rPr>
        <w:t>También formularon declaraciones los representantes de la FAO y la OMS</w:t>
      </w:r>
      <w:r w:rsidR="002437E5" w:rsidRPr="00AD0046">
        <w:rPr>
          <w:szCs w:val="22"/>
          <w:lang w:val="es-ES"/>
        </w:rPr>
        <w:t>.</w:t>
      </w:r>
    </w:p>
    <w:p w:rsidR="002437E5" w:rsidRPr="00AD0046" w:rsidRDefault="00AD0046" w:rsidP="000C6220">
      <w:pPr>
        <w:pStyle w:val="Para1"/>
        <w:tabs>
          <w:tab w:val="clear" w:pos="360"/>
          <w:tab w:val="clear" w:pos="567"/>
          <w:tab w:val="clear" w:pos="2912"/>
        </w:tabs>
        <w:spacing w:line="240" w:lineRule="auto"/>
        <w:rPr>
          <w:szCs w:val="22"/>
          <w:lang w:val="es-ES"/>
        </w:rPr>
      </w:pPr>
      <w:r w:rsidRPr="00AD0046">
        <w:rPr>
          <w:szCs w:val="22"/>
          <w:lang w:val="es-ES"/>
        </w:rPr>
        <w:t xml:space="preserve">En </w:t>
      </w:r>
      <w:r w:rsidRPr="00BD1CDE">
        <w:rPr>
          <w:rFonts w:eastAsia="MS Mincho"/>
          <w:lang w:val="es-ES"/>
        </w:rPr>
        <w:t xml:space="preserve">la </w:t>
      </w:r>
      <w:r>
        <w:rPr>
          <w:rFonts w:eastAsia="MS Mincho"/>
          <w:lang w:val="es-ES"/>
        </w:rPr>
        <w:t>5ª</w:t>
      </w:r>
      <w:r w:rsidRPr="00BD1CDE">
        <w:rPr>
          <w:rFonts w:eastAsia="MS Mincho"/>
          <w:lang w:val="es-ES"/>
        </w:rPr>
        <w:t xml:space="preserve"> reunión del Grupo de Trabajo, el 20 de noviembre de 2018, el Presidente dijo que prepararía un proyecto de decisión revisado sobre esta cuestión con ayuda de la </w:t>
      </w:r>
      <w:r>
        <w:rPr>
          <w:rFonts w:eastAsia="MS Mincho"/>
          <w:lang w:val="es-ES"/>
        </w:rPr>
        <w:t>S</w:t>
      </w:r>
      <w:r w:rsidRPr="00BD1CDE">
        <w:rPr>
          <w:rFonts w:eastAsia="MS Mincho"/>
          <w:lang w:val="es-ES"/>
        </w:rPr>
        <w:t>ecretaría</w:t>
      </w:r>
      <w:r w:rsidR="002437E5" w:rsidRPr="00AD0046">
        <w:rPr>
          <w:szCs w:val="22"/>
          <w:lang w:val="es-ES"/>
        </w:rPr>
        <w:t>.</w:t>
      </w:r>
    </w:p>
    <w:p w:rsidR="002437E5" w:rsidRPr="00AD0046" w:rsidRDefault="00AD0046" w:rsidP="000C6220">
      <w:pPr>
        <w:pStyle w:val="Para1"/>
        <w:tabs>
          <w:tab w:val="clear" w:pos="360"/>
          <w:tab w:val="clear" w:pos="567"/>
          <w:tab w:val="clear" w:pos="2912"/>
        </w:tabs>
        <w:spacing w:line="240" w:lineRule="auto"/>
        <w:rPr>
          <w:szCs w:val="22"/>
          <w:lang w:val="es-ES"/>
        </w:rPr>
      </w:pPr>
      <w:r w:rsidRPr="00BD1CDE">
        <w:rPr>
          <w:rFonts w:eastAsia="MS Mincho"/>
          <w:lang w:val="es-ES"/>
        </w:rPr>
        <w:t xml:space="preserve">En su </w:t>
      </w:r>
      <w:r>
        <w:rPr>
          <w:rFonts w:eastAsia="MS Mincho"/>
          <w:lang w:val="es-ES"/>
        </w:rPr>
        <w:t>8ª</w:t>
      </w:r>
      <w:r w:rsidRPr="00BD1CDE">
        <w:rPr>
          <w:rFonts w:eastAsia="MS Mincho"/>
          <w:lang w:val="es-ES"/>
        </w:rPr>
        <w:t xml:space="preserve"> reunión, el 22 de noviembre de 2018, el Grupo de Trabajo consideró el proyecto de decisión revisado presentado por el Presidente</w:t>
      </w:r>
      <w:r w:rsidR="002437E5" w:rsidRPr="00AD0046">
        <w:rPr>
          <w:szCs w:val="22"/>
          <w:lang w:val="es-ES"/>
        </w:rPr>
        <w:t>.</w:t>
      </w:r>
    </w:p>
    <w:p w:rsidR="002437E5" w:rsidRPr="00AD0046" w:rsidRDefault="00AD0046" w:rsidP="000C6220">
      <w:pPr>
        <w:pStyle w:val="Para1"/>
        <w:tabs>
          <w:tab w:val="clear" w:pos="360"/>
          <w:tab w:val="clear" w:pos="567"/>
          <w:tab w:val="clear" w:pos="2912"/>
        </w:tabs>
        <w:spacing w:line="240" w:lineRule="auto"/>
        <w:rPr>
          <w:szCs w:val="22"/>
          <w:lang w:val="es-ES"/>
        </w:rPr>
      </w:pPr>
      <w:r w:rsidRPr="00BD1CDE">
        <w:rPr>
          <w:rFonts w:eastAsia="MS Mincho"/>
          <w:lang w:val="es-ES"/>
        </w:rPr>
        <w:t>Formularon declaraciones los representantes de Filipinas, Gabón, México y Venezuela (República Bolivariana de</w:t>
      </w:r>
      <w:r w:rsidR="002437E5" w:rsidRPr="00AD0046">
        <w:rPr>
          <w:szCs w:val="22"/>
          <w:lang w:val="es-ES"/>
        </w:rPr>
        <w:t>).</w:t>
      </w:r>
    </w:p>
    <w:p w:rsidR="00475D73" w:rsidRPr="00AD0046" w:rsidRDefault="00AD0046" w:rsidP="000C6220">
      <w:pPr>
        <w:pStyle w:val="Para1"/>
        <w:tabs>
          <w:tab w:val="clear" w:pos="360"/>
          <w:tab w:val="clear" w:pos="567"/>
          <w:tab w:val="clear" w:pos="2912"/>
        </w:tabs>
        <w:spacing w:line="240" w:lineRule="auto"/>
        <w:rPr>
          <w:szCs w:val="22"/>
          <w:lang w:val="es-ES"/>
        </w:rPr>
      </w:pPr>
      <w:r w:rsidRPr="00BD1CDE">
        <w:rPr>
          <w:rFonts w:eastAsia="MS Mincho"/>
          <w:lang w:val="es-ES"/>
        </w:rPr>
        <w:t>Tras el intercambio de opiniones, el Grupo de Trabajo aprobó el proyecto de decisión revisado para que fuera trasmitido a la sesión plenaria como proyecto de decisión</w:t>
      </w:r>
      <w:r w:rsidRPr="00AD0046">
        <w:rPr>
          <w:szCs w:val="22"/>
          <w:lang w:val="es-ES"/>
        </w:rPr>
        <w:t xml:space="preserve"> </w:t>
      </w:r>
      <w:r w:rsidR="002437E5" w:rsidRPr="00AD0046">
        <w:rPr>
          <w:szCs w:val="22"/>
          <w:lang w:val="es-ES"/>
        </w:rPr>
        <w:t>CBD/NP/MOP/3/L.3.</w:t>
      </w:r>
    </w:p>
    <w:p w:rsidR="008C2396" w:rsidRPr="00AD0046" w:rsidRDefault="00AD0046" w:rsidP="000C6220">
      <w:pPr>
        <w:pStyle w:val="Para1"/>
        <w:tabs>
          <w:tab w:val="clear" w:pos="360"/>
          <w:tab w:val="clear" w:pos="567"/>
          <w:tab w:val="clear" w:pos="2912"/>
        </w:tabs>
        <w:spacing w:line="240" w:lineRule="auto"/>
        <w:rPr>
          <w:szCs w:val="22"/>
          <w:lang w:val="es-ES"/>
        </w:rPr>
      </w:pPr>
      <w:r w:rsidRPr="00617323">
        <w:rPr>
          <w:bCs/>
          <w:szCs w:val="22"/>
          <w:lang w:val="es-ES"/>
        </w:rPr>
        <w:lastRenderedPageBreak/>
        <w:t xml:space="preserve">En la 5ª sesión plenaria de la reunión, el 25 de noviembre de 2018, la Conferencia de las Partes </w:t>
      </w:r>
      <w:r>
        <w:rPr>
          <w:bCs/>
          <w:szCs w:val="22"/>
          <w:lang w:val="es-ES"/>
        </w:rPr>
        <w:t xml:space="preserve">que actúa como reunión de las Partes en el Protocolo de Nagoya adoptó el proyecto de decisión CBD/NP/MOP/3/L.3 como decisión </w:t>
      </w:r>
      <w:r w:rsidR="008C2396" w:rsidRPr="00AD0046">
        <w:rPr>
          <w:bCs/>
          <w:szCs w:val="22"/>
          <w:lang w:val="es-ES"/>
        </w:rPr>
        <w:t>NP-</w:t>
      </w:r>
      <w:r w:rsidR="002C5EC6" w:rsidRPr="00AD0046">
        <w:rPr>
          <w:bCs/>
          <w:szCs w:val="22"/>
          <w:lang w:val="es-ES"/>
        </w:rPr>
        <w:t>3</w:t>
      </w:r>
      <w:r w:rsidR="008C2396" w:rsidRPr="00AD0046">
        <w:rPr>
          <w:bCs/>
          <w:szCs w:val="22"/>
          <w:lang w:val="es-ES"/>
        </w:rPr>
        <w:t>/</w:t>
      </w:r>
      <w:r w:rsidR="00426DF0" w:rsidRPr="00AD0046">
        <w:rPr>
          <w:bCs/>
          <w:szCs w:val="22"/>
          <w:lang w:val="es-ES"/>
        </w:rPr>
        <w:t>14</w:t>
      </w:r>
      <w:r w:rsidR="005C0957" w:rsidRPr="00AD0046">
        <w:rPr>
          <w:bCs/>
          <w:szCs w:val="22"/>
          <w:lang w:val="es-ES"/>
        </w:rPr>
        <w:t xml:space="preserve"> </w:t>
      </w:r>
      <w:r>
        <w:rPr>
          <w:bCs/>
          <w:szCs w:val="22"/>
          <w:lang w:val="es-ES"/>
        </w:rPr>
        <w:t>(para el texto, véase el capítulo</w:t>
      </w:r>
      <w:r w:rsidR="0013547D" w:rsidRPr="00AD0046">
        <w:rPr>
          <w:szCs w:val="22"/>
          <w:lang w:val="es-ES"/>
        </w:rPr>
        <w:t> </w:t>
      </w:r>
      <w:r w:rsidR="005C0957" w:rsidRPr="00AD0046">
        <w:rPr>
          <w:szCs w:val="22"/>
          <w:lang w:val="es-ES"/>
        </w:rPr>
        <w:t>I)</w:t>
      </w:r>
      <w:r w:rsidR="0013547D" w:rsidRPr="00AD0046">
        <w:rPr>
          <w:szCs w:val="22"/>
          <w:lang w:val="es-ES"/>
        </w:rPr>
        <w:t>.</w:t>
      </w:r>
    </w:p>
    <w:p w:rsidR="00475D73" w:rsidRPr="00AD0046" w:rsidRDefault="00AD0046" w:rsidP="000C6220">
      <w:pPr>
        <w:pStyle w:val="Heading1-item"/>
        <w:tabs>
          <w:tab w:val="left" w:pos="1134"/>
        </w:tabs>
        <w:spacing w:before="120" w:line="240" w:lineRule="auto"/>
        <w:ind w:right="0"/>
        <w:rPr>
          <w:rFonts w:hint="eastAsia"/>
          <w:lang w:val="es-ES"/>
        </w:rPr>
      </w:pPr>
      <w:bookmarkStart w:id="49" w:name="_Toc256236"/>
      <w:r>
        <w:rPr>
          <w:rFonts w:ascii="Times New Roman" w:hAnsi="Times New Roman" w:cs="Times New Roman"/>
          <w:lang w:val="es-ES"/>
        </w:rPr>
        <w:t>TEMA</w:t>
      </w:r>
      <w:r w:rsidR="00475D73" w:rsidRPr="00AD0046">
        <w:rPr>
          <w:rFonts w:ascii="Times New Roman" w:hAnsi="Times New Roman" w:cs="Times New Roman"/>
          <w:lang w:val="es-ES"/>
        </w:rPr>
        <w:t xml:space="preserve"> 19.</w:t>
      </w:r>
      <w:r w:rsidR="00475D73" w:rsidRPr="00AD0046">
        <w:rPr>
          <w:rFonts w:ascii="Times New Roman" w:hAnsi="Times New Roman" w:cs="Times New Roman"/>
          <w:lang w:val="es-ES"/>
        </w:rPr>
        <w:tab/>
      </w:r>
      <w:r w:rsidRPr="00AD0046">
        <w:rPr>
          <w:rFonts w:ascii="Times New Roman" w:hAnsi="Times New Roman" w:cs="Times New Roman"/>
          <w:lang w:val="es-ES"/>
        </w:rPr>
        <w:t>MECANISMO MUNDIAL MULTILATERAL DE PARTICIPACIÓN EN LOS BENEFICIOS (ARTÍCULO</w:t>
      </w:r>
      <w:r>
        <w:rPr>
          <w:lang w:val="es-ES"/>
        </w:rPr>
        <w:t xml:space="preserve"> </w:t>
      </w:r>
      <w:r w:rsidR="00475D73" w:rsidRPr="00AD0046">
        <w:rPr>
          <w:rFonts w:ascii="Times New Roman" w:hAnsi="Times New Roman" w:cs="Times New Roman"/>
          <w:lang w:val="es-ES"/>
        </w:rPr>
        <w:t>10)</w:t>
      </w:r>
      <w:bookmarkEnd w:id="49"/>
    </w:p>
    <w:p w:rsidR="002437E5" w:rsidRPr="00AD0046" w:rsidRDefault="00AD0046" w:rsidP="000C6220">
      <w:pPr>
        <w:pStyle w:val="Para1"/>
        <w:tabs>
          <w:tab w:val="clear" w:pos="360"/>
          <w:tab w:val="clear" w:pos="567"/>
          <w:tab w:val="clear" w:pos="2912"/>
        </w:tabs>
        <w:spacing w:line="240" w:lineRule="auto"/>
        <w:rPr>
          <w:szCs w:val="22"/>
          <w:lang w:val="es-ES"/>
        </w:rPr>
      </w:pPr>
      <w:r w:rsidRPr="00BD1CDE">
        <w:rPr>
          <w:rFonts w:eastAsia="MS Mincho"/>
          <w:lang w:val="es-ES"/>
        </w:rPr>
        <w:t xml:space="preserve">El Grupo de Trabajo I comenzó a tratar el tema 19 del programa en su tercera reunión celebrada el 19 de noviembre de 2018. Para examinar este tema, el Grupo de Trabajo tuvo ante sí un proyecto de decisión basado en la recomendación SBI-2/4, que figura en la recopilación de proyectos de decisión </w:t>
      </w:r>
      <w:r w:rsidR="002437E5" w:rsidRPr="00AD0046">
        <w:rPr>
          <w:szCs w:val="22"/>
          <w:lang w:val="es-ES"/>
        </w:rPr>
        <w:t>(CBD/NP/MOP/3/1/Add.2).</w:t>
      </w:r>
    </w:p>
    <w:p w:rsidR="002437E5" w:rsidRPr="00AD0046" w:rsidRDefault="00AD0046" w:rsidP="000C6220">
      <w:pPr>
        <w:pStyle w:val="Para1"/>
        <w:tabs>
          <w:tab w:val="clear" w:pos="360"/>
          <w:tab w:val="clear" w:pos="567"/>
          <w:tab w:val="clear" w:pos="2912"/>
        </w:tabs>
        <w:spacing w:line="240" w:lineRule="auto"/>
        <w:rPr>
          <w:szCs w:val="22"/>
          <w:lang w:val="es-ES"/>
        </w:rPr>
      </w:pPr>
      <w:r w:rsidRPr="00BD1CDE">
        <w:rPr>
          <w:rFonts w:eastAsia="MS Mincho"/>
          <w:lang w:val="es-ES"/>
        </w:rPr>
        <w:t xml:space="preserve">Formularon declaraciones los representantes de Argentina, Ecuador, Egipto, Filipinas, Gabón, Guinea-Bissau, India, Japón, Jordania, Malasia, México, Níger, </w:t>
      </w:r>
      <w:r>
        <w:rPr>
          <w:rFonts w:eastAsia="MS Mincho"/>
          <w:lang w:val="es-ES"/>
        </w:rPr>
        <w:t xml:space="preserve">la </w:t>
      </w:r>
      <w:r w:rsidRPr="00BD1CDE">
        <w:rPr>
          <w:rFonts w:eastAsia="MS Mincho"/>
          <w:lang w:val="es-ES"/>
        </w:rPr>
        <w:t xml:space="preserve">República de Corea, </w:t>
      </w:r>
      <w:r>
        <w:rPr>
          <w:rFonts w:eastAsia="MS Mincho"/>
          <w:lang w:val="es-ES"/>
        </w:rPr>
        <w:t xml:space="preserve">la República Unida de Tanzanía, </w:t>
      </w:r>
      <w:r w:rsidRPr="00BD1CDE">
        <w:rPr>
          <w:rFonts w:eastAsia="MS Mincho"/>
          <w:lang w:val="es-ES"/>
        </w:rPr>
        <w:t xml:space="preserve">Sudáfrica (en nombre del </w:t>
      </w:r>
      <w:r>
        <w:rPr>
          <w:lang w:val="es-ES"/>
        </w:rPr>
        <w:t>Grupo de Estados de África</w:t>
      </w:r>
      <w:r w:rsidRPr="00BD1CDE">
        <w:rPr>
          <w:rFonts w:eastAsia="MS Mincho"/>
          <w:lang w:val="es-ES"/>
        </w:rPr>
        <w:t>), Sudán, Suiza, Uganda, República Unida de Tanzania, la Unión Europea y sus 28 Estados miembros y Venezuela (República Bolivariana</w:t>
      </w:r>
      <w:r>
        <w:rPr>
          <w:rFonts w:eastAsia="MS Mincho"/>
          <w:lang w:val="es-ES"/>
        </w:rPr>
        <w:t xml:space="preserve"> de</w:t>
      </w:r>
      <w:r w:rsidR="002437E5" w:rsidRPr="00AD0046">
        <w:rPr>
          <w:szCs w:val="22"/>
          <w:lang w:val="es-ES"/>
        </w:rPr>
        <w:t>).</w:t>
      </w:r>
    </w:p>
    <w:p w:rsidR="002437E5" w:rsidRPr="00AD0046" w:rsidRDefault="00AD0046" w:rsidP="000C6220">
      <w:pPr>
        <w:pStyle w:val="Para1"/>
        <w:tabs>
          <w:tab w:val="clear" w:pos="360"/>
          <w:tab w:val="clear" w:pos="567"/>
          <w:tab w:val="clear" w:pos="2912"/>
        </w:tabs>
        <w:spacing w:line="240" w:lineRule="auto"/>
        <w:rPr>
          <w:szCs w:val="22"/>
          <w:lang w:val="es-ES"/>
        </w:rPr>
      </w:pPr>
      <w:r w:rsidRPr="00BD1CDE">
        <w:rPr>
          <w:rFonts w:eastAsia="MS Mincho"/>
          <w:lang w:val="es-ES"/>
        </w:rPr>
        <w:t xml:space="preserve">También formuló una declaración el representante de la División de Asuntos Oceánicos y del Derecho del Mar </w:t>
      </w:r>
      <w:r>
        <w:rPr>
          <w:szCs w:val="22"/>
          <w:lang w:val="es-ES"/>
        </w:rPr>
        <w:t>de la Oficina de Asuntos Jurídicos de las Naciones Unidas</w:t>
      </w:r>
      <w:r w:rsidR="002437E5" w:rsidRPr="00AD0046">
        <w:rPr>
          <w:szCs w:val="22"/>
          <w:lang w:val="es-ES"/>
        </w:rPr>
        <w:t>.</w:t>
      </w:r>
    </w:p>
    <w:p w:rsidR="002437E5" w:rsidRPr="00AD0046" w:rsidRDefault="00AD0046" w:rsidP="000C6220">
      <w:pPr>
        <w:pStyle w:val="Para1"/>
        <w:tabs>
          <w:tab w:val="clear" w:pos="360"/>
          <w:tab w:val="clear" w:pos="567"/>
          <w:tab w:val="clear" w:pos="2912"/>
        </w:tabs>
        <w:spacing w:line="240" w:lineRule="auto"/>
        <w:rPr>
          <w:szCs w:val="22"/>
          <w:lang w:val="es-ES"/>
        </w:rPr>
      </w:pPr>
      <w:r w:rsidRPr="00BD1CDE">
        <w:rPr>
          <w:rFonts w:eastAsia="MS Mincho"/>
          <w:lang w:val="es-ES"/>
        </w:rPr>
        <w:t>Formuló también una declaración un representante de Foro Internacional Indígena sobre Biodiversidad (FIIB</w:t>
      </w:r>
      <w:r>
        <w:rPr>
          <w:rFonts w:eastAsia="MS Mincho"/>
          <w:lang w:val="es-ES"/>
        </w:rPr>
        <w:t>)</w:t>
      </w:r>
      <w:r w:rsidR="002437E5" w:rsidRPr="00AD0046">
        <w:rPr>
          <w:szCs w:val="22"/>
          <w:lang w:val="es-ES"/>
        </w:rPr>
        <w:t>.</w:t>
      </w:r>
    </w:p>
    <w:p w:rsidR="002437E5" w:rsidRPr="00E50E7D" w:rsidRDefault="00E50E7D" w:rsidP="000C6220">
      <w:pPr>
        <w:pStyle w:val="Para1"/>
        <w:tabs>
          <w:tab w:val="clear" w:pos="360"/>
          <w:tab w:val="clear" w:pos="567"/>
          <w:tab w:val="clear" w:pos="2912"/>
        </w:tabs>
        <w:spacing w:line="240" w:lineRule="auto"/>
        <w:rPr>
          <w:szCs w:val="22"/>
          <w:lang w:val="es-ES"/>
        </w:rPr>
      </w:pPr>
      <w:r w:rsidRPr="00BD1CDE">
        <w:rPr>
          <w:rFonts w:eastAsia="MS Mincho"/>
          <w:lang w:val="es-ES"/>
        </w:rPr>
        <w:t>El Grupo de Trabajo acordó establecer un grupo de contacto para resolver las cuestiones pendientes. El grupo de contacto sería facilitado por Thomas Greiber (Alemania) y Christine Achello (Uganda</w:t>
      </w:r>
      <w:r w:rsidR="002437E5" w:rsidRPr="00E50E7D">
        <w:rPr>
          <w:szCs w:val="22"/>
          <w:lang w:val="es-ES"/>
        </w:rPr>
        <w:t>).</w:t>
      </w:r>
    </w:p>
    <w:p w:rsidR="00616E9D" w:rsidRPr="00E50E7D" w:rsidRDefault="00E50E7D" w:rsidP="000C6220">
      <w:pPr>
        <w:pStyle w:val="Para1"/>
        <w:tabs>
          <w:tab w:val="clear" w:pos="360"/>
          <w:tab w:val="clear" w:pos="567"/>
          <w:tab w:val="clear" w:pos="2912"/>
        </w:tabs>
        <w:spacing w:line="240" w:lineRule="auto"/>
        <w:rPr>
          <w:szCs w:val="22"/>
          <w:lang w:val="es-ES"/>
        </w:rPr>
      </w:pPr>
      <w:r w:rsidRPr="007A6FC4">
        <w:rPr>
          <w:lang w:val="es-ES"/>
        </w:rPr>
        <w:t>En su 13ª reunión, el 28 de noviembre de 2018, el Grupo de Trabajo examin</w:t>
      </w:r>
      <w:r>
        <w:rPr>
          <w:lang w:val="es-ES"/>
        </w:rPr>
        <w:t>ó un proyecto de decisión revisado presentado por el Presidente</w:t>
      </w:r>
      <w:r w:rsidR="00616E9D" w:rsidRPr="00E50E7D">
        <w:rPr>
          <w:szCs w:val="22"/>
          <w:lang w:val="es-ES"/>
        </w:rPr>
        <w:t>.</w:t>
      </w:r>
    </w:p>
    <w:p w:rsidR="00616E9D" w:rsidRPr="00E50E7D" w:rsidRDefault="00E50E7D" w:rsidP="000C6220">
      <w:pPr>
        <w:pStyle w:val="Para1"/>
        <w:tabs>
          <w:tab w:val="clear" w:pos="360"/>
          <w:tab w:val="clear" w:pos="567"/>
          <w:tab w:val="clear" w:pos="2912"/>
        </w:tabs>
        <w:spacing w:line="240" w:lineRule="auto"/>
        <w:rPr>
          <w:szCs w:val="22"/>
          <w:lang w:val="es-ES"/>
        </w:rPr>
      </w:pPr>
      <w:r w:rsidRPr="007A6FC4">
        <w:rPr>
          <w:lang w:val="es-ES"/>
        </w:rPr>
        <w:t xml:space="preserve">Formularon declaraciones los representantes de Colombia, </w:t>
      </w:r>
      <w:r>
        <w:rPr>
          <w:lang w:val="es-ES"/>
        </w:rPr>
        <w:t xml:space="preserve">Filipinas, </w:t>
      </w:r>
      <w:r w:rsidRPr="007A6FC4">
        <w:rPr>
          <w:lang w:val="es-ES"/>
        </w:rPr>
        <w:t>India, Jap</w:t>
      </w:r>
      <w:r>
        <w:rPr>
          <w:lang w:val="es-ES"/>
        </w:rPr>
        <w:t>ón, México, Malawi, la República de Corea, Suiza y la Unión Europea y sus 28 Estados miembros</w:t>
      </w:r>
      <w:r w:rsidR="00616E9D" w:rsidRPr="00E50E7D">
        <w:rPr>
          <w:szCs w:val="22"/>
          <w:lang w:val="es-ES"/>
        </w:rPr>
        <w:t>.</w:t>
      </w:r>
    </w:p>
    <w:p w:rsidR="00616E9D" w:rsidRPr="00E50E7D" w:rsidRDefault="00E50E7D" w:rsidP="000C6220">
      <w:pPr>
        <w:pStyle w:val="Para1"/>
        <w:tabs>
          <w:tab w:val="clear" w:pos="360"/>
          <w:tab w:val="clear" w:pos="567"/>
          <w:tab w:val="clear" w:pos="2912"/>
        </w:tabs>
        <w:spacing w:line="240" w:lineRule="auto"/>
        <w:rPr>
          <w:szCs w:val="22"/>
          <w:lang w:val="es-ES"/>
        </w:rPr>
      </w:pPr>
      <w:r>
        <w:rPr>
          <w:lang w:val="es-ES"/>
        </w:rPr>
        <w:t xml:space="preserve">Tras el intercambio de opiniones, el Grupo de Trabajo aprobó el proyecto de decisión revisado, en su forma enmendada oralmente, para que fuera transmitido a la sesión plenaria como proyecto de decisión </w:t>
      </w:r>
      <w:r w:rsidR="00066C74" w:rsidRPr="00E50E7D">
        <w:rPr>
          <w:szCs w:val="22"/>
          <w:lang w:val="es-ES"/>
        </w:rPr>
        <w:t>CBD/NP/</w:t>
      </w:r>
      <w:r w:rsidR="00616E9D" w:rsidRPr="00E50E7D">
        <w:rPr>
          <w:szCs w:val="22"/>
          <w:lang w:val="es-ES"/>
        </w:rPr>
        <w:t>MOP/13/L.13.</w:t>
      </w:r>
    </w:p>
    <w:p w:rsidR="00475D73" w:rsidRPr="00E50E7D" w:rsidRDefault="00E50E7D" w:rsidP="000C6220">
      <w:pPr>
        <w:pStyle w:val="Para1"/>
        <w:tabs>
          <w:tab w:val="clear" w:pos="360"/>
          <w:tab w:val="clear" w:pos="567"/>
          <w:tab w:val="clear" w:pos="2912"/>
        </w:tabs>
        <w:spacing w:line="240" w:lineRule="auto"/>
        <w:rPr>
          <w:szCs w:val="22"/>
          <w:lang w:val="es-ES"/>
        </w:rPr>
      </w:pPr>
      <w:r w:rsidRPr="00E50E7D">
        <w:rPr>
          <w:szCs w:val="22"/>
          <w:lang w:val="es-ES"/>
        </w:rPr>
        <w:t xml:space="preserve">En su </w:t>
      </w:r>
      <w:r w:rsidR="00C576FA" w:rsidRPr="00E50E7D">
        <w:rPr>
          <w:szCs w:val="22"/>
          <w:lang w:val="es-ES"/>
        </w:rPr>
        <w:t>8</w:t>
      </w:r>
      <w:r w:rsidRPr="00E50E7D">
        <w:rPr>
          <w:szCs w:val="22"/>
          <w:lang w:val="es-ES"/>
        </w:rPr>
        <w:t xml:space="preserve">ª sesión plenaria, el </w:t>
      </w:r>
      <w:r w:rsidR="00C576FA" w:rsidRPr="00E50E7D">
        <w:rPr>
          <w:szCs w:val="22"/>
          <w:lang w:val="es-ES"/>
        </w:rPr>
        <w:t xml:space="preserve">29 </w:t>
      </w:r>
      <w:r w:rsidRPr="00E50E7D">
        <w:rPr>
          <w:szCs w:val="22"/>
          <w:lang w:val="es-ES"/>
        </w:rPr>
        <w:t xml:space="preserve">de noviembre de </w:t>
      </w:r>
      <w:r w:rsidR="00C576FA" w:rsidRPr="00E50E7D">
        <w:rPr>
          <w:szCs w:val="22"/>
          <w:lang w:val="es-ES"/>
        </w:rPr>
        <w:t xml:space="preserve">2018, </w:t>
      </w:r>
      <w:r w:rsidRPr="00E50E7D">
        <w:rPr>
          <w:szCs w:val="22"/>
          <w:lang w:val="es-ES"/>
        </w:rPr>
        <w:t>la</w:t>
      </w:r>
      <w:r w:rsidR="00C576FA" w:rsidRPr="00E50E7D">
        <w:rPr>
          <w:szCs w:val="22"/>
          <w:lang w:val="es-ES"/>
        </w:rPr>
        <w:t xml:space="preserve"> Conferenc</w:t>
      </w:r>
      <w:r w:rsidRPr="00E50E7D">
        <w:rPr>
          <w:szCs w:val="22"/>
          <w:lang w:val="es-ES"/>
        </w:rPr>
        <w:t xml:space="preserve">ia de las </w:t>
      </w:r>
      <w:r w:rsidR="00C576FA" w:rsidRPr="00E50E7D">
        <w:rPr>
          <w:szCs w:val="22"/>
          <w:lang w:val="es-ES"/>
        </w:rPr>
        <w:t xml:space="preserve">Partes </w:t>
      </w:r>
      <w:r w:rsidRPr="00E50E7D">
        <w:rPr>
          <w:szCs w:val="22"/>
          <w:lang w:val="es-ES"/>
        </w:rPr>
        <w:t>que act</w:t>
      </w:r>
      <w:r>
        <w:rPr>
          <w:szCs w:val="22"/>
          <w:lang w:val="es-ES"/>
        </w:rPr>
        <w:t xml:space="preserve">úa como reunión de las Partes en el Protocolo de </w:t>
      </w:r>
      <w:r w:rsidR="000208DB" w:rsidRPr="00E50E7D">
        <w:rPr>
          <w:szCs w:val="22"/>
          <w:lang w:val="es-ES"/>
        </w:rPr>
        <w:t xml:space="preserve">Nagoya </w:t>
      </w:r>
      <w:r>
        <w:rPr>
          <w:szCs w:val="22"/>
          <w:lang w:val="es-ES"/>
        </w:rPr>
        <w:t xml:space="preserve">adoptó el proyecto de decisión </w:t>
      </w:r>
      <w:r w:rsidR="00C576FA" w:rsidRPr="00E50E7D">
        <w:rPr>
          <w:szCs w:val="22"/>
          <w:lang w:val="es-ES"/>
        </w:rPr>
        <w:t xml:space="preserve">CBD/NP/MOP/3/L.13 </w:t>
      </w:r>
      <w:r>
        <w:rPr>
          <w:szCs w:val="22"/>
          <w:lang w:val="es-ES"/>
        </w:rPr>
        <w:t xml:space="preserve">como decisión </w:t>
      </w:r>
      <w:r w:rsidR="00C576FA" w:rsidRPr="00E50E7D">
        <w:rPr>
          <w:szCs w:val="22"/>
          <w:lang w:val="es-ES"/>
        </w:rPr>
        <w:t>NP 3/13 (</w:t>
      </w:r>
      <w:r>
        <w:rPr>
          <w:szCs w:val="22"/>
          <w:lang w:val="es-ES"/>
        </w:rPr>
        <w:t xml:space="preserve">para el texto, véase el capítulo </w:t>
      </w:r>
      <w:r w:rsidR="00C576FA" w:rsidRPr="00E50E7D">
        <w:rPr>
          <w:szCs w:val="22"/>
          <w:lang w:val="es-ES"/>
        </w:rPr>
        <w:t>I).</w:t>
      </w:r>
    </w:p>
    <w:p w:rsidR="000B093B" w:rsidRPr="00EE0850" w:rsidRDefault="00E50E7D" w:rsidP="000C6220">
      <w:pPr>
        <w:pStyle w:val="Heading1-item"/>
        <w:tabs>
          <w:tab w:val="left" w:pos="1134"/>
        </w:tabs>
        <w:spacing w:before="120" w:line="240" w:lineRule="auto"/>
        <w:ind w:right="0"/>
        <w:rPr>
          <w:rFonts w:hint="eastAsia"/>
        </w:rPr>
      </w:pPr>
      <w:bookmarkStart w:id="50" w:name="_Toc476651584"/>
      <w:bookmarkStart w:id="51" w:name="_Toc256237"/>
      <w:r>
        <w:rPr>
          <w:rFonts w:ascii="Times New Roman" w:hAnsi="Times New Roman" w:cs="Times New Roman"/>
        </w:rPr>
        <w:t>Tema</w:t>
      </w:r>
      <w:r w:rsidR="000B093B" w:rsidRPr="00EE0850">
        <w:rPr>
          <w:rFonts w:ascii="Times New Roman" w:hAnsi="Times New Roman" w:cs="Times New Roman"/>
        </w:rPr>
        <w:t xml:space="preserve"> </w:t>
      </w:r>
      <w:r w:rsidR="00793870" w:rsidRPr="00EE0850">
        <w:rPr>
          <w:rFonts w:ascii="Times New Roman" w:hAnsi="Times New Roman" w:cs="Times New Roman"/>
        </w:rPr>
        <w:t>20</w:t>
      </w:r>
      <w:r w:rsidR="000B093B" w:rsidRPr="00EE0850">
        <w:rPr>
          <w:rFonts w:ascii="Times New Roman" w:hAnsi="Times New Roman" w:cs="Times New Roman"/>
        </w:rPr>
        <w:t>.</w:t>
      </w:r>
      <w:r w:rsidR="000B093B" w:rsidRPr="00EE0850">
        <w:rPr>
          <w:rFonts w:ascii="Times New Roman" w:hAnsi="Times New Roman" w:cs="Times New Roman"/>
        </w:rPr>
        <w:tab/>
        <w:t>OT</w:t>
      </w:r>
      <w:r>
        <w:rPr>
          <w:rFonts w:ascii="Times New Roman" w:hAnsi="Times New Roman" w:cs="Times New Roman"/>
        </w:rPr>
        <w:t>ros asuntos</w:t>
      </w:r>
      <w:bookmarkEnd w:id="50"/>
      <w:bookmarkEnd w:id="51"/>
    </w:p>
    <w:p w:rsidR="00C576FA" w:rsidRPr="00E50E7D" w:rsidRDefault="00E50E7D" w:rsidP="000C6220">
      <w:pPr>
        <w:pStyle w:val="Para1"/>
        <w:tabs>
          <w:tab w:val="clear" w:pos="360"/>
          <w:tab w:val="clear" w:pos="567"/>
          <w:tab w:val="clear" w:pos="2912"/>
        </w:tabs>
        <w:spacing w:line="240" w:lineRule="auto"/>
        <w:rPr>
          <w:szCs w:val="22"/>
          <w:lang w:val="es-ES"/>
        </w:rPr>
      </w:pPr>
      <w:r>
        <w:rPr>
          <w:lang w:val="es-ES"/>
        </w:rPr>
        <w:t>No se discutieron otros asuntos</w:t>
      </w:r>
      <w:r w:rsidR="00C576FA" w:rsidRPr="00E50E7D">
        <w:rPr>
          <w:szCs w:val="22"/>
          <w:lang w:val="es-ES"/>
        </w:rPr>
        <w:t>.</w:t>
      </w:r>
    </w:p>
    <w:p w:rsidR="000B093B" w:rsidRPr="00EE0850" w:rsidRDefault="00E50E7D" w:rsidP="000C6220">
      <w:pPr>
        <w:pStyle w:val="Heading1-item"/>
        <w:tabs>
          <w:tab w:val="left" w:pos="1134"/>
        </w:tabs>
        <w:spacing w:before="120" w:line="240" w:lineRule="auto"/>
        <w:ind w:right="0"/>
        <w:rPr>
          <w:rFonts w:hint="eastAsia"/>
        </w:rPr>
      </w:pPr>
      <w:bookmarkStart w:id="52" w:name="_Toc476651585"/>
      <w:bookmarkStart w:id="53" w:name="_Toc256238"/>
      <w:r w:rsidRPr="00E50E7D">
        <w:rPr>
          <w:rFonts w:ascii="Times New Roman" w:hAnsi="Times New Roman" w:cs="Times New Roman"/>
          <w:lang w:val="en-US"/>
        </w:rPr>
        <w:t>TEMA</w:t>
      </w:r>
      <w:r w:rsidR="000B093B" w:rsidRPr="00EE0850">
        <w:rPr>
          <w:rFonts w:ascii="Times New Roman" w:hAnsi="Times New Roman" w:cs="Times New Roman"/>
        </w:rPr>
        <w:t xml:space="preserve"> </w:t>
      </w:r>
      <w:r w:rsidR="00793870" w:rsidRPr="00EE0850">
        <w:rPr>
          <w:rFonts w:ascii="Times New Roman" w:hAnsi="Times New Roman" w:cs="Times New Roman"/>
        </w:rPr>
        <w:t>21</w:t>
      </w:r>
      <w:r w:rsidR="000B093B" w:rsidRPr="00EE0850">
        <w:rPr>
          <w:rFonts w:ascii="Times New Roman" w:hAnsi="Times New Roman" w:cs="Times New Roman"/>
        </w:rPr>
        <w:t>.</w:t>
      </w:r>
      <w:r w:rsidR="000B093B" w:rsidRPr="00EE0850">
        <w:rPr>
          <w:rFonts w:ascii="Times New Roman" w:hAnsi="Times New Roman" w:cs="Times New Roman"/>
        </w:rPr>
        <w:tab/>
        <w:t>ADOP</w:t>
      </w:r>
      <w:r>
        <w:rPr>
          <w:rFonts w:ascii="Times New Roman" w:hAnsi="Times New Roman" w:cs="Times New Roman"/>
        </w:rPr>
        <w:t>CIÓN DEL INFORME</w:t>
      </w:r>
      <w:bookmarkEnd w:id="52"/>
      <w:bookmarkEnd w:id="53"/>
    </w:p>
    <w:p w:rsidR="000B093B" w:rsidRPr="00E50E7D" w:rsidRDefault="00E50E7D" w:rsidP="000C6220">
      <w:pPr>
        <w:pStyle w:val="Para1"/>
        <w:tabs>
          <w:tab w:val="clear" w:pos="360"/>
          <w:tab w:val="clear" w:pos="567"/>
          <w:tab w:val="clear" w:pos="2912"/>
        </w:tabs>
        <w:spacing w:line="240" w:lineRule="auto"/>
        <w:rPr>
          <w:snapToGrid w:val="0"/>
          <w:szCs w:val="22"/>
          <w:lang w:val="es-ES"/>
        </w:rPr>
      </w:pPr>
      <w:r w:rsidRPr="00E50E7D">
        <w:rPr>
          <w:snapToGrid w:val="0"/>
          <w:lang w:val="es-ES"/>
        </w:rPr>
        <w:t xml:space="preserve">El presente informe fue adoptado en la 8ª sesión plenaria, el 29 de noviembre de 2018, basándose en el proyecto de informe presentado por el Relator (CBD/NP/MOP/3/L.1), en el entendimiento de que se confiaría al </w:t>
      </w:r>
      <w:r>
        <w:rPr>
          <w:snapToGrid w:val="0"/>
          <w:lang w:val="es-ES"/>
        </w:rPr>
        <w:t>r</w:t>
      </w:r>
      <w:r w:rsidRPr="00E50E7D">
        <w:rPr>
          <w:snapToGrid w:val="0"/>
          <w:lang w:val="es-ES"/>
        </w:rPr>
        <w:t>elator su finalización</w:t>
      </w:r>
      <w:r w:rsidR="000B093B" w:rsidRPr="00E50E7D">
        <w:rPr>
          <w:snapToGrid w:val="0"/>
          <w:szCs w:val="22"/>
          <w:lang w:val="es-ES"/>
        </w:rPr>
        <w:t>.</w:t>
      </w:r>
    </w:p>
    <w:p w:rsidR="000B093B" w:rsidRPr="00EE0850" w:rsidRDefault="00E50E7D" w:rsidP="000C6220">
      <w:pPr>
        <w:pStyle w:val="Heading1-item"/>
        <w:tabs>
          <w:tab w:val="left" w:pos="1134"/>
        </w:tabs>
        <w:spacing w:before="120" w:line="240" w:lineRule="auto"/>
        <w:ind w:right="0"/>
        <w:rPr>
          <w:rFonts w:hint="eastAsia"/>
        </w:rPr>
      </w:pPr>
      <w:bookmarkStart w:id="54" w:name="_Toc476651586"/>
      <w:bookmarkStart w:id="55" w:name="_Toc256239"/>
      <w:r>
        <w:rPr>
          <w:rFonts w:ascii="Times New Roman" w:hAnsi="Times New Roman" w:cs="Times New Roman"/>
        </w:rPr>
        <w:t>TEMA</w:t>
      </w:r>
      <w:r w:rsidR="000B093B" w:rsidRPr="00EE0850">
        <w:rPr>
          <w:rFonts w:ascii="Times New Roman" w:hAnsi="Times New Roman" w:cs="Times New Roman"/>
        </w:rPr>
        <w:t xml:space="preserve"> </w:t>
      </w:r>
      <w:r w:rsidR="00793870" w:rsidRPr="00EE0850">
        <w:rPr>
          <w:rFonts w:ascii="Times New Roman" w:hAnsi="Times New Roman" w:cs="Times New Roman"/>
        </w:rPr>
        <w:t>22</w:t>
      </w:r>
      <w:r w:rsidR="000B093B" w:rsidRPr="00EE0850">
        <w:rPr>
          <w:rFonts w:ascii="Times New Roman" w:hAnsi="Times New Roman" w:cs="Times New Roman"/>
        </w:rPr>
        <w:t>.</w:t>
      </w:r>
      <w:r w:rsidR="000B093B" w:rsidRPr="00EE0850">
        <w:rPr>
          <w:rFonts w:ascii="Times New Roman" w:hAnsi="Times New Roman" w:cs="Times New Roman"/>
        </w:rPr>
        <w:tab/>
        <w:t>CL</w:t>
      </w:r>
      <w:r>
        <w:rPr>
          <w:rFonts w:ascii="Times New Roman" w:hAnsi="Times New Roman" w:cs="Times New Roman"/>
        </w:rPr>
        <w:t>AUSURA DE LA REUNIÓN</w:t>
      </w:r>
      <w:bookmarkEnd w:id="54"/>
      <w:bookmarkEnd w:id="55"/>
    </w:p>
    <w:p w:rsidR="000B093B" w:rsidRPr="00E50E7D" w:rsidRDefault="00E50E7D" w:rsidP="000C6220">
      <w:pPr>
        <w:pStyle w:val="Para1"/>
        <w:tabs>
          <w:tab w:val="clear" w:pos="567"/>
          <w:tab w:val="clear" w:pos="2912"/>
        </w:tabs>
        <w:spacing w:line="240" w:lineRule="auto"/>
        <w:rPr>
          <w:lang w:val="es-ES"/>
        </w:rPr>
      </w:pPr>
      <w:r>
        <w:rPr>
          <w:lang w:val="es-ES"/>
        </w:rPr>
        <w:t>La</w:t>
      </w:r>
      <w:r w:rsidRPr="006A38FB">
        <w:rPr>
          <w:lang w:val="es-ES"/>
        </w:rPr>
        <w:t xml:space="preserve"> President</w:t>
      </w:r>
      <w:r>
        <w:rPr>
          <w:lang w:val="es-ES"/>
        </w:rPr>
        <w:t>a</w:t>
      </w:r>
      <w:r w:rsidRPr="006A38FB">
        <w:rPr>
          <w:lang w:val="es-ES"/>
        </w:rPr>
        <w:t xml:space="preserve"> declaró clausurada la tercera reunión de la Conferencia de las Partes que actúa como reunión de las Partes en el Protocolo de Nagoya a las </w:t>
      </w:r>
      <w:r>
        <w:rPr>
          <w:lang w:val="es-ES"/>
        </w:rPr>
        <w:t>9 p. m. el 29</w:t>
      </w:r>
      <w:r w:rsidRPr="006A38FB">
        <w:rPr>
          <w:lang w:val="es-ES"/>
        </w:rPr>
        <w:t xml:space="preserve"> de noviembre de 2018</w:t>
      </w:r>
      <w:r w:rsidR="000B093B" w:rsidRPr="00E50E7D">
        <w:rPr>
          <w:lang w:val="es-ES"/>
        </w:rPr>
        <w:t>.</w:t>
      </w:r>
    </w:p>
    <w:p w:rsidR="00EF311C" w:rsidRPr="00E50E7D" w:rsidRDefault="00C04B67" w:rsidP="000C6220">
      <w:pPr>
        <w:suppressLineNumbers/>
        <w:suppressAutoHyphens/>
        <w:kinsoku w:val="0"/>
        <w:overflowPunct w:val="0"/>
        <w:autoSpaceDE w:val="0"/>
        <w:autoSpaceDN w:val="0"/>
        <w:spacing w:before="120" w:line="240" w:lineRule="auto"/>
        <w:jc w:val="center"/>
        <w:rPr>
          <w:snapToGrid w:val="0"/>
          <w:kern w:val="22"/>
          <w:szCs w:val="22"/>
          <w:lang w:val="es-ES"/>
        </w:rPr>
      </w:pPr>
      <w:r w:rsidRPr="00E50E7D">
        <w:rPr>
          <w:snapToGrid w:val="0"/>
          <w:kern w:val="22"/>
          <w:szCs w:val="22"/>
          <w:lang w:val="es-ES"/>
        </w:rPr>
        <w:t>__________</w:t>
      </w:r>
    </w:p>
    <w:sectPr w:rsidR="00EF311C" w:rsidRPr="00E50E7D" w:rsidSect="000C6220">
      <w:type w:val="continuous"/>
      <w:pgSz w:w="12242" w:h="15842" w:code="1"/>
      <w:pgMar w:top="1138" w:right="1138" w:bottom="1022" w:left="1138" w:header="567"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8FC" w:rsidRDefault="00FC18FC">
      <w:r>
        <w:separator/>
      </w:r>
    </w:p>
  </w:endnote>
  <w:endnote w:type="continuationSeparator" w:id="0">
    <w:p w:rsidR="00FC18FC" w:rsidRDefault="00FC18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D6" w:rsidRDefault="009F4FD6" w:rsidP="000C6220">
    <w:pPr>
      <w:pStyle w:val="Piedepgina"/>
      <w:spacing w:after="0" w:line="240" w:lineRule="auto"/>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D6" w:rsidRDefault="009F4FD6" w:rsidP="000C6220">
    <w:pPr>
      <w:pStyle w:val="Piedepgina"/>
      <w:spacing w:after="0" w:line="240" w:lineRule="auto"/>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8FC" w:rsidRDefault="00FC18FC">
      <w:r>
        <w:separator/>
      </w:r>
    </w:p>
  </w:footnote>
  <w:footnote w:type="continuationSeparator" w:id="0">
    <w:p w:rsidR="00FC18FC" w:rsidRDefault="00FC18FC">
      <w:r>
        <w:continuationSeparator/>
      </w:r>
    </w:p>
  </w:footnote>
  <w:footnote w:id="1">
    <w:p w:rsidR="009F4FD6" w:rsidRPr="00BD70CB" w:rsidRDefault="009F4FD6" w:rsidP="000C6220">
      <w:pPr>
        <w:pStyle w:val="Textonotapie"/>
        <w:suppressLineNumbers/>
        <w:suppressAutoHyphens/>
        <w:spacing w:line="240" w:lineRule="auto"/>
        <w:ind w:firstLine="0"/>
        <w:jc w:val="left"/>
        <w:rPr>
          <w:kern w:val="18"/>
          <w:szCs w:val="18"/>
          <w:lang w:val="es-ES"/>
        </w:rPr>
      </w:pPr>
      <w:r w:rsidRPr="000C6220">
        <w:rPr>
          <w:rStyle w:val="Refdenotaalpie"/>
          <w:kern w:val="18"/>
          <w:szCs w:val="18"/>
          <w:u w:val="none"/>
          <w:vertAlign w:val="superscript"/>
        </w:rPr>
        <w:footnoteRef/>
      </w:r>
      <w:r w:rsidRPr="00BD70CB">
        <w:rPr>
          <w:kern w:val="18"/>
          <w:szCs w:val="18"/>
          <w:lang w:val="es-ES"/>
        </w:rPr>
        <w:t xml:space="preserve"> Estos pueden incluir protocolos </w:t>
      </w:r>
      <w:r>
        <w:rPr>
          <w:kern w:val="18"/>
          <w:szCs w:val="18"/>
          <w:lang w:val="es-ES"/>
        </w:rPr>
        <w:t>b</w:t>
      </w:r>
      <w:r w:rsidRPr="00BD70CB">
        <w:rPr>
          <w:kern w:val="18"/>
          <w:szCs w:val="18"/>
          <w:lang w:val="es-ES"/>
        </w:rPr>
        <w:t>iocultural</w:t>
      </w:r>
      <w:r>
        <w:rPr>
          <w:kern w:val="18"/>
          <w:szCs w:val="18"/>
          <w:lang w:val="es-ES"/>
        </w:rPr>
        <w:t>es comunitarios</w:t>
      </w:r>
      <w:r w:rsidRPr="00BD70CB">
        <w:rPr>
          <w:kern w:val="18"/>
          <w:szCs w:val="18"/>
          <w:lang w:val="es-ES"/>
        </w:rPr>
        <w:t>.</w:t>
      </w:r>
    </w:p>
  </w:footnote>
  <w:footnote w:id="2">
    <w:p w:rsidR="009F4FD6" w:rsidRPr="00C5131C" w:rsidRDefault="009F4FD6" w:rsidP="000C6220">
      <w:pPr>
        <w:pStyle w:val="Textonotapie"/>
        <w:suppressLineNumbers/>
        <w:suppressAutoHyphens/>
        <w:spacing w:line="240" w:lineRule="auto"/>
        <w:ind w:firstLine="0"/>
        <w:jc w:val="left"/>
        <w:rPr>
          <w:kern w:val="18"/>
          <w:szCs w:val="18"/>
          <w:lang w:val="es-ES"/>
        </w:rPr>
      </w:pPr>
      <w:r w:rsidRPr="000C6220">
        <w:rPr>
          <w:rStyle w:val="Refdenotaalpie"/>
          <w:kern w:val="18"/>
          <w:szCs w:val="18"/>
          <w:u w:val="none"/>
          <w:vertAlign w:val="superscript"/>
        </w:rPr>
        <w:footnoteRef/>
      </w:r>
      <w:r w:rsidRPr="00C5131C">
        <w:rPr>
          <w:kern w:val="18"/>
          <w:szCs w:val="18"/>
          <w:lang w:val="es-ES"/>
        </w:rPr>
        <w:t xml:space="preserve"> CBD/NP/MOP/3/3.</w:t>
      </w:r>
    </w:p>
  </w:footnote>
  <w:footnote w:id="3">
    <w:p w:rsidR="009F4FD6" w:rsidRPr="00627661" w:rsidRDefault="009F4FD6" w:rsidP="000C6220">
      <w:pPr>
        <w:pStyle w:val="Textonotapie"/>
        <w:suppressLineNumbers/>
        <w:suppressAutoHyphens/>
        <w:kinsoku w:val="0"/>
        <w:overflowPunct w:val="0"/>
        <w:autoSpaceDE w:val="0"/>
        <w:autoSpaceDN w:val="0"/>
        <w:adjustRightInd w:val="0"/>
        <w:snapToGrid w:val="0"/>
        <w:spacing w:line="240" w:lineRule="auto"/>
        <w:ind w:firstLine="0"/>
        <w:jc w:val="left"/>
        <w:rPr>
          <w:snapToGrid w:val="0"/>
          <w:kern w:val="18"/>
          <w:szCs w:val="18"/>
          <w:lang w:val="es-ES"/>
        </w:rPr>
      </w:pPr>
      <w:r w:rsidRPr="00A162E7">
        <w:rPr>
          <w:snapToGrid w:val="0"/>
          <w:kern w:val="18"/>
          <w:szCs w:val="18"/>
          <w:vertAlign w:val="superscript"/>
        </w:rPr>
        <w:footnoteRef/>
      </w:r>
      <w:r w:rsidRPr="00627661">
        <w:rPr>
          <w:snapToGrid w:val="0"/>
          <w:kern w:val="18"/>
          <w:szCs w:val="18"/>
          <w:lang w:val="es-ES"/>
        </w:rPr>
        <w:t xml:space="preserve"> Por ejemplo, “African Union Practical Guidelines for the Coordinated Implementation of the Nagoya Protocol in Africa” (“Directrices prácticas de la Unión Africana para la aplicación coordinada del Protocolo de Nagoya en África”) (Unión Africana, 2015).</w:t>
      </w:r>
    </w:p>
  </w:footnote>
  <w:footnote w:id="4">
    <w:p w:rsidR="009F4FD6" w:rsidRPr="00627661" w:rsidRDefault="009F4FD6" w:rsidP="000C6220">
      <w:pPr>
        <w:pStyle w:val="Textonotapie"/>
        <w:suppressLineNumbers/>
        <w:suppressAutoHyphens/>
        <w:kinsoku w:val="0"/>
        <w:overflowPunct w:val="0"/>
        <w:autoSpaceDE w:val="0"/>
        <w:autoSpaceDN w:val="0"/>
        <w:adjustRightInd w:val="0"/>
        <w:snapToGrid w:val="0"/>
        <w:spacing w:line="240" w:lineRule="auto"/>
        <w:ind w:firstLine="0"/>
        <w:jc w:val="left"/>
        <w:rPr>
          <w:snapToGrid w:val="0"/>
          <w:kern w:val="18"/>
          <w:szCs w:val="18"/>
          <w:lang w:val="es-ES"/>
        </w:rPr>
      </w:pPr>
      <w:r w:rsidRPr="000C6220">
        <w:rPr>
          <w:rStyle w:val="Refdenotaalpie"/>
          <w:kern w:val="18"/>
          <w:szCs w:val="18"/>
          <w:u w:val="none"/>
          <w:vertAlign w:val="superscript"/>
        </w:rPr>
        <w:footnoteRef/>
      </w:r>
      <w:r w:rsidRPr="00627661">
        <w:rPr>
          <w:snapToGrid w:val="0"/>
          <w:kern w:val="18"/>
          <w:szCs w:val="18"/>
          <w:lang w:val="es-ES"/>
        </w:rPr>
        <w:t xml:space="preserve"> Por ejemplo </w:t>
      </w:r>
      <w:r w:rsidRPr="00627661">
        <w:rPr>
          <w:spacing w:val="-2"/>
          <w:kern w:val="18"/>
          <w:lang w:val="es-ES"/>
        </w:rPr>
        <w:t>“Compilation of views received on use of the term ‘indigenous peoples and local communities’”</w:t>
      </w:r>
      <w:r w:rsidRPr="00627661">
        <w:rPr>
          <w:snapToGrid w:val="0"/>
          <w:kern w:val="18"/>
          <w:szCs w:val="18"/>
          <w:lang w:val="es-ES"/>
        </w:rPr>
        <w:t xml:space="preserve"> (“Recopilación de opiniones recibidas sobre el uso del término ‘pueblos indígenas y comunidades locales’” (</w:t>
      </w:r>
      <w:hyperlink r:id="rId1" w:history="1">
        <w:r w:rsidRPr="00627661">
          <w:rPr>
            <w:rStyle w:val="Hipervnculo"/>
            <w:snapToGrid w:val="0"/>
            <w:color w:val="0070C0"/>
            <w:kern w:val="18"/>
            <w:szCs w:val="18"/>
            <w:lang w:val="es-ES"/>
          </w:rPr>
          <w:t>UNEP/CBD/WG8J/8/INF/10/Add.1</w:t>
        </w:r>
      </w:hyperlink>
      <w:r w:rsidRPr="00627661">
        <w:rPr>
          <w:snapToGrid w:val="0"/>
          <w:kern w:val="18"/>
          <w:szCs w:val="18"/>
          <w:lang w:val="es-ES"/>
        </w:rPr>
        <w:t>).</w:t>
      </w:r>
    </w:p>
  </w:footnote>
  <w:footnote w:id="5">
    <w:p w:rsidR="009F4FD6" w:rsidRPr="00627661" w:rsidRDefault="009F4FD6" w:rsidP="000C6220">
      <w:pPr>
        <w:pStyle w:val="Textonotapie"/>
        <w:suppressLineNumbers/>
        <w:suppressAutoHyphens/>
        <w:kinsoku w:val="0"/>
        <w:overflowPunct w:val="0"/>
        <w:autoSpaceDE w:val="0"/>
        <w:autoSpaceDN w:val="0"/>
        <w:adjustRightInd w:val="0"/>
        <w:snapToGrid w:val="0"/>
        <w:spacing w:line="240" w:lineRule="auto"/>
        <w:ind w:firstLine="0"/>
        <w:jc w:val="left"/>
        <w:rPr>
          <w:snapToGrid w:val="0"/>
          <w:kern w:val="18"/>
          <w:szCs w:val="18"/>
          <w:lang w:val="es-ES"/>
        </w:rPr>
      </w:pPr>
      <w:r w:rsidRPr="000C6220">
        <w:rPr>
          <w:rStyle w:val="Refdenotaalpie"/>
          <w:kern w:val="18"/>
          <w:szCs w:val="18"/>
          <w:u w:val="none"/>
          <w:vertAlign w:val="superscript"/>
        </w:rPr>
        <w:footnoteRef/>
      </w:r>
      <w:r w:rsidRPr="00627661">
        <w:rPr>
          <w:snapToGrid w:val="0"/>
          <w:kern w:val="18"/>
          <w:szCs w:val="18"/>
          <w:lang w:val="es-ES"/>
        </w:rPr>
        <w:t xml:space="preserve"> Por ejemplo, </w:t>
      </w:r>
      <w:r w:rsidRPr="009C72BA">
        <w:rPr>
          <w:kern w:val="18"/>
          <w:lang w:val="es-ES"/>
        </w:rPr>
        <w:t>“Elementos del ADB: Elementos para facilitar la aplicación nacional del acceso y distribución de beneficios en diferentes subsectores de los recursos genéticos para la alimentación y la agricultura” (Organización de las Naciones Unidas para la Alimentación y la Agricultura, 2016</w:t>
      </w:r>
      <w:r w:rsidRPr="00627661">
        <w:rPr>
          <w:snapToGrid w:val="0"/>
          <w:kern w:val="18"/>
          <w:szCs w:val="18"/>
          <w:lang w:val="es-ES"/>
        </w:rPr>
        <w:t>).</w:t>
      </w:r>
    </w:p>
  </w:footnote>
  <w:footnote w:id="6">
    <w:p w:rsidR="009F4FD6" w:rsidRPr="006718B5" w:rsidRDefault="009F4FD6" w:rsidP="000C6220">
      <w:pPr>
        <w:pStyle w:val="Textonotapie"/>
        <w:suppressLineNumbers/>
        <w:suppressAutoHyphens/>
        <w:kinsoku w:val="0"/>
        <w:overflowPunct w:val="0"/>
        <w:autoSpaceDE w:val="0"/>
        <w:autoSpaceDN w:val="0"/>
        <w:adjustRightInd w:val="0"/>
        <w:snapToGrid w:val="0"/>
        <w:spacing w:line="240" w:lineRule="auto"/>
        <w:ind w:firstLine="0"/>
        <w:jc w:val="left"/>
        <w:rPr>
          <w:snapToGrid w:val="0"/>
          <w:kern w:val="18"/>
          <w:szCs w:val="18"/>
          <w:lang w:val="es-ES"/>
        </w:rPr>
      </w:pPr>
      <w:r w:rsidRPr="000C6220">
        <w:rPr>
          <w:rStyle w:val="Refdenotaalpie"/>
          <w:rFonts w:eastAsia="DengXian Light"/>
          <w:snapToGrid w:val="0"/>
          <w:kern w:val="18"/>
          <w:szCs w:val="18"/>
          <w:u w:val="none"/>
          <w:vertAlign w:val="superscript"/>
        </w:rPr>
        <w:footnoteRef/>
      </w:r>
      <w:r w:rsidRPr="006718B5">
        <w:rPr>
          <w:snapToGrid w:val="0"/>
          <w:kern w:val="18"/>
          <w:szCs w:val="18"/>
          <w:lang w:val="es-ES"/>
        </w:rPr>
        <w:t xml:space="preserve"> </w:t>
      </w:r>
      <w:r>
        <w:rPr>
          <w:kern w:val="18"/>
          <w:lang w:val="es-ES"/>
        </w:rPr>
        <w:t>Directrices V</w:t>
      </w:r>
      <w:r w:rsidRPr="009C72BA">
        <w:rPr>
          <w:kern w:val="18"/>
          <w:lang w:val="es-ES"/>
        </w:rPr>
        <w:t>oluntarias Mo’otz Kuxtal para la elaboración de mecanismos, legislación u otras iniciativas adecuadas para garantizar el “consentimiento previo y fundamentado”, el “consentimiento libre, previo y fundamentado” o la “aprobación y participación”, según las circunstancias nacionales, de los pueblos indígenas y las comunidades locales para el acceso a sus conocimientos, innovaciones y prácticas, para la participación justa y equitativa en los beneficios que se deriven de la utilización de sus conocimientos, innovaciones y prácticas que sean pertinentes para la conservación y la utilización sostenible de la diversidad biológica y para denunciar e impedir la apropiación ilegal de conocimientos tradicionales</w:t>
      </w:r>
      <w:r w:rsidRPr="006718B5">
        <w:rPr>
          <w:snapToGrid w:val="0"/>
          <w:kern w:val="18"/>
          <w:szCs w:val="18"/>
          <w:lang w:val="es-ES"/>
        </w:rPr>
        <w:t>.</w:t>
      </w:r>
    </w:p>
  </w:footnote>
  <w:footnote w:id="7">
    <w:p w:rsidR="009F4FD6" w:rsidRPr="00C5131C" w:rsidRDefault="009F4FD6" w:rsidP="000C6220">
      <w:pPr>
        <w:pStyle w:val="Textonotapie"/>
        <w:suppressLineNumbers/>
        <w:suppressAutoHyphens/>
        <w:spacing w:line="240" w:lineRule="auto"/>
        <w:ind w:firstLine="0"/>
        <w:jc w:val="left"/>
        <w:rPr>
          <w:kern w:val="18"/>
          <w:szCs w:val="18"/>
          <w:lang w:val="es-ES"/>
        </w:rPr>
      </w:pPr>
      <w:r w:rsidRPr="000C6220">
        <w:rPr>
          <w:rStyle w:val="Refdenotaalpie"/>
          <w:rFonts w:eastAsiaTheme="majorEastAsia"/>
          <w:kern w:val="18"/>
          <w:szCs w:val="18"/>
          <w:u w:val="none"/>
          <w:vertAlign w:val="superscript"/>
        </w:rPr>
        <w:footnoteRef/>
      </w:r>
      <w:r w:rsidRPr="00C5131C">
        <w:rPr>
          <w:kern w:val="18"/>
          <w:szCs w:val="18"/>
          <w:lang w:val="es-ES"/>
        </w:rPr>
        <w:t xml:space="preserve"> CBD/NP/MOP/3/2.</w:t>
      </w:r>
    </w:p>
  </w:footnote>
  <w:footnote w:id="8">
    <w:p w:rsidR="009F4FD6" w:rsidRPr="003272EB" w:rsidRDefault="009F4FD6" w:rsidP="000C6220">
      <w:pPr>
        <w:pStyle w:val="Textonotapie"/>
        <w:suppressLineNumbers/>
        <w:suppressAutoHyphens/>
        <w:spacing w:line="240" w:lineRule="auto"/>
        <w:ind w:firstLine="0"/>
        <w:jc w:val="left"/>
        <w:rPr>
          <w:kern w:val="18"/>
          <w:szCs w:val="18"/>
          <w:lang w:val="es-ES"/>
        </w:rPr>
      </w:pPr>
      <w:r w:rsidRPr="000C6220">
        <w:rPr>
          <w:rStyle w:val="Refdenotaalpie"/>
          <w:rFonts w:eastAsiaTheme="majorEastAsia"/>
          <w:kern w:val="18"/>
          <w:szCs w:val="18"/>
          <w:u w:val="none"/>
          <w:vertAlign w:val="superscript"/>
        </w:rPr>
        <w:footnoteRef/>
      </w:r>
      <w:r w:rsidRPr="003272EB">
        <w:rPr>
          <w:kern w:val="18"/>
          <w:szCs w:val="18"/>
          <w:lang w:val="es-ES"/>
        </w:rPr>
        <w:t xml:space="preserve"> Véase CBD/NP/MOP/3/8.</w:t>
      </w:r>
    </w:p>
  </w:footnote>
  <w:footnote w:id="9">
    <w:p w:rsidR="009F4FD6" w:rsidRPr="003272EB" w:rsidRDefault="009F4FD6" w:rsidP="000C6220">
      <w:pPr>
        <w:pStyle w:val="Textonotapie"/>
        <w:suppressLineNumbers/>
        <w:suppressAutoHyphens/>
        <w:kinsoku w:val="0"/>
        <w:overflowPunct w:val="0"/>
        <w:autoSpaceDE w:val="0"/>
        <w:autoSpaceDN w:val="0"/>
        <w:spacing w:line="240" w:lineRule="auto"/>
        <w:ind w:firstLine="0"/>
        <w:jc w:val="left"/>
        <w:rPr>
          <w:kern w:val="18"/>
          <w:szCs w:val="18"/>
          <w:lang w:val="es-ES"/>
        </w:rPr>
      </w:pPr>
      <w:r w:rsidRPr="00337084">
        <w:rPr>
          <w:rStyle w:val="Refdenotaalpie"/>
          <w:rFonts w:eastAsiaTheme="majorEastAsia"/>
          <w:kern w:val="18"/>
          <w:szCs w:val="18"/>
          <w:u w:val="none"/>
          <w:vertAlign w:val="superscript"/>
        </w:rPr>
        <w:footnoteRef/>
      </w:r>
      <w:r w:rsidRPr="003272EB">
        <w:rPr>
          <w:kern w:val="18"/>
          <w:szCs w:val="18"/>
          <w:lang w:val="es-ES"/>
        </w:rPr>
        <w:t xml:space="preserve"> </w:t>
      </w:r>
      <w:r w:rsidRPr="006D7473">
        <w:rPr>
          <w:kern w:val="18"/>
          <w:szCs w:val="18"/>
          <w:lang w:val="es-ES"/>
        </w:rPr>
        <w:t xml:space="preserve">Véase la </w:t>
      </w:r>
      <w:r w:rsidRPr="009C72BA">
        <w:rPr>
          <w:lang w:val="es-ES"/>
        </w:rPr>
        <w:t>Resoluc</w:t>
      </w:r>
      <w:r>
        <w:rPr>
          <w:lang w:val="es-ES"/>
        </w:rPr>
        <w:t>ión de la Asamblea General</w:t>
      </w:r>
      <w:r w:rsidRPr="006D7473">
        <w:rPr>
          <w:kern w:val="18"/>
          <w:szCs w:val="18"/>
          <w:lang w:val="es-ES"/>
        </w:rPr>
        <w:t xml:space="preserve"> </w:t>
      </w:r>
      <w:hyperlink r:id="rId2" w:history="1">
        <w:r w:rsidRPr="006D7473">
          <w:rPr>
            <w:rStyle w:val="Hipervnculo"/>
            <w:kern w:val="18"/>
            <w:szCs w:val="18"/>
            <w:lang w:val="es-ES"/>
          </w:rPr>
          <w:t>70/1</w:t>
        </w:r>
      </w:hyperlink>
      <w:r>
        <w:rPr>
          <w:kern w:val="18"/>
          <w:szCs w:val="18"/>
          <w:lang w:val="es-ES"/>
        </w:rPr>
        <w:t xml:space="preserve"> </w:t>
      </w:r>
      <w:r w:rsidRPr="009C72BA">
        <w:rPr>
          <w:lang w:val="es-ES"/>
        </w:rPr>
        <w:t>del 25 de septiembre de 2015</w:t>
      </w:r>
      <w:r w:rsidRPr="003272EB">
        <w:rPr>
          <w:kern w:val="18"/>
          <w:szCs w:val="18"/>
          <w:lang w:val="es-ES"/>
        </w:rPr>
        <w:t>.</w:t>
      </w:r>
    </w:p>
  </w:footnote>
  <w:footnote w:id="10">
    <w:p w:rsidR="009F4FD6" w:rsidRPr="00FF06CC" w:rsidRDefault="009F4FD6" w:rsidP="000C6220">
      <w:pPr>
        <w:pStyle w:val="Textonotapie"/>
        <w:suppressLineNumbers/>
        <w:suppressAutoHyphens/>
        <w:spacing w:line="240" w:lineRule="auto"/>
        <w:ind w:firstLine="0"/>
        <w:jc w:val="left"/>
        <w:rPr>
          <w:kern w:val="18"/>
          <w:szCs w:val="18"/>
          <w:lang w:val="es-ES"/>
        </w:rPr>
      </w:pPr>
      <w:r w:rsidRPr="000C6220">
        <w:rPr>
          <w:rStyle w:val="Refdenotaalpie"/>
          <w:kern w:val="18"/>
          <w:szCs w:val="18"/>
          <w:u w:val="none"/>
          <w:vertAlign w:val="superscript"/>
        </w:rPr>
        <w:footnoteRef/>
      </w:r>
      <w:r w:rsidRPr="00FF06CC">
        <w:rPr>
          <w:kern w:val="18"/>
          <w:szCs w:val="18"/>
          <w:lang w:val="es-ES"/>
        </w:rPr>
        <w:t xml:space="preserve"> </w:t>
      </w:r>
      <w:hyperlink r:id="rId3" w:history="1">
        <w:r w:rsidRPr="00FF06CC">
          <w:rPr>
            <w:rStyle w:val="Hipervnculo"/>
            <w:kern w:val="18"/>
            <w:szCs w:val="18"/>
            <w:lang w:val="es-ES"/>
          </w:rPr>
          <w:t>CBD/NP/MOP/3/4</w:t>
        </w:r>
      </w:hyperlink>
      <w:r w:rsidRPr="00FF06CC">
        <w:rPr>
          <w:kern w:val="18"/>
          <w:szCs w:val="18"/>
          <w:lang w:val="es-ES"/>
        </w:rPr>
        <w:t>.</w:t>
      </w:r>
    </w:p>
  </w:footnote>
  <w:footnote w:id="11">
    <w:p w:rsidR="009F4FD6" w:rsidRPr="00FF06CC" w:rsidRDefault="009F4FD6" w:rsidP="000C6220">
      <w:pPr>
        <w:pStyle w:val="Textonotapie"/>
        <w:suppressLineNumbers/>
        <w:suppressAutoHyphens/>
        <w:spacing w:line="240" w:lineRule="auto"/>
        <w:ind w:firstLine="0"/>
        <w:jc w:val="left"/>
        <w:rPr>
          <w:kern w:val="18"/>
          <w:szCs w:val="18"/>
          <w:lang w:val="es-ES"/>
        </w:rPr>
      </w:pPr>
      <w:r w:rsidRPr="000C6220">
        <w:rPr>
          <w:rStyle w:val="Refdenotaalpie"/>
          <w:kern w:val="18"/>
          <w:szCs w:val="18"/>
          <w:u w:val="none"/>
          <w:vertAlign w:val="superscript"/>
        </w:rPr>
        <w:footnoteRef/>
      </w:r>
      <w:r w:rsidRPr="00FF06CC">
        <w:rPr>
          <w:kern w:val="18"/>
          <w:szCs w:val="18"/>
          <w:lang w:val="es-ES"/>
        </w:rPr>
        <w:t xml:space="preserve"> </w:t>
      </w:r>
      <w:hyperlink r:id="rId4" w:history="1">
        <w:r w:rsidRPr="00FF06CC">
          <w:rPr>
            <w:rStyle w:val="Hipervnculo"/>
            <w:kern w:val="18"/>
            <w:szCs w:val="18"/>
            <w:lang w:val="es-ES"/>
          </w:rPr>
          <w:t>CBD/ABS/CB-IAC/2018/1/4</w:t>
        </w:r>
      </w:hyperlink>
      <w:r w:rsidRPr="00FF06CC">
        <w:rPr>
          <w:kern w:val="18"/>
          <w:szCs w:val="18"/>
          <w:lang w:val="es-ES"/>
        </w:rPr>
        <w:t>.</w:t>
      </w:r>
    </w:p>
  </w:footnote>
  <w:footnote w:id="12">
    <w:p w:rsidR="009F4FD6" w:rsidRPr="00C5131C" w:rsidRDefault="009F4FD6" w:rsidP="000C6220">
      <w:pPr>
        <w:pStyle w:val="Textonotapie"/>
        <w:suppressLineNumbers/>
        <w:suppressAutoHyphens/>
        <w:spacing w:line="240" w:lineRule="auto"/>
        <w:ind w:firstLine="0"/>
        <w:jc w:val="left"/>
        <w:rPr>
          <w:kern w:val="18"/>
          <w:szCs w:val="18"/>
          <w:lang w:val="es-ES"/>
        </w:rPr>
      </w:pPr>
      <w:r w:rsidRPr="000C6220">
        <w:rPr>
          <w:rStyle w:val="Refdenotaalpie"/>
          <w:kern w:val="18"/>
          <w:szCs w:val="18"/>
          <w:u w:val="none"/>
          <w:vertAlign w:val="superscript"/>
        </w:rPr>
        <w:footnoteRef/>
      </w:r>
      <w:r w:rsidRPr="00C5131C">
        <w:rPr>
          <w:kern w:val="18"/>
          <w:szCs w:val="18"/>
          <w:lang w:val="es-ES"/>
        </w:rPr>
        <w:t xml:space="preserve"> Decisión </w:t>
      </w:r>
      <w:hyperlink r:id="rId5" w:history="1">
        <w:r w:rsidRPr="00C5131C">
          <w:rPr>
            <w:rStyle w:val="Hipervnculo"/>
            <w:kern w:val="18"/>
            <w:szCs w:val="18"/>
            <w:lang w:val="es-ES"/>
          </w:rPr>
          <w:t>NP-1/8</w:t>
        </w:r>
      </w:hyperlink>
      <w:r w:rsidRPr="00C5131C">
        <w:rPr>
          <w:kern w:val="18"/>
          <w:szCs w:val="18"/>
          <w:lang w:val="es-ES"/>
        </w:rPr>
        <w:t>, anexo I.</w:t>
      </w:r>
    </w:p>
  </w:footnote>
  <w:footnote w:id="13">
    <w:p w:rsidR="009F4FD6" w:rsidRPr="00C5131C" w:rsidRDefault="009F4FD6" w:rsidP="000C6220">
      <w:pPr>
        <w:pStyle w:val="Textonotapie"/>
        <w:suppressLineNumbers/>
        <w:suppressAutoHyphens/>
        <w:kinsoku w:val="0"/>
        <w:overflowPunct w:val="0"/>
        <w:autoSpaceDE w:val="0"/>
        <w:autoSpaceDN w:val="0"/>
        <w:spacing w:line="240" w:lineRule="auto"/>
        <w:ind w:firstLine="0"/>
        <w:jc w:val="left"/>
        <w:rPr>
          <w:kern w:val="18"/>
          <w:szCs w:val="18"/>
          <w:lang w:val="es-ES"/>
        </w:rPr>
      </w:pPr>
      <w:r w:rsidRPr="000C6220">
        <w:rPr>
          <w:rStyle w:val="Refdenotaalpie"/>
          <w:kern w:val="18"/>
          <w:szCs w:val="18"/>
          <w:u w:val="none"/>
          <w:vertAlign w:val="superscript"/>
        </w:rPr>
        <w:footnoteRef/>
      </w:r>
      <w:r w:rsidRPr="00C5131C">
        <w:rPr>
          <w:kern w:val="18"/>
          <w:szCs w:val="18"/>
          <w:vertAlign w:val="superscript"/>
          <w:lang w:val="es-ES"/>
        </w:rPr>
        <w:t xml:space="preserve"> </w:t>
      </w:r>
      <w:hyperlink r:id="rId6" w:history="1">
        <w:r w:rsidRPr="00C5131C">
          <w:rPr>
            <w:rStyle w:val="Hipervnculo"/>
            <w:kern w:val="18"/>
            <w:szCs w:val="18"/>
            <w:lang w:val="es-ES"/>
          </w:rPr>
          <w:t>CBD/COP/14/INF/10</w:t>
        </w:r>
      </w:hyperlink>
      <w:r w:rsidRPr="00C5131C">
        <w:rPr>
          <w:kern w:val="18"/>
          <w:szCs w:val="18"/>
          <w:lang w:val="es-ES"/>
        </w:rPr>
        <w:t>.</w:t>
      </w:r>
    </w:p>
  </w:footnote>
  <w:footnote w:id="14">
    <w:p w:rsidR="009F4FD6" w:rsidRPr="00CF4188" w:rsidRDefault="009F4FD6" w:rsidP="000C6220">
      <w:pPr>
        <w:pStyle w:val="Textonotapie"/>
        <w:suppressLineNumbers/>
        <w:suppressAutoHyphens/>
        <w:spacing w:line="240" w:lineRule="auto"/>
        <w:ind w:firstLine="0"/>
        <w:jc w:val="left"/>
        <w:rPr>
          <w:kern w:val="18"/>
          <w:szCs w:val="18"/>
          <w:lang w:val="es-ES"/>
        </w:rPr>
      </w:pPr>
      <w:r w:rsidRPr="000C6220">
        <w:rPr>
          <w:rStyle w:val="Refdenotaalpie"/>
          <w:kern w:val="18"/>
          <w:szCs w:val="18"/>
          <w:u w:val="none"/>
          <w:vertAlign w:val="superscript"/>
        </w:rPr>
        <w:footnoteRef/>
      </w:r>
      <w:r w:rsidRPr="00CF4188">
        <w:rPr>
          <w:kern w:val="18"/>
          <w:szCs w:val="18"/>
          <w:lang w:val="es-ES"/>
        </w:rPr>
        <w:t xml:space="preserve"> Véase la decisi</w:t>
      </w:r>
      <w:r>
        <w:rPr>
          <w:kern w:val="18"/>
          <w:szCs w:val="18"/>
          <w:lang w:val="es-ES"/>
        </w:rPr>
        <w:t>ón</w:t>
      </w:r>
      <w:r w:rsidRPr="00CF4188">
        <w:rPr>
          <w:kern w:val="18"/>
          <w:szCs w:val="18"/>
          <w:lang w:val="es-ES"/>
        </w:rPr>
        <w:t xml:space="preserve"> </w:t>
      </w:r>
      <w:hyperlink r:id="rId7" w:history="1">
        <w:r w:rsidRPr="00CF4188">
          <w:rPr>
            <w:rStyle w:val="Hipervnculo"/>
            <w:kern w:val="18"/>
            <w:szCs w:val="18"/>
            <w:lang w:val="es-ES"/>
          </w:rPr>
          <w:t>NP-1/8</w:t>
        </w:r>
      </w:hyperlink>
      <w:r w:rsidRPr="00CF4188">
        <w:rPr>
          <w:kern w:val="18"/>
          <w:szCs w:val="18"/>
          <w:lang w:val="es-ES"/>
        </w:rPr>
        <w:t>, anex</w:t>
      </w:r>
      <w:r>
        <w:rPr>
          <w:kern w:val="18"/>
          <w:szCs w:val="18"/>
          <w:lang w:val="es-ES"/>
        </w:rPr>
        <w:t>o I, párr</w:t>
      </w:r>
      <w:r w:rsidRPr="00CF4188">
        <w:rPr>
          <w:kern w:val="18"/>
          <w:szCs w:val="18"/>
          <w:lang w:val="es-ES"/>
        </w:rPr>
        <w:t>. 21.</w:t>
      </w:r>
    </w:p>
  </w:footnote>
  <w:footnote w:id="15">
    <w:p w:rsidR="009F4FD6" w:rsidRPr="00CF4188" w:rsidRDefault="009F4FD6" w:rsidP="000C6220">
      <w:pPr>
        <w:pStyle w:val="Textonotapie"/>
        <w:suppressLineNumbers/>
        <w:suppressAutoHyphens/>
        <w:kinsoku w:val="0"/>
        <w:overflowPunct w:val="0"/>
        <w:autoSpaceDE w:val="0"/>
        <w:autoSpaceDN w:val="0"/>
        <w:spacing w:line="240" w:lineRule="auto"/>
        <w:ind w:firstLine="0"/>
        <w:jc w:val="left"/>
        <w:rPr>
          <w:kern w:val="18"/>
          <w:szCs w:val="18"/>
          <w:lang w:val="es-ES"/>
        </w:rPr>
      </w:pPr>
      <w:r w:rsidRPr="000C6220">
        <w:rPr>
          <w:rStyle w:val="Refdenotaalpie"/>
          <w:kern w:val="18"/>
          <w:szCs w:val="18"/>
          <w:u w:val="none"/>
          <w:vertAlign w:val="superscript"/>
        </w:rPr>
        <w:footnoteRef/>
      </w:r>
      <w:r w:rsidRPr="00CF4188">
        <w:rPr>
          <w:kern w:val="18"/>
          <w:szCs w:val="18"/>
          <w:lang w:val="es-ES"/>
        </w:rPr>
        <w:t xml:space="preserve"> Véase la decisión NP-1/8, anexo I, párr</w:t>
      </w:r>
      <w:r>
        <w:rPr>
          <w:kern w:val="18"/>
          <w:szCs w:val="18"/>
          <w:lang w:val="es-ES"/>
        </w:rPr>
        <w:t>afos</w:t>
      </w:r>
      <w:r w:rsidRPr="00CF4188">
        <w:rPr>
          <w:kern w:val="18"/>
          <w:szCs w:val="18"/>
          <w:lang w:val="es-ES"/>
        </w:rPr>
        <w:t> 19 y 20.</w:t>
      </w:r>
    </w:p>
  </w:footnote>
  <w:footnote w:id="16">
    <w:p w:rsidR="009F4FD6" w:rsidRPr="009B1084" w:rsidRDefault="009F4FD6" w:rsidP="000C6220">
      <w:pPr>
        <w:pStyle w:val="Textonotapie"/>
        <w:suppressLineNumbers/>
        <w:suppressAutoHyphens/>
        <w:kinsoku w:val="0"/>
        <w:overflowPunct w:val="0"/>
        <w:autoSpaceDE w:val="0"/>
        <w:autoSpaceDN w:val="0"/>
        <w:spacing w:line="240" w:lineRule="auto"/>
        <w:ind w:firstLine="0"/>
        <w:jc w:val="left"/>
        <w:rPr>
          <w:kern w:val="18"/>
          <w:szCs w:val="18"/>
          <w:lang w:val="es-ES"/>
        </w:rPr>
      </w:pPr>
      <w:r w:rsidRPr="000C6220">
        <w:rPr>
          <w:rStyle w:val="Refdenotaalpie"/>
          <w:kern w:val="18"/>
          <w:szCs w:val="18"/>
          <w:u w:val="none"/>
          <w:vertAlign w:val="superscript"/>
        </w:rPr>
        <w:footnoteRef/>
      </w:r>
      <w:r w:rsidRPr="009B1084">
        <w:rPr>
          <w:kern w:val="18"/>
          <w:szCs w:val="18"/>
          <w:lang w:val="es-ES"/>
        </w:rPr>
        <w:t xml:space="preserve"> Véase la decisión NP-1/8, anexo I, apéndice II.</w:t>
      </w:r>
    </w:p>
  </w:footnote>
  <w:footnote w:id="17">
    <w:p w:rsidR="009F4FD6" w:rsidRPr="00C5131C" w:rsidRDefault="009F4FD6" w:rsidP="000C6220">
      <w:pPr>
        <w:pStyle w:val="Textonotapie"/>
        <w:suppressLineNumbers/>
        <w:suppressAutoHyphens/>
        <w:spacing w:line="240" w:lineRule="auto"/>
        <w:ind w:firstLine="0"/>
        <w:jc w:val="left"/>
        <w:rPr>
          <w:kern w:val="18"/>
          <w:szCs w:val="18"/>
          <w:lang w:val="es-ES"/>
        </w:rPr>
      </w:pPr>
      <w:r w:rsidRPr="000C6220">
        <w:rPr>
          <w:rStyle w:val="Refdenotaalpie"/>
          <w:kern w:val="18"/>
          <w:szCs w:val="18"/>
          <w:u w:val="none"/>
          <w:vertAlign w:val="superscript"/>
        </w:rPr>
        <w:footnoteRef/>
      </w:r>
      <w:r w:rsidRPr="00C5131C">
        <w:rPr>
          <w:kern w:val="18"/>
          <w:szCs w:val="18"/>
          <w:lang w:val="es-ES"/>
        </w:rPr>
        <w:t xml:space="preserve"> CBD/NP/MOP/3/6.</w:t>
      </w:r>
    </w:p>
  </w:footnote>
  <w:footnote w:id="18">
    <w:p w:rsidR="009F4FD6" w:rsidRPr="00D77B73" w:rsidRDefault="009F4FD6" w:rsidP="000C6220">
      <w:pPr>
        <w:pStyle w:val="Textonotapie"/>
        <w:suppressLineNumbers/>
        <w:suppressAutoHyphens/>
        <w:spacing w:line="240" w:lineRule="auto"/>
        <w:ind w:firstLine="0"/>
        <w:jc w:val="left"/>
        <w:rPr>
          <w:kern w:val="18"/>
          <w:szCs w:val="18"/>
          <w:lang w:val="es-ES"/>
        </w:rPr>
      </w:pPr>
      <w:r w:rsidRPr="000C6220">
        <w:rPr>
          <w:rStyle w:val="Refdenotaalpie"/>
          <w:kern w:val="18"/>
          <w:szCs w:val="18"/>
          <w:u w:val="none"/>
          <w:vertAlign w:val="superscript"/>
        </w:rPr>
        <w:footnoteRef/>
      </w:r>
      <w:r w:rsidRPr="00D77B73">
        <w:rPr>
          <w:kern w:val="18"/>
          <w:szCs w:val="18"/>
          <w:lang w:val="es-ES"/>
        </w:rPr>
        <w:t xml:space="preserve"> Como </w:t>
      </w:r>
      <w:r w:rsidRPr="00535D5F">
        <w:rPr>
          <w:kern w:val="18"/>
          <w:szCs w:val="18"/>
          <w:lang w:val="es-ES"/>
        </w:rPr>
        <w:t xml:space="preserve">se establece en la decisión </w:t>
      </w:r>
      <w:r w:rsidRPr="00D77B73">
        <w:rPr>
          <w:kern w:val="18"/>
          <w:szCs w:val="18"/>
          <w:lang w:val="es-ES"/>
        </w:rPr>
        <w:t>NP-1/9.</w:t>
      </w:r>
    </w:p>
  </w:footnote>
  <w:footnote w:id="19">
    <w:p w:rsidR="009F4FD6" w:rsidRPr="00B05591" w:rsidRDefault="009F4FD6" w:rsidP="000C6220">
      <w:pPr>
        <w:pStyle w:val="Textonotapie"/>
        <w:suppressLineNumbers/>
        <w:suppressAutoHyphens/>
        <w:spacing w:line="240" w:lineRule="auto"/>
        <w:ind w:firstLine="0"/>
        <w:jc w:val="left"/>
        <w:rPr>
          <w:kern w:val="18"/>
          <w:szCs w:val="18"/>
          <w:lang w:val="es-ES"/>
        </w:rPr>
      </w:pPr>
      <w:r w:rsidRPr="000C6220">
        <w:rPr>
          <w:rStyle w:val="Refdenotaalpie"/>
          <w:kern w:val="18"/>
          <w:szCs w:val="18"/>
          <w:u w:val="none"/>
          <w:vertAlign w:val="superscript"/>
        </w:rPr>
        <w:footnoteRef/>
      </w:r>
      <w:r w:rsidRPr="00B05591">
        <w:rPr>
          <w:kern w:val="18"/>
          <w:szCs w:val="18"/>
          <w:lang w:val="es-ES"/>
        </w:rPr>
        <w:t xml:space="preserve"> </w:t>
      </w:r>
      <w:hyperlink r:id="rId8" w:history="1">
        <w:r w:rsidRPr="00B05591">
          <w:rPr>
            <w:rStyle w:val="Hipervnculo"/>
            <w:kern w:val="18"/>
            <w:szCs w:val="18"/>
            <w:lang w:val="es-ES"/>
          </w:rPr>
          <w:t>CBD/NP/MOP/3/9</w:t>
        </w:r>
      </w:hyperlink>
      <w:r w:rsidRPr="00B05591">
        <w:rPr>
          <w:kern w:val="18"/>
          <w:szCs w:val="18"/>
          <w:lang w:val="es-ES"/>
        </w:rPr>
        <w:t>.</w:t>
      </w:r>
    </w:p>
  </w:footnote>
  <w:footnote w:id="20">
    <w:p w:rsidR="009F4FD6" w:rsidRPr="00B05591" w:rsidRDefault="009F4FD6" w:rsidP="000C6220">
      <w:pPr>
        <w:pStyle w:val="Textonotapie"/>
        <w:suppressLineNumbers/>
        <w:suppressAutoHyphens/>
        <w:spacing w:line="240" w:lineRule="auto"/>
        <w:ind w:firstLine="0"/>
        <w:jc w:val="left"/>
        <w:rPr>
          <w:kern w:val="18"/>
          <w:szCs w:val="18"/>
          <w:lang w:val="es-ES"/>
        </w:rPr>
      </w:pPr>
      <w:r w:rsidRPr="000C6220">
        <w:rPr>
          <w:rStyle w:val="Refdenotaalpie"/>
          <w:kern w:val="18"/>
          <w:szCs w:val="18"/>
          <w:u w:val="none"/>
          <w:vertAlign w:val="superscript"/>
        </w:rPr>
        <w:footnoteRef/>
      </w:r>
      <w:r w:rsidRPr="00B05591">
        <w:rPr>
          <w:kern w:val="18"/>
          <w:szCs w:val="18"/>
          <w:lang w:val="es-ES"/>
        </w:rPr>
        <w:t xml:space="preserve"> V</w:t>
      </w:r>
      <w:r>
        <w:rPr>
          <w:kern w:val="18"/>
          <w:szCs w:val="18"/>
          <w:lang w:val="es-ES"/>
        </w:rPr>
        <w:t>éase</w:t>
      </w:r>
      <w:r w:rsidRPr="00B05591">
        <w:rPr>
          <w:kern w:val="18"/>
          <w:szCs w:val="18"/>
          <w:lang w:val="es-ES"/>
        </w:rPr>
        <w:t xml:space="preserve"> </w:t>
      </w:r>
      <w:hyperlink r:id="rId9" w:history="1">
        <w:r w:rsidRPr="00B05591">
          <w:rPr>
            <w:rStyle w:val="Hipervnculo"/>
            <w:kern w:val="18"/>
            <w:szCs w:val="18"/>
            <w:lang w:val="es-ES"/>
          </w:rPr>
          <w:t>CBD/NP/MOP/3/5</w:t>
        </w:r>
      </w:hyperlink>
      <w:r w:rsidRPr="00B05591">
        <w:rPr>
          <w:kern w:val="18"/>
          <w:szCs w:val="18"/>
          <w:lang w:val="es-ES"/>
        </w:rPr>
        <w:t>.</w:t>
      </w:r>
    </w:p>
  </w:footnote>
  <w:footnote w:id="21">
    <w:p w:rsidR="009F4FD6" w:rsidRPr="00C5131C" w:rsidRDefault="009F4FD6" w:rsidP="000C6220">
      <w:pPr>
        <w:pStyle w:val="Textonotapie"/>
        <w:suppressLineNumbers/>
        <w:suppressAutoHyphens/>
        <w:spacing w:line="240" w:lineRule="auto"/>
        <w:ind w:firstLine="0"/>
        <w:jc w:val="left"/>
        <w:rPr>
          <w:kern w:val="18"/>
          <w:szCs w:val="18"/>
          <w:lang w:val="es-ES"/>
        </w:rPr>
      </w:pPr>
      <w:r w:rsidRPr="000C6220">
        <w:rPr>
          <w:rStyle w:val="Refdenotaalpie"/>
          <w:kern w:val="18"/>
          <w:szCs w:val="18"/>
          <w:u w:val="none"/>
          <w:vertAlign w:val="superscript"/>
        </w:rPr>
        <w:footnoteRef/>
      </w:r>
      <w:r w:rsidRPr="00C5131C">
        <w:rPr>
          <w:kern w:val="18"/>
          <w:szCs w:val="18"/>
          <w:lang w:val="es-ES"/>
        </w:rPr>
        <w:t xml:space="preserve"> </w:t>
      </w:r>
      <w:hyperlink r:id="rId10" w:history="1">
        <w:r w:rsidRPr="00C5131C">
          <w:rPr>
            <w:rStyle w:val="Hipervnculo"/>
            <w:kern w:val="18"/>
            <w:szCs w:val="18"/>
            <w:lang w:val="es-ES"/>
          </w:rPr>
          <w:t>GEF/A.6/05/Rev.01</w:t>
        </w:r>
      </w:hyperlink>
      <w:r w:rsidRPr="00C5131C">
        <w:rPr>
          <w:kern w:val="18"/>
          <w:szCs w:val="18"/>
          <w:lang w:val="es-ES"/>
        </w:rPr>
        <w:t>.</w:t>
      </w:r>
    </w:p>
  </w:footnote>
  <w:footnote w:id="22">
    <w:p w:rsidR="009F4FD6" w:rsidRPr="00980464" w:rsidRDefault="009F4FD6" w:rsidP="000C6220">
      <w:pPr>
        <w:pStyle w:val="Textonotapie"/>
        <w:suppressLineNumbers/>
        <w:suppressAutoHyphens/>
        <w:spacing w:line="240" w:lineRule="auto"/>
        <w:ind w:firstLine="0"/>
        <w:jc w:val="left"/>
        <w:rPr>
          <w:kern w:val="18"/>
          <w:szCs w:val="18"/>
          <w:lang w:val="es-ES"/>
        </w:rPr>
      </w:pPr>
      <w:r w:rsidRPr="000C6220">
        <w:rPr>
          <w:rStyle w:val="Refdenotaalpie"/>
          <w:kern w:val="18"/>
          <w:szCs w:val="18"/>
          <w:u w:val="none"/>
          <w:vertAlign w:val="superscript"/>
        </w:rPr>
        <w:footnoteRef/>
      </w:r>
      <w:r w:rsidRPr="00980464">
        <w:rPr>
          <w:kern w:val="18"/>
          <w:szCs w:val="18"/>
          <w:lang w:val="es-ES"/>
        </w:rPr>
        <w:t xml:space="preserve"> Véase </w:t>
      </w:r>
      <w:hyperlink r:id="rId11" w:history="1">
        <w:r w:rsidRPr="00980464">
          <w:rPr>
            <w:rStyle w:val="Hipervnculo"/>
            <w:kern w:val="18"/>
            <w:szCs w:val="18"/>
            <w:lang w:val="es-ES"/>
          </w:rPr>
          <w:t>CBD/SBI/2/22</w:t>
        </w:r>
      </w:hyperlink>
      <w:r w:rsidRPr="00980464">
        <w:rPr>
          <w:kern w:val="18"/>
          <w:szCs w:val="18"/>
          <w:lang w:val="es-ES"/>
        </w:rPr>
        <w:t xml:space="preserve">, </w:t>
      </w:r>
      <w:r w:rsidRPr="00F70294">
        <w:rPr>
          <w:kern w:val="18"/>
          <w:szCs w:val="18"/>
          <w:lang w:val="es-ES"/>
        </w:rPr>
        <w:t>secc. I, recomendación 2/14, parte</w:t>
      </w:r>
      <w:r>
        <w:rPr>
          <w:kern w:val="18"/>
          <w:szCs w:val="18"/>
          <w:lang w:val="es-ES"/>
        </w:rPr>
        <w:t xml:space="preserve"> B</w:t>
      </w:r>
      <w:r w:rsidRPr="00980464">
        <w:rPr>
          <w:kern w:val="18"/>
          <w:szCs w:val="18"/>
          <w:lang w:val="es-ES"/>
        </w:rPr>
        <w:t>.</w:t>
      </w:r>
    </w:p>
  </w:footnote>
  <w:footnote w:id="23">
    <w:p w:rsidR="009F4FD6" w:rsidRPr="00303DCE" w:rsidRDefault="009F4FD6" w:rsidP="000C6220">
      <w:pPr>
        <w:pStyle w:val="Textonotapie"/>
        <w:suppressLineNumbers/>
        <w:suppressAutoHyphens/>
        <w:spacing w:line="240" w:lineRule="auto"/>
        <w:ind w:firstLine="0"/>
        <w:jc w:val="left"/>
        <w:rPr>
          <w:kern w:val="18"/>
          <w:szCs w:val="18"/>
          <w:lang w:val="es-ES"/>
        </w:rPr>
      </w:pPr>
      <w:r w:rsidRPr="000C6220">
        <w:rPr>
          <w:rStyle w:val="Refdenotaalpie"/>
          <w:kern w:val="18"/>
          <w:szCs w:val="18"/>
          <w:u w:val="none"/>
          <w:vertAlign w:val="superscript"/>
        </w:rPr>
        <w:footnoteRef/>
      </w:r>
      <w:r w:rsidRPr="00303DCE">
        <w:rPr>
          <w:kern w:val="18"/>
          <w:szCs w:val="18"/>
          <w:lang w:val="es-ES"/>
        </w:rPr>
        <w:t xml:space="preserve"> </w:t>
      </w:r>
      <w:hyperlink r:id="rId12" w:history="1">
        <w:r w:rsidRPr="00864096">
          <w:rPr>
            <w:rStyle w:val="Hipervnculo"/>
            <w:lang w:val="es-ES"/>
          </w:rPr>
          <w:t>CBD/SBI/2/16</w:t>
        </w:r>
      </w:hyperlink>
      <w:r w:rsidRPr="009C72BA">
        <w:rPr>
          <w:lang w:val="es-ES"/>
        </w:rPr>
        <w:t xml:space="preserve"> y </w:t>
      </w:r>
      <w:hyperlink r:id="rId13" w:history="1">
        <w:r w:rsidRPr="00864096">
          <w:rPr>
            <w:rStyle w:val="Hipervnculo"/>
            <w:lang w:val="es-ES"/>
          </w:rPr>
          <w:t>Add.1</w:t>
        </w:r>
      </w:hyperlink>
      <w:r w:rsidRPr="00303DCE">
        <w:rPr>
          <w:kern w:val="18"/>
          <w:szCs w:val="18"/>
          <w:lang w:val="es-ES"/>
        </w:rPr>
        <w:t>.</w:t>
      </w:r>
    </w:p>
  </w:footnote>
  <w:footnote w:id="24">
    <w:p w:rsidR="009F4FD6" w:rsidRPr="00303DCE" w:rsidRDefault="009F4FD6" w:rsidP="000C6220">
      <w:pPr>
        <w:pStyle w:val="Textonotapie"/>
        <w:suppressLineNumbers/>
        <w:suppressAutoHyphens/>
        <w:spacing w:line="240" w:lineRule="auto"/>
        <w:ind w:firstLine="0"/>
        <w:jc w:val="left"/>
        <w:rPr>
          <w:kern w:val="18"/>
          <w:szCs w:val="18"/>
          <w:lang w:val="es-ES"/>
        </w:rPr>
      </w:pPr>
      <w:r w:rsidRPr="000C6220">
        <w:rPr>
          <w:rStyle w:val="Refdenotaalpie"/>
          <w:kern w:val="18"/>
          <w:szCs w:val="18"/>
          <w:u w:val="none"/>
          <w:vertAlign w:val="superscript"/>
        </w:rPr>
        <w:footnoteRef/>
      </w:r>
      <w:r w:rsidRPr="00303DCE">
        <w:rPr>
          <w:kern w:val="18"/>
          <w:szCs w:val="18"/>
          <w:lang w:val="es-ES"/>
        </w:rPr>
        <w:t xml:space="preserve"> </w:t>
      </w:r>
      <w:hyperlink r:id="rId14" w:history="1">
        <w:r w:rsidRPr="00303DCE">
          <w:rPr>
            <w:rStyle w:val="Hipervnculo"/>
            <w:kern w:val="18"/>
            <w:szCs w:val="18"/>
            <w:lang w:val="es-ES"/>
          </w:rPr>
          <w:t>CBD/SBI/2/5</w:t>
        </w:r>
      </w:hyperlink>
      <w:r w:rsidRPr="00303DCE">
        <w:rPr>
          <w:kern w:val="18"/>
          <w:szCs w:val="18"/>
          <w:lang w:val="es-ES"/>
        </w:rPr>
        <w:t>, secci</w:t>
      </w:r>
      <w:r>
        <w:rPr>
          <w:kern w:val="18"/>
          <w:szCs w:val="18"/>
          <w:lang w:val="es-ES"/>
        </w:rPr>
        <w:t>ón</w:t>
      </w:r>
      <w:r w:rsidRPr="00303DCE">
        <w:rPr>
          <w:kern w:val="18"/>
          <w:szCs w:val="18"/>
          <w:lang w:val="es-ES"/>
        </w:rPr>
        <w:t xml:space="preserve"> III.</w:t>
      </w:r>
    </w:p>
  </w:footnote>
  <w:footnote w:id="25">
    <w:p w:rsidR="009F4FD6" w:rsidRPr="000C6220" w:rsidRDefault="009F4FD6" w:rsidP="000C6220">
      <w:pPr>
        <w:pStyle w:val="Textonotapie"/>
        <w:suppressLineNumbers/>
        <w:suppressAutoHyphens/>
        <w:kinsoku w:val="0"/>
        <w:overflowPunct w:val="0"/>
        <w:autoSpaceDE w:val="0"/>
        <w:autoSpaceDN w:val="0"/>
        <w:spacing w:line="240" w:lineRule="auto"/>
        <w:ind w:firstLine="0"/>
        <w:jc w:val="left"/>
        <w:rPr>
          <w:kern w:val="18"/>
          <w:szCs w:val="18"/>
        </w:rPr>
      </w:pPr>
      <w:r w:rsidRPr="000C6220">
        <w:rPr>
          <w:rStyle w:val="Refdenotaalpie"/>
          <w:rFonts w:eastAsiaTheme="majorEastAsia"/>
          <w:kern w:val="18"/>
          <w:szCs w:val="18"/>
          <w:u w:val="none"/>
          <w:vertAlign w:val="superscript"/>
        </w:rPr>
        <w:footnoteRef/>
      </w:r>
      <w:r w:rsidRPr="000C6220">
        <w:rPr>
          <w:kern w:val="18"/>
          <w:szCs w:val="18"/>
        </w:rPr>
        <w:t xml:space="preserve"> “Study into criteria to identify a specialized international access and benefit-sharing instrument, and a possible process for its recognition” (CBD/SBI/2/INF/17).</w:t>
      </w:r>
    </w:p>
  </w:footnote>
  <w:footnote w:id="26">
    <w:p w:rsidR="009F4FD6" w:rsidRPr="001211D7" w:rsidRDefault="009F4FD6" w:rsidP="000C6220">
      <w:pPr>
        <w:pStyle w:val="Textonotapie"/>
        <w:suppressLineNumbers/>
        <w:suppressAutoHyphens/>
        <w:spacing w:line="240" w:lineRule="auto"/>
        <w:ind w:firstLine="0"/>
        <w:jc w:val="left"/>
        <w:rPr>
          <w:kern w:val="18"/>
          <w:szCs w:val="18"/>
          <w:lang w:val="es-ES"/>
        </w:rPr>
      </w:pPr>
      <w:r w:rsidRPr="000C6220">
        <w:rPr>
          <w:rStyle w:val="Refdenotaalpie"/>
          <w:rFonts w:eastAsiaTheme="majorEastAsia"/>
          <w:kern w:val="18"/>
          <w:szCs w:val="18"/>
          <w:u w:val="none"/>
          <w:vertAlign w:val="superscript"/>
        </w:rPr>
        <w:footnoteRef/>
      </w:r>
      <w:r w:rsidRPr="001211D7">
        <w:rPr>
          <w:kern w:val="18"/>
          <w:szCs w:val="18"/>
          <w:lang w:val="es-ES"/>
        </w:rPr>
        <w:t xml:space="preserve"> Las </w:t>
      </w:r>
      <w:r w:rsidRPr="001211D7">
        <w:rPr>
          <w:rFonts w:eastAsia="MS Mincho"/>
          <w:szCs w:val="18"/>
          <w:lang w:val="es-ES"/>
        </w:rPr>
        <w:t xml:space="preserve">conclusiones y recomendaciones del Comité de Cumplimiento sobre cuestiones generales de cumplimiento como contribución a la evaluación y revisión del Protocolo de Nagoya figuran en el anexo I del informe del Comité de Cumplimiento en el marco del Protocolo de Nagoya sobre la labor de su segunda reunión </w:t>
      </w:r>
      <w:r w:rsidRPr="001211D7">
        <w:rPr>
          <w:kern w:val="18"/>
          <w:szCs w:val="18"/>
          <w:lang w:val="es-ES"/>
        </w:rPr>
        <w:t>(CBD/NP/MOP/3/2).</w:t>
      </w:r>
    </w:p>
  </w:footnote>
  <w:footnote w:id="27">
    <w:p w:rsidR="009F4FD6" w:rsidRPr="001211D7" w:rsidRDefault="009F4FD6" w:rsidP="000C6220">
      <w:pPr>
        <w:pStyle w:val="Textonotapie"/>
        <w:suppressLineNumbers/>
        <w:suppressAutoHyphens/>
        <w:spacing w:line="240" w:lineRule="auto"/>
        <w:ind w:firstLine="0"/>
        <w:jc w:val="left"/>
        <w:rPr>
          <w:kern w:val="18"/>
          <w:szCs w:val="18"/>
          <w:lang w:val="es-ES"/>
        </w:rPr>
      </w:pPr>
      <w:r w:rsidRPr="000C6220">
        <w:rPr>
          <w:rStyle w:val="Refdenotaalpie"/>
          <w:kern w:val="18"/>
          <w:szCs w:val="18"/>
          <w:u w:val="none"/>
          <w:vertAlign w:val="superscript"/>
        </w:rPr>
        <w:footnoteRef/>
      </w:r>
      <w:r w:rsidRPr="001211D7">
        <w:rPr>
          <w:kern w:val="18"/>
          <w:szCs w:val="18"/>
          <w:lang w:val="es-ES"/>
        </w:rPr>
        <w:t xml:space="preserve"> </w:t>
      </w:r>
      <w:r w:rsidRPr="008C16B8">
        <w:rPr>
          <w:kern w:val="18"/>
          <w:szCs w:val="18"/>
          <w:lang w:val="es-ES"/>
        </w:rPr>
        <w:t xml:space="preserve">Véase </w:t>
      </w:r>
      <w:r w:rsidRPr="00D21E29">
        <w:rPr>
          <w:kern w:val="18"/>
          <w:szCs w:val="18"/>
          <w:lang w:val="es-ES"/>
        </w:rPr>
        <w:t>la nota del cuadro 2. Con arreglo a la resolución 70/245 de la Asamblea General de las Naciones Unidas</w:t>
      </w:r>
      <w:r w:rsidRPr="001211D7">
        <w:rPr>
          <w:kern w:val="18"/>
          <w:szCs w:val="18"/>
          <w:lang w:val="es-ES"/>
        </w:rPr>
        <w:t>.</w:t>
      </w:r>
    </w:p>
  </w:footnote>
  <w:footnote w:id="28">
    <w:p w:rsidR="009F4FD6" w:rsidRPr="00D15055" w:rsidRDefault="009F4FD6" w:rsidP="000C6220">
      <w:pPr>
        <w:keepLines/>
        <w:suppressLineNumbers/>
        <w:suppressAutoHyphens/>
        <w:spacing w:after="60" w:line="240" w:lineRule="auto"/>
        <w:jc w:val="left"/>
        <w:rPr>
          <w:kern w:val="18"/>
          <w:sz w:val="18"/>
          <w:szCs w:val="18"/>
          <w:lang w:val="es-ES"/>
        </w:rPr>
      </w:pPr>
      <w:r w:rsidRPr="000C6220">
        <w:rPr>
          <w:rStyle w:val="Refdenotaalpie"/>
          <w:kern w:val="18"/>
          <w:szCs w:val="18"/>
          <w:u w:val="none"/>
          <w:vertAlign w:val="superscript"/>
        </w:rPr>
        <w:footnoteRef/>
      </w:r>
      <w:r w:rsidRPr="00D15055">
        <w:rPr>
          <w:kern w:val="18"/>
          <w:sz w:val="18"/>
          <w:szCs w:val="18"/>
          <w:lang w:val="es-ES"/>
        </w:rPr>
        <w:t xml:space="preserve"> </w:t>
      </w:r>
      <w:r w:rsidRPr="00B22EE4">
        <w:rPr>
          <w:kern w:val="18"/>
          <w:sz w:val="18"/>
          <w:szCs w:val="18"/>
          <w:lang w:val="es-ES"/>
        </w:rPr>
        <w:t xml:space="preserve">Con arreglo a la resolución 70/245 de la Asamblea General de Naciones Unidas. </w:t>
      </w:r>
      <w:r>
        <w:rPr>
          <w:kern w:val="18"/>
          <w:sz w:val="18"/>
          <w:szCs w:val="18"/>
          <w:lang w:val="es-ES"/>
        </w:rPr>
        <w:t xml:space="preserve">Cuando se emita </w:t>
      </w:r>
      <w:r w:rsidRPr="00B22EE4">
        <w:rPr>
          <w:kern w:val="18"/>
          <w:sz w:val="18"/>
          <w:szCs w:val="18"/>
          <w:lang w:val="es-ES"/>
        </w:rPr>
        <w:t xml:space="preserve">una escala revisada de cuotas para el trienio, </w:t>
      </w:r>
      <w:r>
        <w:rPr>
          <w:kern w:val="18"/>
          <w:sz w:val="18"/>
          <w:szCs w:val="18"/>
          <w:lang w:val="es-ES"/>
        </w:rPr>
        <w:t xml:space="preserve">esta se aplicará para </w:t>
      </w:r>
      <w:r w:rsidRPr="00B22EE4">
        <w:rPr>
          <w:kern w:val="18"/>
          <w:sz w:val="18"/>
          <w:szCs w:val="18"/>
          <w:lang w:val="es-ES"/>
        </w:rPr>
        <w:t>calcular las contribuciones prorrateadas para el bienio 2019-2020 (véase la notificació</w:t>
      </w:r>
      <w:r>
        <w:rPr>
          <w:kern w:val="18"/>
          <w:sz w:val="18"/>
          <w:szCs w:val="18"/>
          <w:lang w:val="es-ES"/>
        </w:rPr>
        <w:t>n</w:t>
      </w:r>
      <w:r w:rsidRPr="00D15055">
        <w:rPr>
          <w:kern w:val="18"/>
          <w:sz w:val="18"/>
          <w:szCs w:val="18"/>
          <w:lang w:val="es-ES"/>
        </w:rPr>
        <w:t xml:space="preserve"> </w:t>
      </w:r>
      <w:hyperlink r:id="rId15" w:history="1">
        <w:r w:rsidRPr="00D15055">
          <w:rPr>
            <w:rStyle w:val="Hipervnculo"/>
            <w:kern w:val="18"/>
            <w:szCs w:val="18"/>
            <w:lang w:val="es-ES"/>
          </w:rPr>
          <w:t>https://www.cbd.int/doc/notifications/2019/ntf-2019-017-budget-np-en.pdf</w:t>
        </w:r>
      </w:hyperlink>
      <w:r w:rsidRPr="00D15055">
        <w:rPr>
          <w:kern w:val="18"/>
          <w:sz w:val="18"/>
          <w:szCs w:val="18"/>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D6" w:rsidRPr="000C6220" w:rsidRDefault="00F4408C" w:rsidP="000C6220">
    <w:pPr>
      <w:suppressLineNumbers/>
      <w:suppressAutoHyphens/>
      <w:kinsoku w:val="0"/>
      <w:overflowPunct w:val="0"/>
      <w:autoSpaceDE w:val="0"/>
      <w:autoSpaceDN w:val="0"/>
      <w:spacing w:after="0" w:line="240" w:lineRule="auto"/>
      <w:jc w:val="left"/>
      <w:rPr>
        <w:noProof/>
        <w:kern w:val="22"/>
        <w:szCs w:val="22"/>
      </w:rPr>
    </w:pPr>
    <w:sdt>
      <w:sdtPr>
        <w:rPr>
          <w:bCs/>
          <w:noProof/>
          <w:kern w:val="22"/>
          <w:szCs w:val="22"/>
        </w:rPr>
        <w:alias w:val="Subject"/>
        <w:tag w:val=""/>
        <w:id w:val="-335617538"/>
        <w:placeholder>
          <w:docPart w:val="FACD5019A315438BBAB24F663071927D"/>
        </w:placeholder>
        <w:dataBinding w:prefixMappings="xmlns:ns0='http://purl.org/dc/elements/1.1/' xmlns:ns1='http://schemas.openxmlformats.org/package/2006/metadata/core-properties' " w:xpath="/ns1:coreProperties[1]/ns0:subject[1]" w:storeItemID="{6C3C8BC8-F283-45AE-878A-BAB7291924A1}"/>
        <w:text/>
      </w:sdtPr>
      <w:sdtContent>
        <w:r w:rsidR="009F4FD6" w:rsidRPr="000C6220">
          <w:rPr>
            <w:bCs/>
            <w:noProof/>
            <w:kern w:val="22"/>
            <w:szCs w:val="22"/>
          </w:rPr>
          <w:t>CBD/NP/MOP/3/10</w:t>
        </w:r>
      </w:sdtContent>
    </w:sdt>
  </w:p>
  <w:p w:rsidR="009F4FD6" w:rsidRPr="000C6220" w:rsidRDefault="009F4FD6" w:rsidP="000C6220">
    <w:pPr>
      <w:pStyle w:val="Encabezado"/>
      <w:tabs>
        <w:tab w:val="clear" w:pos="4320"/>
        <w:tab w:val="clear" w:pos="8640"/>
        <w:tab w:val="left" w:pos="5415"/>
      </w:tabs>
      <w:spacing w:after="0" w:line="240" w:lineRule="auto"/>
      <w:rPr>
        <w:noProof/>
        <w:kern w:val="22"/>
      </w:rPr>
    </w:pPr>
    <w:r w:rsidRPr="000C6220">
      <w:rPr>
        <w:noProof/>
        <w:kern w:val="22"/>
      </w:rPr>
      <w:t>P</w:t>
    </w:r>
    <w:r w:rsidR="00007AFE">
      <w:rPr>
        <w:noProof/>
        <w:kern w:val="22"/>
      </w:rPr>
      <w:t>ágina</w:t>
    </w:r>
    <w:r w:rsidRPr="000C6220">
      <w:rPr>
        <w:noProof/>
        <w:kern w:val="22"/>
      </w:rPr>
      <w:t xml:space="preserve"> </w:t>
    </w:r>
    <w:r w:rsidR="00F4408C" w:rsidRPr="000C6220">
      <w:rPr>
        <w:noProof/>
        <w:kern w:val="22"/>
      </w:rPr>
      <w:fldChar w:fldCharType="begin"/>
    </w:r>
    <w:r w:rsidRPr="000C6220">
      <w:rPr>
        <w:noProof/>
        <w:kern w:val="22"/>
      </w:rPr>
      <w:instrText xml:space="preserve"> PAGE   \* MERGEFORMAT </w:instrText>
    </w:r>
    <w:r w:rsidR="00F4408C" w:rsidRPr="000C6220">
      <w:rPr>
        <w:noProof/>
        <w:kern w:val="22"/>
      </w:rPr>
      <w:fldChar w:fldCharType="separate"/>
    </w:r>
    <w:r w:rsidR="00024C71">
      <w:rPr>
        <w:noProof/>
        <w:kern w:val="22"/>
      </w:rPr>
      <w:t>2</w:t>
    </w:r>
    <w:r w:rsidR="00F4408C" w:rsidRPr="000C6220">
      <w:rPr>
        <w:noProof/>
        <w:kern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D6" w:rsidRPr="00B91AF1" w:rsidRDefault="00F4408C" w:rsidP="000C6220">
    <w:pPr>
      <w:suppressLineNumbers/>
      <w:suppressAutoHyphens/>
      <w:kinsoku w:val="0"/>
      <w:overflowPunct w:val="0"/>
      <w:autoSpaceDE w:val="0"/>
      <w:autoSpaceDN w:val="0"/>
      <w:spacing w:after="0" w:line="240" w:lineRule="auto"/>
      <w:jc w:val="right"/>
      <w:rPr>
        <w:noProof/>
        <w:szCs w:val="22"/>
      </w:rPr>
    </w:pPr>
    <w:sdt>
      <w:sdtPr>
        <w:rPr>
          <w:bCs/>
          <w:noProof/>
          <w:szCs w:val="22"/>
        </w:rPr>
        <w:alias w:val="Subject"/>
        <w:tag w:val=""/>
        <w:id w:val="924611997"/>
        <w:placeholder>
          <w:docPart w:val="28B5361FFE95474E9916877774AE28E2"/>
        </w:placeholder>
        <w:dataBinding w:prefixMappings="xmlns:ns0='http://purl.org/dc/elements/1.1/' xmlns:ns1='http://schemas.openxmlformats.org/package/2006/metadata/core-properties' " w:xpath="/ns1:coreProperties[1]/ns0:subject[1]" w:storeItemID="{6C3C8BC8-F283-45AE-878A-BAB7291924A1}"/>
        <w:text/>
      </w:sdtPr>
      <w:sdtContent>
        <w:r w:rsidR="009F4FD6">
          <w:rPr>
            <w:bCs/>
            <w:noProof/>
            <w:szCs w:val="22"/>
          </w:rPr>
          <w:t>CBD/NP/MOP/3/10</w:t>
        </w:r>
      </w:sdtContent>
    </w:sdt>
  </w:p>
  <w:p w:rsidR="009F4FD6" w:rsidRDefault="009F4FD6" w:rsidP="000C6220">
    <w:pPr>
      <w:pStyle w:val="Encabezado"/>
      <w:widowControl/>
      <w:suppressLineNumbers/>
      <w:tabs>
        <w:tab w:val="clear" w:pos="4320"/>
        <w:tab w:val="clear" w:pos="8640"/>
        <w:tab w:val="left" w:pos="5415"/>
      </w:tabs>
      <w:suppressAutoHyphens/>
      <w:spacing w:after="0" w:line="240" w:lineRule="auto"/>
      <w:jc w:val="right"/>
      <w:rPr>
        <w:noProof/>
      </w:rPr>
    </w:pPr>
    <w:r>
      <w:rPr>
        <w:noProof/>
      </w:rPr>
      <w:t>P</w:t>
    </w:r>
    <w:r w:rsidR="00007AFE">
      <w:rPr>
        <w:noProof/>
      </w:rPr>
      <w:t>ágina</w:t>
    </w:r>
    <w:r>
      <w:rPr>
        <w:noProof/>
      </w:rPr>
      <w:t xml:space="preserve"> </w:t>
    </w:r>
    <w:r w:rsidR="00F4408C">
      <w:rPr>
        <w:noProof/>
      </w:rPr>
      <w:fldChar w:fldCharType="begin"/>
    </w:r>
    <w:r>
      <w:rPr>
        <w:noProof/>
      </w:rPr>
      <w:instrText xml:space="preserve"> PAGE   \* MERGEFORMAT </w:instrText>
    </w:r>
    <w:r w:rsidR="00F4408C">
      <w:rPr>
        <w:noProof/>
      </w:rPr>
      <w:fldChar w:fldCharType="separate"/>
    </w:r>
    <w:r w:rsidR="00024C71">
      <w:rPr>
        <w:noProof/>
      </w:rPr>
      <w:t>3</w:t>
    </w:r>
    <w:r w:rsidR="00F4408C">
      <w:rPr>
        <w:noProof/>
      </w:rPr>
      <w:fldChar w:fldCharType="end"/>
    </w:r>
  </w:p>
  <w:p w:rsidR="009F4FD6" w:rsidRPr="00D006F2" w:rsidRDefault="009F4FD6" w:rsidP="000C6220">
    <w:pPr>
      <w:pStyle w:val="Encabezado"/>
      <w:widowControl/>
      <w:suppressLineNumbers/>
      <w:suppressAutoHyphens/>
      <w:spacing w:after="0" w:line="240" w:lineRule="auto"/>
      <w:jc w:val="right"/>
      <w:rPr>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D6" w:rsidRDefault="009F4FD6">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516755934"/>
      <w:placeholder>
        <w:docPart w:val="BC4C1ADF0E7940329B5D898FE3224885"/>
      </w:placeholder>
      <w:dataBinding w:prefixMappings="xmlns:ns0='http://purl.org/dc/elements/1.1/' xmlns:ns1='http://schemas.openxmlformats.org/package/2006/metadata/core-properties' " w:xpath="/ns1:coreProperties[1]/ns0:subject[1]" w:storeItemID="{6C3C8BC8-F283-45AE-878A-BAB7291924A1}"/>
      <w:text/>
    </w:sdtPr>
    <w:sdtContent>
      <w:p w:rsidR="009F4FD6" w:rsidRPr="0069295C" w:rsidRDefault="009F4FD6" w:rsidP="000C6220">
        <w:pPr>
          <w:pStyle w:val="Encabezado"/>
          <w:tabs>
            <w:tab w:val="clear" w:pos="4320"/>
            <w:tab w:val="clear" w:pos="8640"/>
          </w:tabs>
          <w:spacing w:after="0"/>
          <w:rPr>
            <w:noProof/>
            <w:kern w:val="22"/>
          </w:rPr>
        </w:pPr>
        <w:r>
          <w:rPr>
            <w:noProof/>
            <w:kern w:val="22"/>
          </w:rPr>
          <w:t>CBD/NP/MOP/3/10</w:t>
        </w:r>
      </w:p>
    </w:sdtContent>
  </w:sdt>
  <w:p w:rsidR="009F4FD6" w:rsidRPr="0069295C" w:rsidRDefault="009F4FD6" w:rsidP="000C6220">
    <w:pPr>
      <w:pStyle w:val="Encabezado"/>
      <w:tabs>
        <w:tab w:val="clear" w:pos="4320"/>
        <w:tab w:val="clear" w:pos="8640"/>
      </w:tabs>
      <w:spacing w:after="0"/>
      <w:rPr>
        <w:noProof/>
        <w:kern w:val="22"/>
      </w:rPr>
    </w:pPr>
    <w:r w:rsidRPr="0069295C">
      <w:rPr>
        <w:noProof/>
        <w:kern w:val="22"/>
      </w:rPr>
      <w:t>P</w:t>
    </w:r>
    <w:r w:rsidR="00007AFE">
      <w:rPr>
        <w:noProof/>
        <w:kern w:val="22"/>
      </w:rPr>
      <w:t>ágina</w:t>
    </w:r>
    <w:r w:rsidRPr="0069295C">
      <w:rPr>
        <w:noProof/>
        <w:kern w:val="22"/>
      </w:rPr>
      <w:t xml:space="preserve"> </w:t>
    </w:r>
    <w:r w:rsidR="00F4408C" w:rsidRPr="0069295C">
      <w:rPr>
        <w:noProof/>
        <w:kern w:val="22"/>
      </w:rPr>
      <w:fldChar w:fldCharType="begin"/>
    </w:r>
    <w:r w:rsidRPr="0069295C">
      <w:rPr>
        <w:noProof/>
        <w:kern w:val="22"/>
      </w:rPr>
      <w:instrText xml:space="preserve"> PAGE   \* MERGEFORMAT </w:instrText>
    </w:r>
    <w:r w:rsidR="00F4408C" w:rsidRPr="0069295C">
      <w:rPr>
        <w:noProof/>
        <w:kern w:val="22"/>
      </w:rPr>
      <w:fldChar w:fldCharType="separate"/>
    </w:r>
    <w:r w:rsidR="00024C71">
      <w:rPr>
        <w:noProof/>
        <w:kern w:val="22"/>
      </w:rPr>
      <w:t>54</w:t>
    </w:r>
    <w:r w:rsidR="00F4408C" w:rsidRPr="0069295C">
      <w:rPr>
        <w:noProof/>
        <w:kern w:val="22"/>
      </w:rPr>
      <w:fldChar w:fldCharType="end"/>
    </w:r>
  </w:p>
  <w:p w:rsidR="009F4FD6" w:rsidRPr="0069295C" w:rsidRDefault="009F4FD6" w:rsidP="000C6220">
    <w:pPr>
      <w:pStyle w:val="Encabezado"/>
      <w:tabs>
        <w:tab w:val="clear" w:pos="4320"/>
        <w:tab w:val="clear" w:pos="8640"/>
      </w:tabs>
      <w:spacing w:after="0"/>
      <w:rPr>
        <w:noProof/>
        <w:kern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D6" w:rsidRPr="009B7611" w:rsidRDefault="00F4408C" w:rsidP="0040389B">
    <w:pPr>
      <w:suppressLineNumbers/>
      <w:suppressAutoHyphens/>
      <w:kinsoku w:val="0"/>
      <w:overflowPunct w:val="0"/>
      <w:autoSpaceDE w:val="0"/>
      <w:autoSpaceDN w:val="0"/>
      <w:spacing w:after="0" w:line="240" w:lineRule="auto"/>
      <w:jc w:val="left"/>
      <w:rPr>
        <w:noProof/>
        <w:kern w:val="22"/>
        <w:szCs w:val="22"/>
      </w:rPr>
    </w:pPr>
    <w:sdt>
      <w:sdtPr>
        <w:rPr>
          <w:bCs/>
          <w:noProof/>
          <w:kern w:val="22"/>
          <w:szCs w:val="22"/>
        </w:rPr>
        <w:alias w:val="Subject"/>
        <w:tag w:val=""/>
        <w:id w:val="1517808887"/>
        <w:placeholder>
          <w:docPart w:val="DD28AF7857EB4B129389B936E42A95D2"/>
        </w:placeholder>
        <w:dataBinding w:prefixMappings="xmlns:ns0='http://purl.org/dc/elements/1.1/' xmlns:ns1='http://schemas.openxmlformats.org/package/2006/metadata/core-properties' " w:xpath="/ns1:coreProperties[1]/ns0:subject[1]" w:storeItemID="{6C3C8BC8-F283-45AE-878A-BAB7291924A1}"/>
        <w:text/>
      </w:sdtPr>
      <w:sdtContent>
        <w:r w:rsidR="009F4FD6" w:rsidRPr="009B7611">
          <w:rPr>
            <w:bCs/>
            <w:noProof/>
            <w:kern w:val="22"/>
            <w:szCs w:val="22"/>
          </w:rPr>
          <w:t>CBD/NP/MOP/3/10</w:t>
        </w:r>
      </w:sdtContent>
    </w:sdt>
  </w:p>
  <w:p w:rsidR="009F4FD6" w:rsidRPr="009B7611" w:rsidRDefault="009F4FD6" w:rsidP="0040389B">
    <w:pPr>
      <w:pStyle w:val="Encabezado"/>
      <w:tabs>
        <w:tab w:val="clear" w:pos="4320"/>
        <w:tab w:val="clear" w:pos="8640"/>
        <w:tab w:val="left" w:pos="5415"/>
      </w:tabs>
      <w:spacing w:after="0" w:line="240" w:lineRule="auto"/>
      <w:rPr>
        <w:noProof/>
        <w:kern w:val="22"/>
      </w:rPr>
    </w:pPr>
    <w:r w:rsidRPr="009B7611">
      <w:rPr>
        <w:noProof/>
        <w:kern w:val="22"/>
      </w:rPr>
      <w:t>P</w:t>
    </w:r>
    <w:r w:rsidR="00007AFE">
      <w:rPr>
        <w:noProof/>
        <w:kern w:val="22"/>
      </w:rPr>
      <w:t>ágina</w:t>
    </w:r>
    <w:r w:rsidRPr="009B7611">
      <w:rPr>
        <w:noProof/>
        <w:kern w:val="22"/>
      </w:rPr>
      <w:t xml:space="preserve"> </w:t>
    </w:r>
    <w:r w:rsidR="00F4408C" w:rsidRPr="009B7611">
      <w:rPr>
        <w:noProof/>
        <w:kern w:val="22"/>
      </w:rPr>
      <w:fldChar w:fldCharType="begin"/>
    </w:r>
    <w:r w:rsidRPr="009B7611">
      <w:rPr>
        <w:noProof/>
        <w:kern w:val="22"/>
      </w:rPr>
      <w:instrText xml:space="preserve"> PAGE   \* MERGEFORMAT </w:instrText>
    </w:r>
    <w:r w:rsidR="00F4408C" w:rsidRPr="009B7611">
      <w:rPr>
        <w:noProof/>
        <w:kern w:val="22"/>
      </w:rPr>
      <w:fldChar w:fldCharType="separate"/>
    </w:r>
    <w:r w:rsidR="00024C71">
      <w:rPr>
        <w:noProof/>
        <w:kern w:val="22"/>
      </w:rPr>
      <w:t>52</w:t>
    </w:r>
    <w:r w:rsidR="00F4408C" w:rsidRPr="009B7611">
      <w:rPr>
        <w:noProof/>
        <w:kern w:val="22"/>
      </w:rPr>
      <w:fldChar w:fldCharType="end"/>
    </w:r>
  </w:p>
  <w:p w:rsidR="009F4FD6" w:rsidRDefault="009F4FD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21E3F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EA0D3D2"/>
    <w:lvl w:ilvl="0">
      <w:start w:val="1"/>
      <w:numFmt w:val="bullet"/>
      <w:lvlText w:val=""/>
      <w:lvlJc w:val="left"/>
      <w:pPr>
        <w:tabs>
          <w:tab w:val="num" w:pos="360"/>
        </w:tabs>
        <w:ind w:left="360" w:hanging="360"/>
      </w:pPr>
      <w:rPr>
        <w:rFonts w:ascii="Symbol" w:hAnsi="Symbol" w:hint="default"/>
      </w:rPr>
    </w:lvl>
  </w:abstractNum>
  <w:abstractNum w:abstractNumId="2">
    <w:nsid w:val="01E37FE0"/>
    <w:multiLevelType w:val="multilevel"/>
    <w:tmpl w:val="5E64AFF8"/>
    <w:lvl w:ilvl="0">
      <w:start w:val="1"/>
      <w:numFmt w:val="decimal"/>
      <w:lvlText w:val="%1."/>
      <w:lvlJc w:val="left"/>
      <w:pPr>
        <w:tabs>
          <w:tab w:val="num" w:pos="900"/>
        </w:tabs>
        <w:ind w:left="540" w:firstLine="0"/>
      </w:pPr>
      <w:rPr>
        <w:i w:val="0"/>
      </w:r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2441C7B"/>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4B13C0B"/>
    <w:multiLevelType w:val="hybridMultilevel"/>
    <w:tmpl w:val="4680277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A92ED1"/>
    <w:multiLevelType w:val="hybridMultilevel"/>
    <w:tmpl w:val="AC060F9A"/>
    <w:lvl w:ilvl="0" w:tplc="ED325EA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5105B"/>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14E55AE1"/>
    <w:multiLevelType w:val="hybridMultilevel"/>
    <w:tmpl w:val="A95480FC"/>
    <w:lvl w:ilvl="0" w:tplc="0C0A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5C729C4"/>
    <w:multiLevelType w:val="hybridMultilevel"/>
    <w:tmpl w:val="37481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6164C1A"/>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2EDB318A"/>
    <w:multiLevelType w:val="hybridMultilevel"/>
    <w:tmpl w:val="632E4938"/>
    <w:lvl w:ilvl="0" w:tplc="611A9E6C">
      <w:start w:val="1"/>
      <w:numFmt w:val="lowerLetter"/>
      <w:pStyle w:val="Heading4"/>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Ttulo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nsid w:val="30810D36"/>
    <w:multiLevelType w:val="hybridMultilevel"/>
    <w:tmpl w:val="970E7018"/>
    <w:lvl w:ilvl="0" w:tplc="64EC4342">
      <w:start w:val="1"/>
      <w:numFmt w:val="decimal"/>
      <w:lvlText w:val="%1."/>
      <w:lvlJc w:val="left"/>
      <w:pPr>
        <w:ind w:left="374" w:hanging="360"/>
      </w:pPr>
      <w:rPr>
        <w:rFonts w:hint="default"/>
      </w:rPr>
    </w:lvl>
    <w:lvl w:ilvl="1" w:tplc="10090019" w:tentative="1">
      <w:start w:val="1"/>
      <w:numFmt w:val="lowerLetter"/>
      <w:lvlText w:val="%2."/>
      <w:lvlJc w:val="left"/>
      <w:pPr>
        <w:ind w:left="1094" w:hanging="360"/>
      </w:pPr>
    </w:lvl>
    <w:lvl w:ilvl="2" w:tplc="1009001B" w:tentative="1">
      <w:start w:val="1"/>
      <w:numFmt w:val="lowerRoman"/>
      <w:lvlText w:val="%3."/>
      <w:lvlJc w:val="right"/>
      <w:pPr>
        <w:ind w:left="1814" w:hanging="180"/>
      </w:pPr>
    </w:lvl>
    <w:lvl w:ilvl="3" w:tplc="1009000F" w:tentative="1">
      <w:start w:val="1"/>
      <w:numFmt w:val="decimal"/>
      <w:lvlText w:val="%4."/>
      <w:lvlJc w:val="left"/>
      <w:pPr>
        <w:ind w:left="2534" w:hanging="360"/>
      </w:pPr>
    </w:lvl>
    <w:lvl w:ilvl="4" w:tplc="10090019" w:tentative="1">
      <w:start w:val="1"/>
      <w:numFmt w:val="lowerLetter"/>
      <w:lvlText w:val="%5."/>
      <w:lvlJc w:val="left"/>
      <w:pPr>
        <w:ind w:left="3254" w:hanging="360"/>
      </w:pPr>
    </w:lvl>
    <w:lvl w:ilvl="5" w:tplc="1009001B" w:tentative="1">
      <w:start w:val="1"/>
      <w:numFmt w:val="lowerRoman"/>
      <w:lvlText w:val="%6."/>
      <w:lvlJc w:val="right"/>
      <w:pPr>
        <w:ind w:left="3974" w:hanging="180"/>
      </w:pPr>
    </w:lvl>
    <w:lvl w:ilvl="6" w:tplc="1009000F" w:tentative="1">
      <w:start w:val="1"/>
      <w:numFmt w:val="decimal"/>
      <w:lvlText w:val="%7."/>
      <w:lvlJc w:val="left"/>
      <w:pPr>
        <w:ind w:left="4694" w:hanging="360"/>
      </w:pPr>
    </w:lvl>
    <w:lvl w:ilvl="7" w:tplc="10090019" w:tentative="1">
      <w:start w:val="1"/>
      <w:numFmt w:val="lowerLetter"/>
      <w:lvlText w:val="%8."/>
      <w:lvlJc w:val="left"/>
      <w:pPr>
        <w:ind w:left="5414" w:hanging="360"/>
      </w:pPr>
    </w:lvl>
    <w:lvl w:ilvl="8" w:tplc="1009001B" w:tentative="1">
      <w:start w:val="1"/>
      <w:numFmt w:val="lowerRoman"/>
      <w:lvlText w:val="%9."/>
      <w:lvlJc w:val="right"/>
      <w:pPr>
        <w:ind w:left="6134" w:hanging="180"/>
      </w:pPr>
    </w:lvl>
  </w:abstractNum>
  <w:abstractNum w:abstractNumId="16">
    <w:nsid w:val="34276F15"/>
    <w:multiLevelType w:val="hybridMultilevel"/>
    <w:tmpl w:val="C6F2B8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53165AC"/>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55717A8"/>
    <w:multiLevelType w:val="multilevel"/>
    <w:tmpl w:val="2B36FFE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38B65183"/>
    <w:multiLevelType w:val="hybridMultilevel"/>
    <w:tmpl w:val="D000257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1">
    <w:nsid w:val="3CD46432"/>
    <w:multiLevelType w:val="hybridMultilevel"/>
    <w:tmpl w:val="A6C21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23">
    <w:nsid w:val="41C853E3"/>
    <w:multiLevelType w:val="hybridMultilevel"/>
    <w:tmpl w:val="008C405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4CC7FBB"/>
    <w:multiLevelType w:val="hybridMultilevel"/>
    <w:tmpl w:val="B934B6F0"/>
    <w:lvl w:ilvl="0" w:tplc="89D8BABC">
      <w:start w:val="1"/>
      <w:numFmt w:val="lowerLetter"/>
      <w:lvlRestart w:val="0"/>
      <w:pStyle w:val="Para20"/>
      <w:lvlText w:val="(%1)"/>
      <w:lvlJc w:val="left"/>
      <w:pPr>
        <w:tabs>
          <w:tab w:val="num" w:pos="1077"/>
        </w:tabs>
        <w:ind w:left="1077" w:hanging="357"/>
      </w:pPr>
      <w:rPr>
        <w:rFonts w:ascii="CG Times" w:hAnsi="CG Times" w:cs="Times New Roman" w:hint="default"/>
        <w:b w:val="0"/>
        <w:i w:val="0"/>
        <w:sz w:val="24"/>
        <w:szCs w:val="24"/>
        <w:u w:val="none"/>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48E4287B"/>
    <w:multiLevelType w:val="multilevel"/>
    <w:tmpl w:val="5DEA693C"/>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498C51B3"/>
    <w:multiLevelType w:val="hybridMultilevel"/>
    <w:tmpl w:val="65DAE8B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C77FBF"/>
    <w:multiLevelType w:val="hybridMultilevel"/>
    <w:tmpl w:val="2B828B7C"/>
    <w:lvl w:ilvl="0" w:tplc="F89AE9D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E7812FA"/>
    <w:multiLevelType w:val="hybridMultilevel"/>
    <w:tmpl w:val="1B363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D721A0"/>
    <w:multiLevelType w:val="hybridMultilevel"/>
    <w:tmpl w:val="419E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0A2CFC"/>
    <w:multiLevelType w:val="hybridMultilevel"/>
    <w:tmpl w:val="1CDED0C0"/>
    <w:lvl w:ilvl="0" w:tplc="ED1012E8">
      <w:start w:val="1"/>
      <w:numFmt w:val="upperRoman"/>
      <w:pStyle w:val="Heading1report"/>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9A276B2"/>
    <w:multiLevelType w:val="hybridMultilevel"/>
    <w:tmpl w:val="B072AC98"/>
    <w:lvl w:ilvl="0" w:tplc="EA2AD17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3A3AE8"/>
    <w:multiLevelType w:val="hybridMultilevel"/>
    <w:tmpl w:val="4634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2B21BA"/>
    <w:multiLevelType w:val="hybridMultilevel"/>
    <w:tmpl w:val="2A18638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7">
    <w:nsid w:val="5C81126B"/>
    <w:multiLevelType w:val="multilevel"/>
    <w:tmpl w:val="6F0E069C"/>
    <w:lvl w:ilvl="0">
      <w:start w:val="1"/>
      <w:numFmt w:val="decimal"/>
      <w:lvlText w:val="%1."/>
      <w:lvlJc w:val="left"/>
      <w:pPr>
        <w:tabs>
          <w:tab w:val="num" w:pos="630"/>
        </w:tabs>
        <w:ind w:left="270" w:firstLine="0"/>
      </w:pPr>
      <w:rPr>
        <w:rFonts w:ascii="Times New Roman" w:hAnsi="Times New Roman" w:cs="Times New Roman" w:hint="default"/>
        <w:b w:val="0"/>
        <w:i w:val="0"/>
        <w:color w:val="auto"/>
        <w:sz w:val="22"/>
      </w:rPr>
    </w:lvl>
    <w:lvl w:ilvl="1">
      <w:start w:val="1"/>
      <w:numFmt w:val="lowerLetter"/>
      <w:lvlText w:val="(%2)"/>
      <w:lvlJc w:val="left"/>
      <w:pPr>
        <w:tabs>
          <w:tab w:val="num" w:pos="1751"/>
        </w:tabs>
        <w:ind w:left="311" w:firstLine="720"/>
      </w:pPr>
      <w:rPr>
        <w:rFonts w:cs="Times New Roman" w:hint="default"/>
        <w:b w:val="0"/>
        <w:i w:val="0"/>
      </w:rPr>
    </w:lvl>
    <w:lvl w:ilvl="2">
      <w:start w:val="1"/>
      <w:numFmt w:val="lowerRoman"/>
      <w:lvlText w:val="(%3)"/>
      <w:lvlJc w:val="right"/>
      <w:pPr>
        <w:tabs>
          <w:tab w:val="num" w:pos="1620"/>
        </w:tabs>
        <w:ind w:left="1620" w:hanging="360"/>
      </w:pPr>
      <w:rPr>
        <w:rFonts w:cs="Times New Roman" w:hint="default"/>
      </w:rPr>
    </w:lvl>
    <w:lvl w:ilvl="3">
      <w:start w:val="1"/>
      <w:numFmt w:val="bullet"/>
      <w:lvlText w:val=""/>
      <w:lvlJc w:val="left"/>
      <w:pPr>
        <w:tabs>
          <w:tab w:val="num" w:pos="2340"/>
        </w:tabs>
        <w:ind w:left="2340" w:hanging="720"/>
      </w:pPr>
      <w:rPr>
        <w:rFonts w:ascii="Symbol" w:hAnsi="Symbol" w:hint="default"/>
        <w:color w:val="auto"/>
        <w:sz w:val="28"/>
      </w:rPr>
    </w:lvl>
    <w:lvl w:ilvl="4">
      <w:start w:val="1"/>
      <w:numFmt w:val="lowerLetter"/>
      <w:lvlText w:val="(%5)"/>
      <w:lvlJc w:val="left"/>
      <w:pPr>
        <w:tabs>
          <w:tab w:val="num" w:pos="1980"/>
        </w:tabs>
        <w:ind w:left="1980" w:hanging="360"/>
      </w:pPr>
      <w:rPr>
        <w:rFonts w:cs="Times New Roman" w:hint="default"/>
      </w:rPr>
    </w:lvl>
    <w:lvl w:ilvl="5">
      <w:start w:val="1"/>
      <w:numFmt w:val="lowerRoman"/>
      <w:lvlText w:val="(%6)"/>
      <w:lvlJc w:val="left"/>
      <w:pPr>
        <w:tabs>
          <w:tab w:val="num" w:pos="2340"/>
        </w:tabs>
        <w:ind w:left="2340" w:hanging="360"/>
      </w:pPr>
      <w:rPr>
        <w:rFonts w:cs="Times New Roman" w:hint="default"/>
      </w:rPr>
    </w:lvl>
    <w:lvl w:ilvl="6">
      <w:start w:val="1"/>
      <w:numFmt w:val="decimal"/>
      <w:lvlText w:val="%7."/>
      <w:lvlJc w:val="left"/>
      <w:pPr>
        <w:tabs>
          <w:tab w:val="num" w:pos="2700"/>
        </w:tabs>
        <w:ind w:left="2700" w:hanging="360"/>
      </w:pPr>
      <w:rPr>
        <w:rFonts w:cs="Times New Roman" w:hint="default"/>
      </w:rPr>
    </w:lvl>
    <w:lvl w:ilvl="7">
      <w:start w:val="1"/>
      <w:numFmt w:val="lowerLetter"/>
      <w:lvlText w:val="%8."/>
      <w:lvlJc w:val="left"/>
      <w:pPr>
        <w:tabs>
          <w:tab w:val="num" w:pos="3060"/>
        </w:tabs>
        <w:ind w:left="3060" w:hanging="360"/>
      </w:pPr>
      <w:rPr>
        <w:rFonts w:cs="Times New Roman" w:hint="default"/>
      </w:rPr>
    </w:lvl>
    <w:lvl w:ilvl="8">
      <w:start w:val="1"/>
      <w:numFmt w:val="lowerRoman"/>
      <w:lvlText w:val="%9."/>
      <w:lvlJc w:val="left"/>
      <w:pPr>
        <w:tabs>
          <w:tab w:val="num" w:pos="3420"/>
        </w:tabs>
        <w:ind w:left="3420" w:hanging="360"/>
      </w:pPr>
      <w:rPr>
        <w:rFonts w:cs="Times New Roman" w:hint="default"/>
      </w:rPr>
    </w:lvl>
  </w:abstractNum>
  <w:abstractNum w:abstractNumId="3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5000AC"/>
    <w:multiLevelType w:val="multilevel"/>
    <w:tmpl w:val="DE200BE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350"/>
        </w:tabs>
        <w:ind w:left="-90" w:firstLine="720"/>
      </w:pPr>
      <w:rPr>
        <w:rFonts w:hint="default"/>
        <w:b w:val="0"/>
        <w:i w:val="0"/>
      </w:rPr>
    </w:lvl>
    <w:lvl w:ilvl="2">
      <w:start w:val="1"/>
      <w:numFmt w:val="lowerRoman"/>
      <w:lvlText w:val="(%3)"/>
      <w:lvlJc w:val="righ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20D6AEB"/>
    <w:multiLevelType w:val="multilevel"/>
    <w:tmpl w:val="5268E5B4"/>
    <w:lvl w:ilvl="0">
      <w:start w:val="1"/>
      <w:numFmt w:val="decimal"/>
      <w:pStyle w:val="Para1"/>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648E71EE"/>
    <w:multiLevelType w:val="hybridMultilevel"/>
    <w:tmpl w:val="FED6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EE46A3"/>
    <w:multiLevelType w:val="hybridMultilevel"/>
    <w:tmpl w:val="2D2E8D78"/>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44">
    <w:nsid w:val="6CD57C6E"/>
    <w:multiLevelType w:val="multilevel"/>
    <w:tmpl w:val="747AF608"/>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4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nsid w:val="6EE23244"/>
    <w:multiLevelType w:val="multilevel"/>
    <w:tmpl w:val="B3C03A2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72947080"/>
    <w:multiLevelType w:val="hybridMultilevel"/>
    <w:tmpl w:val="BD52A488"/>
    <w:lvl w:ilvl="0" w:tplc="8722BBB2">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0">
    <w:nsid w:val="784D753F"/>
    <w:multiLevelType w:val="hybridMultilevel"/>
    <w:tmpl w:val="7D42E2E6"/>
    <w:lvl w:ilvl="0" w:tplc="022CD2E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0656BF"/>
    <w:multiLevelType w:val="hybridMultilevel"/>
    <w:tmpl w:val="077C7262"/>
    <w:lvl w:ilvl="0" w:tplc="0C0A0017">
      <w:start w:val="1"/>
      <w:numFmt w:val="lowerLetter"/>
      <w:lvlText w:val="%1)"/>
      <w:lvlJc w:val="left"/>
      <w:pPr>
        <w:ind w:left="1069" w:hanging="360"/>
      </w:pPr>
      <w:rPr>
        <w:rFonts w:hint="default"/>
        <w:lang w:val="es-E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3"/>
  </w:num>
  <w:num w:numId="2">
    <w:abstractNumId w:val="22"/>
  </w:num>
  <w:num w:numId="3">
    <w:abstractNumId w:val="20"/>
  </w:num>
  <w:num w:numId="4">
    <w:abstractNumId w:val="14"/>
  </w:num>
  <w:num w:numId="5">
    <w:abstractNumId w:val="49"/>
  </w:num>
  <w:num w:numId="6">
    <w:abstractNumId w:val="25"/>
  </w:num>
  <w:num w:numId="7">
    <w:abstractNumId w:val="40"/>
  </w:num>
  <w:num w:numId="8">
    <w:abstractNumId w:val="24"/>
  </w:num>
  <w:num w:numId="9">
    <w:abstractNumId w:val="43"/>
  </w:num>
  <w:num w:numId="10">
    <w:abstractNumId w:val="28"/>
  </w:num>
  <w:num w:numId="11">
    <w:abstractNumId w:val="1"/>
  </w:num>
  <w:num w:numId="12">
    <w:abstractNumId w:val="40"/>
  </w:num>
  <w:num w:numId="13">
    <w:abstractNumId w:val="40"/>
  </w:num>
  <w:num w:numId="14">
    <w:abstractNumId w:val="4"/>
  </w:num>
  <w:num w:numId="15">
    <w:abstractNumId w:val="26"/>
  </w:num>
  <w:num w:numId="16">
    <w:abstractNumId w:val="0"/>
  </w:num>
  <w:num w:numId="17">
    <w:abstractNumId w:val="46"/>
  </w:num>
  <w:num w:numId="18">
    <w:abstractNumId w:val="44"/>
  </w:num>
  <w:num w:numId="19">
    <w:abstractNumId w:val="39"/>
  </w:num>
  <w:num w:numId="20">
    <w:abstractNumId w:val="29"/>
  </w:num>
  <w:num w:numId="21">
    <w:abstractNumId w:val="1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6"/>
  </w:num>
  <w:num w:numId="25">
    <w:abstractNumId w:val="40"/>
  </w:num>
  <w:num w:numId="26">
    <w:abstractNumId w:val="40"/>
  </w:num>
  <w:num w:numId="27">
    <w:abstractNumId w:val="40"/>
  </w:num>
  <w:num w:numId="28">
    <w:abstractNumId w:val="31"/>
  </w:num>
  <w:num w:numId="29">
    <w:abstractNumId w:val="35"/>
  </w:num>
  <w:num w:numId="30">
    <w:abstractNumId w:val="41"/>
  </w:num>
  <w:num w:numId="31">
    <w:abstractNumId w:val="40"/>
  </w:num>
  <w:num w:numId="32">
    <w:abstractNumId w:val="18"/>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40"/>
  </w:num>
  <w:num w:numId="37">
    <w:abstractNumId w:val="40"/>
  </w:num>
  <w:num w:numId="38">
    <w:abstractNumId w:val="40"/>
  </w:num>
  <w:num w:numId="39">
    <w:abstractNumId w:val="40"/>
  </w:num>
  <w:num w:numId="40">
    <w:abstractNumId w:val="40"/>
  </w:num>
  <w:num w:numId="41">
    <w:abstractNumId w:val="40"/>
  </w:num>
  <w:num w:numId="42">
    <w:abstractNumId w:val="40"/>
  </w:num>
  <w:num w:numId="43">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42"/>
  </w:num>
  <w:num w:numId="46">
    <w:abstractNumId w:val="12"/>
  </w:num>
  <w:num w:numId="47">
    <w:abstractNumId w:val="7"/>
  </w:num>
  <w:num w:numId="48">
    <w:abstractNumId w:val="23"/>
  </w:num>
  <w:num w:numId="49">
    <w:abstractNumId w:val="37"/>
  </w:num>
  <w:num w:numId="50">
    <w:abstractNumId w:val="40"/>
  </w:num>
  <w:num w:numId="51">
    <w:abstractNumId w:val="40"/>
  </w:num>
  <w:num w:numId="52">
    <w:abstractNumId w:val="40"/>
  </w:num>
  <w:num w:numId="53">
    <w:abstractNumId w:val="33"/>
  </w:num>
  <w:num w:numId="54">
    <w:abstractNumId w:val="40"/>
  </w:num>
  <w:num w:numId="55">
    <w:abstractNumId w:val="30"/>
  </w:num>
  <w:num w:numId="56">
    <w:abstractNumId w:val="21"/>
  </w:num>
  <w:num w:numId="57">
    <w:abstractNumId w:val="34"/>
  </w:num>
  <w:num w:numId="58">
    <w:abstractNumId w:val="10"/>
  </w:num>
  <w:num w:numId="59">
    <w:abstractNumId w:val="47"/>
  </w:num>
  <w:num w:numId="60">
    <w:abstractNumId w:val="27"/>
  </w:num>
  <w:num w:numId="61">
    <w:abstractNumId w:val="16"/>
  </w:num>
  <w:num w:numId="62">
    <w:abstractNumId w:val="15"/>
  </w:num>
  <w:num w:numId="63">
    <w:abstractNumId w:val="3"/>
  </w:num>
  <w:num w:numId="64">
    <w:abstractNumId w:val="2"/>
  </w:num>
  <w:num w:numId="65">
    <w:abstractNumId w:val="11"/>
  </w:num>
  <w:num w:numId="66">
    <w:abstractNumId w:val="9"/>
  </w:num>
  <w:num w:numId="67">
    <w:abstractNumId w:val="52"/>
  </w:num>
  <w:num w:numId="68">
    <w:abstractNumId w:val="5"/>
  </w:num>
  <w:num w:numId="69">
    <w:abstractNumId w:val="24"/>
    <w:lvlOverride w:ilvl="0">
      <w:startOverride w:val="1"/>
    </w:lvlOverride>
  </w:num>
  <w:num w:numId="70">
    <w:abstractNumId w:val="45"/>
  </w:num>
  <w:num w:numId="71">
    <w:abstractNumId w:val="24"/>
    <w:lvlOverride w:ilvl="0">
      <w:startOverride w:val="1"/>
    </w:lvlOverride>
  </w:num>
  <w:num w:numId="72">
    <w:abstractNumId w:val="24"/>
    <w:lvlOverride w:ilvl="0">
      <w:startOverride w:val="1"/>
    </w:lvlOverride>
  </w:num>
  <w:num w:numId="73">
    <w:abstractNumId w:val="24"/>
    <w:lvlOverride w:ilvl="0">
      <w:startOverride w:val="1"/>
    </w:lvlOverride>
  </w:num>
  <w:num w:numId="74">
    <w:abstractNumId w:val="24"/>
    <w:lvlOverride w:ilvl="0">
      <w:startOverride w:val="1"/>
    </w:lvlOverride>
  </w:num>
  <w:num w:numId="75">
    <w:abstractNumId w:val="38"/>
  </w:num>
  <w:num w:numId="76">
    <w:abstractNumId w:val="32"/>
  </w:num>
  <w:num w:numId="77">
    <w:abstractNumId w:val="6"/>
  </w:num>
  <w:num w:numId="78">
    <w:abstractNumId w:val="48"/>
  </w:num>
  <w:num w:numId="79">
    <w:abstractNumId w:val="51"/>
  </w:num>
  <w:num w:numId="80">
    <w:abstractNumId w:val="50"/>
  </w:num>
  <w:num w:numId="81">
    <w:abstractNumId w:val="17"/>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stylePaneFormatFilter w:val="3701"/>
  <w:defaultTabStop w:val="720"/>
  <w:hyphenationZone w:val="425"/>
  <w:doNotHyphenateCaps/>
  <w:evenAndOddHeaders/>
  <w:drawingGridHorizontalSpacing w:val="110"/>
  <w:drawingGridVerticalSpacing w:val="120"/>
  <w:displayHorizontalDrawingGridEvery w:val="2"/>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useFELayout/>
  </w:compat>
  <w:rsids>
    <w:rsidRoot w:val="00884241"/>
    <w:rsid w:val="0000142D"/>
    <w:rsid w:val="00001D79"/>
    <w:rsid w:val="00003867"/>
    <w:rsid w:val="0000541C"/>
    <w:rsid w:val="00005C61"/>
    <w:rsid w:val="00006538"/>
    <w:rsid w:val="00007AFE"/>
    <w:rsid w:val="000125F6"/>
    <w:rsid w:val="00013350"/>
    <w:rsid w:val="000133FF"/>
    <w:rsid w:val="000135ED"/>
    <w:rsid w:val="0001485A"/>
    <w:rsid w:val="00016F81"/>
    <w:rsid w:val="00017044"/>
    <w:rsid w:val="000208DB"/>
    <w:rsid w:val="00020A0D"/>
    <w:rsid w:val="00023F14"/>
    <w:rsid w:val="000247E5"/>
    <w:rsid w:val="00024997"/>
    <w:rsid w:val="00024C71"/>
    <w:rsid w:val="00024F88"/>
    <w:rsid w:val="00026FA7"/>
    <w:rsid w:val="00027615"/>
    <w:rsid w:val="00027927"/>
    <w:rsid w:val="00027BBF"/>
    <w:rsid w:val="00031DEA"/>
    <w:rsid w:val="0003215E"/>
    <w:rsid w:val="0003231A"/>
    <w:rsid w:val="0003284F"/>
    <w:rsid w:val="00032DB4"/>
    <w:rsid w:val="00033416"/>
    <w:rsid w:val="000340DF"/>
    <w:rsid w:val="00035821"/>
    <w:rsid w:val="00035F57"/>
    <w:rsid w:val="0003762E"/>
    <w:rsid w:val="00037812"/>
    <w:rsid w:val="00037996"/>
    <w:rsid w:val="00042694"/>
    <w:rsid w:val="0004503C"/>
    <w:rsid w:val="00045453"/>
    <w:rsid w:val="00046571"/>
    <w:rsid w:val="00046D1C"/>
    <w:rsid w:val="000470F9"/>
    <w:rsid w:val="00050D31"/>
    <w:rsid w:val="00052DAC"/>
    <w:rsid w:val="000539B9"/>
    <w:rsid w:val="00053ACB"/>
    <w:rsid w:val="0005584A"/>
    <w:rsid w:val="0005647D"/>
    <w:rsid w:val="00056D86"/>
    <w:rsid w:val="000570C1"/>
    <w:rsid w:val="00057247"/>
    <w:rsid w:val="0005774C"/>
    <w:rsid w:val="00060E65"/>
    <w:rsid w:val="000617F6"/>
    <w:rsid w:val="00061A21"/>
    <w:rsid w:val="000628A8"/>
    <w:rsid w:val="00064A5B"/>
    <w:rsid w:val="000652C5"/>
    <w:rsid w:val="000659D0"/>
    <w:rsid w:val="0006631C"/>
    <w:rsid w:val="00066C74"/>
    <w:rsid w:val="0006789E"/>
    <w:rsid w:val="00067CE1"/>
    <w:rsid w:val="000703F4"/>
    <w:rsid w:val="0007148E"/>
    <w:rsid w:val="00072268"/>
    <w:rsid w:val="0007306C"/>
    <w:rsid w:val="0007387C"/>
    <w:rsid w:val="00074A1C"/>
    <w:rsid w:val="000758BF"/>
    <w:rsid w:val="00075B78"/>
    <w:rsid w:val="000805E4"/>
    <w:rsid w:val="00081A79"/>
    <w:rsid w:val="00081AB3"/>
    <w:rsid w:val="0008248C"/>
    <w:rsid w:val="000860CE"/>
    <w:rsid w:val="00086653"/>
    <w:rsid w:val="00090360"/>
    <w:rsid w:val="00090488"/>
    <w:rsid w:val="00090613"/>
    <w:rsid w:val="000906C2"/>
    <w:rsid w:val="00091211"/>
    <w:rsid w:val="000918BF"/>
    <w:rsid w:val="00093FD1"/>
    <w:rsid w:val="00094E39"/>
    <w:rsid w:val="00094EB4"/>
    <w:rsid w:val="00095711"/>
    <w:rsid w:val="0009776D"/>
    <w:rsid w:val="000A0E6E"/>
    <w:rsid w:val="000A0EC9"/>
    <w:rsid w:val="000A15DF"/>
    <w:rsid w:val="000A25E3"/>
    <w:rsid w:val="000A315D"/>
    <w:rsid w:val="000A36A5"/>
    <w:rsid w:val="000A36CC"/>
    <w:rsid w:val="000A5462"/>
    <w:rsid w:val="000A5AC6"/>
    <w:rsid w:val="000A6D54"/>
    <w:rsid w:val="000B078F"/>
    <w:rsid w:val="000B093B"/>
    <w:rsid w:val="000B2E4C"/>
    <w:rsid w:val="000B35F0"/>
    <w:rsid w:val="000B36E0"/>
    <w:rsid w:val="000B513F"/>
    <w:rsid w:val="000B62E9"/>
    <w:rsid w:val="000B70A8"/>
    <w:rsid w:val="000B7907"/>
    <w:rsid w:val="000C106E"/>
    <w:rsid w:val="000C1CF7"/>
    <w:rsid w:val="000C232C"/>
    <w:rsid w:val="000C3237"/>
    <w:rsid w:val="000C5C90"/>
    <w:rsid w:val="000C6220"/>
    <w:rsid w:val="000C6855"/>
    <w:rsid w:val="000D0E5A"/>
    <w:rsid w:val="000D1E1D"/>
    <w:rsid w:val="000D3B8A"/>
    <w:rsid w:val="000D4C2B"/>
    <w:rsid w:val="000D590C"/>
    <w:rsid w:val="000D6FDD"/>
    <w:rsid w:val="000D7652"/>
    <w:rsid w:val="000E27DB"/>
    <w:rsid w:val="000E3BB4"/>
    <w:rsid w:val="000E4498"/>
    <w:rsid w:val="000E6E86"/>
    <w:rsid w:val="000F0783"/>
    <w:rsid w:val="000F15D2"/>
    <w:rsid w:val="000F3D8A"/>
    <w:rsid w:val="000F432F"/>
    <w:rsid w:val="000F6A49"/>
    <w:rsid w:val="000F6C07"/>
    <w:rsid w:val="000F7ED6"/>
    <w:rsid w:val="00100E37"/>
    <w:rsid w:val="00101DA6"/>
    <w:rsid w:val="001024C7"/>
    <w:rsid w:val="00104ACD"/>
    <w:rsid w:val="00105F13"/>
    <w:rsid w:val="00106356"/>
    <w:rsid w:val="001100E9"/>
    <w:rsid w:val="001105DF"/>
    <w:rsid w:val="00110AE5"/>
    <w:rsid w:val="001116C0"/>
    <w:rsid w:val="00113A87"/>
    <w:rsid w:val="0011481C"/>
    <w:rsid w:val="00114A98"/>
    <w:rsid w:val="00115639"/>
    <w:rsid w:val="001157B3"/>
    <w:rsid w:val="00115E8D"/>
    <w:rsid w:val="0011779B"/>
    <w:rsid w:val="00117CDF"/>
    <w:rsid w:val="0012047A"/>
    <w:rsid w:val="001211D7"/>
    <w:rsid w:val="0012228F"/>
    <w:rsid w:val="001242A4"/>
    <w:rsid w:val="00124414"/>
    <w:rsid w:val="001252CC"/>
    <w:rsid w:val="00125355"/>
    <w:rsid w:val="0012567A"/>
    <w:rsid w:val="00127617"/>
    <w:rsid w:val="00127E0D"/>
    <w:rsid w:val="00130524"/>
    <w:rsid w:val="00131256"/>
    <w:rsid w:val="001326B7"/>
    <w:rsid w:val="00132CBE"/>
    <w:rsid w:val="0013367A"/>
    <w:rsid w:val="00133FD7"/>
    <w:rsid w:val="00134D56"/>
    <w:rsid w:val="0013547D"/>
    <w:rsid w:val="00137047"/>
    <w:rsid w:val="00137C6E"/>
    <w:rsid w:val="001400BF"/>
    <w:rsid w:val="00140CF4"/>
    <w:rsid w:val="00141A04"/>
    <w:rsid w:val="0014227C"/>
    <w:rsid w:val="00144BDE"/>
    <w:rsid w:val="00144D54"/>
    <w:rsid w:val="00146404"/>
    <w:rsid w:val="001464B0"/>
    <w:rsid w:val="0014777B"/>
    <w:rsid w:val="00151E92"/>
    <w:rsid w:val="00154715"/>
    <w:rsid w:val="00154B4A"/>
    <w:rsid w:val="00155BB8"/>
    <w:rsid w:val="00155D67"/>
    <w:rsid w:val="00156858"/>
    <w:rsid w:val="00156B0D"/>
    <w:rsid w:val="00156CBE"/>
    <w:rsid w:val="001574E4"/>
    <w:rsid w:val="00157BF9"/>
    <w:rsid w:val="00160B1F"/>
    <w:rsid w:val="0016213F"/>
    <w:rsid w:val="00163DE9"/>
    <w:rsid w:val="00163E82"/>
    <w:rsid w:val="001654B9"/>
    <w:rsid w:val="00166295"/>
    <w:rsid w:val="001669BF"/>
    <w:rsid w:val="001676D5"/>
    <w:rsid w:val="00171D4F"/>
    <w:rsid w:val="00172FDD"/>
    <w:rsid w:val="0017379D"/>
    <w:rsid w:val="00175115"/>
    <w:rsid w:val="00177166"/>
    <w:rsid w:val="00177D3E"/>
    <w:rsid w:val="00177D7A"/>
    <w:rsid w:val="00182C46"/>
    <w:rsid w:val="0018350F"/>
    <w:rsid w:val="0018411F"/>
    <w:rsid w:val="00186844"/>
    <w:rsid w:val="001869DD"/>
    <w:rsid w:val="00186BE7"/>
    <w:rsid w:val="00187CB6"/>
    <w:rsid w:val="00190216"/>
    <w:rsid w:val="00192323"/>
    <w:rsid w:val="001923DF"/>
    <w:rsid w:val="00193167"/>
    <w:rsid w:val="00194122"/>
    <w:rsid w:val="0019484C"/>
    <w:rsid w:val="001956D6"/>
    <w:rsid w:val="001A1112"/>
    <w:rsid w:val="001A220B"/>
    <w:rsid w:val="001A277A"/>
    <w:rsid w:val="001A3E95"/>
    <w:rsid w:val="001A4046"/>
    <w:rsid w:val="001A4F8F"/>
    <w:rsid w:val="001A56F0"/>
    <w:rsid w:val="001B07C0"/>
    <w:rsid w:val="001B0CA1"/>
    <w:rsid w:val="001B0E98"/>
    <w:rsid w:val="001B1983"/>
    <w:rsid w:val="001B21BB"/>
    <w:rsid w:val="001B2EC7"/>
    <w:rsid w:val="001B4104"/>
    <w:rsid w:val="001B58AE"/>
    <w:rsid w:val="001B5A72"/>
    <w:rsid w:val="001B6AB0"/>
    <w:rsid w:val="001B7961"/>
    <w:rsid w:val="001B79B0"/>
    <w:rsid w:val="001B7E50"/>
    <w:rsid w:val="001C093E"/>
    <w:rsid w:val="001C0A74"/>
    <w:rsid w:val="001C10F6"/>
    <w:rsid w:val="001C2442"/>
    <w:rsid w:val="001C2B13"/>
    <w:rsid w:val="001C3F84"/>
    <w:rsid w:val="001C5128"/>
    <w:rsid w:val="001C53F5"/>
    <w:rsid w:val="001D077D"/>
    <w:rsid w:val="001D0F62"/>
    <w:rsid w:val="001D136C"/>
    <w:rsid w:val="001D162D"/>
    <w:rsid w:val="001D2816"/>
    <w:rsid w:val="001D3E29"/>
    <w:rsid w:val="001D4A8D"/>
    <w:rsid w:val="001D669D"/>
    <w:rsid w:val="001E0ACD"/>
    <w:rsid w:val="001E16B7"/>
    <w:rsid w:val="001E1756"/>
    <w:rsid w:val="001E2681"/>
    <w:rsid w:val="001E362E"/>
    <w:rsid w:val="001E4E65"/>
    <w:rsid w:val="001E6687"/>
    <w:rsid w:val="001E6A3A"/>
    <w:rsid w:val="001E75CF"/>
    <w:rsid w:val="001E7C7B"/>
    <w:rsid w:val="001F07F6"/>
    <w:rsid w:val="001F243F"/>
    <w:rsid w:val="001F2629"/>
    <w:rsid w:val="001F262E"/>
    <w:rsid w:val="001F2E12"/>
    <w:rsid w:val="001F2E1C"/>
    <w:rsid w:val="001F37AE"/>
    <w:rsid w:val="001F4E2F"/>
    <w:rsid w:val="002003BB"/>
    <w:rsid w:val="00201C91"/>
    <w:rsid w:val="00202EA0"/>
    <w:rsid w:val="0020412B"/>
    <w:rsid w:val="0020551F"/>
    <w:rsid w:val="002116EE"/>
    <w:rsid w:val="00212E0B"/>
    <w:rsid w:val="002140FC"/>
    <w:rsid w:val="00216249"/>
    <w:rsid w:val="00217009"/>
    <w:rsid w:val="0021741E"/>
    <w:rsid w:val="0022023F"/>
    <w:rsid w:val="0022074B"/>
    <w:rsid w:val="00221210"/>
    <w:rsid w:val="00222EE1"/>
    <w:rsid w:val="00224B8B"/>
    <w:rsid w:val="002266FB"/>
    <w:rsid w:val="00227973"/>
    <w:rsid w:val="00227A31"/>
    <w:rsid w:val="00227A70"/>
    <w:rsid w:val="0023182F"/>
    <w:rsid w:val="00231BC4"/>
    <w:rsid w:val="002329BF"/>
    <w:rsid w:val="00232EDA"/>
    <w:rsid w:val="00234E12"/>
    <w:rsid w:val="00234F8A"/>
    <w:rsid w:val="00236B07"/>
    <w:rsid w:val="00240D7E"/>
    <w:rsid w:val="00241BEF"/>
    <w:rsid w:val="00242031"/>
    <w:rsid w:val="002424D5"/>
    <w:rsid w:val="002437E5"/>
    <w:rsid w:val="002452B4"/>
    <w:rsid w:val="00245379"/>
    <w:rsid w:val="00245861"/>
    <w:rsid w:val="0024675D"/>
    <w:rsid w:val="0024723B"/>
    <w:rsid w:val="00247857"/>
    <w:rsid w:val="00250648"/>
    <w:rsid w:val="002508CE"/>
    <w:rsid w:val="00250E06"/>
    <w:rsid w:val="00251E39"/>
    <w:rsid w:val="00252FA3"/>
    <w:rsid w:val="00253495"/>
    <w:rsid w:val="00256046"/>
    <w:rsid w:val="00257AB9"/>
    <w:rsid w:val="00263286"/>
    <w:rsid w:val="002632EB"/>
    <w:rsid w:val="0026470B"/>
    <w:rsid w:val="00265D86"/>
    <w:rsid w:val="0026730E"/>
    <w:rsid w:val="002673E8"/>
    <w:rsid w:val="00270EEA"/>
    <w:rsid w:val="002712D1"/>
    <w:rsid w:val="00272CFE"/>
    <w:rsid w:val="00272D8C"/>
    <w:rsid w:val="002737EF"/>
    <w:rsid w:val="00273D5B"/>
    <w:rsid w:val="00274E0B"/>
    <w:rsid w:val="00275E53"/>
    <w:rsid w:val="002763EE"/>
    <w:rsid w:val="00276D79"/>
    <w:rsid w:val="00276DFC"/>
    <w:rsid w:val="00277591"/>
    <w:rsid w:val="002803B1"/>
    <w:rsid w:val="00281C04"/>
    <w:rsid w:val="00282BC3"/>
    <w:rsid w:val="00284BC9"/>
    <w:rsid w:val="002863A3"/>
    <w:rsid w:val="00290916"/>
    <w:rsid w:val="002909AB"/>
    <w:rsid w:val="00291E2A"/>
    <w:rsid w:val="00291FC8"/>
    <w:rsid w:val="00292E93"/>
    <w:rsid w:val="002933B4"/>
    <w:rsid w:val="00293741"/>
    <w:rsid w:val="0029458B"/>
    <w:rsid w:val="00294EE7"/>
    <w:rsid w:val="00295011"/>
    <w:rsid w:val="00295D51"/>
    <w:rsid w:val="00297AB6"/>
    <w:rsid w:val="00297D75"/>
    <w:rsid w:val="002A1FD4"/>
    <w:rsid w:val="002A2D9A"/>
    <w:rsid w:val="002A2E8B"/>
    <w:rsid w:val="002A3387"/>
    <w:rsid w:val="002A37A7"/>
    <w:rsid w:val="002A4637"/>
    <w:rsid w:val="002A4E5E"/>
    <w:rsid w:val="002A51D9"/>
    <w:rsid w:val="002A5B02"/>
    <w:rsid w:val="002A69DE"/>
    <w:rsid w:val="002A6E78"/>
    <w:rsid w:val="002A7FCA"/>
    <w:rsid w:val="002B200C"/>
    <w:rsid w:val="002B3718"/>
    <w:rsid w:val="002B37B7"/>
    <w:rsid w:val="002B5A8C"/>
    <w:rsid w:val="002B5AC4"/>
    <w:rsid w:val="002B63AC"/>
    <w:rsid w:val="002B67FD"/>
    <w:rsid w:val="002B7BB5"/>
    <w:rsid w:val="002B7F24"/>
    <w:rsid w:val="002C0423"/>
    <w:rsid w:val="002C1296"/>
    <w:rsid w:val="002C1506"/>
    <w:rsid w:val="002C24A0"/>
    <w:rsid w:val="002C3199"/>
    <w:rsid w:val="002C3A2D"/>
    <w:rsid w:val="002C483F"/>
    <w:rsid w:val="002C5EC6"/>
    <w:rsid w:val="002C6CDC"/>
    <w:rsid w:val="002D0B37"/>
    <w:rsid w:val="002D18AF"/>
    <w:rsid w:val="002D1A3A"/>
    <w:rsid w:val="002D3CEA"/>
    <w:rsid w:val="002D520C"/>
    <w:rsid w:val="002D5E45"/>
    <w:rsid w:val="002D7E3F"/>
    <w:rsid w:val="002D7E6D"/>
    <w:rsid w:val="002E0B54"/>
    <w:rsid w:val="002E2F0C"/>
    <w:rsid w:val="002E3E97"/>
    <w:rsid w:val="002E3F0D"/>
    <w:rsid w:val="002E425B"/>
    <w:rsid w:val="002E4C08"/>
    <w:rsid w:val="002E5B40"/>
    <w:rsid w:val="002E60B6"/>
    <w:rsid w:val="002E6719"/>
    <w:rsid w:val="002E6E67"/>
    <w:rsid w:val="002E6F1B"/>
    <w:rsid w:val="002F0C59"/>
    <w:rsid w:val="002F1063"/>
    <w:rsid w:val="002F17BB"/>
    <w:rsid w:val="002F2164"/>
    <w:rsid w:val="002F21A7"/>
    <w:rsid w:val="00300261"/>
    <w:rsid w:val="0030033D"/>
    <w:rsid w:val="00300DB1"/>
    <w:rsid w:val="00303DCE"/>
    <w:rsid w:val="00303DE9"/>
    <w:rsid w:val="003045A9"/>
    <w:rsid w:val="00305197"/>
    <w:rsid w:val="0030547F"/>
    <w:rsid w:val="00305984"/>
    <w:rsid w:val="00305D1F"/>
    <w:rsid w:val="003069BF"/>
    <w:rsid w:val="003075A8"/>
    <w:rsid w:val="00307683"/>
    <w:rsid w:val="00307DAF"/>
    <w:rsid w:val="00311A89"/>
    <w:rsid w:val="0031278A"/>
    <w:rsid w:val="00313783"/>
    <w:rsid w:val="00315BF2"/>
    <w:rsid w:val="00316477"/>
    <w:rsid w:val="0031678C"/>
    <w:rsid w:val="003170BD"/>
    <w:rsid w:val="00317213"/>
    <w:rsid w:val="003172E3"/>
    <w:rsid w:val="003172F0"/>
    <w:rsid w:val="00321A65"/>
    <w:rsid w:val="00322E6E"/>
    <w:rsid w:val="003231E5"/>
    <w:rsid w:val="003260D2"/>
    <w:rsid w:val="0032610E"/>
    <w:rsid w:val="003272EB"/>
    <w:rsid w:val="00330F65"/>
    <w:rsid w:val="00331059"/>
    <w:rsid w:val="00331907"/>
    <w:rsid w:val="00332D5E"/>
    <w:rsid w:val="003333F2"/>
    <w:rsid w:val="00333F92"/>
    <w:rsid w:val="00336B70"/>
    <w:rsid w:val="00337084"/>
    <w:rsid w:val="0033741A"/>
    <w:rsid w:val="003379C8"/>
    <w:rsid w:val="00337E32"/>
    <w:rsid w:val="0034019B"/>
    <w:rsid w:val="003401BF"/>
    <w:rsid w:val="00340D34"/>
    <w:rsid w:val="00341A72"/>
    <w:rsid w:val="00341EFA"/>
    <w:rsid w:val="00342651"/>
    <w:rsid w:val="00342B4C"/>
    <w:rsid w:val="00343307"/>
    <w:rsid w:val="003438E6"/>
    <w:rsid w:val="00345297"/>
    <w:rsid w:val="00345B00"/>
    <w:rsid w:val="0035167D"/>
    <w:rsid w:val="003542DD"/>
    <w:rsid w:val="00354A6F"/>
    <w:rsid w:val="00354D5D"/>
    <w:rsid w:val="00354D7F"/>
    <w:rsid w:val="00354DFE"/>
    <w:rsid w:val="00355E88"/>
    <w:rsid w:val="00357803"/>
    <w:rsid w:val="0036008F"/>
    <w:rsid w:val="003633D5"/>
    <w:rsid w:val="0036374B"/>
    <w:rsid w:val="00365A49"/>
    <w:rsid w:val="00365FDD"/>
    <w:rsid w:val="00367459"/>
    <w:rsid w:val="00367EA7"/>
    <w:rsid w:val="00370031"/>
    <w:rsid w:val="0037012F"/>
    <w:rsid w:val="0037081E"/>
    <w:rsid w:val="00371BBD"/>
    <w:rsid w:val="00373505"/>
    <w:rsid w:val="003743E1"/>
    <w:rsid w:val="00380362"/>
    <w:rsid w:val="003806A4"/>
    <w:rsid w:val="00380CE7"/>
    <w:rsid w:val="00380CED"/>
    <w:rsid w:val="00381CF8"/>
    <w:rsid w:val="0038488D"/>
    <w:rsid w:val="003858EA"/>
    <w:rsid w:val="00385F32"/>
    <w:rsid w:val="00387581"/>
    <w:rsid w:val="003905B1"/>
    <w:rsid w:val="00390D54"/>
    <w:rsid w:val="00390E7B"/>
    <w:rsid w:val="00392648"/>
    <w:rsid w:val="003949B4"/>
    <w:rsid w:val="00394F08"/>
    <w:rsid w:val="003952D2"/>
    <w:rsid w:val="003A041D"/>
    <w:rsid w:val="003A15C6"/>
    <w:rsid w:val="003A3505"/>
    <w:rsid w:val="003A6C9E"/>
    <w:rsid w:val="003A7A88"/>
    <w:rsid w:val="003B0C02"/>
    <w:rsid w:val="003B0CF8"/>
    <w:rsid w:val="003B2173"/>
    <w:rsid w:val="003B40CF"/>
    <w:rsid w:val="003B50B1"/>
    <w:rsid w:val="003B548A"/>
    <w:rsid w:val="003B54CB"/>
    <w:rsid w:val="003B66A2"/>
    <w:rsid w:val="003B6799"/>
    <w:rsid w:val="003C06D7"/>
    <w:rsid w:val="003C1FBD"/>
    <w:rsid w:val="003C2A2C"/>
    <w:rsid w:val="003C341B"/>
    <w:rsid w:val="003C3FD9"/>
    <w:rsid w:val="003C59D6"/>
    <w:rsid w:val="003C716B"/>
    <w:rsid w:val="003D029A"/>
    <w:rsid w:val="003D06C9"/>
    <w:rsid w:val="003D283B"/>
    <w:rsid w:val="003D3AF7"/>
    <w:rsid w:val="003D416F"/>
    <w:rsid w:val="003D5CCF"/>
    <w:rsid w:val="003D6263"/>
    <w:rsid w:val="003D62DE"/>
    <w:rsid w:val="003D7904"/>
    <w:rsid w:val="003E0381"/>
    <w:rsid w:val="003E088B"/>
    <w:rsid w:val="003E0E4A"/>
    <w:rsid w:val="003E1040"/>
    <w:rsid w:val="003E10D0"/>
    <w:rsid w:val="003E11F3"/>
    <w:rsid w:val="003E2BF0"/>
    <w:rsid w:val="003E464F"/>
    <w:rsid w:val="003E63F0"/>
    <w:rsid w:val="003E7DE6"/>
    <w:rsid w:val="003F026A"/>
    <w:rsid w:val="003F0500"/>
    <w:rsid w:val="003F060A"/>
    <w:rsid w:val="003F2275"/>
    <w:rsid w:val="003F2DBF"/>
    <w:rsid w:val="003F3394"/>
    <w:rsid w:val="003F43E3"/>
    <w:rsid w:val="003F5DE3"/>
    <w:rsid w:val="003F7DD5"/>
    <w:rsid w:val="0040045D"/>
    <w:rsid w:val="004014A0"/>
    <w:rsid w:val="00402899"/>
    <w:rsid w:val="00403321"/>
    <w:rsid w:val="0040389B"/>
    <w:rsid w:val="00403D40"/>
    <w:rsid w:val="00404BA2"/>
    <w:rsid w:val="00405B7B"/>
    <w:rsid w:val="0040620A"/>
    <w:rsid w:val="00406A66"/>
    <w:rsid w:val="00412EB4"/>
    <w:rsid w:val="00414788"/>
    <w:rsid w:val="00415275"/>
    <w:rsid w:val="00415463"/>
    <w:rsid w:val="00417645"/>
    <w:rsid w:val="00421875"/>
    <w:rsid w:val="00422B1D"/>
    <w:rsid w:val="00422C43"/>
    <w:rsid w:val="00422DB3"/>
    <w:rsid w:val="004251E3"/>
    <w:rsid w:val="00425230"/>
    <w:rsid w:val="00425FB0"/>
    <w:rsid w:val="00426DF0"/>
    <w:rsid w:val="00426EBC"/>
    <w:rsid w:val="00427165"/>
    <w:rsid w:val="00427BAB"/>
    <w:rsid w:val="00427FF1"/>
    <w:rsid w:val="00430466"/>
    <w:rsid w:val="00430C26"/>
    <w:rsid w:val="004311D7"/>
    <w:rsid w:val="004319C0"/>
    <w:rsid w:val="004327AF"/>
    <w:rsid w:val="00435A7B"/>
    <w:rsid w:val="004360FA"/>
    <w:rsid w:val="00440CC5"/>
    <w:rsid w:val="00441192"/>
    <w:rsid w:val="004460B7"/>
    <w:rsid w:val="004462D4"/>
    <w:rsid w:val="00446CF3"/>
    <w:rsid w:val="00447253"/>
    <w:rsid w:val="0044783F"/>
    <w:rsid w:val="00447952"/>
    <w:rsid w:val="00451F62"/>
    <w:rsid w:val="004521E9"/>
    <w:rsid w:val="00452F3E"/>
    <w:rsid w:val="00453D02"/>
    <w:rsid w:val="004548D9"/>
    <w:rsid w:val="004559CF"/>
    <w:rsid w:val="004573C8"/>
    <w:rsid w:val="00457EE8"/>
    <w:rsid w:val="0046025F"/>
    <w:rsid w:val="004612C8"/>
    <w:rsid w:val="00461823"/>
    <w:rsid w:val="00461A5F"/>
    <w:rsid w:val="004635DA"/>
    <w:rsid w:val="004635DF"/>
    <w:rsid w:val="00464889"/>
    <w:rsid w:val="004658C2"/>
    <w:rsid w:val="00466B45"/>
    <w:rsid w:val="00466C0B"/>
    <w:rsid w:val="00466FE7"/>
    <w:rsid w:val="0046707B"/>
    <w:rsid w:val="00467961"/>
    <w:rsid w:val="00471113"/>
    <w:rsid w:val="00471756"/>
    <w:rsid w:val="0047190A"/>
    <w:rsid w:val="00472142"/>
    <w:rsid w:val="00472385"/>
    <w:rsid w:val="004742DD"/>
    <w:rsid w:val="004751DA"/>
    <w:rsid w:val="00475D73"/>
    <w:rsid w:val="00476966"/>
    <w:rsid w:val="00476E6D"/>
    <w:rsid w:val="0047784D"/>
    <w:rsid w:val="00477F2F"/>
    <w:rsid w:val="004808B8"/>
    <w:rsid w:val="004820EB"/>
    <w:rsid w:val="00482196"/>
    <w:rsid w:val="004827B5"/>
    <w:rsid w:val="00483458"/>
    <w:rsid w:val="0048391C"/>
    <w:rsid w:val="004846D7"/>
    <w:rsid w:val="00485148"/>
    <w:rsid w:val="004855A7"/>
    <w:rsid w:val="00485D32"/>
    <w:rsid w:val="00485DD9"/>
    <w:rsid w:val="004860CA"/>
    <w:rsid w:val="00486D78"/>
    <w:rsid w:val="004875F2"/>
    <w:rsid w:val="004902AC"/>
    <w:rsid w:val="004926A7"/>
    <w:rsid w:val="00493013"/>
    <w:rsid w:val="00495736"/>
    <w:rsid w:val="00497E01"/>
    <w:rsid w:val="004A0D40"/>
    <w:rsid w:val="004A0E10"/>
    <w:rsid w:val="004A1110"/>
    <w:rsid w:val="004A1FA0"/>
    <w:rsid w:val="004A38EA"/>
    <w:rsid w:val="004A511E"/>
    <w:rsid w:val="004A5484"/>
    <w:rsid w:val="004A5FFB"/>
    <w:rsid w:val="004A6AB0"/>
    <w:rsid w:val="004A6CFF"/>
    <w:rsid w:val="004A6ECD"/>
    <w:rsid w:val="004A7FD2"/>
    <w:rsid w:val="004B20C7"/>
    <w:rsid w:val="004B2E90"/>
    <w:rsid w:val="004B3431"/>
    <w:rsid w:val="004B36D7"/>
    <w:rsid w:val="004B3DF1"/>
    <w:rsid w:val="004B3F4A"/>
    <w:rsid w:val="004B4A82"/>
    <w:rsid w:val="004B566A"/>
    <w:rsid w:val="004B5DF4"/>
    <w:rsid w:val="004B7118"/>
    <w:rsid w:val="004B77C4"/>
    <w:rsid w:val="004B7F1E"/>
    <w:rsid w:val="004B7FD6"/>
    <w:rsid w:val="004C090E"/>
    <w:rsid w:val="004C26FF"/>
    <w:rsid w:val="004C30BD"/>
    <w:rsid w:val="004C33DE"/>
    <w:rsid w:val="004C3894"/>
    <w:rsid w:val="004C4689"/>
    <w:rsid w:val="004C4953"/>
    <w:rsid w:val="004C4D9A"/>
    <w:rsid w:val="004C5138"/>
    <w:rsid w:val="004C532A"/>
    <w:rsid w:val="004C5C0F"/>
    <w:rsid w:val="004C648F"/>
    <w:rsid w:val="004C75A7"/>
    <w:rsid w:val="004C7998"/>
    <w:rsid w:val="004D00AB"/>
    <w:rsid w:val="004D0178"/>
    <w:rsid w:val="004D1D82"/>
    <w:rsid w:val="004D1F52"/>
    <w:rsid w:val="004D2FE3"/>
    <w:rsid w:val="004D5747"/>
    <w:rsid w:val="004D6DC4"/>
    <w:rsid w:val="004D7682"/>
    <w:rsid w:val="004D7CEF"/>
    <w:rsid w:val="004D7DFC"/>
    <w:rsid w:val="004E1863"/>
    <w:rsid w:val="004E2187"/>
    <w:rsid w:val="004E363D"/>
    <w:rsid w:val="004E4E9B"/>
    <w:rsid w:val="004E4FDC"/>
    <w:rsid w:val="004E66DE"/>
    <w:rsid w:val="004E690F"/>
    <w:rsid w:val="004E73FD"/>
    <w:rsid w:val="004E79EF"/>
    <w:rsid w:val="004F0658"/>
    <w:rsid w:val="004F102D"/>
    <w:rsid w:val="004F123A"/>
    <w:rsid w:val="004F2AF3"/>
    <w:rsid w:val="004F304C"/>
    <w:rsid w:val="004F35E8"/>
    <w:rsid w:val="004F3DAB"/>
    <w:rsid w:val="004F40DF"/>
    <w:rsid w:val="005008D6"/>
    <w:rsid w:val="00501756"/>
    <w:rsid w:val="0050349A"/>
    <w:rsid w:val="00503979"/>
    <w:rsid w:val="00503CEC"/>
    <w:rsid w:val="0050424A"/>
    <w:rsid w:val="00504700"/>
    <w:rsid w:val="00505A52"/>
    <w:rsid w:val="005111BD"/>
    <w:rsid w:val="005114C0"/>
    <w:rsid w:val="00512093"/>
    <w:rsid w:val="0051243F"/>
    <w:rsid w:val="005125A6"/>
    <w:rsid w:val="0051312D"/>
    <w:rsid w:val="00513849"/>
    <w:rsid w:val="00515862"/>
    <w:rsid w:val="0051589F"/>
    <w:rsid w:val="00515914"/>
    <w:rsid w:val="00516D1A"/>
    <w:rsid w:val="005171D6"/>
    <w:rsid w:val="00517218"/>
    <w:rsid w:val="00523822"/>
    <w:rsid w:val="00523ACA"/>
    <w:rsid w:val="00524ED6"/>
    <w:rsid w:val="0052522D"/>
    <w:rsid w:val="00525BE9"/>
    <w:rsid w:val="00526D6B"/>
    <w:rsid w:val="0053013A"/>
    <w:rsid w:val="00530564"/>
    <w:rsid w:val="005331CF"/>
    <w:rsid w:val="00534461"/>
    <w:rsid w:val="00534A37"/>
    <w:rsid w:val="00535218"/>
    <w:rsid w:val="005360C3"/>
    <w:rsid w:val="00537844"/>
    <w:rsid w:val="00542618"/>
    <w:rsid w:val="00542F98"/>
    <w:rsid w:val="0054360E"/>
    <w:rsid w:val="005440DA"/>
    <w:rsid w:val="00544559"/>
    <w:rsid w:val="00544732"/>
    <w:rsid w:val="00544871"/>
    <w:rsid w:val="00544AB3"/>
    <w:rsid w:val="005461E2"/>
    <w:rsid w:val="0054652F"/>
    <w:rsid w:val="00547CB8"/>
    <w:rsid w:val="00550EDA"/>
    <w:rsid w:val="0055309B"/>
    <w:rsid w:val="00554A45"/>
    <w:rsid w:val="00554EE7"/>
    <w:rsid w:val="00555F4D"/>
    <w:rsid w:val="00556DF2"/>
    <w:rsid w:val="00557368"/>
    <w:rsid w:val="00557EDD"/>
    <w:rsid w:val="0056201C"/>
    <w:rsid w:val="005634EF"/>
    <w:rsid w:val="00564015"/>
    <w:rsid w:val="005709DA"/>
    <w:rsid w:val="00571807"/>
    <w:rsid w:val="00572DF2"/>
    <w:rsid w:val="005756EB"/>
    <w:rsid w:val="0057583C"/>
    <w:rsid w:val="0057625F"/>
    <w:rsid w:val="005769E4"/>
    <w:rsid w:val="00580788"/>
    <w:rsid w:val="005819F5"/>
    <w:rsid w:val="00583564"/>
    <w:rsid w:val="00583F88"/>
    <w:rsid w:val="005851DE"/>
    <w:rsid w:val="005866C2"/>
    <w:rsid w:val="00586748"/>
    <w:rsid w:val="005872E0"/>
    <w:rsid w:val="00587CCE"/>
    <w:rsid w:val="00590E3C"/>
    <w:rsid w:val="00591499"/>
    <w:rsid w:val="005940E7"/>
    <w:rsid w:val="005948BA"/>
    <w:rsid w:val="00595AD9"/>
    <w:rsid w:val="00595F1B"/>
    <w:rsid w:val="005A083B"/>
    <w:rsid w:val="005A0AD5"/>
    <w:rsid w:val="005A13F6"/>
    <w:rsid w:val="005A2E20"/>
    <w:rsid w:val="005A319F"/>
    <w:rsid w:val="005A42BC"/>
    <w:rsid w:val="005A445A"/>
    <w:rsid w:val="005A59F9"/>
    <w:rsid w:val="005A608E"/>
    <w:rsid w:val="005A675B"/>
    <w:rsid w:val="005A67E9"/>
    <w:rsid w:val="005A7D54"/>
    <w:rsid w:val="005B0399"/>
    <w:rsid w:val="005B22CF"/>
    <w:rsid w:val="005B62AC"/>
    <w:rsid w:val="005B76D9"/>
    <w:rsid w:val="005C0957"/>
    <w:rsid w:val="005C111C"/>
    <w:rsid w:val="005C1421"/>
    <w:rsid w:val="005C4169"/>
    <w:rsid w:val="005C4B69"/>
    <w:rsid w:val="005C5259"/>
    <w:rsid w:val="005C6C1A"/>
    <w:rsid w:val="005C78D8"/>
    <w:rsid w:val="005D0A6E"/>
    <w:rsid w:val="005D2E30"/>
    <w:rsid w:val="005D6687"/>
    <w:rsid w:val="005E0810"/>
    <w:rsid w:val="005E135C"/>
    <w:rsid w:val="005E14E9"/>
    <w:rsid w:val="005E1863"/>
    <w:rsid w:val="005E1F31"/>
    <w:rsid w:val="005E368F"/>
    <w:rsid w:val="005E36BA"/>
    <w:rsid w:val="005F0228"/>
    <w:rsid w:val="005F220A"/>
    <w:rsid w:val="005F34C7"/>
    <w:rsid w:val="005F58E9"/>
    <w:rsid w:val="005F5A8B"/>
    <w:rsid w:val="005F62DD"/>
    <w:rsid w:val="005F6868"/>
    <w:rsid w:val="00601316"/>
    <w:rsid w:val="0060207D"/>
    <w:rsid w:val="006025A9"/>
    <w:rsid w:val="00603394"/>
    <w:rsid w:val="0060634E"/>
    <w:rsid w:val="00606DC6"/>
    <w:rsid w:val="0060723C"/>
    <w:rsid w:val="0061248C"/>
    <w:rsid w:val="00612D3A"/>
    <w:rsid w:val="00612F3B"/>
    <w:rsid w:val="00613A6F"/>
    <w:rsid w:val="00613B59"/>
    <w:rsid w:val="006151B2"/>
    <w:rsid w:val="0061539B"/>
    <w:rsid w:val="006154E8"/>
    <w:rsid w:val="00616D09"/>
    <w:rsid w:val="00616D84"/>
    <w:rsid w:val="00616E9D"/>
    <w:rsid w:val="00617484"/>
    <w:rsid w:val="00617BDC"/>
    <w:rsid w:val="00617D53"/>
    <w:rsid w:val="00621238"/>
    <w:rsid w:val="006219CE"/>
    <w:rsid w:val="00621FB0"/>
    <w:rsid w:val="006220DF"/>
    <w:rsid w:val="00624613"/>
    <w:rsid w:val="00625B78"/>
    <w:rsid w:val="00625C88"/>
    <w:rsid w:val="00627661"/>
    <w:rsid w:val="00631725"/>
    <w:rsid w:val="00631A0F"/>
    <w:rsid w:val="00631D22"/>
    <w:rsid w:val="00632DB4"/>
    <w:rsid w:val="00633114"/>
    <w:rsid w:val="00635510"/>
    <w:rsid w:val="00636153"/>
    <w:rsid w:val="00637DF8"/>
    <w:rsid w:val="00640040"/>
    <w:rsid w:val="00643A25"/>
    <w:rsid w:val="006440BA"/>
    <w:rsid w:val="00645103"/>
    <w:rsid w:val="00645466"/>
    <w:rsid w:val="006458BE"/>
    <w:rsid w:val="006459E2"/>
    <w:rsid w:val="00645B40"/>
    <w:rsid w:val="00647D30"/>
    <w:rsid w:val="00650FD2"/>
    <w:rsid w:val="00652334"/>
    <w:rsid w:val="006532F0"/>
    <w:rsid w:val="0065378B"/>
    <w:rsid w:val="006540E9"/>
    <w:rsid w:val="00654252"/>
    <w:rsid w:val="00654492"/>
    <w:rsid w:val="00655185"/>
    <w:rsid w:val="006574CC"/>
    <w:rsid w:val="006609D1"/>
    <w:rsid w:val="0066201D"/>
    <w:rsid w:val="00663042"/>
    <w:rsid w:val="00663DC6"/>
    <w:rsid w:val="006708BD"/>
    <w:rsid w:val="00670D40"/>
    <w:rsid w:val="006718B5"/>
    <w:rsid w:val="00672E0B"/>
    <w:rsid w:val="006742FC"/>
    <w:rsid w:val="00675A50"/>
    <w:rsid w:val="00675D5B"/>
    <w:rsid w:val="00675E54"/>
    <w:rsid w:val="00675FE5"/>
    <w:rsid w:val="0067673D"/>
    <w:rsid w:val="00676D50"/>
    <w:rsid w:val="00677BC0"/>
    <w:rsid w:val="006827A7"/>
    <w:rsid w:val="00682B7B"/>
    <w:rsid w:val="00682D01"/>
    <w:rsid w:val="006834BC"/>
    <w:rsid w:val="006837F0"/>
    <w:rsid w:val="00683886"/>
    <w:rsid w:val="0068667B"/>
    <w:rsid w:val="006878DA"/>
    <w:rsid w:val="00691253"/>
    <w:rsid w:val="00691EE0"/>
    <w:rsid w:val="00691F80"/>
    <w:rsid w:val="00692E85"/>
    <w:rsid w:val="006930A2"/>
    <w:rsid w:val="00693483"/>
    <w:rsid w:val="006949FF"/>
    <w:rsid w:val="00695134"/>
    <w:rsid w:val="00695350"/>
    <w:rsid w:val="0069612A"/>
    <w:rsid w:val="00696448"/>
    <w:rsid w:val="006A0569"/>
    <w:rsid w:val="006A0F1F"/>
    <w:rsid w:val="006A119F"/>
    <w:rsid w:val="006A1ABB"/>
    <w:rsid w:val="006A1DBC"/>
    <w:rsid w:val="006A1E3F"/>
    <w:rsid w:val="006A2A26"/>
    <w:rsid w:val="006A37A5"/>
    <w:rsid w:val="006A4BA7"/>
    <w:rsid w:val="006A530A"/>
    <w:rsid w:val="006A5462"/>
    <w:rsid w:val="006A64B4"/>
    <w:rsid w:val="006A771F"/>
    <w:rsid w:val="006B0463"/>
    <w:rsid w:val="006B04B3"/>
    <w:rsid w:val="006B0898"/>
    <w:rsid w:val="006B200D"/>
    <w:rsid w:val="006B65E3"/>
    <w:rsid w:val="006B7FB5"/>
    <w:rsid w:val="006C185A"/>
    <w:rsid w:val="006C1B38"/>
    <w:rsid w:val="006C3446"/>
    <w:rsid w:val="006C3474"/>
    <w:rsid w:val="006C3F3D"/>
    <w:rsid w:val="006C5ED7"/>
    <w:rsid w:val="006C605E"/>
    <w:rsid w:val="006C60AF"/>
    <w:rsid w:val="006C62E5"/>
    <w:rsid w:val="006D1D7F"/>
    <w:rsid w:val="006D2041"/>
    <w:rsid w:val="006D6420"/>
    <w:rsid w:val="006D76F6"/>
    <w:rsid w:val="006D7B4A"/>
    <w:rsid w:val="006E02B5"/>
    <w:rsid w:val="006E02C4"/>
    <w:rsid w:val="006E03A2"/>
    <w:rsid w:val="006E2885"/>
    <w:rsid w:val="006E3373"/>
    <w:rsid w:val="006E3790"/>
    <w:rsid w:val="006E37E6"/>
    <w:rsid w:val="006E4761"/>
    <w:rsid w:val="006E5665"/>
    <w:rsid w:val="006E641B"/>
    <w:rsid w:val="006E68A1"/>
    <w:rsid w:val="006E6FA2"/>
    <w:rsid w:val="006E75F7"/>
    <w:rsid w:val="006F08CC"/>
    <w:rsid w:val="006F0D8F"/>
    <w:rsid w:val="006F12F2"/>
    <w:rsid w:val="006F2420"/>
    <w:rsid w:val="006F579E"/>
    <w:rsid w:val="006F6800"/>
    <w:rsid w:val="006F69F2"/>
    <w:rsid w:val="006F70F9"/>
    <w:rsid w:val="0070057D"/>
    <w:rsid w:val="00700F68"/>
    <w:rsid w:val="00701188"/>
    <w:rsid w:val="00701233"/>
    <w:rsid w:val="007019C0"/>
    <w:rsid w:val="00701B3A"/>
    <w:rsid w:val="00701DBF"/>
    <w:rsid w:val="007025E5"/>
    <w:rsid w:val="00702647"/>
    <w:rsid w:val="00702F5B"/>
    <w:rsid w:val="00705575"/>
    <w:rsid w:val="00705B09"/>
    <w:rsid w:val="007069C3"/>
    <w:rsid w:val="00706DC6"/>
    <w:rsid w:val="0071032B"/>
    <w:rsid w:val="007105B3"/>
    <w:rsid w:val="00710CA4"/>
    <w:rsid w:val="0071367E"/>
    <w:rsid w:val="00713BF6"/>
    <w:rsid w:val="00713D7F"/>
    <w:rsid w:val="00714F69"/>
    <w:rsid w:val="00715E85"/>
    <w:rsid w:val="00715F6D"/>
    <w:rsid w:val="00717CDC"/>
    <w:rsid w:val="00720359"/>
    <w:rsid w:val="007205E0"/>
    <w:rsid w:val="00721D61"/>
    <w:rsid w:val="0072366B"/>
    <w:rsid w:val="007236A0"/>
    <w:rsid w:val="0072371C"/>
    <w:rsid w:val="0072646B"/>
    <w:rsid w:val="00726C08"/>
    <w:rsid w:val="00727A57"/>
    <w:rsid w:val="00730054"/>
    <w:rsid w:val="00730914"/>
    <w:rsid w:val="00731259"/>
    <w:rsid w:val="007312B6"/>
    <w:rsid w:val="0073234C"/>
    <w:rsid w:val="00732A14"/>
    <w:rsid w:val="00732ECF"/>
    <w:rsid w:val="007357FD"/>
    <w:rsid w:val="00735A71"/>
    <w:rsid w:val="00736790"/>
    <w:rsid w:val="00736A8E"/>
    <w:rsid w:val="00736AC1"/>
    <w:rsid w:val="00736AC9"/>
    <w:rsid w:val="0073733B"/>
    <w:rsid w:val="0073774A"/>
    <w:rsid w:val="007379D9"/>
    <w:rsid w:val="00741F0E"/>
    <w:rsid w:val="00743229"/>
    <w:rsid w:val="00743776"/>
    <w:rsid w:val="007444B4"/>
    <w:rsid w:val="00746DD7"/>
    <w:rsid w:val="00747C78"/>
    <w:rsid w:val="007505E4"/>
    <w:rsid w:val="00750A2A"/>
    <w:rsid w:val="00751297"/>
    <w:rsid w:val="0075141B"/>
    <w:rsid w:val="0075274C"/>
    <w:rsid w:val="007559D1"/>
    <w:rsid w:val="00756D76"/>
    <w:rsid w:val="00756EB8"/>
    <w:rsid w:val="00756EC9"/>
    <w:rsid w:val="00757017"/>
    <w:rsid w:val="00760626"/>
    <w:rsid w:val="00760ED1"/>
    <w:rsid w:val="00762114"/>
    <w:rsid w:val="00763EE4"/>
    <w:rsid w:val="00764336"/>
    <w:rsid w:val="007647D3"/>
    <w:rsid w:val="0076758A"/>
    <w:rsid w:val="00771AF4"/>
    <w:rsid w:val="007723BC"/>
    <w:rsid w:val="00773106"/>
    <w:rsid w:val="00773DDA"/>
    <w:rsid w:val="00775587"/>
    <w:rsid w:val="0077643B"/>
    <w:rsid w:val="0077680B"/>
    <w:rsid w:val="00776EE4"/>
    <w:rsid w:val="00780908"/>
    <w:rsid w:val="007833A0"/>
    <w:rsid w:val="00783D17"/>
    <w:rsid w:val="00784680"/>
    <w:rsid w:val="00784B64"/>
    <w:rsid w:val="00784CC6"/>
    <w:rsid w:val="00786507"/>
    <w:rsid w:val="00787FDB"/>
    <w:rsid w:val="007917F2"/>
    <w:rsid w:val="00791AE4"/>
    <w:rsid w:val="00791E68"/>
    <w:rsid w:val="00792DF3"/>
    <w:rsid w:val="00793870"/>
    <w:rsid w:val="0079662C"/>
    <w:rsid w:val="00797221"/>
    <w:rsid w:val="0079777F"/>
    <w:rsid w:val="007A0689"/>
    <w:rsid w:val="007A0D55"/>
    <w:rsid w:val="007A1AF6"/>
    <w:rsid w:val="007A2EC0"/>
    <w:rsid w:val="007A3543"/>
    <w:rsid w:val="007B0821"/>
    <w:rsid w:val="007B1FCA"/>
    <w:rsid w:val="007B20A5"/>
    <w:rsid w:val="007B2304"/>
    <w:rsid w:val="007B2AEA"/>
    <w:rsid w:val="007B2C23"/>
    <w:rsid w:val="007B322B"/>
    <w:rsid w:val="007B4D99"/>
    <w:rsid w:val="007B59B4"/>
    <w:rsid w:val="007B5CBB"/>
    <w:rsid w:val="007B6743"/>
    <w:rsid w:val="007B6846"/>
    <w:rsid w:val="007B6AC2"/>
    <w:rsid w:val="007C06DA"/>
    <w:rsid w:val="007C0AA2"/>
    <w:rsid w:val="007C2315"/>
    <w:rsid w:val="007C27D2"/>
    <w:rsid w:val="007C3467"/>
    <w:rsid w:val="007C3F07"/>
    <w:rsid w:val="007C4C0D"/>
    <w:rsid w:val="007C6498"/>
    <w:rsid w:val="007C693E"/>
    <w:rsid w:val="007D05E3"/>
    <w:rsid w:val="007D3937"/>
    <w:rsid w:val="007D39FE"/>
    <w:rsid w:val="007D409F"/>
    <w:rsid w:val="007D40F0"/>
    <w:rsid w:val="007D4235"/>
    <w:rsid w:val="007D51DC"/>
    <w:rsid w:val="007D6473"/>
    <w:rsid w:val="007D7221"/>
    <w:rsid w:val="007D7B23"/>
    <w:rsid w:val="007E030C"/>
    <w:rsid w:val="007E062E"/>
    <w:rsid w:val="007E294E"/>
    <w:rsid w:val="007E2E73"/>
    <w:rsid w:val="007E39AA"/>
    <w:rsid w:val="007E3BE5"/>
    <w:rsid w:val="007E4040"/>
    <w:rsid w:val="007E5847"/>
    <w:rsid w:val="007E68BE"/>
    <w:rsid w:val="007F1EFA"/>
    <w:rsid w:val="007F2167"/>
    <w:rsid w:val="007F22CE"/>
    <w:rsid w:val="007F2627"/>
    <w:rsid w:val="007F3372"/>
    <w:rsid w:val="007F3669"/>
    <w:rsid w:val="007F5DF3"/>
    <w:rsid w:val="007F6D74"/>
    <w:rsid w:val="0080044B"/>
    <w:rsid w:val="00800CB3"/>
    <w:rsid w:val="0080224A"/>
    <w:rsid w:val="0080558F"/>
    <w:rsid w:val="00805C24"/>
    <w:rsid w:val="008067C2"/>
    <w:rsid w:val="00810EF7"/>
    <w:rsid w:val="008121BB"/>
    <w:rsid w:val="00812598"/>
    <w:rsid w:val="0081387A"/>
    <w:rsid w:val="00813C32"/>
    <w:rsid w:val="00814C5B"/>
    <w:rsid w:val="008150C2"/>
    <w:rsid w:val="0081736E"/>
    <w:rsid w:val="008178DA"/>
    <w:rsid w:val="00821C6C"/>
    <w:rsid w:val="00824AB5"/>
    <w:rsid w:val="008254B1"/>
    <w:rsid w:val="00825921"/>
    <w:rsid w:val="0082605B"/>
    <w:rsid w:val="00826250"/>
    <w:rsid w:val="00827576"/>
    <w:rsid w:val="0082796C"/>
    <w:rsid w:val="00827F17"/>
    <w:rsid w:val="008309F2"/>
    <w:rsid w:val="0083256F"/>
    <w:rsid w:val="008333A2"/>
    <w:rsid w:val="00837CB3"/>
    <w:rsid w:val="0084097F"/>
    <w:rsid w:val="00840F9F"/>
    <w:rsid w:val="00841AE0"/>
    <w:rsid w:val="00842760"/>
    <w:rsid w:val="00842A4C"/>
    <w:rsid w:val="00843696"/>
    <w:rsid w:val="008441BB"/>
    <w:rsid w:val="00844475"/>
    <w:rsid w:val="008447FE"/>
    <w:rsid w:val="008452AB"/>
    <w:rsid w:val="00847B19"/>
    <w:rsid w:val="00847FA8"/>
    <w:rsid w:val="00850AB4"/>
    <w:rsid w:val="00851B20"/>
    <w:rsid w:val="008521A4"/>
    <w:rsid w:val="0085322C"/>
    <w:rsid w:val="0085490F"/>
    <w:rsid w:val="00856293"/>
    <w:rsid w:val="0085632D"/>
    <w:rsid w:val="00856680"/>
    <w:rsid w:val="00856D8C"/>
    <w:rsid w:val="008616BB"/>
    <w:rsid w:val="0086298D"/>
    <w:rsid w:val="008632AF"/>
    <w:rsid w:val="008634BC"/>
    <w:rsid w:val="008635B2"/>
    <w:rsid w:val="008643CA"/>
    <w:rsid w:val="00864F95"/>
    <w:rsid w:val="008652C2"/>
    <w:rsid w:val="00865D55"/>
    <w:rsid w:val="008723BA"/>
    <w:rsid w:val="008736EB"/>
    <w:rsid w:val="00873E2B"/>
    <w:rsid w:val="008741C2"/>
    <w:rsid w:val="00881B48"/>
    <w:rsid w:val="00883B05"/>
    <w:rsid w:val="00884241"/>
    <w:rsid w:val="008854FE"/>
    <w:rsid w:val="008876FB"/>
    <w:rsid w:val="0089050A"/>
    <w:rsid w:val="0089168B"/>
    <w:rsid w:val="00891A19"/>
    <w:rsid w:val="00892E10"/>
    <w:rsid w:val="008932A9"/>
    <w:rsid w:val="00894CD0"/>
    <w:rsid w:val="00894DEF"/>
    <w:rsid w:val="00895460"/>
    <w:rsid w:val="00895E03"/>
    <w:rsid w:val="00895FEB"/>
    <w:rsid w:val="0089693E"/>
    <w:rsid w:val="00896D8F"/>
    <w:rsid w:val="00897A49"/>
    <w:rsid w:val="008A201E"/>
    <w:rsid w:val="008A4CD2"/>
    <w:rsid w:val="008A668D"/>
    <w:rsid w:val="008A71DD"/>
    <w:rsid w:val="008A7742"/>
    <w:rsid w:val="008B0C89"/>
    <w:rsid w:val="008B372D"/>
    <w:rsid w:val="008B663F"/>
    <w:rsid w:val="008C1500"/>
    <w:rsid w:val="008C1F6C"/>
    <w:rsid w:val="008C2396"/>
    <w:rsid w:val="008C45EE"/>
    <w:rsid w:val="008D087C"/>
    <w:rsid w:val="008D1965"/>
    <w:rsid w:val="008D2C56"/>
    <w:rsid w:val="008D3A1E"/>
    <w:rsid w:val="008D4CFC"/>
    <w:rsid w:val="008D4ECC"/>
    <w:rsid w:val="008D5082"/>
    <w:rsid w:val="008D5466"/>
    <w:rsid w:val="008D729E"/>
    <w:rsid w:val="008E0920"/>
    <w:rsid w:val="008E1631"/>
    <w:rsid w:val="008E18B8"/>
    <w:rsid w:val="008E2A8D"/>
    <w:rsid w:val="008E2E46"/>
    <w:rsid w:val="008E5F9E"/>
    <w:rsid w:val="008F036A"/>
    <w:rsid w:val="008F0591"/>
    <w:rsid w:val="008F0D15"/>
    <w:rsid w:val="008F1539"/>
    <w:rsid w:val="008F1958"/>
    <w:rsid w:val="008F1D76"/>
    <w:rsid w:val="008F1F97"/>
    <w:rsid w:val="008F53E0"/>
    <w:rsid w:val="008F5E60"/>
    <w:rsid w:val="00900DFE"/>
    <w:rsid w:val="00901F81"/>
    <w:rsid w:val="00902621"/>
    <w:rsid w:val="009040A0"/>
    <w:rsid w:val="00904947"/>
    <w:rsid w:val="009058BA"/>
    <w:rsid w:val="00910968"/>
    <w:rsid w:val="00911F4A"/>
    <w:rsid w:val="00912929"/>
    <w:rsid w:val="00912980"/>
    <w:rsid w:val="009134BF"/>
    <w:rsid w:val="00913E4D"/>
    <w:rsid w:val="00914382"/>
    <w:rsid w:val="00914903"/>
    <w:rsid w:val="00915CC0"/>
    <w:rsid w:val="00920B8B"/>
    <w:rsid w:val="00920F97"/>
    <w:rsid w:val="00921CAB"/>
    <w:rsid w:val="00922D2F"/>
    <w:rsid w:val="00922E6A"/>
    <w:rsid w:val="0092615F"/>
    <w:rsid w:val="0092680A"/>
    <w:rsid w:val="009276AD"/>
    <w:rsid w:val="0093079A"/>
    <w:rsid w:val="00932666"/>
    <w:rsid w:val="00932E86"/>
    <w:rsid w:val="0093302A"/>
    <w:rsid w:val="00934EF4"/>
    <w:rsid w:val="00935B25"/>
    <w:rsid w:val="00936156"/>
    <w:rsid w:val="009363E4"/>
    <w:rsid w:val="00936D37"/>
    <w:rsid w:val="00941D4C"/>
    <w:rsid w:val="009425BB"/>
    <w:rsid w:val="00942A47"/>
    <w:rsid w:val="00943AEB"/>
    <w:rsid w:val="0094469E"/>
    <w:rsid w:val="00946A2F"/>
    <w:rsid w:val="009506F2"/>
    <w:rsid w:val="00950C4A"/>
    <w:rsid w:val="00951AE6"/>
    <w:rsid w:val="00951B59"/>
    <w:rsid w:val="00952F20"/>
    <w:rsid w:val="00953069"/>
    <w:rsid w:val="0095358E"/>
    <w:rsid w:val="00954F5C"/>
    <w:rsid w:val="00955CAA"/>
    <w:rsid w:val="00955ED9"/>
    <w:rsid w:val="00956A0A"/>
    <w:rsid w:val="009613D8"/>
    <w:rsid w:val="00961BBA"/>
    <w:rsid w:val="009624E9"/>
    <w:rsid w:val="00962F4D"/>
    <w:rsid w:val="009636A6"/>
    <w:rsid w:val="00964495"/>
    <w:rsid w:val="00964B2C"/>
    <w:rsid w:val="0096650C"/>
    <w:rsid w:val="0096672E"/>
    <w:rsid w:val="009668A4"/>
    <w:rsid w:val="009679F1"/>
    <w:rsid w:val="00971470"/>
    <w:rsid w:val="00972C8E"/>
    <w:rsid w:val="00974DFD"/>
    <w:rsid w:val="00976C1D"/>
    <w:rsid w:val="009779E6"/>
    <w:rsid w:val="00980464"/>
    <w:rsid w:val="00980C37"/>
    <w:rsid w:val="00980D24"/>
    <w:rsid w:val="00981B3B"/>
    <w:rsid w:val="00982158"/>
    <w:rsid w:val="0098278E"/>
    <w:rsid w:val="009848B4"/>
    <w:rsid w:val="009853AE"/>
    <w:rsid w:val="00985547"/>
    <w:rsid w:val="0098656B"/>
    <w:rsid w:val="00990307"/>
    <w:rsid w:val="00990591"/>
    <w:rsid w:val="009917A1"/>
    <w:rsid w:val="0099446C"/>
    <w:rsid w:val="009959E3"/>
    <w:rsid w:val="00995A12"/>
    <w:rsid w:val="00997958"/>
    <w:rsid w:val="009A17A2"/>
    <w:rsid w:val="009A1CE1"/>
    <w:rsid w:val="009A20C4"/>
    <w:rsid w:val="009A24B3"/>
    <w:rsid w:val="009A24BB"/>
    <w:rsid w:val="009A3B57"/>
    <w:rsid w:val="009A5C28"/>
    <w:rsid w:val="009A6383"/>
    <w:rsid w:val="009A7312"/>
    <w:rsid w:val="009A75C6"/>
    <w:rsid w:val="009B0BF4"/>
    <w:rsid w:val="009B1084"/>
    <w:rsid w:val="009B6D90"/>
    <w:rsid w:val="009B6FBF"/>
    <w:rsid w:val="009B7114"/>
    <w:rsid w:val="009B74EE"/>
    <w:rsid w:val="009C154F"/>
    <w:rsid w:val="009C2F9A"/>
    <w:rsid w:val="009C36E4"/>
    <w:rsid w:val="009C4CAA"/>
    <w:rsid w:val="009C4ED0"/>
    <w:rsid w:val="009C7B91"/>
    <w:rsid w:val="009C7E4F"/>
    <w:rsid w:val="009D096A"/>
    <w:rsid w:val="009D1210"/>
    <w:rsid w:val="009D1336"/>
    <w:rsid w:val="009D1918"/>
    <w:rsid w:val="009D37E1"/>
    <w:rsid w:val="009D45B5"/>
    <w:rsid w:val="009D4B6F"/>
    <w:rsid w:val="009D5D97"/>
    <w:rsid w:val="009D7D83"/>
    <w:rsid w:val="009E044D"/>
    <w:rsid w:val="009E103E"/>
    <w:rsid w:val="009E178B"/>
    <w:rsid w:val="009E1BCB"/>
    <w:rsid w:val="009E1F6E"/>
    <w:rsid w:val="009E30DA"/>
    <w:rsid w:val="009E384C"/>
    <w:rsid w:val="009E4F26"/>
    <w:rsid w:val="009E55F5"/>
    <w:rsid w:val="009E6306"/>
    <w:rsid w:val="009F026A"/>
    <w:rsid w:val="009F0DEF"/>
    <w:rsid w:val="009F158D"/>
    <w:rsid w:val="009F2E4E"/>
    <w:rsid w:val="009F41A4"/>
    <w:rsid w:val="009F4669"/>
    <w:rsid w:val="009F4993"/>
    <w:rsid w:val="009F4FD6"/>
    <w:rsid w:val="009F5D7B"/>
    <w:rsid w:val="009F6D52"/>
    <w:rsid w:val="009F6E68"/>
    <w:rsid w:val="009F7F62"/>
    <w:rsid w:val="00A007AF"/>
    <w:rsid w:val="00A00CA1"/>
    <w:rsid w:val="00A01CD0"/>
    <w:rsid w:val="00A024D6"/>
    <w:rsid w:val="00A0251D"/>
    <w:rsid w:val="00A02809"/>
    <w:rsid w:val="00A040D7"/>
    <w:rsid w:val="00A0522E"/>
    <w:rsid w:val="00A055EB"/>
    <w:rsid w:val="00A056A2"/>
    <w:rsid w:val="00A05F1E"/>
    <w:rsid w:val="00A067C1"/>
    <w:rsid w:val="00A072AE"/>
    <w:rsid w:val="00A07F7E"/>
    <w:rsid w:val="00A10F60"/>
    <w:rsid w:val="00A112AD"/>
    <w:rsid w:val="00A1164F"/>
    <w:rsid w:val="00A11733"/>
    <w:rsid w:val="00A11C4E"/>
    <w:rsid w:val="00A13A69"/>
    <w:rsid w:val="00A14B71"/>
    <w:rsid w:val="00A14BAD"/>
    <w:rsid w:val="00A158EA"/>
    <w:rsid w:val="00A15D30"/>
    <w:rsid w:val="00A162E7"/>
    <w:rsid w:val="00A16B46"/>
    <w:rsid w:val="00A17996"/>
    <w:rsid w:val="00A20A19"/>
    <w:rsid w:val="00A21B43"/>
    <w:rsid w:val="00A21C35"/>
    <w:rsid w:val="00A242B5"/>
    <w:rsid w:val="00A24513"/>
    <w:rsid w:val="00A25490"/>
    <w:rsid w:val="00A26850"/>
    <w:rsid w:val="00A27265"/>
    <w:rsid w:val="00A32838"/>
    <w:rsid w:val="00A3339C"/>
    <w:rsid w:val="00A34224"/>
    <w:rsid w:val="00A358EC"/>
    <w:rsid w:val="00A36F2C"/>
    <w:rsid w:val="00A37AC0"/>
    <w:rsid w:val="00A37DF1"/>
    <w:rsid w:val="00A37FBC"/>
    <w:rsid w:val="00A40933"/>
    <w:rsid w:val="00A40DB6"/>
    <w:rsid w:val="00A414C7"/>
    <w:rsid w:val="00A4207F"/>
    <w:rsid w:val="00A42B55"/>
    <w:rsid w:val="00A44021"/>
    <w:rsid w:val="00A45A2E"/>
    <w:rsid w:val="00A474E9"/>
    <w:rsid w:val="00A508F8"/>
    <w:rsid w:val="00A520F8"/>
    <w:rsid w:val="00A529AE"/>
    <w:rsid w:val="00A53302"/>
    <w:rsid w:val="00A53458"/>
    <w:rsid w:val="00A55DEF"/>
    <w:rsid w:val="00A56DAF"/>
    <w:rsid w:val="00A5700B"/>
    <w:rsid w:val="00A601E5"/>
    <w:rsid w:val="00A62BED"/>
    <w:rsid w:val="00A62D52"/>
    <w:rsid w:val="00A64EE2"/>
    <w:rsid w:val="00A65770"/>
    <w:rsid w:val="00A665CB"/>
    <w:rsid w:val="00A701D5"/>
    <w:rsid w:val="00A70AEE"/>
    <w:rsid w:val="00A7172B"/>
    <w:rsid w:val="00A72CD6"/>
    <w:rsid w:val="00A73B55"/>
    <w:rsid w:val="00A73BC7"/>
    <w:rsid w:val="00A74572"/>
    <w:rsid w:val="00A74AEE"/>
    <w:rsid w:val="00A74E15"/>
    <w:rsid w:val="00A74F4B"/>
    <w:rsid w:val="00A75054"/>
    <w:rsid w:val="00A75878"/>
    <w:rsid w:val="00A758BE"/>
    <w:rsid w:val="00A7609D"/>
    <w:rsid w:val="00A76681"/>
    <w:rsid w:val="00A76DD3"/>
    <w:rsid w:val="00A80381"/>
    <w:rsid w:val="00A808D0"/>
    <w:rsid w:val="00A833C5"/>
    <w:rsid w:val="00A8524D"/>
    <w:rsid w:val="00A85470"/>
    <w:rsid w:val="00A864A9"/>
    <w:rsid w:val="00A86DF5"/>
    <w:rsid w:val="00A87704"/>
    <w:rsid w:val="00A87BC5"/>
    <w:rsid w:val="00A90036"/>
    <w:rsid w:val="00A902D2"/>
    <w:rsid w:val="00A92530"/>
    <w:rsid w:val="00A927D5"/>
    <w:rsid w:val="00A9482E"/>
    <w:rsid w:val="00A94DF9"/>
    <w:rsid w:val="00A968CE"/>
    <w:rsid w:val="00A970C0"/>
    <w:rsid w:val="00AA08F3"/>
    <w:rsid w:val="00AA0BB8"/>
    <w:rsid w:val="00AA18BD"/>
    <w:rsid w:val="00AA1ACC"/>
    <w:rsid w:val="00AA1DC5"/>
    <w:rsid w:val="00AA1EA4"/>
    <w:rsid w:val="00AA2E04"/>
    <w:rsid w:val="00AA32F5"/>
    <w:rsid w:val="00AA3C1C"/>
    <w:rsid w:val="00AA4A87"/>
    <w:rsid w:val="00AA5186"/>
    <w:rsid w:val="00AA5686"/>
    <w:rsid w:val="00AA5707"/>
    <w:rsid w:val="00AA651B"/>
    <w:rsid w:val="00AA7573"/>
    <w:rsid w:val="00AB041B"/>
    <w:rsid w:val="00AB0DE7"/>
    <w:rsid w:val="00AB1763"/>
    <w:rsid w:val="00AB23B8"/>
    <w:rsid w:val="00AB2A88"/>
    <w:rsid w:val="00AB2C05"/>
    <w:rsid w:val="00AB2C96"/>
    <w:rsid w:val="00AB3D3A"/>
    <w:rsid w:val="00AB5603"/>
    <w:rsid w:val="00AB615D"/>
    <w:rsid w:val="00AB6308"/>
    <w:rsid w:val="00AB6A32"/>
    <w:rsid w:val="00AB7544"/>
    <w:rsid w:val="00AC17B5"/>
    <w:rsid w:val="00AC1BCD"/>
    <w:rsid w:val="00AC23E3"/>
    <w:rsid w:val="00AC33CA"/>
    <w:rsid w:val="00AC3581"/>
    <w:rsid w:val="00AC45F5"/>
    <w:rsid w:val="00AC62AA"/>
    <w:rsid w:val="00AC62CD"/>
    <w:rsid w:val="00AC6678"/>
    <w:rsid w:val="00AC7473"/>
    <w:rsid w:val="00AD0046"/>
    <w:rsid w:val="00AD16EF"/>
    <w:rsid w:val="00AD2612"/>
    <w:rsid w:val="00AD2634"/>
    <w:rsid w:val="00AD2CA1"/>
    <w:rsid w:val="00AD40F7"/>
    <w:rsid w:val="00AD482D"/>
    <w:rsid w:val="00AD69CD"/>
    <w:rsid w:val="00AD6AF3"/>
    <w:rsid w:val="00AE25BE"/>
    <w:rsid w:val="00AE42BF"/>
    <w:rsid w:val="00AE5315"/>
    <w:rsid w:val="00AE6726"/>
    <w:rsid w:val="00AF08B2"/>
    <w:rsid w:val="00AF0C95"/>
    <w:rsid w:val="00AF1C93"/>
    <w:rsid w:val="00AF4265"/>
    <w:rsid w:val="00AF5026"/>
    <w:rsid w:val="00AF57F1"/>
    <w:rsid w:val="00AF6546"/>
    <w:rsid w:val="00AF664A"/>
    <w:rsid w:val="00AF7AAC"/>
    <w:rsid w:val="00AF7FFC"/>
    <w:rsid w:val="00B003C9"/>
    <w:rsid w:val="00B01292"/>
    <w:rsid w:val="00B0136C"/>
    <w:rsid w:val="00B0224D"/>
    <w:rsid w:val="00B02357"/>
    <w:rsid w:val="00B044A1"/>
    <w:rsid w:val="00B0450A"/>
    <w:rsid w:val="00B05591"/>
    <w:rsid w:val="00B05AAD"/>
    <w:rsid w:val="00B066B0"/>
    <w:rsid w:val="00B079C2"/>
    <w:rsid w:val="00B07FC8"/>
    <w:rsid w:val="00B10D64"/>
    <w:rsid w:val="00B128AE"/>
    <w:rsid w:val="00B12E51"/>
    <w:rsid w:val="00B1510D"/>
    <w:rsid w:val="00B17D61"/>
    <w:rsid w:val="00B20891"/>
    <w:rsid w:val="00B20E01"/>
    <w:rsid w:val="00B20F1D"/>
    <w:rsid w:val="00B21780"/>
    <w:rsid w:val="00B226EA"/>
    <w:rsid w:val="00B22B0F"/>
    <w:rsid w:val="00B23192"/>
    <w:rsid w:val="00B2336A"/>
    <w:rsid w:val="00B235EF"/>
    <w:rsid w:val="00B23619"/>
    <w:rsid w:val="00B274BB"/>
    <w:rsid w:val="00B27BDE"/>
    <w:rsid w:val="00B27ECB"/>
    <w:rsid w:val="00B31186"/>
    <w:rsid w:val="00B31E4F"/>
    <w:rsid w:val="00B32182"/>
    <w:rsid w:val="00B321C4"/>
    <w:rsid w:val="00B3230F"/>
    <w:rsid w:val="00B32838"/>
    <w:rsid w:val="00B32D28"/>
    <w:rsid w:val="00B345BE"/>
    <w:rsid w:val="00B35A4A"/>
    <w:rsid w:val="00B36528"/>
    <w:rsid w:val="00B37852"/>
    <w:rsid w:val="00B37EC9"/>
    <w:rsid w:val="00B42C25"/>
    <w:rsid w:val="00B42E86"/>
    <w:rsid w:val="00B45E7D"/>
    <w:rsid w:val="00B47DDF"/>
    <w:rsid w:val="00B5078C"/>
    <w:rsid w:val="00B540F3"/>
    <w:rsid w:val="00B54FAC"/>
    <w:rsid w:val="00B5794D"/>
    <w:rsid w:val="00B57DA5"/>
    <w:rsid w:val="00B64C6F"/>
    <w:rsid w:val="00B659F9"/>
    <w:rsid w:val="00B6630D"/>
    <w:rsid w:val="00B663D0"/>
    <w:rsid w:val="00B669D9"/>
    <w:rsid w:val="00B70C13"/>
    <w:rsid w:val="00B713A7"/>
    <w:rsid w:val="00B7173D"/>
    <w:rsid w:val="00B73046"/>
    <w:rsid w:val="00B7322A"/>
    <w:rsid w:val="00B7338C"/>
    <w:rsid w:val="00B73E97"/>
    <w:rsid w:val="00B74E5F"/>
    <w:rsid w:val="00B7533D"/>
    <w:rsid w:val="00B75DF6"/>
    <w:rsid w:val="00B75EA3"/>
    <w:rsid w:val="00B77268"/>
    <w:rsid w:val="00B77A26"/>
    <w:rsid w:val="00B80048"/>
    <w:rsid w:val="00B800B2"/>
    <w:rsid w:val="00B80A0B"/>
    <w:rsid w:val="00B80A2F"/>
    <w:rsid w:val="00B81204"/>
    <w:rsid w:val="00B8152A"/>
    <w:rsid w:val="00B82229"/>
    <w:rsid w:val="00B8329D"/>
    <w:rsid w:val="00B855AA"/>
    <w:rsid w:val="00B906DD"/>
    <w:rsid w:val="00B91AF1"/>
    <w:rsid w:val="00B928F3"/>
    <w:rsid w:val="00B936B2"/>
    <w:rsid w:val="00B93BBB"/>
    <w:rsid w:val="00B9528E"/>
    <w:rsid w:val="00B9657E"/>
    <w:rsid w:val="00B9750C"/>
    <w:rsid w:val="00B97EC4"/>
    <w:rsid w:val="00BA0010"/>
    <w:rsid w:val="00BA0ED5"/>
    <w:rsid w:val="00BA15EE"/>
    <w:rsid w:val="00BA23CB"/>
    <w:rsid w:val="00BA3D79"/>
    <w:rsid w:val="00BA4285"/>
    <w:rsid w:val="00BA439A"/>
    <w:rsid w:val="00BA47BD"/>
    <w:rsid w:val="00BA4FF3"/>
    <w:rsid w:val="00BA6639"/>
    <w:rsid w:val="00BB0330"/>
    <w:rsid w:val="00BB1474"/>
    <w:rsid w:val="00BB1B31"/>
    <w:rsid w:val="00BB2871"/>
    <w:rsid w:val="00BB399B"/>
    <w:rsid w:val="00BB47BA"/>
    <w:rsid w:val="00BC0BB8"/>
    <w:rsid w:val="00BC0C0E"/>
    <w:rsid w:val="00BC0DC8"/>
    <w:rsid w:val="00BC2324"/>
    <w:rsid w:val="00BC23D2"/>
    <w:rsid w:val="00BC3308"/>
    <w:rsid w:val="00BC3DC4"/>
    <w:rsid w:val="00BC447F"/>
    <w:rsid w:val="00BC4608"/>
    <w:rsid w:val="00BC4A6E"/>
    <w:rsid w:val="00BC7453"/>
    <w:rsid w:val="00BC7A79"/>
    <w:rsid w:val="00BD0496"/>
    <w:rsid w:val="00BD10A1"/>
    <w:rsid w:val="00BD17E5"/>
    <w:rsid w:val="00BD2898"/>
    <w:rsid w:val="00BD4755"/>
    <w:rsid w:val="00BD5B98"/>
    <w:rsid w:val="00BD6AC1"/>
    <w:rsid w:val="00BD70CB"/>
    <w:rsid w:val="00BD76C0"/>
    <w:rsid w:val="00BD791A"/>
    <w:rsid w:val="00BD7C20"/>
    <w:rsid w:val="00BE05C7"/>
    <w:rsid w:val="00BE20EF"/>
    <w:rsid w:val="00BE2476"/>
    <w:rsid w:val="00BE2E09"/>
    <w:rsid w:val="00BE57CE"/>
    <w:rsid w:val="00BE7DC3"/>
    <w:rsid w:val="00BF06FD"/>
    <w:rsid w:val="00BF07A4"/>
    <w:rsid w:val="00BF08AA"/>
    <w:rsid w:val="00BF3245"/>
    <w:rsid w:val="00BF4ADD"/>
    <w:rsid w:val="00BF4E9C"/>
    <w:rsid w:val="00BF5AE7"/>
    <w:rsid w:val="00C001C3"/>
    <w:rsid w:val="00C006D9"/>
    <w:rsid w:val="00C01019"/>
    <w:rsid w:val="00C01027"/>
    <w:rsid w:val="00C01932"/>
    <w:rsid w:val="00C02E7D"/>
    <w:rsid w:val="00C03F10"/>
    <w:rsid w:val="00C04773"/>
    <w:rsid w:val="00C04B67"/>
    <w:rsid w:val="00C05E4A"/>
    <w:rsid w:val="00C0691E"/>
    <w:rsid w:val="00C06F4E"/>
    <w:rsid w:val="00C11116"/>
    <w:rsid w:val="00C117A2"/>
    <w:rsid w:val="00C11D79"/>
    <w:rsid w:val="00C124AB"/>
    <w:rsid w:val="00C13FE6"/>
    <w:rsid w:val="00C1442C"/>
    <w:rsid w:val="00C1559D"/>
    <w:rsid w:val="00C15A54"/>
    <w:rsid w:val="00C207E9"/>
    <w:rsid w:val="00C2226B"/>
    <w:rsid w:val="00C24652"/>
    <w:rsid w:val="00C24C00"/>
    <w:rsid w:val="00C259A4"/>
    <w:rsid w:val="00C25AA4"/>
    <w:rsid w:val="00C25EFA"/>
    <w:rsid w:val="00C26890"/>
    <w:rsid w:val="00C26B25"/>
    <w:rsid w:val="00C33005"/>
    <w:rsid w:val="00C333F0"/>
    <w:rsid w:val="00C3369A"/>
    <w:rsid w:val="00C33A7A"/>
    <w:rsid w:val="00C3542F"/>
    <w:rsid w:val="00C3548B"/>
    <w:rsid w:val="00C359B1"/>
    <w:rsid w:val="00C35DF0"/>
    <w:rsid w:val="00C37990"/>
    <w:rsid w:val="00C37E10"/>
    <w:rsid w:val="00C409F6"/>
    <w:rsid w:val="00C40CEC"/>
    <w:rsid w:val="00C4109A"/>
    <w:rsid w:val="00C418F9"/>
    <w:rsid w:val="00C436B5"/>
    <w:rsid w:val="00C436FC"/>
    <w:rsid w:val="00C43E25"/>
    <w:rsid w:val="00C44C6A"/>
    <w:rsid w:val="00C4736A"/>
    <w:rsid w:val="00C477BB"/>
    <w:rsid w:val="00C5131C"/>
    <w:rsid w:val="00C51B6A"/>
    <w:rsid w:val="00C51D98"/>
    <w:rsid w:val="00C5397F"/>
    <w:rsid w:val="00C55876"/>
    <w:rsid w:val="00C565AC"/>
    <w:rsid w:val="00C570FE"/>
    <w:rsid w:val="00C5754D"/>
    <w:rsid w:val="00C576FA"/>
    <w:rsid w:val="00C57867"/>
    <w:rsid w:val="00C61155"/>
    <w:rsid w:val="00C628FC"/>
    <w:rsid w:val="00C6315D"/>
    <w:rsid w:val="00C64EBD"/>
    <w:rsid w:val="00C65C91"/>
    <w:rsid w:val="00C6660A"/>
    <w:rsid w:val="00C66D27"/>
    <w:rsid w:val="00C66FF5"/>
    <w:rsid w:val="00C7020E"/>
    <w:rsid w:val="00C7022F"/>
    <w:rsid w:val="00C703C3"/>
    <w:rsid w:val="00C706D4"/>
    <w:rsid w:val="00C7091C"/>
    <w:rsid w:val="00C70EFA"/>
    <w:rsid w:val="00C71141"/>
    <w:rsid w:val="00C713CB"/>
    <w:rsid w:val="00C730CD"/>
    <w:rsid w:val="00C73929"/>
    <w:rsid w:val="00C740D9"/>
    <w:rsid w:val="00C7547F"/>
    <w:rsid w:val="00C757EA"/>
    <w:rsid w:val="00C75CC8"/>
    <w:rsid w:val="00C762BB"/>
    <w:rsid w:val="00C768D0"/>
    <w:rsid w:val="00C76E9D"/>
    <w:rsid w:val="00C773F6"/>
    <w:rsid w:val="00C80C85"/>
    <w:rsid w:val="00C813BB"/>
    <w:rsid w:val="00C8343B"/>
    <w:rsid w:val="00C834F8"/>
    <w:rsid w:val="00C83F7D"/>
    <w:rsid w:val="00C85F51"/>
    <w:rsid w:val="00C8632D"/>
    <w:rsid w:val="00C86F3D"/>
    <w:rsid w:val="00C9220E"/>
    <w:rsid w:val="00C93C09"/>
    <w:rsid w:val="00C94B15"/>
    <w:rsid w:val="00C94CDB"/>
    <w:rsid w:val="00C96516"/>
    <w:rsid w:val="00C96C34"/>
    <w:rsid w:val="00CA0131"/>
    <w:rsid w:val="00CA2F8A"/>
    <w:rsid w:val="00CA31A3"/>
    <w:rsid w:val="00CA3361"/>
    <w:rsid w:val="00CA7E9E"/>
    <w:rsid w:val="00CB0402"/>
    <w:rsid w:val="00CB37BB"/>
    <w:rsid w:val="00CB4C90"/>
    <w:rsid w:val="00CB4E8D"/>
    <w:rsid w:val="00CB5DBE"/>
    <w:rsid w:val="00CB6C5F"/>
    <w:rsid w:val="00CB6D75"/>
    <w:rsid w:val="00CB7770"/>
    <w:rsid w:val="00CC084E"/>
    <w:rsid w:val="00CC0B25"/>
    <w:rsid w:val="00CC3720"/>
    <w:rsid w:val="00CC3AD4"/>
    <w:rsid w:val="00CC4AF3"/>
    <w:rsid w:val="00CC4CBF"/>
    <w:rsid w:val="00CC5F28"/>
    <w:rsid w:val="00CC67B1"/>
    <w:rsid w:val="00CC6E65"/>
    <w:rsid w:val="00CC741A"/>
    <w:rsid w:val="00CC76E6"/>
    <w:rsid w:val="00CD2A6C"/>
    <w:rsid w:val="00CD2C5D"/>
    <w:rsid w:val="00CD5051"/>
    <w:rsid w:val="00CD50CD"/>
    <w:rsid w:val="00CD7269"/>
    <w:rsid w:val="00CD794D"/>
    <w:rsid w:val="00CE012B"/>
    <w:rsid w:val="00CE219E"/>
    <w:rsid w:val="00CE229E"/>
    <w:rsid w:val="00CE2899"/>
    <w:rsid w:val="00CE4557"/>
    <w:rsid w:val="00CE4ABB"/>
    <w:rsid w:val="00CE5CE6"/>
    <w:rsid w:val="00CE7095"/>
    <w:rsid w:val="00CE7998"/>
    <w:rsid w:val="00CF18A8"/>
    <w:rsid w:val="00CF1DDF"/>
    <w:rsid w:val="00CF2084"/>
    <w:rsid w:val="00CF20E2"/>
    <w:rsid w:val="00CF4188"/>
    <w:rsid w:val="00CF4E58"/>
    <w:rsid w:val="00CF754B"/>
    <w:rsid w:val="00CF77B5"/>
    <w:rsid w:val="00D006F2"/>
    <w:rsid w:val="00D03AFD"/>
    <w:rsid w:val="00D03B40"/>
    <w:rsid w:val="00D04582"/>
    <w:rsid w:val="00D05C86"/>
    <w:rsid w:val="00D07891"/>
    <w:rsid w:val="00D07C79"/>
    <w:rsid w:val="00D11A1E"/>
    <w:rsid w:val="00D12850"/>
    <w:rsid w:val="00D135E3"/>
    <w:rsid w:val="00D15055"/>
    <w:rsid w:val="00D1518B"/>
    <w:rsid w:val="00D15791"/>
    <w:rsid w:val="00D16700"/>
    <w:rsid w:val="00D16D1F"/>
    <w:rsid w:val="00D17FDF"/>
    <w:rsid w:val="00D20252"/>
    <w:rsid w:val="00D204FB"/>
    <w:rsid w:val="00D2066A"/>
    <w:rsid w:val="00D2083E"/>
    <w:rsid w:val="00D209D9"/>
    <w:rsid w:val="00D20DD3"/>
    <w:rsid w:val="00D2172A"/>
    <w:rsid w:val="00D2179B"/>
    <w:rsid w:val="00D24113"/>
    <w:rsid w:val="00D24155"/>
    <w:rsid w:val="00D26A13"/>
    <w:rsid w:val="00D314F4"/>
    <w:rsid w:val="00D31E00"/>
    <w:rsid w:val="00D337FB"/>
    <w:rsid w:val="00D3763A"/>
    <w:rsid w:val="00D40058"/>
    <w:rsid w:val="00D414CA"/>
    <w:rsid w:val="00D421E2"/>
    <w:rsid w:val="00D42CEC"/>
    <w:rsid w:val="00D431EA"/>
    <w:rsid w:val="00D447D6"/>
    <w:rsid w:val="00D463B5"/>
    <w:rsid w:val="00D46595"/>
    <w:rsid w:val="00D467BD"/>
    <w:rsid w:val="00D47DD0"/>
    <w:rsid w:val="00D526BC"/>
    <w:rsid w:val="00D52BA2"/>
    <w:rsid w:val="00D52D17"/>
    <w:rsid w:val="00D5327D"/>
    <w:rsid w:val="00D546A0"/>
    <w:rsid w:val="00D547A9"/>
    <w:rsid w:val="00D55FF3"/>
    <w:rsid w:val="00D572E5"/>
    <w:rsid w:val="00D60DD7"/>
    <w:rsid w:val="00D60F17"/>
    <w:rsid w:val="00D628D6"/>
    <w:rsid w:val="00D644D3"/>
    <w:rsid w:val="00D6655A"/>
    <w:rsid w:val="00D671E2"/>
    <w:rsid w:val="00D71D63"/>
    <w:rsid w:val="00D7362D"/>
    <w:rsid w:val="00D74CD6"/>
    <w:rsid w:val="00D74D02"/>
    <w:rsid w:val="00D74D55"/>
    <w:rsid w:val="00D77877"/>
    <w:rsid w:val="00D77B73"/>
    <w:rsid w:val="00D80965"/>
    <w:rsid w:val="00D818E2"/>
    <w:rsid w:val="00D82DDB"/>
    <w:rsid w:val="00D83181"/>
    <w:rsid w:val="00D8435A"/>
    <w:rsid w:val="00D858A0"/>
    <w:rsid w:val="00D87049"/>
    <w:rsid w:val="00D901C5"/>
    <w:rsid w:val="00D905E5"/>
    <w:rsid w:val="00D91169"/>
    <w:rsid w:val="00D91475"/>
    <w:rsid w:val="00D9191C"/>
    <w:rsid w:val="00D9204F"/>
    <w:rsid w:val="00D9309E"/>
    <w:rsid w:val="00D935FD"/>
    <w:rsid w:val="00D93CC9"/>
    <w:rsid w:val="00D942A8"/>
    <w:rsid w:val="00D94E8C"/>
    <w:rsid w:val="00D96992"/>
    <w:rsid w:val="00D9768B"/>
    <w:rsid w:val="00D97CB5"/>
    <w:rsid w:val="00D97CC2"/>
    <w:rsid w:val="00DA00DE"/>
    <w:rsid w:val="00DA11C9"/>
    <w:rsid w:val="00DA1C0F"/>
    <w:rsid w:val="00DA307D"/>
    <w:rsid w:val="00DA3359"/>
    <w:rsid w:val="00DA4738"/>
    <w:rsid w:val="00DA4DAF"/>
    <w:rsid w:val="00DA4F23"/>
    <w:rsid w:val="00DA767F"/>
    <w:rsid w:val="00DA7EC6"/>
    <w:rsid w:val="00DA7EF9"/>
    <w:rsid w:val="00DB07D3"/>
    <w:rsid w:val="00DB0B49"/>
    <w:rsid w:val="00DB1970"/>
    <w:rsid w:val="00DB1CBB"/>
    <w:rsid w:val="00DB213B"/>
    <w:rsid w:val="00DB2B8F"/>
    <w:rsid w:val="00DB725D"/>
    <w:rsid w:val="00DC03F7"/>
    <w:rsid w:val="00DC1068"/>
    <w:rsid w:val="00DC1729"/>
    <w:rsid w:val="00DC275F"/>
    <w:rsid w:val="00DC28E3"/>
    <w:rsid w:val="00DC296B"/>
    <w:rsid w:val="00DC6BAE"/>
    <w:rsid w:val="00DC7629"/>
    <w:rsid w:val="00DC7CE8"/>
    <w:rsid w:val="00DD0B0C"/>
    <w:rsid w:val="00DD0B35"/>
    <w:rsid w:val="00DD11A9"/>
    <w:rsid w:val="00DD1A58"/>
    <w:rsid w:val="00DD24CC"/>
    <w:rsid w:val="00DD6E33"/>
    <w:rsid w:val="00DD775D"/>
    <w:rsid w:val="00DE033E"/>
    <w:rsid w:val="00DE0796"/>
    <w:rsid w:val="00DE113E"/>
    <w:rsid w:val="00DE347C"/>
    <w:rsid w:val="00DE580B"/>
    <w:rsid w:val="00DE5CC0"/>
    <w:rsid w:val="00DE60CA"/>
    <w:rsid w:val="00DE7F91"/>
    <w:rsid w:val="00DF0AB9"/>
    <w:rsid w:val="00DF1365"/>
    <w:rsid w:val="00DF20C5"/>
    <w:rsid w:val="00DF25C0"/>
    <w:rsid w:val="00DF6474"/>
    <w:rsid w:val="00DF7592"/>
    <w:rsid w:val="00DF78FB"/>
    <w:rsid w:val="00E01F27"/>
    <w:rsid w:val="00E02386"/>
    <w:rsid w:val="00E0596E"/>
    <w:rsid w:val="00E0692E"/>
    <w:rsid w:val="00E07131"/>
    <w:rsid w:val="00E072A9"/>
    <w:rsid w:val="00E11537"/>
    <w:rsid w:val="00E117FD"/>
    <w:rsid w:val="00E118A2"/>
    <w:rsid w:val="00E124F3"/>
    <w:rsid w:val="00E126E4"/>
    <w:rsid w:val="00E12B35"/>
    <w:rsid w:val="00E132C7"/>
    <w:rsid w:val="00E14DC6"/>
    <w:rsid w:val="00E158EA"/>
    <w:rsid w:val="00E15AA6"/>
    <w:rsid w:val="00E15CC4"/>
    <w:rsid w:val="00E2006E"/>
    <w:rsid w:val="00E21446"/>
    <w:rsid w:val="00E214EB"/>
    <w:rsid w:val="00E2226C"/>
    <w:rsid w:val="00E234C4"/>
    <w:rsid w:val="00E25498"/>
    <w:rsid w:val="00E25F03"/>
    <w:rsid w:val="00E271D6"/>
    <w:rsid w:val="00E278BA"/>
    <w:rsid w:val="00E27F2A"/>
    <w:rsid w:val="00E3028A"/>
    <w:rsid w:val="00E3049B"/>
    <w:rsid w:val="00E30CBC"/>
    <w:rsid w:val="00E31036"/>
    <w:rsid w:val="00E31C5D"/>
    <w:rsid w:val="00E32048"/>
    <w:rsid w:val="00E32568"/>
    <w:rsid w:val="00E32938"/>
    <w:rsid w:val="00E34039"/>
    <w:rsid w:val="00E345E0"/>
    <w:rsid w:val="00E347FD"/>
    <w:rsid w:val="00E367D0"/>
    <w:rsid w:val="00E36AA5"/>
    <w:rsid w:val="00E3787A"/>
    <w:rsid w:val="00E37ACC"/>
    <w:rsid w:val="00E40A63"/>
    <w:rsid w:val="00E40ECA"/>
    <w:rsid w:val="00E40FBD"/>
    <w:rsid w:val="00E438E3"/>
    <w:rsid w:val="00E43C71"/>
    <w:rsid w:val="00E440B4"/>
    <w:rsid w:val="00E44627"/>
    <w:rsid w:val="00E46433"/>
    <w:rsid w:val="00E46FC9"/>
    <w:rsid w:val="00E47180"/>
    <w:rsid w:val="00E47298"/>
    <w:rsid w:val="00E477D1"/>
    <w:rsid w:val="00E47FDC"/>
    <w:rsid w:val="00E47FEB"/>
    <w:rsid w:val="00E507A5"/>
    <w:rsid w:val="00E5086C"/>
    <w:rsid w:val="00E50E7D"/>
    <w:rsid w:val="00E5173D"/>
    <w:rsid w:val="00E51CC0"/>
    <w:rsid w:val="00E528A4"/>
    <w:rsid w:val="00E563BE"/>
    <w:rsid w:val="00E5756D"/>
    <w:rsid w:val="00E606C0"/>
    <w:rsid w:val="00E6219E"/>
    <w:rsid w:val="00E6256D"/>
    <w:rsid w:val="00E628BF"/>
    <w:rsid w:val="00E6409F"/>
    <w:rsid w:val="00E64D49"/>
    <w:rsid w:val="00E64FCC"/>
    <w:rsid w:val="00E65009"/>
    <w:rsid w:val="00E65268"/>
    <w:rsid w:val="00E66494"/>
    <w:rsid w:val="00E66677"/>
    <w:rsid w:val="00E668D4"/>
    <w:rsid w:val="00E70205"/>
    <w:rsid w:val="00E7208D"/>
    <w:rsid w:val="00E727E1"/>
    <w:rsid w:val="00E73E17"/>
    <w:rsid w:val="00E745B6"/>
    <w:rsid w:val="00E75F1E"/>
    <w:rsid w:val="00E77138"/>
    <w:rsid w:val="00E8067E"/>
    <w:rsid w:val="00E8081A"/>
    <w:rsid w:val="00E80A69"/>
    <w:rsid w:val="00E810E6"/>
    <w:rsid w:val="00E821E6"/>
    <w:rsid w:val="00E833B4"/>
    <w:rsid w:val="00E8365E"/>
    <w:rsid w:val="00E83AE8"/>
    <w:rsid w:val="00E83B00"/>
    <w:rsid w:val="00E85019"/>
    <w:rsid w:val="00E8618A"/>
    <w:rsid w:val="00E9006E"/>
    <w:rsid w:val="00E90F63"/>
    <w:rsid w:val="00E91404"/>
    <w:rsid w:val="00E91473"/>
    <w:rsid w:val="00E92CBB"/>
    <w:rsid w:val="00E93557"/>
    <w:rsid w:val="00EA161D"/>
    <w:rsid w:val="00EA1DC5"/>
    <w:rsid w:val="00EA3FB0"/>
    <w:rsid w:val="00EA466A"/>
    <w:rsid w:val="00EA5F7E"/>
    <w:rsid w:val="00EB0BAA"/>
    <w:rsid w:val="00EB1BD8"/>
    <w:rsid w:val="00EB21B3"/>
    <w:rsid w:val="00EB274D"/>
    <w:rsid w:val="00EB279B"/>
    <w:rsid w:val="00EB28E3"/>
    <w:rsid w:val="00EB2B1E"/>
    <w:rsid w:val="00EB4D13"/>
    <w:rsid w:val="00EB583F"/>
    <w:rsid w:val="00EB5E82"/>
    <w:rsid w:val="00EB66D1"/>
    <w:rsid w:val="00EB728B"/>
    <w:rsid w:val="00EC0580"/>
    <w:rsid w:val="00EC1545"/>
    <w:rsid w:val="00EC19F1"/>
    <w:rsid w:val="00EC1F1E"/>
    <w:rsid w:val="00EC256E"/>
    <w:rsid w:val="00EC40DE"/>
    <w:rsid w:val="00EC4994"/>
    <w:rsid w:val="00EC4B3D"/>
    <w:rsid w:val="00EC63E6"/>
    <w:rsid w:val="00EC76A6"/>
    <w:rsid w:val="00ED13EC"/>
    <w:rsid w:val="00ED1B04"/>
    <w:rsid w:val="00ED355D"/>
    <w:rsid w:val="00ED48FE"/>
    <w:rsid w:val="00ED5016"/>
    <w:rsid w:val="00ED5875"/>
    <w:rsid w:val="00EE0850"/>
    <w:rsid w:val="00EE18AA"/>
    <w:rsid w:val="00EE2857"/>
    <w:rsid w:val="00EE2EFA"/>
    <w:rsid w:val="00EE379A"/>
    <w:rsid w:val="00EE3F17"/>
    <w:rsid w:val="00EE5053"/>
    <w:rsid w:val="00EE615C"/>
    <w:rsid w:val="00EE6477"/>
    <w:rsid w:val="00EE79BC"/>
    <w:rsid w:val="00EE7CB9"/>
    <w:rsid w:val="00EF027F"/>
    <w:rsid w:val="00EF0AED"/>
    <w:rsid w:val="00EF2325"/>
    <w:rsid w:val="00EF233B"/>
    <w:rsid w:val="00EF311C"/>
    <w:rsid w:val="00EF3489"/>
    <w:rsid w:val="00EF3A68"/>
    <w:rsid w:val="00EF3C94"/>
    <w:rsid w:val="00EF565A"/>
    <w:rsid w:val="00EF633E"/>
    <w:rsid w:val="00EF6BA0"/>
    <w:rsid w:val="00F00FBB"/>
    <w:rsid w:val="00F01A98"/>
    <w:rsid w:val="00F01BE1"/>
    <w:rsid w:val="00F03F17"/>
    <w:rsid w:val="00F060AF"/>
    <w:rsid w:val="00F0626D"/>
    <w:rsid w:val="00F06F37"/>
    <w:rsid w:val="00F07014"/>
    <w:rsid w:val="00F07FBD"/>
    <w:rsid w:val="00F10C79"/>
    <w:rsid w:val="00F12E3B"/>
    <w:rsid w:val="00F1320F"/>
    <w:rsid w:val="00F14137"/>
    <w:rsid w:val="00F14273"/>
    <w:rsid w:val="00F15305"/>
    <w:rsid w:val="00F15549"/>
    <w:rsid w:val="00F1612C"/>
    <w:rsid w:val="00F171D5"/>
    <w:rsid w:val="00F177EE"/>
    <w:rsid w:val="00F20A35"/>
    <w:rsid w:val="00F212B5"/>
    <w:rsid w:val="00F21743"/>
    <w:rsid w:val="00F21A43"/>
    <w:rsid w:val="00F22196"/>
    <w:rsid w:val="00F26781"/>
    <w:rsid w:val="00F26B69"/>
    <w:rsid w:val="00F30A66"/>
    <w:rsid w:val="00F30E77"/>
    <w:rsid w:val="00F31AD2"/>
    <w:rsid w:val="00F32116"/>
    <w:rsid w:val="00F32A6A"/>
    <w:rsid w:val="00F3380F"/>
    <w:rsid w:val="00F33A0C"/>
    <w:rsid w:val="00F33EB0"/>
    <w:rsid w:val="00F346CD"/>
    <w:rsid w:val="00F35E06"/>
    <w:rsid w:val="00F36094"/>
    <w:rsid w:val="00F37484"/>
    <w:rsid w:val="00F40873"/>
    <w:rsid w:val="00F40D79"/>
    <w:rsid w:val="00F41397"/>
    <w:rsid w:val="00F41C8C"/>
    <w:rsid w:val="00F41E3D"/>
    <w:rsid w:val="00F42414"/>
    <w:rsid w:val="00F4408C"/>
    <w:rsid w:val="00F445C6"/>
    <w:rsid w:val="00F4572B"/>
    <w:rsid w:val="00F46634"/>
    <w:rsid w:val="00F47C77"/>
    <w:rsid w:val="00F5375A"/>
    <w:rsid w:val="00F5612E"/>
    <w:rsid w:val="00F564EA"/>
    <w:rsid w:val="00F577C5"/>
    <w:rsid w:val="00F601A9"/>
    <w:rsid w:val="00F61B06"/>
    <w:rsid w:val="00F61FE1"/>
    <w:rsid w:val="00F65F9A"/>
    <w:rsid w:val="00F6648C"/>
    <w:rsid w:val="00F66974"/>
    <w:rsid w:val="00F66EAA"/>
    <w:rsid w:val="00F710EF"/>
    <w:rsid w:val="00F7175B"/>
    <w:rsid w:val="00F7184A"/>
    <w:rsid w:val="00F729B5"/>
    <w:rsid w:val="00F73019"/>
    <w:rsid w:val="00F730B9"/>
    <w:rsid w:val="00F733FF"/>
    <w:rsid w:val="00F74C45"/>
    <w:rsid w:val="00F76F8B"/>
    <w:rsid w:val="00F83F59"/>
    <w:rsid w:val="00F84981"/>
    <w:rsid w:val="00F85306"/>
    <w:rsid w:val="00F903B0"/>
    <w:rsid w:val="00F90B2A"/>
    <w:rsid w:val="00F91A3F"/>
    <w:rsid w:val="00F91CDA"/>
    <w:rsid w:val="00F92FFA"/>
    <w:rsid w:val="00F937DE"/>
    <w:rsid w:val="00F96C40"/>
    <w:rsid w:val="00F9782E"/>
    <w:rsid w:val="00FA30A3"/>
    <w:rsid w:val="00FA3AC8"/>
    <w:rsid w:val="00FA3E6A"/>
    <w:rsid w:val="00FA40B5"/>
    <w:rsid w:val="00FA4233"/>
    <w:rsid w:val="00FB00F4"/>
    <w:rsid w:val="00FB0AE7"/>
    <w:rsid w:val="00FB0C96"/>
    <w:rsid w:val="00FB32EA"/>
    <w:rsid w:val="00FB3A91"/>
    <w:rsid w:val="00FB3D7F"/>
    <w:rsid w:val="00FB42AF"/>
    <w:rsid w:val="00FB4632"/>
    <w:rsid w:val="00FB6E23"/>
    <w:rsid w:val="00FB7685"/>
    <w:rsid w:val="00FB7F0A"/>
    <w:rsid w:val="00FC047F"/>
    <w:rsid w:val="00FC0993"/>
    <w:rsid w:val="00FC0AED"/>
    <w:rsid w:val="00FC18FC"/>
    <w:rsid w:val="00FC1B56"/>
    <w:rsid w:val="00FC52A3"/>
    <w:rsid w:val="00FC72A2"/>
    <w:rsid w:val="00FC7371"/>
    <w:rsid w:val="00FC73D0"/>
    <w:rsid w:val="00FD0BE6"/>
    <w:rsid w:val="00FD0C53"/>
    <w:rsid w:val="00FD1614"/>
    <w:rsid w:val="00FD3AC5"/>
    <w:rsid w:val="00FD52E2"/>
    <w:rsid w:val="00FD71BA"/>
    <w:rsid w:val="00FD74D0"/>
    <w:rsid w:val="00FD7822"/>
    <w:rsid w:val="00FD7A51"/>
    <w:rsid w:val="00FE0B74"/>
    <w:rsid w:val="00FE0F32"/>
    <w:rsid w:val="00FE1894"/>
    <w:rsid w:val="00FE21D6"/>
    <w:rsid w:val="00FE2B12"/>
    <w:rsid w:val="00FE339F"/>
    <w:rsid w:val="00FE38D4"/>
    <w:rsid w:val="00FE3C66"/>
    <w:rsid w:val="00FE3EB9"/>
    <w:rsid w:val="00FE5922"/>
    <w:rsid w:val="00FE6596"/>
    <w:rsid w:val="00FE6BCE"/>
    <w:rsid w:val="00FE76E3"/>
    <w:rsid w:val="00FE7F22"/>
    <w:rsid w:val="00FF0177"/>
    <w:rsid w:val="00FF0223"/>
    <w:rsid w:val="00FF029A"/>
    <w:rsid w:val="00FF06CC"/>
    <w:rsid w:val="00FF2F00"/>
    <w:rsid w:val="00FF3092"/>
    <w:rsid w:val="00FF339D"/>
    <w:rsid w:val="00FF57D9"/>
    <w:rsid w:val="00FF5ABD"/>
    <w:rsid w:val="00FF5D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pPr>
        <w:spacing w:after="12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uiPriority="35" w:qFormat="1"/>
    <w:lsdException w:name="footnote reference" w:uiPriority="99" w:qFormat="1"/>
    <w:lsdException w:name="macro" w:semiHidden="0" w:unhideWhenUsed="0"/>
    <w:lsdException w:name="List Bullet" w:semiHidden="0" w:uiPriority="9" w:unhideWhenUsed="0" w:qFormat="1"/>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545"/>
    <w:pPr>
      <w:jc w:val="both"/>
    </w:pPr>
    <w:rPr>
      <w:sz w:val="22"/>
      <w:szCs w:val="24"/>
      <w:lang w:val="en-GB"/>
    </w:rPr>
  </w:style>
  <w:style w:type="paragraph" w:styleId="Ttulo1">
    <w:name w:val="heading 1"/>
    <w:basedOn w:val="Normal"/>
    <w:next w:val="Normal"/>
    <w:link w:val="Ttulo1Car"/>
    <w:qFormat/>
    <w:rsid w:val="00475D73"/>
    <w:pPr>
      <w:keepNext/>
      <w:suppressLineNumbers/>
      <w:suppressAutoHyphens/>
      <w:kinsoku w:val="0"/>
      <w:overflowPunct w:val="0"/>
      <w:autoSpaceDE w:val="0"/>
      <w:autoSpaceDN w:val="0"/>
      <w:spacing w:before="240"/>
      <w:ind w:right="6"/>
      <w:jc w:val="center"/>
      <w:outlineLvl w:val="0"/>
    </w:pPr>
    <w:rPr>
      <w:rFonts w:ascii="Times New Roman Bold" w:hAnsi="Times New Roman Bold" w:cs="Times New Roman Bold"/>
      <w:b/>
      <w:bCs/>
      <w:caps/>
      <w:snapToGrid w:val="0"/>
      <w:kern w:val="22"/>
      <w:szCs w:val="22"/>
    </w:rPr>
  </w:style>
  <w:style w:type="paragraph" w:styleId="Ttulo2">
    <w:name w:val="heading 2"/>
    <w:basedOn w:val="Normal"/>
    <w:next w:val="Normal"/>
    <w:link w:val="Ttulo2Car"/>
    <w:qFormat/>
    <w:rsid w:val="002D7E6D"/>
    <w:pPr>
      <w:keepNext/>
      <w:spacing w:before="240"/>
      <w:jc w:val="center"/>
      <w:outlineLvl w:val="1"/>
    </w:pPr>
    <w:rPr>
      <w:b/>
      <w:bCs/>
      <w:iCs/>
      <w:snapToGrid w:val="0"/>
    </w:rPr>
  </w:style>
  <w:style w:type="paragraph" w:styleId="Ttulo3">
    <w:name w:val="heading 3"/>
    <w:basedOn w:val="Normal"/>
    <w:next w:val="Normal"/>
    <w:link w:val="Ttulo3Car"/>
    <w:qFormat/>
    <w:rsid w:val="006B7FB5"/>
    <w:pPr>
      <w:keepNext/>
      <w:suppressLineNumbers/>
      <w:suppressAutoHyphens/>
      <w:kinsoku w:val="0"/>
      <w:overflowPunct w:val="0"/>
      <w:autoSpaceDE w:val="0"/>
      <w:autoSpaceDN w:val="0"/>
      <w:spacing w:before="120"/>
      <w:outlineLvl w:val="2"/>
    </w:pPr>
    <w:rPr>
      <w:rFonts w:eastAsia="Times New Roman"/>
      <w:i/>
      <w:iCs/>
      <w:snapToGrid w:val="0"/>
      <w:kern w:val="22"/>
      <w:szCs w:val="22"/>
      <w:lang w:eastAsia="en-CA"/>
    </w:rPr>
  </w:style>
  <w:style w:type="paragraph" w:styleId="Ttulo4">
    <w:name w:val="heading 4"/>
    <w:basedOn w:val="Normal"/>
    <w:link w:val="Ttulo4Car"/>
    <w:qFormat/>
    <w:rsid w:val="003A3F1C"/>
    <w:pPr>
      <w:keepNext/>
      <w:spacing w:before="120"/>
      <w:outlineLvl w:val="3"/>
    </w:pPr>
    <w:rPr>
      <w:rFonts w:eastAsia="Arial Unicode MS" w:cs="Arial"/>
      <w:b/>
      <w:i/>
    </w:rPr>
  </w:style>
  <w:style w:type="paragraph" w:styleId="Ttulo5">
    <w:name w:val="heading 5"/>
    <w:basedOn w:val="Normal"/>
    <w:next w:val="Normal"/>
    <w:link w:val="Ttulo5Car"/>
    <w:qFormat/>
    <w:rsid w:val="003A3F1C"/>
    <w:pPr>
      <w:keepNext/>
      <w:numPr>
        <w:ilvl w:val="4"/>
        <w:numId w:val="4"/>
      </w:numPr>
      <w:spacing w:before="120"/>
      <w:jc w:val="left"/>
      <w:outlineLvl w:val="4"/>
    </w:pPr>
    <w:rPr>
      <w:bCs/>
      <w:i/>
      <w:szCs w:val="26"/>
      <w:lang w:val="en-CA"/>
    </w:rPr>
  </w:style>
  <w:style w:type="paragraph" w:styleId="Ttulo6">
    <w:name w:val="heading 6"/>
    <w:basedOn w:val="Normal"/>
    <w:next w:val="Normal"/>
    <w:link w:val="Ttulo6Car"/>
    <w:qFormat/>
    <w:rsid w:val="003A3F1C"/>
    <w:pPr>
      <w:keepNext/>
      <w:spacing w:after="240" w:line="240" w:lineRule="exact"/>
      <w:outlineLvl w:val="5"/>
    </w:pPr>
    <w:rPr>
      <w:i/>
      <w:sz w:val="24"/>
      <w:szCs w:val="20"/>
    </w:rPr>
  </w:style>
  <w:style w:type="paragraph" w:styleId="Ttulo7">
    <w:name w:val="heading 7"/>
    <w:basedOn w:val="Normal"/>
    <w:next w:val="Normal"/>
    <w:link w:val="Ttulo7Car"/>
    <w:qFormat/>
    <w:rsid w:val="003A3F1C"/>
    <w:pPr>
      <w:keepNext/>
      <w:jc w:val="right"/>
      <w:outlineLvl w:val="6"/>
    </w:pPr>
    <w:rPr>
      <w:rFonts w:ascii="Univers" w:hAnsi="Univers"/>
      <w:b/>
      <w:sz w:val="28"/>
    </w:rPr>
  </w:style>
  <w:style w:type="paragraph" w:styleId="Ttulo8">
    <w:name w:val="heading 8"/>
    <w:basedOn w:val="Normal"/>
    <w:next w:val="Normal"/>
    <w:link w:val="Ttulo8Car"/>
    <w:qFormat/>
    <w:rsid w:val="003A3F1C"/>
    <w:pPr>
      <w:keepNext/>
      <w:jc w:val="right"/>
      <w:outlineLvl w:val="7"/>
    </w:pPr>
    <w:rPr>
      <w:rFonts w:ascii="Univers" w:hAnsi="Univers"/>
      <w:b/>
      <w:sz w:val="32"/>
    </w:rPr>
  </w:style>
  <w:style w:type="paragraph" w:styleId="Ttulo9">
    <w:name w:val="heading 9"/>
    <w:basedOn w:val="Normal"/>
    <w:next w:val="Normal"/>
    <w:link w:val="Ttulo9Car"/>
    <w:qFormat/>
    <w:rsid w:val="003A3F1C"/>
    <w:pPr>
      <w:keepNext/>
      <w:spacing w:before="100" w:beforeAutospacing="1"/>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475D73"/>
    <w:rPr>
      <w:rFonts w:ascii="Times New Roman Bold" w:hAnsi="Times New Roman Bold" w:cs="Times New Roman Bold"/>
      <w:b/>
      <w:bCs/>
      <w:caps/>
      <w:snapToGrid w:val="0"/>
      <w:kern w:val="22"/>
      <w:sz w:val="22"/>
      <w:szCs w:val="22"/>
      <w:lang w:val="en-GB"/>
    </w:rPr>
  </w:style>
  <w:style w:type="character" w:customStyle="1" w:styleId="Ttulo2Car">
    <w:name w:val="Título 2 Car"/>
    <w:link w:val="Ttulo2"/>
    <w:rsid w:val="002D7E6D"/>
    <w:rPr>
      <w:b/>
      <w:bCs/>
      <w:iCs/>
      <w:snapToGrid w:val="0"/>
      <w:sz w:val="22"/>
      <w:szCs w:val="24"/>
      <w:lang w:val="en-GB"/>
    </w:rPr>
  </w:style>
  <w:style w:type="character" w:customStyle="1" w:styleId="Ttulo3Car">
    <w:name w:val="Título 3 Car"/>
    <w:basedOn w:val="Fuentedeprrafopredeter"/>
    <w:link w:val="Ttulo3"/>
    <w:rsid w:val="00F01A98"/>
    <w:rPr>
      <w:rFonts w:eastAsia="Times New Roman"/>
      <w:i/>
      <w:iCs/>
      <w:snapToGrid w:val="0"/>
      <w:kern w:val="22"/>
      <w:sz w:val="22"/>
      <w:szCs w:val="22"/>
      <w:lang w:val="en-GB" w:eastAsia="en-CA"/>
    </w:rPr>
  </w:style>
  <w:style w:type="character" w:customStyle="1" w:styleId="Ttulo4Car">
    <w:name w:val="Título 4 Car"/>
    <w:basedOn w:val="Fuentedeprrafopredeter"/>
    <w:link w:val="Ttulo4"/>
    <w:rsid w:val="00DE347C"/>
    <w:rPr>
      <w:rFonts w:eastAsia="Arial Unicode MS" w:cs="Arial"/>
      <w:b/>
      <w:i/>
      <w:sz w:val="22"/>
      <w:szCs w:val="24"/>
      <w:lang w:val="en-GB"/>
    </w:rPr>
  </w:style>
  <w:style w:type="character" w:customStyle="1" w:styleId="Ttulo5Car">
    <w:name w:val="Título 5 Car"/>
    <w:basedOn w:val="Fuentedeprrafopredeter"/>
    <w:link w:val="Ttulo5"/>
    <w:rsid w:val="00DE347C"/>
    <w:rPr>
      <w:bCs/>
      <w:i/>
      <w:sz w:val="22"/>
      <w:szCs w:val="26"/>
      <w:lang w:val="en-CA"/>
    </w:rPr>
  </w:style>
  <w:style w:type="character" w:customStyle="1" w:styleId="Ttulo6Car">
    <w:name w:val="Título 6 Car"/>
    <w:link w:val="Ttulo6"/>
    <w:locked/>
    <w:rsid w:val="004B44FA"/>
    <w:rPr>
      <w:i/>
      <w:sz w:val="24"/>
      <w:lang w:val="en-GB" w:eastAsia="en-US"/>
    </w:rPr>
  </w:style>
  <w:style w:type="character" w:customStyle="1" w:styleId="Ttulo7Car">
    <w:name w:val="Título 7 Car"/>
    <w:basedOn w:val="Fuentedeprrafopredeter"/>
    <w:link w:val="Ttulo7"/>
    <w:rsid w:val="00DE347C"/>
    <w:rPr>
      <w:rFonts w:ascii="Univers" w:hAnsi="Univers"/>
      <w:b/>
      <w:sz w:val="28"/>
      <w:szCs w:val="24"/>
      <w:lang w:val="en-GB"/>
    </w:rPr>
  </w:style>
  <w:style w:type="character" w:customStyle="1" w:styleId="Ttulo8Car">
    <w:name w:val="Título 8 Car"/>
    <w:basedOn w:val="Fuentedeprrafopredeter"/>
    <w:link w:val="Ttulo8"/>
    <w:rsid w:val="00DE347C"/>
    <w:rPr>
      <w:rFonts w:ascii="Univers" w:hAnsi="Univers"/>
      <w:b/>
      <w:sz w:val="32"/>
      <w:szCs w:val="24"/>
      <w:lang w:val="en-GB"/>
    </w:rPr>
  </w:style>
  <w:style w:type="character" w:customStyle="1" w:styleId="Ttulo9Car">
    <w:name w:val="Título 9 Car"/>
    <w:link w:val="Ttulo9"/>
    <w:rsid w:val="006F507F"/>
    <w:rPr>
      <w:i/>
      <w:iCs/>
      <w:sz w:val="22"/>
      <w:szCs w:val="24"/>
      <w:lang w:val="en-GB"/>
    </w:rPr>
  </w:style>
  <w:style w:type="paragraph" w:styleId="Textodeglobo">
    <w:name w:val="Balloon Text"/>
    <w:basedOn w:val="Normal"/>
    <w:link w:val="TextodegloboCar"/>
    <w:uiPriority w:val="99"/>
    <w:semiHidden/>
    <w:rsid w:val="003A3F1C"/>
    <w:rPr>
      <w:rFonts w:ascii="Lucida Grande" w:hAnsi="Lucida Grande"/>
      <w:sz w:val="18"/>
      <w:szCs w:val="18"/>
    </w:rPr>
  </w:style>
  <w:style w:type="character" w:customStyle="1" w:styleId="TextodegloboCar">
    <w:name w:val="Texto de globo Car"/>
    <w:link w:val="Textodeglobo"/>
    <w:uiPriority w:val="99"/>
    <w:semiHidden/>
    <w:rsid w:val="00B573FE"/>
    <w:rPr>
      <w:rFonts w:ascii="Lucida Grande" w:hAnsi="Lucida Grande"/>
      <w:sz w:val="18"/>
      <w:szCs w:val="18"/>
    </w:rPr>
  </w:style>
  <w:style w:type="character" w:customStyle="1" w:styleId="BalloonTextChar">
    <w:name w:val="Balloon Text Char"/>
    <w:uiPriority w:val="99"/>
    <w:semiHidden/>
    <w:rsid w:val="008F669E"/>
    <w:rPr>
      <w:rFonts w:ascii="Lucida Grande" w:hAnsi="Lucida Grande"/>
      <w:sz w:val="18"/>
      <w:szCs w:val="18"/>
    </w:rPr>
  </w:style>
  <w:style w:type="character" w:customStyle="1" w:styleId="BalloonTextChar2">
    <w:name w:val="Balloon Text Char2"/>
    <w:uiPriority w:val="99"/>
    <w:semiHidden/>
    <w:rsid w:val="008F669E"/>
    <w:rPr>
      <w:rFonts w:ascii="Lucida Grande" w:hAnsi="Lucida Grande"/>
      <w:sz w:val="18"/>
      <w:szCs w:val="18"/>
    </w:rPr>
  </w:style>
  <w:style w:type="paragraph" w:styleId="Textoindependiente">
    <w:name w:val="Body Text"/>
    <w:basedOn w:val="Normal"/>
    <w:link w:val="TextoindependienteCar"/>
    <w:rsid w:val="003A3F1C"/>
    <w:pPr>
      <w:spacing w:before="120"/>
      <w:ind w:firstLine="720"/>
    </w:pPr>
    <w:rPr>
      <w:iCs/>
    </w:rPr>
  </w:style>
  <w:style w:type="character" w:customStyle="1" w:styleId="TextoindependienteCar">
    <w:name w:val="Texto independiente Car"/>
    <w:link w:val="Textoindependiente"/>
    <w:rsid w:val="00A86E5D"/>
    <w:rPr>
      <w:iCs/>
      <w:sz w:val="22"/>
      <w:szCs w:val="24"/>
      <w:lang w:val="en-GB"/>
    </w:rPr>
  </w:style>
  <w:style w:type="paragraph" w:styleId="Piedepgina">
    <w:name w:val="footer"/>
    <w:basedOn w:val="Normal"/>
    <w:link w:val="PiedepginaCar"/>
    <w:rsid w:val="003A3F1C"/>
    <w:pPr>
      <w:tabs>
        <w:tab w:val="center" w:pos="4320"/>
        <w:tab w:val="right" w:pos="8640"/>
      </w:tabs>
      <w:ind w:firstLine="720"/>
      <w:jc w:val="right"/>
    </w:pPr>
  </w:style>
  <w:style w:type="character" w:customStyle="1" w:styleId="PiedepginaCar">
    <w:name w:val="Pie de página Car"/>
    <w:basedOn w:val="Fuentedeprrafopredeter"/>
    <w:link w:val="Piedepgina"/>
    <w:rsid w:val="005B76D9"/>
    <w:rPr>
      <w:sz w:val="22"/>
      <w:szCs w:val="24"/>
      <w:lang w:val="en-GB"/>
    </w:rPr>
  </w:style>
  <w:style w:type="paragraph" w:customStyle="1" w:styleId="Para1">
    <w:name w:val="Para1"/>
    <w:basedOn w:val="Normal"/>
    <w:link w:val="Para1Char"/>
    <w:rsid w:val="00FC047F"/>
    <w:pPr>
      <w:numPr>
        <w:numId w:val="7"/>
      </w:numPr>
      <w:tabs>
        <w:tab w:val="left" w:pos="567"/>
        <w:tab w:val="num" w:pos="2912"/>
      </w:tabs>
      <w:spacing w:before="120"/>
    </w:pPr>
    <w:rPr>
      <w:szCs w:val="18"/>
    </w:rPr>
  </w:style>
  <w:style w:type="character" w:customStyle="1" w:styleId="Para1Char">
    <w:name w:val="Para1 Char"/>
    <w:link w:val="Para1"/>
    <w:locked/>
    <w:rsid w:val="00FC047F"/>
    <w:rPr>
      <w:sz w:val="22"/>
      <w:szCs w:val="18"/>
      <w:lang w:val="en-GB"/>
    </w:rPr>
  </w:style>
  <w:style w:type="paragraph" w:customStyle="1" w:styleId="Para20">
    <w:name w:val="Para2"/>
    <w:basedOn w:val="Para1"/>
    <w:rsid w:val="003A3F1C"/>
    <w:pPr>
      <w:numPr>
        <w:numId w:val="8"/>
      </w:numPr>
      <w:tabs>
        <w:tab w:val="num" w:pos="990"/>
      </w:tabs>
      <w:autoSpaceDE w:val="0"/>
      <w:autoSpaceDN w:val="0"/>
    </w:pPr>
  </w:style>
  <w:style w:type="paragraph" w:customStyle="1" w:styleId="Para3">
    <w:name w:val="Para3"/>
    <w:basedOn w:val="Normal"/>
    <w:rsid w:val="003A3F1C"/>
    <w:pPr>
      <w:spacing w:before="80" w:after="80"/>
    </w:pPr>
    <w:rPr>
      <w:szCs w:val="20"/>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3A3F1C"/>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link w:val="Textonotapie"/>
    <w:uiPriority w:val="99"/>
    <w:rsid w:val="006C79FD"/>
    <w:rPr>
      <w:sz w:val="18"/>
      <w:szCs w:val="24"/>
      <w:lang w:val="en-GB"/>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3A3F1C"/>
    <w:rPr>
      <w:sz w:val="18"/>
      <w:u w:val="single"/>
      <w:vertAlign w:val="baselin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9F5D7B"/>
    <w:pPr>
      <w:spacing w:after="160" w:line="240" w:lineRule="exact"/>
      <w:jc w:val="left"/>
    </w:pPr>
    <w:rPr>
      <w:sz w:val="18"/>
      <w:szCs w:val="20"/>
      <w:u w:val="single"/>
      <w:lang w:val="en-US"/>
    </w:rPr>
  </w:style>
  <w:style w:type="paragraph" w:customStyle="1" w:styleId="Cornernotation">
    <w:name w:val="Corner notation"/>
    <w:basedOn w:val="Normal"/>
    <w:rsid w:val="003A3F1C"/>
    <w:pPr>
      <w:ind w:left="284" w:right="4398" w:hanging="284"/>
      <w:jc w:val="left"/>
    </w:pPr>
  </w:style>
  <w:style w:type="paragraph" w:customStyle="1" w:styleId="para2">
    <w:name w:val="para2"/>
    <w:basedOn w:val="Normal"/>
    <w:rsid w:val="003A3F1C"/>
    <w:pPr>
      <w:numPr>
        <w:numId w:val="3"/>
      </w:numPr>
      <w:tabs>
        <w:tab w:val="clear" w:pos="360"/>
      </w:tabs>
      <w:spacing w:before="120"/>
    </w:pPr>
    <w:rPr>
      <w:szCs w:val="20"/>
    </w:rPr>
  </w:style>
  <w:style w:type="paragraph" w:customStyle="1" w:styleId="Paranum">
    <w:name w:val="Paranum"/>
    <w:basedOn w:val="Para1"/>
    <w:rsid w:val="003A3F1C"/>
    <w:pPr>
      <w:numPr>
        <w:numId w:val="2"/>
      </w:numPr>
      <w:spacing w:line="240" w:lineRule="exact"/>
    </w:pPr>
    <w:rPr>
      <w:szCs w:val="20"/>
      <w:lang w:val="en-US"/>
    </w:rPr>
  </w:style>
  <w:style w:type="paragraph" w:styleId="Textonotaalfinal">
    <w:name w:val="endnote text"/>
    <w:basedOn w:val="Normal"/>
    <w:link w:val="TextonotaalfinalCar"/>
    <w:semiHidden/>
    <w:rsid w:val="003A3F1C"/>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DE347C"/>
    <w:rPr>
      <w:rFonts w:ascii="Courier New" w:hAnsi="Courier New"/>
      <w:sz w:val="22"/>
      <w:szCs w:val="24"/>
      <w:lang w:val="en-GB"/>
    </w:rPr>
  </w:style>
  <w:style w:type="character" w:styleId="Refdenotaalfinal">
    <w:name w:val="endnote reference"/>
    <w:semiHidden/>
    <w:rsid w:val="003A3F1C"/>
    <w:rPr>
      <w:vertAlign w:val="superscript"/>
    </w:rPr>
  </w:style>
  <w:style w:type="character" w:styleId="Nmerodepgina">
    <w:name w:val="page number"/>
    <w:rsid w:val="003A3F1C"/>
    <w:rPr>
      <w:rFonts w:ascii="Times New Roman" w:hAnsi="Times New Roman"/>
      <w:sz w:val="22"/>
    </w:rPr>
  </w:style>
  <w:style w:type="paragraph" w:customStyle="1" w:styleId="para4">
    <w:name w:val="para4"/>
    <w:basedOn w:val="Normal"/>
    <w:rsid w:val="003A3F1C"/>
    <w:pPr>
      <w:numPr>
        <w:ilvl w:val="3"/>
        <w:numId w:val="6"/>
      </w:numPr>
      <w:tabs>
        <w:tab w:val="clear" w:pos="1440"/>
        <w:tab w:val="num" w:pos="2160"/>
      </w:tabs>
      <w:overflowPunct w:val="0"/>
      <w:autoSpaceDE w:val="0"/>
      <w:autoSpaceDN w:val="0"/>
      <w:adjustRightInd w:val="0"/>
      <w:spacing w:line="240" w:lineRule="atLeast"/>
      <w:ind w:left="2160" w:hanging="720"/>
      <w:textAlignment w:val="baseline"/>
    </w:pPr>
    <w:rPr>
      <w:rFonts w:ascii="Courier" w:hAnsi="Courier"/>
      <w:color w:val="000000"/>
      <w:sz w:val="20"/>
      <w:szCs w:val="20"/>
    </w:rPr>
  </w:style>
  <w:style w:type="paragraph" w:customStyle="1" w:styleId="Heading1multiline">
    <w:name w:val="Heading 1 (multiline)"/>
    <w:basedOn w:val="Ttulo1"/>
    <w:rsid w:val="00475D73"/>
    <w:pPr>
      <w:tabs>
        <w:tab w:val="left" w:pos="1701"/>
      </w:tabs>
      <w:ind w:left="1701" w:right="610" w:hanging="1134"/>
      <w:jc w:val="left"/>
    </w:pPr>
  </w:style>
  <w:style w:type="paragraph" w:customStyle="1" w:styleId="Heading2multiline">
    <w:name w:val="Heading 2 (multiline)"/>
    <w:basedOn w:val="Ttulo1"/>
    <w:next w:val="Normal"/>
    <w:rsid w:val="003A3F1C"/>
    <w:pPr>
      <w:spacing w:before="120"/>
      <w:ind w:left="1843" w:right="998" w:hanging="567"/>
      <w:jc w:val="left"/>
    </w:pPr>
    <w:rPr>
      <w:i/>
      <w:iCs/>
      <w:caps w:val="0"/>
    </w:rPr>
  </w:style>
  <w:style w:type="paragraph" w:customStyle="1" w:styleId="Heading3multiline">
    <w:name w:val="Heading 3 (multiline)"/>
    <w:basedOn w:val="Ttulo3"/>
    <w:next w:val="Normal"/>
    <w:rsid w:val="003A3F1C"/>
    <w:pPr>
      <w:tabs>
        <w:tab w:val="left" w:pos="567"/>
      </w:tabs>
      <w:ind w:left="1418" w:hanging="425"/>
      <w:jc w:val="left"/>
    </w:pPr>
  </w:style>
  <w:style w:type="paragraph" w:customStyle="1" w:styleId="Heading2longmultiline">
    <w:name w:val="Heading 2 (long multiline)"/>
    <w:basedOn w:val="Heading2multiline"/>
    <w:rsid w:val="00D74CD6"/>
    <w:pPr>
      <w:ind w:left="2127" w:hanging="1276"/>
    </w:pPr>
  </w:style>
  <w:style w:type="paragraph" w:customStyle="1" w:styleId="Heading1longmultiline">
    <w:name w:val="Heading 1 (long multiline)"/>
    <w:basedOn w:val="Ttulo1"/>
    <w:rsid w:val="003A3F1C"/>
    <w:pPr>
      <w:ind w:left="1843" w:hanging="1134"/>
      <w:jc w:val="left"/>
    </w:pPr>
  </w:style>
  <w:style w:type="paragraph" w:styleId="Sangradetextonormal">
    <w:name w:val="Body Text Indent"/>
    <w:basedOn w:val="Normal"/>
    <w:link w:val="SangradetextonormalCar"/>
    <w:rsid w:val="003A3F1C"/>
    <w:pPr>
      <w:spacing w:before="120"/>
      <w:ind w:left="1440" w:hanging="720"/>
      <w:jc w:val="left"/>
    </w:pPr>
  </w:style>
  <w:style w:type="character" w:customStyle="1" w:styleId="SangradetextonormalCar">
    <w:name w:val="Sangría de texto normal Car"/>
    <w:basedOn w:val="Fuentedeprrafopredeter"/>
    <w:link w:val="Sangradetextonormal"/>
    <w:rsid w:val="00DE347C"/>
    <w:rPr>
      <w:sz w:val="22"/>
      <w:szCs w:val="24"/>
      <w:lang w:val="en-GB"/>
    </w:rPr>
  </w:style>
  <w:style w:type="paragraph" w:customStyle="1" w:styleId="Heading-plainbold">
    <w:name w:val="Heading-plain bold"/>
    <w:basedOn w:val="Textoindependiente"/>
    <w:rsid w:val="003A3F1C"/>
    <w:pPr>
      <w:ind w:firstLine="0"/>
      <w:jc w:val="center"/>
    </w:pPr>
    <w:rPr>
      <w:b/>
      <w:bCs/>
      <w:i/>
      <w:iCs w:val="0"/>
    </w:rPr>
  </w:style>
  <w:style w:type="paragraph" w:customStyle="1" w:styleId="Heading-plainitalic">
    <w:name w:val="Heading-plain italic"/>
    <w:basedOn w:val="Normal"/>
    <w:rsid w:val="003A3F1C"/>
    <w:pPr>
      <w:spacing w:before="120"/>
      <w:jc w:val="center"/>
    </w:pPr>
    <w:rPr>
      <w:i/>
      <w:szCs w:val="20"/>
    </w:rPr>
  </w:style>
  <w:style w:type="paragraph" w:styleId="TDC1">
    <w:name w:val="toc 1"/>
    <w:basedOn w:val="Normal"/>
    <w:next w:val="Normal"/>
    <w:autoRedefine/>
    <w:rsid w:val="003A3F1C"/>
    <w:pPr>
      <w:tabs>
        <w:tab w:val="left" w:pos="1200"/>
        <w:tab w:val="right" w:leader="dot" w:pos="9350"/>
      </w:tabs>
      <w:spacing w:before="120"/>
      <w:ind w:left="1210" w:right="450" w:hanging="1210"/>
      <w:jc w:val="left"/>
    </w:pPr>
    <w:rPr>
      <w:noProof/>
      <w:szCs w:val="22"/>
      <w:lang w:val="en-CA"/>
    </w:rPr>
  </w:style>
  <w:style w:type="paragraph" w:styleId="TDC2">
    <w:name w:val="toc 2"/>
    <w:basedOn w:val="Normal"/>
    <w:next w:val="Normal"/>
    <w:autoRedefine/>
    <w:rsid w:val="006D76F6"/>
    <w:pPr>
      <w:tabs>
        <w:tab w:val="left" w:pos="2750"/>
        <w:tab w:val="left" w:pos="9356"/>
      </w:tabs>
      <w:spacing w:before="120"/>
      <w:ind w:left="2310" w:right="610" w:hanging="1100"/>
      <w:jc w:val="left"/>
    </w:pPr>
    <w:rPr>
      <w:noProof/>
      <w:szCs w:val="22"/>
      <w:lang w:val="en-US"/>
    </w:rPr>
  </w:style>
  <w:style w:type="paragraph" w:styleId="TDC3">
    <w:name w:val="toc 3"/>
    <w:basedOn w:val="Normal"/>
    <w:next w:val="Normal"/>
    <w:autoRedefine/>
    <w:rsid w:val="003A3F1C"/>
    <w:pPr>
      <w:spacing w:before="120"/>
      <w:ind w:left="480"/>
      <w:jc w:val="left"/>
    </w:pPr>
    <w:rPr>
      <w:lang w:val="en-CA"/>
    </w:rPr>
  </w:style>
  <w:style w:type="paragraph" w:styleId="Encabezado">
    <w:name w:val="header"/>
    <w:basedOn w:val="Normal"/>
    <w:link w:val="EncabezadoCar"/>
    <w:rsid w:val="003A3F1C"/>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character" w:customStyle="1" w:styleId="EncabezadoCar">
    <w:name w:val="Encabezado Car"/>
    <w:basedOn w:val="Fuentedeprrafopredeter"/>
    <w:link w:val="Encabezado"/>
    <w:rsid w:val="00DE347C"/>
    <w:rPr>
      <w:sz w:val="22"/>
      <w:lang w:val="en-GB"/>
    </w:rPr>
  </w:style>
  <w:style w:type="paragraph" w:customStyle="1" w:styleId="HEADINGNOTFORTOC">
    <w:name w:val="HEADING (NOT FOR TOC)"/>
    <w:basedOn w:val="Ttulo1"/>
    <w:next w:val="Ttulo2"/>
    <w:rsid w:val="003A3F1C"/>
  </w:style>
  <w:style w:type="paragraph" w:customStyle="1" w:styleId="Paragraph">
    <w:name w:val="Paragraph"/>
    <w:basedOn w:val="Normal"/>
    <w:rsid w:val="003A3F1C"/>
    <w:pPr>
      <w:spacing w:before="120"/>
    </w:pPr>
  </w:style>
  <w:style w:type="paragraph" w:customStyle="1" w:styleId="Heading4">
    <w:name w:val="Heading4"/>
    <w:basedOn w:val="Normal"/>
    <w:rsid w:val="003A3F1C"/>
    <w:pPr>
      <w:numPr>
        <w:numId w:val="1"/>
      </w:numPr>
    </w:pPr>
    <w:rPr>
      <w:b/>
      <w:i/>
      <w:iCs/>
      <w:szCs w:val="20"/>
    </w:rPr>
  </w:style>
  <w:style w:type="paragraph" w:customStyle="1" w:styleId="Activity">
    <w:name w:val="Activity"/>
    <w:basedOn w:val="Normal"/>
    <w:rsid w:val="003A3F1C"/>
    <w:pPr>
      <w:numPr>
        <w:ilvl w:val="1"/>
        <w:numId w:val="5"/>
      </w:numPr>
      <w:spacing w:before="120"/>
    </w:pPr>
  </w:style>
  <w:style w:type="paragraph" w:styleId="Sangra3detindependiente">
    <w:name w:val="Body Text Indent 3"/>
    <w:basedOn w:val="Normal"/>
    <w:rsid w:val="003A3F1C"/>
    <w:pPr>
      <w:ind w:left="720"/>
      <w:jc w:val="left"/>
    </w:pPr>
    <w:rPr>
      <w:szCs w:val="20"/>
    </w:rPr>
  </w:style>
  <w:style w:type="paragraph" w:styleId="Textoindependiente2">
    <w:name w:val="Body Text 2"/>
    <w:basedOn w:val="Normal"/>
    <w:rsid w:val="003A3F1C"/>
    <w:pPr>
      <w:jc w:val="right"/>
    </w:pPr>
    <w:rPr>
      <w:szCs w:val="20"/>
    </w:rPr>
  </w:style>
  <w:style w:type="paragraph" w:customStyle="1" w:styleId="HEADING">
    <w:name w:val="HEADING"/>
    <w:basedOn w:val="Normal"/>
    <w:rsid w:val="003A3F1C"/>
    <w:pPr>
      <w:keepNext/>
      <w:tabs>
        <w:tab w:val="left" w:pos="1134"/>
      </w:tabs>
      <w:spacing w:before="240"/>
      <w:jc w:val="center"/>
    </w:pPr>
    <w:rPr>
      <w:b/>
      <w:caps/>
    </w:rPr>
  </w:style>
  <w:style w:type="paragraph" w:customStyle="1" w:styleId="Heading2-center">
    <w:name w:val="Heading 2-center"/>
    <w:basedOn w:val="Ttulo2"/>
    <w:rsid w:val="003A3F1C"/>
    <w:pPr>
      <w:ind w:left="1304" w:right="1134" w:hanging="340"/>
      <w:outlineLvl w:val="9"/>
    </w:pPr>
    <w:rPr>
      <w:b w:val="0"/>
      <w:i/>
      <w:caps/>
      <w:szCs w:val="28"/>
    </w:rPr>
  </w:style>
  <w:style w:type="paragraph" w:styleId="Sangra2detindependiente">
    <w:name w:val="Body Text Indent 2"/>
    <w:basedOn w:val="Normal"/>
    <w:rsid w:val="003A3F1C"/>
    <w:pPr>
      <w:ind w:firstLine="709"/>
    </w:pPr>
  </w:style>
  <w:style w:type="paragraph" w:customStyle="1" w:styleId="bodytextnoindent">
    <w:name w:val="body text (no indent)"/>
    <w:basedOn w:val="Normal"/>
    <w:rsid w:val="003A3F1C"/>
    <w:pPr>
      <w:spacing w:before="120"/>
    </w:pPr>
  </w:style>
  <w:style w:type="paragraph" w:customStyle="1" w:styleId="Heading2noletter">
    <w:name w:val="Heading 2 (no letter)"/>
    <w:basedOn w:val="Ttulo2"/>
    <w:rsid w:val="003A3F1C"/>
  </w:style>
  <w:style w:type="paragraph" w:customStyle="1" w:styleId="Heading4indent">
    <w:name w:val="Heading 4 indent"/>
    <w:basedOn w:val="Ttulo4"/>
    <w:rsid w:val="003A3F1C"/>
    <w:pPr>
      <w:ind w:left="720"/>
      <w:outlineLvl w:val="9"/>
    </w:pPr>
  </w:style>
  <w:style w:type="paragraph" w:customStyle="1" w:styleId="heading-plainbold0">
    <w:name w:val="heading-plain bold"/>
    <w:basedOn w:val="Ttulo1"/>
    <w:rsid w:val="003A3F1C"/>
    <w:pPr>
      <w:spacing w:before="120"/>
      <w:ind w:right="0"/>
    </w:pPr>
    <w:rPr>
      <w:i/>
      <w:iCs/>
      <w:caps w:val="0"/>
    </w:rPr>
  </w:style>
  <w:style w:type="character" w:styleId="Hipervnculo">
    <w:name w:val="Hyperlink"/>
    <w:uiPriority w:val="99"/>
    <w:rsid w:val="003A3F1C"/>
    <w:rPr>
      <w:color w:val="0000FF"/>
      <w:sz w:val="18"/>
      <w:u w:val="single"/>
    </w:rPr>
  </w:style>
  <w:style w:type="paragraph" w:customStyle="1" w:styleId="aident">
    <w:name w:val="(a) ident"/>
    <w:basedOn w:val="Normal"/>
    <w:rsid w:val="003A3F1C"/>
    <w:pPr>
      <w:tabs>
        <w:tab w:val="num" w:pos="1077"/>
      </w:tabs>
      <w:autoSpaceDE w:val="0"/>
      <w:autoSpaceDN w:val="0"/>
      <w:spacing w:before="120"/>
      <w:ind w:left="1077" w:hanging="357"/>
    </w:pPr>
    <w:rPr>
      <w:szCs w:val="18"/>
    </w:rPr>
  </w:style>
  <w:style w:type="paragraph" w:customStyle="1" w:styleId="para10">
    <w:name w:val="para1"/>
    <w:basedOn w:val="Normal"/>
    <w:rsid w:val="003A3F1C"/>
    <w:pPr>
      <w:spacing w:before="100" w:beforeAutospacing="1" w:after="100" w:afterAutospacing="1"/>
      <w:jc w:val="left"/>
    </w:pPr>
    <w:rPr>
      <w:rFonts w:ascii="Arial Unicode MS" w:eastAsia="Arial Unicode MS" w:hAnsi="Arial Unicode MS" w:cs="Arial Unicode MS"/>
      <w:sz w:val="24"/>
      <w:lang w:val="en-US"/>
    </w:rPr>
  </w:style>
  <w:style w:type="character" w:styleId="Hipervnculovisitado">
    <w:name w:val="FollowedHyperlink"/>
    <w:uiPriority w:val="99"/>
    <w:rsid w:val="003A3F1C"/>
    <w:rPr>
      <w:color w:val="800080"/>
      <w:u w:val="single"/>
    </w:rPr>
  </w:style>
  <w:style w:type="character" w:styleId="Refdecomentario">
    <w:name w:val="annotation reference"/>
    <w:semiHidden/>
    <w:rsid w:val="003A3F1C"/>
    <w:rPr>
      <w:sz w:val="16"/>
    </w:rPr>
  </w:style>
  <w:style w:type="paragraph" w:styleId="Textocomentario">
    <w:name w:val="annotation text"/>
    <w:basedOn w:val="Normal"/>
    <w:link w:val="TextocomentarioCar"/>
    <w:semiHidden/>
    <w:rsid w:val="003A3F1C"/>
    <w:rPr>
      <w:sz w:val="20"/>
      <w:szCs w:val="20"/>
    </w:rPr>
  </w:style>
  <w:style w:type="character" w:customStyle="1" w:styleId="TextocomentarioCar">
    <w:name w:val="Texto comentario Car"/>
    <w:link w:val="Textocomentario"/>
    <w:semiHidden/>
    <w:rsid w:val="009F7E7D"/>
    <w:rPr>
      <w:lang w:val="en-GB"/>
    </w:rPr>
  </w:style>
  <w:style w:type="paragraph" w:customStyle="1" w:styleId="FOOTNOTETEX">
    <w:name w:val="FOOTNOTE TEX"/>
    <w:rsid w:val="003A3F1C"/>
    <w:pPr>
      <w:widowControl w:val="0"/>
      <w:tabs>
        <w:tab w:val="left" w:pos="-720"/>
      </w:tabs>
      <w:suppressAutoHyphens/>
    </w:pPr>
  </w:style>
  <w:style w:type="character" w:styleId="Textoennegrita">
    <w:name w:val="Strong"/>
    <w:qFormat/>
    <w:rsid w:val="003A3F1C"/>
    <w:rPr>
      <w:b/>
    </w:rPr>
  </w:style>
  <w:style w:type="paragraph" w:customStyle="1" w:styleId="Paraofficial">
    <w:name w:val="Para official"/>
    <w:basedOn w:val="Normal"/>
    <w:rsid w:val="003A3F1C"/>
    <w:pPr>
      <w:framePr w:hSpace="187" w:vSpace="187" w:wrap="notBeside" w:vAnchor="text" w:hAnchor="text" w:y="1"/>
      <w:numPr>
        <w:numId w:val="9"/>
      </w:numPr>
      <w:spacing w:before="240" w:after="240"/>
      <w:jc w:val="left"/>
    </w:pPr>
    <w:rPr>
      <w:szCs w:val="20"/>
    </w:rPr>
  </w:style>
  <w:style w:type="paragraph" w:styleId="Textoindependiente3">
    <w:name w:val="Body Text 3"/>
    <w:basedOn w:val="Normal"/>
    <w:rsid w:val="003A3F1C"/>
    <w:rPr>
      <w:color w:val="FF0000"/>
    </w:rPr>
  </w:style>
  <w:style w:type="paragraph" w:styleId="NormalWeb">
    <w:name w:val="Normal (Web)"/>
    <w:basedOn w:val="Normal"/>
    <w:rsid w:val="003A3F1C"/>
    <w:pPr>
      <w:spacing w:before="100" w:beforeAutospacing="1" w:after="100" w:afterAutospacing="1"/>
      <w:jc w:val="left"/>
    </w:pPr>
    <w:rPr>
      <w:sz w:val="24"/>
      <w:lang w:val="en-US"/>
    </w:rPr>
  </w:style>
  <w:style w:type="paragraph" w:customStyle="1" w:styleId="Numbering">
    <w:name w:val="Numbering"/>
    <w:basedOn w:val="Normal"/>
    <w:rsid w:val="003A3F1C"/>
    <w:pPr>
      <w:numPr>
        <w:numId w:val="10"/>
      </w:numPr>
    </w:pPr>
    <w:rPr>
      <w:lang w:val="en-US"/>
    </w:rPr>
  </w:style>
  <w:style w:type="paragraph" w:customStyle="1" w:styleId="Para2rev">
    <w:name w:val="Para 2 (rev)"/>
    <w:basedOn w:val="Normal"/>
    <w:rsid w:val="003A3F1C"/>
    <w:pPr>
      <w:tabs>
        <w:tab w:val="num" w:pos="720"/>
      </w:tabs>
      <w:ind w:firstLine="720"/>
    </w:pPr>
  </w:style>
  <w:style w:type="character" w:customStyle="1" w:styleId="CharChar2">
    <w:name w:val="Char Char2"/>
    <w:semiHidden/>
    <w:rsid w:val="003A3F1C"/>
    <w:rPr>
      <w:lang w:val="en-GB" w:eastAsia="en-US"/>
    </w:rPr>
  </w:style>
  <w:style w:type="paragraph" w:styleId="Asuntodelcomentario">
    <w:name w:val="annotation subject"/>
    <w:basedOn w:val="Textocomentario"/>
    <w:next w:val="Textocomentario"/>
    <w:link w:val="AsuntodelcomentarioCar"/>
    <w:uiPriority w:val="99"/>
    <w:semiHidden/>
    <w:rsid w:val="003A3F1C"/>
    <w:rPr>
      <w:b/>
      <w:bCs/>
    </w:rPr>
  </w:style>
  <w:style w:type="character" w:customStyle="1" w:styleId="AsuntodelcomentarioCar">
    <w:name w:val="Asunto del comentario Car"/>
    <w:basedOn w:val="TextocomentarioCar"/>
    <w:link w:val="Asuntodelcomentario"/>
    <w:uiPriority w:val="99"/>
    <w:semiHidden/>
    <w:rsid w:val="00DE347C"/>
    <w:rPr>
      <w:b/>
      <w:bCs/>
      <w:lang w:val="en-GB"/>
    </w:rPr>
  </w:style>
  <w:style w:type="paragraph" w:styleId="Listaconvietas">
    <w:name w:val="List Bullet"/>
    <w:aliases w:val="UL 1"/>
    <w:basedOn w:val="Normal"/>
    <w:autoRedefine/>
    <w:uiPriority w:val="9"/>
    <w:qFormat/>
    <w:rsid w:val="00C01027"/>
    <w:pPr>
      <w:suppressLineNumbers/>
      <w:suppressAutoHyphens/>
      <w:spacing w:before="120"/>
      <w:ind w:firstLine="709"/>
    </w:pPr>
    <w:rPr>
      <w:szCs w:val="22"/>
      <w:lang w:val="en-US"/>
    </w:rPr>
  </w:style>
  <w:style w:type="paragraph" w:customStyle="1" w:styleId="ColorfulList-Accent11">
    <w:name w:val="Colorful List - Accent 11"/>
    <w:basedOn w:val="Normal"/>
    <w:rsid w:val="00070FAC"/>
    <w:pPr>
      <w:spacing w:after="200"/>
      <w:ind w:left="720"/>
      <w:contextualSpacing/>
      <w:jc w:val="left"/>
    </w:pPr>
    <w:rPr>
      <w:rFonts w:ascii="Calibri" w:hAnsi="Calibri"/>
      <w:szCs w:val="22"/>
      <w:lang w:val="en-CA"/>
    </w:rPr>
  </w:style>
  <w:style w:type="character" w:styleId="nfasis">
    <w:name w:val="Emphasis"/>
    <w:qFormat/>
    <w:rsid w:val="00C06B8D"/>
    <w:rPr>
      <w:i/>
    </w:rPr>
  </w:style>
  <w:style w:type="character" w:customStyle="1" w:styleId="CharChar3">
    <w:name w:val="Char Char3"/>
    <w:rsid w:val="004B44FA"/>
    <w:rPr>
      <w:rFonts w:ascii="Times New Roman" w:hAnsi="Times New Roman"/>
      <w:b/>
      <w:caps/>
      <w:sz w:val="24"/>
      <w:lang w:val="en-GB"/>
    </w:rPr>
  </w:style>
  <w:style w:type="paragraph" w:styleId="TDC9">
    <w:name w:val="toc 9"/>
    <w:basedOn w:val="Normal"/>
    <w:next w:val="Normal"/>
    <w:autoRedefine/>
    <w:rsid w:val="005F1D07"/>
    <w:pPr>
      <w:spacing w:before="120"/>
      <w:ind w:left="1760"/>
      <w:jc w:val="left"/>
    </w:pPr>
  </w:style>
  <w:style w:type="paragraph" w:customStyle="1" w:styleId="Default">
    <w:name w:val="Default"/>
    <w:rsid w:val="00C627A3"/>
    <w:pPr>
      <w:autoSpaceDE w:val="0"/>
      <w:autoSpaceDN w:val="0"/>
      <w:adjustRightInd w:val="0"/>
    </w:pPr>
    <w:rPr>
      <w:rFonts w:eastAsia="MS Mincho"/>
      <w:color w:val="000000"/>
      <w:sz w:val="24"/>
      <w:szCs w:val="24"/>
      <w:lang w:val="en-CA" w:eastAsia="ja-JP"/>
    </w:rPr>
  </w:style>
  <w:style w:type="character" w:customStyle="1" w:styleId="apple-style-span">
    <w:name w:val="apple-style-span"/>
    <w:rsid w:val="0070309B"/>
  </w:style>
  <w:style w:type="paragraph" w:customStyle="1" w:styleId="ColorfulShading-Accent11">
    <w:name w:val="Colorful Shading - Accent 11"/>
    <w:hidden/>
    <w:uiPriority w:val="99"/>
    <w:semiHidden/>
    <w:rsid w:val="00BE2DBA"/>
    <w:rPr>
      <w:sz w:val="22"/>
      <w:szCs w:val="24"/>
      <w:lang w:val="en-GB"/>
    </w:rPr>
  </w:style>
  <w:style w:type="paragraph" w:styleId="Mapadeldocumento">
    <w:name w:val="Document Map"/>
    <w:basedOn w:val="Normal"/>
    <w:semiHidden/>
    <w:rsid w:val="00464E3B"/>
    <w:pPr>
      <w:shd w:val="clear" w:color="auto" w:fill="000080"/>
    </w:pPr>
    <w:rPr>
      <w:rFonts w:ascii="Tahoma" w:hAnsi="Tahoma" w:cs="Tahoma"/>
      <w:sz w:val="20"/>
      <w:szCs w:val="20"/>
    </w:rPr>
  </w:style>
  <w:style w:type="paragraph" w:customStyle="1" w:styleId="ColorfulList-Accent12">
    <w:name w:val="Colorful List - Accent 12"/>
    <w:basedOn w:val="Normal"/>
    <w:uiPriority w:val="34"/>
    <w:qFormat/>
    <w:rsid w:val="00A916A6"/>
    <w:pPr>
      <w:ind w:left="720"/>
    </w:pPr>
  </w:style>
  <w:style w:type="character" w:customStyle="1" w:styleId="hps">
    <w:name w:val="hps"/>
    <w:rsid w:val="002205A4"/>
  </w:style>
  <w:style w:type="table" w:styleId="Tablaconcuadrcula">
    <w:name w:val="Table Grid"/>
    <w:basedOn w:val="Tablanormal"/>
    <w:uiPriority w:val="59"/>
    <w:rsid w:val="00881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Para1Before0pt">
    <w:name w:val="Style Para1 + Before:  0 pt"/>
    <w:basedOn w:val="Para1"/>
    <w:rsid w:val="00E954F6"/>
    <w:rPr>
      <w:snapToGrid w:val="0"/>
      <w:szCs w:val="20"/>
    </w:rPr>
  </w:style>
  <w:style w:type="paragraph" w:customStyle="1" w:styleId="Para40">
    <w:name w:val="Para4"/>
    <w:basedOn w:val="Para3"/>
    <w:rsid w:val="00CA5B5A"/>
    <w:pPr>
      <w:tabs>
        <w:tab w:val="left" w:pos="2552"/>
        <w:tab w:val="num" w:pos="2880"/>
      </w:tabs>
      <w:ind w:left="2880" w:hanging="360"/>
    </w:pPr>
  </w:style>
  <w:style w:type="paragraph" w:styleId="Revisin">
    <w:name w:val="Revision"/>
    <w:hidden/>
    <w:uiPriority w:val="99"/>
    <w:semiHidden/>
    <w:rsid w:val="00253495"/>
    <w:rPr>
      <w:sz w:val="22"/>
      <w:szCs w:val="24"/>
      <w:lang w:val="en-GB"/>
    </w:rPr>
  </w:style>
  <w:style w:type="character" w:customStyle="1" w:styleId="Para1Char1">
    <w:name w:val="Para1 Char1"/>
    <w:rsid w:val="00486D78"/>
    <w:rPr>
      <w:rFonts w:cs="Angsana New"/>
      <w:snapToGrid w:val="0"/>
      <w:sz w:val="22"/>
      <w:szCs w:val="18"/>
      <w:lang w:val="en-GB"/>
    </w:rPr>
  </w:style>
  <w:style w:type="character" w:styleId="Textodelmarcadordeposicin">
    <w:name w:val="Placeholder Text"/>
    <w:basedOn w:val="Fuentedeprrafopredeter"/>
    <w:uiPriority w:val="99"/>
    <w:semiHidden/>
    <w:rsid w:val="001E75CF"/>
    <w:rPr>
      <w:color w:val="808080"/>
    </w:rPr>
  </w:style>
  <w:style w:type="character" w:customStyle="1" w:styleId="UnresolvedMention1">
    <w:name w:val="Unresolved Mention1"/>
    <w:basedOn w:val="Fuentedeprrafopredeter"/>
    <w:uiPriority w:val="99"/>
    <w:semiHidden/>
    <w:unhideWhenUsed/>
    <w:rsid w:val="006025A9"/>
    <w:rPr>
      <w:color w:val="808080"/>
      <w:shd w:val="clear" w:color="auto" w:fill="E6E6E6"/>
    </w:rPr>
  </w:style>
  <w:style w:type="paragraph" w:styleId="Prrafodelista">
    <w:name w:val="List Paragraph"/>
    <w:basedOn w:val="Normal"/>
    <w:uiPriority w:val="34"/>
    <w:qFormat/>
    <w:rsid w:val="00B42E86"/>
    <w:pPr>
      <w:ind w:left="720"/>
      <w:contextualSpacing/>
    </w:pPr>
  </w:style>
  <w:style w:type="table" w:customStyle="1" w:styleId="TableGrid1">
    <w:name w:val="Table Grid1"/>
    <w:basedOn w:val="Tablanormal"/>
    <w:next w:val="Tablaconcuadrcula"/>
    <w:uiPriority w:val="59"/>
    <w:rsid w:val="00784CC6"/>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anormal"/>
    <w:next w:val="Tablaconcuadrcula"/>
    <w:uiPriority w:val="59"/>
    <w:rsid w:val="00921CAB"/>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0B093B"/>
  </w:style>
  <w:style w:type="character" w:customStyle="1" w:styleId="eop">
    <w:name w:val="eop"/>
    <w:rsid w:val="000B093B"/>
  </w:style>
  <w:style w:type="paragraph" w:customStyle="1" w:styleId="Item">
    <w:name w:val="Item"/>
    <w:basedOn w:val="Ttulo2"/>
    <w:qFormat/>
    <w:rsid w:val="000B093B"/>
    <w:pPr>
      <w:spacing w:before="120"/>
    </w:pPr>
    <w:rPr>
      <w:snapToGrid/>
    </w:rPr>
  </w:style>
  <w:style w:type="character" w:customStyle="1" w:styleId="highlight">
    <w:name w:val="highlight"/>
    <w:basedOn w:val="Fuentedeprrafopredeter"/>
    <w:rsid w:val="00C576FA"/>
  </w:style>
  <w:style w:type="paragraph" w:customStyle="1" w:styleId="gmail-para1">
    <w:name w:val="gmail-para1"/>
    <w:basedOn w:val="Normal"/>
    <w:rsid w:val="00E3787A"/>
    <w:pPr>
      <w:spacing w:before="100" w:beforeAutospacing="1" w:after="100" w:afterAutospacing="1"/>
      <w:jc w:val="left"/>
    </w:pPr>
    <w:rPr>
      <w:rFonts w:ascii="Calibri" w:eastAsiaTheme="minorHAnsi" w:hAnsi="Calibri" w:cs="Calibri"/>
      <w:szCs w:val="22"/>
      <w:lang w:val="en-CA" w:eastAsia="en-CA"/>
    </w:rPr>
  </w:style>
  <w:style w:type="paragraph" w:customStyle="1" w:styleId="recommendationheader">
    <w:name w:val="recommendation header"/>
    <w:basedOn w:val="Ttulo2"/>
    <w:qFormat/>
    <w:rsid w:val="009F5D7B"/>
    <w:pPr>
      <w:tabs>
        <w:tab w:val="left" w:pos="720"/>
      </w:tabs>
      <w:spacing w:before="120"/>
    </w:pPr>
    <w:rPr>
      <w:rFonts w:eastAsia="Times New Roman"/>
      <w:snapToGrid/>
    </w:rPr>
  </w:style>
  <w:style w:type="character" w:customStyle="1" w:styleId="StyleFootnoteReferencenumberFootnoteReferenceSuperscript-EF">
    <w:name w:val="Style Footnote ReferencenumberFootnote Reference Superscript-E F..."/>
    <w:rsid w:val="009E044D"/>
    <w:rPr>
      <w:kern w:val="22"/>
      <w:sz w:val="18"/>
      <w:u w:val="none"/>
      <w:vertAlign w:val="superscript"/>
    </w:rPr>
  </w:style>
  <w:style w:type="paragraph" w:customStyle="1" w:styleId="heading2notforTOC">
    <w:name w:val="heading 2 not for TOC"/>
    <w:basedOn w:val="Ttulo3"/>
    <w:rsid w:val="00F01A98"/>
    <w:pPr>
      <w:suppressLineNumbers w:val="0"/>
      <w:tabs>
        <w:tab w:val="left" w:pos="567"/>
      </w:tabs>
      <w:suppressAutoHyphens w:val="0"/>
      <w:kinsoku/>
      <w:overflowPunct/>
      <w:autoSpaceDE/>
      <w:autoSpaceDN/>
      <w:jc w:val="center"/>
    </w:pPr>
    <w:rPr>
      <w:snapToGrid/>
      <w:kern w:val="0"/>
      <w:szCs w:val="24"/>
      <w:lang w:eastAsia="en-US"/>
    </w:rPr>
  </w:style>
  <w:style w:type="paragraph" w:customStyle="1" w:styleId="Heading1report">
    <w:name w:val="Heading 1 report"/>
    <w:basedOn w:val="Ttulo1"/>
    <w:qFormat/>
    <w:rsid w:val="003A15C6"/>
    <w:pPr>
      <w:numPr>
        <w:numId w:val="53"/>
      </w:numPr>
    </w:pPr>
  </w:style>
  <w:style w:type="paragraph" w:customStyle="1" w:styleId="Heading1-item">
    <w:name w:val="Heading 1 -item"/>
    <w:basedOn w:val="Ttulo1"/>
    <w:qFormat/>
    <w:rsid w:val="000B078F"/>
  </w:style>
  <w:style w:type="paragraph" w:styleId="TtulodeTDC">
    <w:name w:val="TOC Heading"/>
    <w:basedOn w:val="Ttulo1"/>
    <w:next w:val="Normal"/>
    <w:uiPriority w:val="39"/>
    <w:unhideWhenUsed/>
    <w:qFormat/>
    <w:rsid w:val="000B078F"/>
    <w:pPr>
      <w:keepLines/>
      <w:suppressLineNumbers w:val="0"/>
      <w:suppressAutoHyphens w:val="0"/>
      <w:kinsoku/>
      <w:overflowPunct/>
      <w:autoSpaceDE/>
      <w:autoSpaceDN/>
      <w:spacing w:after="0" w:line="259" w:lineRule="auto"/>
      <w:ind w:right="0"/>
      <w:jc w:val="left"/>
      <w:outlineLvl w:val="9"/>
    </w:pPr>
    <w:rPr>
      <w:rFonts w:asciiTheme="majorHAnsi" w:eastAsiaTheme="majorEastAsia" w:hAnsiTheme="majorHAnsi" w:cstheme="majorBidi"/>
      <w:b w:val="0"/>
      <w:bCs w:val="0"/>
      <w:caps w:val="0"/>
      <w:snapToGrid/>
      <w:color w:val="2F5496" w:themeColor="accent1" w:themeShade="BF"/>
      <w:kern w:val="0"/>
      <w:sz w:val="32"/>
      <w:szCs w:val="32"/>
      <w:lang w:val="en-US"/>
    </w:rPr>
  </w:style>
  <w:style w:type="paragraph" w:customStyle="1" w:styleId="meetingname">
    <w:name w:val="meeting name"/>
    <w:basedOn w:val="Normal"/>
    <w:qFormat/>
    <w:rsid w:val="00DE347C"/>
    <w:pPr>
      <w:ind w:left="142" w:right="4218" w:hanging="142"/>
    </w:pPr>
    <w:rPr>
      <w:rFonts w:eastAsia="Times New Roman"/>
      <w:caps/>
      <w:szCs w:val="22"/>
    </w:rPr>
  </w:style>
  <w:style w:type="paragraph" w:styleId="Ttulo">
    <w:name w:val="Title"/>
    <w:basedOn w:val="Normal"/>
    <w:next w:val="Normal"/>
    <w:link w:val="TtuloCar"/>
    <w:uiPriority w:val="10"/>
    <w:qFormat/>
    <w:rsid w:val="00DE347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DE347C"/>
    <w:rPr>
      <w:rFonts w:asciiTheme="majorHAnsi" w:eastAsiaTheme="majorEastAsia" w:hAnsiTheme="majorHAnsi" w:cstheme="majorBidi"/>
      <w:color w:val="323E4F" w:themeColor="text2" w:themeShade="BF"/>
      <w:spacing w:val="5"/>
      <w:kern w:val="28"/>
      <w:sz w:val="52"/>
      <w:szCs w:val="52"/>
      <w:lang w:val="en-GB"/>
    </w:rPr>
  </w:style>
  <w:style w:type="paragraph" w:styleId="Subttulo">
    <w:name w:val="Subtitle"/>
    <w:basedOn w:val="Normal"/>
    <w:next w:val="Normal"/>
    <w:link w:val="SubttuloCar"/>
    <w:uiPriority w:val="11"/>
    <w:qFormat/>
    <w:rsid w:val="00DE347C"/>
    <w:pPr>
      <w:numPr>
        <w:ilvl w:val="1"/>
      </w:numPr>
    </w:pPr>
    <w:rPr>
      <w:rFonts w:asciiTheme="majorHAnsi" w:eastAsiaTheme="majorEastAsia" w:hAnsiTheme="majorHAnsi" w:cstheme="majorBidi"/>
      <w:i/>
      <w:iCs/>
      <w:color w:val="4472C4" w:themeColor="accent1"/>
      <w:spacing w:val="15"/>
      <w:sz w:val="24"/>
    </w:rPr>
  </w:style>
  <w:style w:type="character" w:customStyle="1" w:styleId="SubttuloCar">
    <w:name w:val="Subtítulo Car"/>
    <w:basedOn w:val="Fuentedeprrafopredeter"/>
    <w:link w:val="Subttulo"/>
    <w:uiPriority w:val="11"/>
    <w:rsid w:val="00DE347C"/>
    <w:rPr>
      <w:rFonts w:asciiTheme="majorHAnsi" w:eastAsiaTheme="majorEastAsia" w:hAnsiTheme="majorHAnsi" w:cstheme="majorBidi"/>
      <w:i/>
      <w:iCs/>
      <w:color w:val="4472C4" w:themeColor="accent1"/>
      <w:spacing w:val="15"/>
      <w:sz w:val="24"/>
      <w:szCs w:val="24"/>
      <w:lang w:val="en-GB"/>
    </w:rPr>
  </w:style>
  <w:style w:type="paragraph" w:customStyle="1" w:styleId="Para-decision">
    <w:name w:val="Para-decision"/>
    <w:basedOn w:val="Normal"/>
    <w:rsid w:val="00DE347C"/>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rFonts w:eastAsia="Times New Roman"/>
      <w:color w:val="000000"/>
    </w:rPr>
  </w:style>
  <w:style w:type="paragraph" w:customStyle="1" w:styleId="Quotationtextindented">
    <w:name w:val="Quotation text (indented)"/>
    <w:basedOn w:val="Normal"/>
    <w:qFormat/>
    <w:rsid w:val="00DE347C"/>
    <w:pPr>
      <w:spacing w:before="120"/>
      <w:ind w:left="720" w:right="720"/>
    </w:pPr>
    <w:rPr>
      <w:rFonts w:eastAsia="Times New Roman"/>
      <w:bCs/>
    </w:rPr>
  </w:style>
  <w:style w:type="paragraph" w:customStyle="1" w:styleId="recommendationheaderlong">
    <w:name w:val="recommendation header long"/>
    <w:basedOn w:val="Heading2longmultiline"/>
    <w:qFormat/>
    <w:rsid w:val="00DE347C"/>
    <w:pPr>
      <w:suppressLineNumbers w:val="0"/>
      <w:tabs>
        <w:tab w:val="left" w:pos="720"/>
      </w:tabs>
      <w:suppressAutoHyphens w:val="0"/>
      <w:kinsoku/>
      <w:overflowPunct/>
      <w:autoSpaceDE/>
      <w:autoSpaceDN/>
    </w:pPr>
    <w:rPr>
      <w:rFonts w:ascii="Times New Roman" w:eastAsia="Times New Roman" w:hAnsi="Times New Roman" w:cs="Times New Roman"/>
      <w:bCs w:val="0"/>
      <w:snapToGrid/>
      <w:kern w:val="0"/>
      <w:szCs w:val="24"/>
    </w:rPr>
  </w:style>
  <w:style w:type="paragraph" w:customStyle="1" w:styleId="reference">
    <w:name w:val="reference"/>
    <w:basedOn w:val="Ttulo9"/>
    <w:qFormat/>
    <w:rsid w:val="00DE347C"/>
    <w:rPr>
      <w:rFonts w:eastAsia="Times New Roman"/>
      <w:i w:val="0"/>
      <w:sz w:val="18"/>
    </w:rPr>
  </w:style>
  <w:style w:type="character" w:customStyle="1" w:styleId="StyleFootnoteReferenceNounderline">
    <w:name w:val="Style Footnote Reference + No underline"/>
    <w:rsid w:val="00DE347C"/>
    <w:rPr>
      <w:sz w:val="18"/>
      <w:u w:val="none"/>
      <w:vertAlign w:val="baseline"/>
    </w:rPr>
  </w:style>
  <w:style w:type="paragraph" w:customStyle="1" w:styleId="tabletitle">
    <w:name w:val="table title"/>
    <w:basedOn w:val="Ttulo2"/>
    <w:qFormat/>
    <w:rsid w:val="00DE347C"/>
    <w:pPr>
      <w:tabs>
        <w:tab w:val="left" w:pos="720"/>
      </w:tabs>
      <w:spacing w:before="120"/>
      <w:jc w:val="left"/>
      <w:outlineLvl w:val="9"/>
    </w:pPr>
    <w:rPr>
      <w:rFonts w:eastAsia="Times New Roman"/>
      <w:i/>
      <w:snapToGrid/>
    </w:rPr>
  </w:style>
  <w:style w:type="paragraph" w:customStyle="1" w:styleId="CBD-Doc-Type">
    <w:name w:val="CBD-Doc-Type"/>
    <w:basedOn w:val="Normal"/>
    <w:rsid w:val="00DE347C"/>
    <w:pPr>
      <w:keepLines/>
      <w:spacing w:before="240"/>
    </w:pPr>
    <w:rPr>
      <w:rFonts w:eastAsia="Times New Roman" w:cs="Angsana New"/>
      <w:b/>
      <w:i/>
      <w:sz w:val="24"/>
    </w:rPr>
  </w:style>
  <w:style w:type="paragraph" w:customStyle="1" w:styleId="CBD-Doc">
    <w:name w:val="CBD-Doc"/>
    <w:basedOn w:val="Normal"/>
    <w:rsid w:val="00DE347C"/>
    <w:pPr>
      <w:keepLines/>
      <w:numPr>
        <w:numId w:val="70"/>
      </w:numPr>
    </w:pPr>
    <w:rPr>
      <w:rFonts w:eastAsia="Times New Roman" w:cs="Angsana New"/>
    </w:rPr>
  </w:style>
  <w:style w:type="paragraph" w:styleId="Epgrafe">
    <w:name w:val="caption"/>
    <w:basedOn w:val="Normal"/>
    <w:next w:val="Normal"/>
    <w:uiPriority w:val="35"/>
    <w:unhideWhenUsed/>
    <w:qFormat/>
    <w:rsid w:val="00DE347C"/>
    <w:pPr>
      <w:keepNext/>
      <w:keepLines/>
      <w:spacing w:after="200"/>
    </w:pPr>
    <w:rPr>
      <w:rFonts w:eastAsia="Times New Roman"/>
      <w:b/>
      <w:iCs/>
      <w:szCs w:val="18"/>
    </w:rPr>
  </w:style>
  <w:style w:type="paragraph" w:styleId="Sinespaciado">
    <w:name w:val="No Spacing"/>
    <w:link w:val="SinespaciadoCar"/>
    <w:uiPriority w:val="1"/>
    <w:qFormat/>
    <w:rsid w:val="00DE347C"/>
    <w:rPr>
      <w:rFonts w:ascii="Calibri" w:eastAsia="Calibri" w:hAnsi="Calibri"/>
      <w:sz w:val="22"/>
      <w:szCs w:val="22"/>
    </w:rPr>
  </w:style>
  <w:style w:type="character" w:customStyle="1" w:styleId="SinespaciadoCar">
    <w:name w:val="Sin espaciado Car"/>
    <w:basedOn w:val="Fuentedeprrafopredeter"/>
    <w:link w:val="Sinespaciado"/>
    <w:uiPriority w:val="1"/>
    <w:rsid w:val="00DE347C"/>
    <w:rPr>
      <w:rFonts w:ascii="Calibri" w:eastAsia="Calibri" w:hAnsi="Calibri"/>
      <w:sz w:val="22"/>
      <w:szCs w:val="22"/>
    </w:rPr>
  </w:style>
  <w:style w:type="paragraph" w:customStyle="1" w:styleId="xl65">
    <w:name w:val="xl65"/>
    <w:basedOn w:val="Normal"/>
    <w:rsid w:val="00DE347C"/>
    <w:pPr>
      <w:spacing w:before="100" w:beforeAutospacing="1" w:after="100" w:afterAutospacing="1"/>
      <w:jc w:val="center"/>
      <w:textAlignment w:val="center"/>
    </w:pPr>
    <w:rPr>
      <w:rFonts w:eastAsia="Times New Roman"/>
      <w:sz w:val="24"/>
      <w:lang w:val="en-CA" w:eastAsia="en-CA"/>
    </w:rPr>
  </w:style>
  <w:style w:type="paragraph" w:customStyle="1" w:styleId="xl66">
    <w:name w:val="xl66"/>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lang w:val="en-CA" w:eastAsia="en-CA"/>
    </w:rPr>
  </w:style>
  <w:style w:type="paragraph" w:customStyle="1" w:styleId="xl67">
    <w:name w:val="xl67"/>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lang w:val="en-CA" w:eastAsia="en-CA"/>
    </w:rPr>
  </w:style>
  <w:style w:type="paragraph" w:customStyle="1" w:styleId="xl68">
    <w:name w:val="xl68"/>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4"/>
      <w:lang w:val="en-CA" w:eastAsia="en-CA"/>
    </w:rPr>
  </w:style>
  <w:style w:type="paragraph" w:customStyle="1" w:styleId="xl69">
    <w:name w:val="xl69"/>
    <w:basedOn w:val="Normal"/>
    <w:rsid w:val="00DE347C"/>
    <w:pPr>
      <w:spacing w:before="100" w:beforeAutospacing="1" w:after="100" w:afterAutospacing="1"/>
      <w:jc w:val="left"/>
      <w:textAlignment w:val="center"/>
    </w:pPr>
    <w:rPr>
      <w:rFonts w:eastAsia="Times New Roman"/>
      <w:sz w:val="24"/>
      <w:lang w:val="en-CA" w:eastAsia="en-CA"/>
    </w:rPr>
  </w:style>
  <w:style w:type="paragraph" w:customStyle="1" w:styleId="xl70">
    <w:name w:val="xl70"/>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lang w:val="en-CA" w:eastAsia="en-CA"/>
    </w:rPr>
  </w:style>
  <w:style w:type="paragraph" w:customStyle="1" w:styleId="xl71">
    <w:name w:val="xl71"/>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lang w:val="en-CA" w:eastAsia="en-CA"/>
    </w:rPr>
  </w:style>
  <w:style w:type="paragraph" w:customStyle="1" w:styleId="xl72">
    <w:name w:val="xl72"/>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lang w:val="en-CA" w:eastAsia="en-CA"/>
    </w:rPr>
  </w:style>
  <w:style w:type="paragraph" w:customStyle="1" w:styleId="xl73">
    <w:name w:val="xl73"/>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lang w:val="en-CA" w:eastAsia="en-CA"/>
    </w:rPr>
  </w:style>
  <w:style w:type="paragraph" w:customStyle="1" w:styleId="xl74">
    <w:name w:val="xl74"/>
    <w:basedOn w:val="Normal"/>
    <w:rsid w:val="00DE347C"/>
    <w:pPr>
      <w:spacing w:before="100" w:beforeAutospacing="1" w:after="100" w:afterAutospacing="1"/>
      <w:jc w:val="right"/>
      <w:textAlignment w:val="center"/>
    </w:pPr>
    <w:rPr>
      <w:rFonts w:eastAsia="Times New Roman"/>
      <w:sz w:val="24"/>
      <w:lang w:val="en-CA" w:eastAsia="en-CA"/>
    </w:rPr>
  </w:style>
  <w:style w:type="paragraph" w:customStyle="1" w:styleId="xl75">
    <w:name w:val="xl75"/>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lang w:val="en-CA" w:eastAsia="en-CA"/>
    </w:rPr>
  </w:style>
  <w:style w:type="paragraph" w:customStyle="1" w:styleId="xl76">
    <w:name w:val="xl76"/>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lang w:val="en-CA" w:eastAsia="en-CA"/>
    </w:rPr>
  </w:style>
  <w:style w:type="paragraph" w:customStyle="1" w:styleId="xl77">
    <w:name w:val="xl77"/>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lang w:val="en-CA" w:eastAsia="en-CA"/>
    </w:rPr>
  </w:style>
  <w:style w:type="paragraph" w:customStyle="1" w:styleId="xl78">
    <w:name w:val="xl78"/>
    <w:basedOn w:val="Normal"/>
    <w:rsid w:val="00DE347C"/>
    <w:pPr>
      <w:spacing w:before="100" w:beforeAutospacing="1" w:after="100" w:afterAutospacing="1"/>
      <w:jc w:val="right"/>
      <w:textAlignment w:val="center"/>
    </w:pPr>
    <w:rPr>
      <w:rFonts w:eastAsia="Times New Roman"/>
      <w:sz w:val="24"/>
      <w:lang w:val="en-CA" w:eastAsia="en-CA"/>
    </w:rPr>
  </w:style>
  <w:style w:type="table" w:customStyle="1" w:styleId="TableGrid3">
    <w:name w:val="Table Grid3"/>
    <w:basedOn w:val="Tablanormal"/>
    <w:next w:val="Tablaconcuadrcula"/>
    <w:uiPriority w:val="59"/>
    <w:rsid w:val="005111BD"/>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eferred">
    <w:name w:val="preferred"/>
    <w:basedOn w:val="Fuentedeprrafopredeter"/>
    <w:rsid w:val="00341A72"/>
  </w:style>
  <w:style w:type="character" w:customStyle="1" w:styleId="UnresolvedMention">
    <w:name w:val="Unresolved Mention"/>
    <w:basedOn w:val="Fuentedeprrafopredeter"/>
    <w:uiPriority w:val="99"/>
    <w:semiHidden/>
    <w:unhideWhenUsed/>
    <w:rsid w:val="00BF3245"/>
    <w:rPr>
      <w:color w:val="605E5C"/>
      <w:shd w:val="clear" w:color="auto" w:fill="E1DFDD"/>
    </w:rPr>
  </w:style>
  <w:style w:type="paragraph" w:styleId="Encabezadodelista">
    <w:name w:val="toa heading"/>
    <w:basedOn w:val="Normal"/>
    <w:next w:val="Normal"/>
    <w:semiHidden/>
    <w:rsid w:val="00D15055"/>
    <w:pPr>
      <w:spacing w:before="120" w:after="0" w:line="240" w:lineRule="auto"/>
    </w:pPr>
    <w:rPr>
      <w:rFonts w:eastAsia="Times New Roman" w:cs="Arial"/>
      <w:b/>
      <w:bCs/>
      <w:sz w:val="24"/>
    </w:rPr>
  </w:style>
  <w:style w:type="paragraph" w:styleId="TDC4">
    <w:name w:val="toc 4"/>
    <w:basedOn w:val="Normal"/>
    <w:next w:val="Normal"/>
    <w:autoRedefine/>
    <w:semiHidden/>
    <w:rsid w:val="00D15055"/>
    <w:pPr>
      <w:spacing w:before="120" w:line="240" w:lineRule="auto"/>
      <w:ind w:left="660"/>
      <w:jc w:val="left"/>
    </w:pPr>
    <w:rPr>
      <w:rFonts w:eastAsia="Times New Roman"/>
    </w:rPr>
  </w:style>
  <w:style w:type="paragraph" w:styleId="TDC5">
    <w:name w:val="toc 5"/>
    <w:basedOn w:val="Normal"/>
    <w:next w:val="Normal"/>
    <w:autoRedefine/>
    <w:semiHidden/>
    <w:rsid w:val="00D15055"/>
    <w:pPr>
      <w:spacing w:before="120" w:line="240" w:lineRule="auto"/>
      <w:ind w:left="880"/>
      <w:jc w:val="left"/>
    </w:pPr>
    <w:rPr>
      <w:rFonts w:eastAsia="Times New Roman"/>
    </w:rPr>
  </w:style>
  <w:style w:type="paragraph" w:styleId="TDC6">
    <w:name w:val="toc 6"/>
    <w:basedOn w:val="Normal"/>
    <w:next w:val="Normal"/>
    <w:autoRedefine/>
    <w:semiHidden/>
    <w:rsid w:val="00D15055"/>
    <w:pPr>
      <w:spacing w:before="120" w:line="240" w:lineRule="auto"/>
      <w:ind w:left="1100"/>
      <w:jc w:val="left"/>
    </w:pPr>
    <w:rPr>
      <w:rFonts w:eastAsia="Times New Roman"/>
    </w:rPr>
  </w:style>
  <w:style w:type="paragraph" w:styleId="TDC7">
    <w:name w:val="toc 7"/>
    <w:basedOn w:val="Normal"/>
    <w:next w:val="Normal"/>
    <w:autoRedefine/>
    <w:semiHidden/>
    <w:rsid w:val="00D15055"/>
    <w:pPr>
      <w:spacing w:before="120" w:line="240" w:lineRule="auto"/>
      <w:ind w:left="1320"/>
      <w:jc w:val="left"/>
    </w:pPr>
    <w:rPr>
      <w:rFonts w:eastAsia="Times New Roman"/>
    </w:rPr>
  </w:style>
  <w:style w:type="paragraph" w:styleId="TDC8">
    <w:name w:val="toc 8"/>
    <w:basedOn w:val="Normal"/>
    <w:next w:val="Normal"/>
    <w:autoRedefine/>
    <w:semiHidden/>
    <w:rsid w:val="00D15055"/>
    <w:pPr>
      <w:spacing w:before="120" w:line="240" w:lineRule="auto"/>
      <w:ind w:left="1540"/>
      <w:jc w:val="left"/>
    </w:pPr>
    <w:rPr>
      <w:rFonts w:eastAsia="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81540">
      <w:bodyDiv w:val="1"/>
      <w:marLeft w:val="0"/>
      <w:marRight w:val="0"/>
      <w:marTop w:val="0"/>
      <w:marBottom w:val="0"/>
      <w:divBdr>
        <w:top w:val="none" w:sz="0" w:space="0" w:color="auto"/>
        <w:left w:val="none" w:sz="0" w:space="0" w:color="auto"/>
        <w:bottom w:val="none" w:sz="0" w:space="0" w:color="auto"/>
        <w:right w:val="none" w:sz="0" w:space="0" w:color="auto"/>
      </w:divBdr>
    </w:div>
    <w:div w:id="167063338">
      <w:bodyDiv w:val="1"/>
      <w:marLeft w:val="0"/>
      <w:marRight w:val="0"/>
      <w:marTop w:val="0"/>
      <w:marBottom w:val="0"/>
      <w:divBdr>
        <w:top w:val="none" w:sz="0" w:space="0" w:color="auto"/>
        <w:left w:val="none" w:sz="0" w:space="0" w:color="auto"/>
        <w:bottom w:val="none" w:sz="0" w:space="0" w:color="auto"/>
        <w:right w:val="none" w:sz="0" w:space="0" w:color="auto"/>
      </w:divBdr>
    </w:div>
    <w:div w:id="324479846">
      <w:bodyDiv w:val="1"/>
      <w:marLeft w:val="0"/>
      <w:marRight w:val="0"/>
      <w:marTop w:val="0"/>
      <w:marBottom w:val="0"/>
      <w:divBdr>
        <w:top w:val="none" w:sz="0" w:space="0" w:color="auto"/>
        <w:left w:val="none" w:sz="0" w:space="0" w:color="auto"/>
        <w:bottom w:val="none" w:sz="0" w:space="0" w:color="auto"/>
        <w:right w:val="none" w:sz="0" w:space="0" w:color="auto"/>
      </w:divBdr>
    </w:div>
    <w:div w:id="347876164">
      <w:bodyDiv w:val="1"/>
      <w:marLeft w:val="0"/>
      <w:marRight w:val="0"/>
      <w:marTop w:val="0"/>
      <w:marBottom w:val="0"/>
      <w:divBdr>
        <w:top w:val="none" w:sz="0" w:space="0" w:color="auto"/>
        <w:left w:val="none" w:sz="0" w:space="0" w:color="auto"/>
        <w:bottom w:val="none" w:sz="0" w:space="0" w:color="auto"/>
        <w:right w:val="none" w:sz="0" w:space="0" w:color="auto"/>
      </w:divBdr>
    </w:div>
    <w:div w:id="436995189">
      <w:bodyDiv w:val="1"/>
      <w:marLeft w:val="0"/>
      <w:marRight w:val="0"/>
      <w:marTop w:val="0"/>
      <w:marBottom w:val="0"/>
      <w:divBdr>
        <w:top w:val="none" w:sz="0" w:space="0" w:color="auto"/>
        <w:left w:val="none" w:sz="0" w:space="0" w:color="auto"/>
        <w:bottom w:val="none" w:sz="0" w:space="0" w:color="auto"/>
        <w:right w:val="none" w:sz="0" w:space="0" w:color="auto"/>
      </w:divBdr>
    </w:div>
    <w:div w:id="440145464">
      <w:bodyDiv w:val="1"/>
      <w:marLeft w:val="0"/>
      <w:marRight w:val="0"/>
      <w:marTop w:val="0"/>
      <w:marBottom w:val="0"/>
      <w:divBdr>
        <w:top w:val="none" w:sz="0" w:space="0" w:color="auto"/>
        <w:left w:val="none" w:sz="0" w:space="0" w:color="auto"/>
        <w:bottom w:val="none" w:sz="0" w:space="0" w:color="auto"/>
        <w:right w:val="none" w:sz="0" w:space="0" w:color="auto"/>
      </w:divBdr>
      <w:divsChild>
        <w:div w:id="979191531">
          <w:marLeft w:val="0"/>
          <w:marRight w:val="0"/>
          <w:marTop w:val="0"/>
          <w:marBottom w:val="0"/>
          <w:divBdr>
            <w:top w:val="none" w:sz="0" w:space="0" w:color="auto"/>
            <w:left w:val="none" w:sz="0" w:space="0" w:color="auto"/>
            <w:bottom w:val="none" w:sz="0" w:space="0" w:color="auto"/>
            <w:right w:val="none" w:sz="0" w:space="0" w:color="auto"/>
          </w:divBdr>
        </w:div>
        <w:div w:id="1101686751">
          <w:marLeft w:val="0"/>
          <w:marRight w:val="0"/>
          <w:marTop w:val="0"/>
          <w:marBottom w:val="0"/>
          <w:divBdr>
            <w:top w:val="none" w:sz="0" w:space="0" w:color="auto"/>
            <w:left w:val="none" w:sz="0" w:space="0" w:color="auto"/>
            <w:bottom w:val="none" w:sz="0" w:space="0" w:color="auto"/>
            <w:right w:val="none" w:sz="0" w:space="0" w:color="auto"/>
          </w:divBdr>
        </w:div>
        <w:div w:id="1857578198">
          <w:marLeft w:val="0"/>
          <w:marRight w:val="0"/>
          <w:marTop w:val="0"/>
          <w:marBottom w:val="0"/>
          <w:divBdr>
            <w:top w:val="none" w:sz="0" w:space="0" w:color="auto"/>
            <w:left w:val="none" w:sz="0" w:space="0" w:color="auto"/>
            <w:bottom w:val="none" w:sz="0" w:space="0" w:color="auto"/>
            <w:right w:val="none" w:sz="0" w:space="0" w:color="auto"/>
          </w:divBdr>
        </w:div>
      </w:divsChild>
    </w:div>
    <w:div w:id="459613672">
      <w:bodyDiv w:val="1"/>
      <w:marLeft w:val="0"/>
      <w:marRight w:val="0"/>
      <w:marTop w:val="0"/>
      <w:marBottom w:val="0"/>
      <w:divBdr>
        <w:top w:val="none" w:sz="0" w:space="0" w:color="auto"/>
        <w:left w:val="none" w:sz="0" w:space="0" w:color="auto"/>
        <w:bottom w:val="none" w:sz="0" w:space="0" w:color="auto"/>
        <w:right w:val="none" w:sz="0" w:space="0" w:color="auto"/>
      </w:divBdr>
    </w:div>
    <w:div w:id="526678902">
      <w:bodyDiv w:val="1"/>
      <w:marLeft w:val="0"/>
      <w:marRight w:val="0"/>
      <w:marTop w:val="0"/>
      <w:marBottom w:val="0"/>
      <w:divBdr>
        <w:top w:val="none" w:sz="0" w:space="0" w:color="auto"/>
        <w:left w:val="none" w:sz="0" w:space="0" w:color="auto"/>
        <w:bottom w:val="none" w:sz="0" w:space="0" w:color="auto"/>
        <w:right w:val="none" w:sz="0" w:space="0" w:color="auto"/>
      </w:divBdr>
    </w:div>
    <w:div w:id="555774136">
      <w:bodyDiv w:val="1"/>
      <w:marLeft w:val="0"/>
      <w:marRight w:val="0"/>
      <w:marTop w:val="0"/>
      <w:marBottom w:val="0"/>
      <w:divBdr>
        <w:top w:val="none" w:sz="0" w:space="0" w:color="auto"/>
        <w:left w:val="none" w:sz="0" w:space="0" w:color="auto"/>
        <w:bottom w:val="none" w:sz="0" w:space="0" w:color="auto"/>
        <w:right w:val="none" w:sz="0" w:space="0" w:color="auto"/>
      </w:divBdr>
    </w:div>
    <w:div w:id="707490196">
      <w:bodyDiv w:val="1"/>
      <w:marLeft w:val="0"/>
      <w:marRight w:val="0"/>
      <w:marTop w:val="0"/>
      <w:marBottom w:val="0"/>
      <w:divBdr>
        <w:top w:val="none" w:sz="0" w:space="0" w:color="auto"/>
        <w:left w:val="none" w:sz="0" w:space="0" w:color="auto"/>
        <w:bottom w:val="none" w:sz="0" w:space="0" w:color="auto"/>
        <w:right w:val="none" w:sz="0" w:space="0" w:color="auto"/>
      </w:divBdr>
      <w:divsChild>
        <w:div w:id="240334809">
          <w:marLeft w:val="0"/>
          <w:marRight w:val="0"/>
          <w:marTop w:val="0"/>
          <w:marBottom w:val="0"/>
          <w:divBdr>
            <w:top w:val="none" w:sz="0" w:space="0" w:color="auto"/>
            <w:left w:val="none" w:sz="0" w:space="0" w:color="auto"/>
            <w:bottom w:val="none" w:sz="0" w:space="0" w:color="auto"/>
            <w:right w:val="none" w:sz="0" w:space="0" w:color="auto"/>
          </w:divBdr>
        </w:div>
        <w:div w:id="413623054">
          <w:marLeft w:val="0"/>
          <w:marRight w:val="0"/>
          <w:marTop w:val="0"/>
          <w:marBottom w:val="0"/>
          <w:divBdr>
            <w:top w:val="none" w:sz="0" w:space="0" w:color="auto"/>
            <w:left w:val="none" w:sz="0" w:space="0" w:color="auto"/>
            <w:bottom w:val="none" w:sz="0" w:space="0" w:color="auto"/>
            <w:right w:val="none" w:sz="0" w:space="0" w:color="auto"/>
          </w:divBdr>
        </w:div>
        <w:div w:id="714810893">
          <w:marLeft w:val="0"/>
          <w:marRight w:val="0"/>
          <w:marTop w:val="0"/>
          <w:marBottom w:val="0"/>
          <w:divBdr>
            <w:top w:val="none" w:sz="0" w:space="0" w:color="auto"/>
            <w:left w:val="none" w:sz="0" w:space="0" w:color="auto"/>
            <w:bottom w:val="none" w:sz="0" w:space="0" w:color="auto"/>
            <w:right w:val="none" w:sz="0" w:space="0" w:color="auto"/>
          </w:divBdr>
        </w:div>
        <w:div w:id="951325657">
          <w:marLeft w:val="0"/>
          <w:marRight w:val="0"/>
          <w:marTop w:val="0"/>
          <w:marBottom w:val="0"/>
          <w:divBdr>
            <w:top w:val="none" w:sz="0" w:space="0" w:color="auto"/>
            <w:left w:val="none" w:sz="0" w:space="0" w:color="auto"/>
            <w:bottom w:val="none" w:sz="0" w:space="0" w:color="auto"/>
            <w:right w:val="none" w:sz="0" w:space="0" w:color="auto"/>
          </w:divBdr>
        </w:div>
        <w:div w:id="1141071192">
          <w:marLeft w:val="0"/>
          <w:marRight w:val="0"/>
          <w:marTop w:val="0"/>
          <w:marBottom w:val="0"/>
          <w:divBdr>
            <w:top w:val="none" w:sz="0" w:space="0" w:color="auto"/>
            <w:left w:val="none" w:sz="0" w:space="0" w:color="auto"/>
            <w:bottom w:val="none" w:sz="0" w:space="0" w:color="auto"/>
            <w:right w:val="none" w:sz="0" w:space="0" w:color="auto"/>
          </w:divBdr>
        </w:div>
        <w:div w:id="1338387509">
          <w:marLeft w:val="0"/>
          <w:marRight w:val="0"/>
          <w:marTop w:val="0"/>
          <w:marBottom w:val="0"/>
          <w:divBdr>
            <w:top w:val="none" w:sz="0" w:space="0" w:color="auto"/>
            <w:left w:val="none" w:sz="0" w:space="0" w:color="auto"/>
            <w:bottom w:val="none" w:sz="0" w:space="0" w:color="auto"/>
            <w:right w:val="none" w:sz="0" w:space="0" w:color="auto"/>
          </w:divBdr>
        </w:div>
        <w:div w:id="1875383911">
          <w:marLeft w:val="0"/>
          <w:marRight w:val="0"/>
          <w:marTop w:val="0"/>
          <w:marBottom w:val="0"/>
          <w:divBdr>
            <w:top w:val="none" w:sz="0" w:space="0" w:color="auto"/>
            <w:left w:val="none" w:sz="0" w:space="0" w:color="auto"/>
            <w:bottom w:val="none" w:sz="0" w:space="0" w:color="auto"/>
            <w:right w:val="none" w:sz="0" w:space="0" w:color="auto"/>
          </w:divBdr>
        </w:div>
        <w:div w:id="2100175031">
          <w:marLeft w:val="0"/>
          <w:marRight w:val="0"/>
          <w:marTop w:val="0"/>
          <w:marBottom w:val="0"/>
          <w:divBdr>
            <w:top w:val="none" w:sz="0" w:space="0" w:color="auto"/>
            <w:left w:val="none" w:sz="0" w:space="0" w:color="auto"/>
            <w:bottom w:val="none" w:sz="0" w:space="0" w:color="auto"/>
            <w:right w:val="none" w:sz="0" w:space="0" w:color="auto"/>
          </w:divBdr>
        </w:div>
        <w:div w:id="2138645188">
          <w:marLeft w:val="0"/>
          <w:marRight w:val="0"/>
          <w:marTop w:val="0"/>
          <w:marBottom w:val="0"/>
          <w:divBdr>
            <w:top w:val="none" w:sz="0" w:space="0" w:color="auto"/>
            <w:left w:val="none" w:sz="0" w:space="0" w:color="auto"/>
            <w:bottom w:val="none" w:sz="0" w:space="0" w:color="auto"/>
            <w:right w:val="none" w:sz="0" w:space="0" w:color="auto"/>
          </w:divBdr>
        </w:div>
      </w:divsChild>
    </w:div>
    <w:div w:id="746272118">
      <w:bodyDiv w:val="1"/>
      <w:marLeft w:val="0"/>
      <w:marRight w:val="0"/>
      <w:marTop w:val="0"/>
      <w:marBottom w:val="0"/>
      <w:divBdr>
        <w:top w:val="none" w:sz="0" w:space="0" w:color="auto"/>
        <w:left w:val="none" w:sz="0" w:space="0" w:color="auto"/>
        <w:bottom w:val="none" w:sz="0" w:space="0" w:color="auto"/>
        <w:right w:val="none" w:sz="0" w:space="0" w:color="auto"/>
      </w:divBdr>
    </w:div>
    <w:div w:id="908265621">
      <w:bodyDiv w:val="1"/>
      <w:marLeft w:val="0"/>
      <w:marRight w:val="0"/>
      <w:marTop w:val="0"/>
      <w:marBottom w:val="0"/>
      <w:divBdr>
        <w:top w:val="none" w:sz="0" w:space="0" w:color="auto"/>
        <w:left w:val="none" w:sz="0" w:space="0" w:color="auto"/>
        <w:bottom w:val="none" w:sz="0" w:space="0" w:color="auto"/>
        <w:right w:val="none" w:sz="0" w:space="0" w:color="auto"/>
      </w:divBdr>
    </w:div>
    <w:div w:id="923993222">
      <w:bodyDiv w:val="1"/>
      <w:marLeft w:val="0"/>
      <w:marRight w:val="0"/>
      <w:marTop w:val="0"/>
      <w:marBottom w:val="0"/>
      <w:divBdr>
        <w:top w:val="none" w:sz="0" w:space="0" w:color="auto"/>
        <w:left w:val="none" w:sz="0" w:space="0" w:color="auto"/>
        <w:bottom w:val="none" w:sz="0" w:space="0" w:color="auto"/>
        <w:right w:val="none" w:sz="0" w:space="0" w:color="auto"/>
      </w:divBdr>
    </w:div>
    <w:div w:id="1013872024">
      <w:bodyDiv w:val="1"/>
      <w:marLeft w:val="0"/>
      <w:marRight w:val="0"/>
      <w:marTop w:val="0"/>
      <w:marBottom w:val="0"/>
      <w:divBdr>
        <w:top w:val="none" w:sz="0" w:space="0" w:color="auto"/>
        <w:left w:val="none" w:sz="0" w:space="0" w:color="auto"/>
        <w:bottom w:val="none" w:sz="0" w:space="0" w:color="auto"/>
        <w:right w:val="none" w:sz="0" w:space="0" w:color="auto"/>
      </w:divBdr>
    </w:div>
    <w:div w:id="1039671259">
      <w:bodyDiv w:val="1"/>
      <w:marLeft w:val="0"/>
      <w:marRight w:val="0"/>
      <w:marTop w:val="0"/>
      <w:marBottom w:val="0"/>
      <w:divBdr>
        <w:top w:val="none" w:sz="0" w:space="0" w:color="auto"/>
        <w:left w:val="none" w:sz="0" w:space="0" w:color="auto"/>
        <w:bottom w:val="none" w:sz="0" w:space="0" w:color="auto"/>
        <w:right w:val="none" w:sz="0" w:space="0" w:color="auto"/>
      </w:divBdr>
    </w:div>
    <w:div w:id="1062556158">
      <w:bodyDiv w:val="1"/>
      <w:marLeft w:val="0"/>
      <w:marRight w:val="0"/>
      <w:marTop w:val="0"/>
      <w:marBottom w:val="0"/>
      <w:divBdr>
        <w:top w:val="none" w:sz="0" w:space="0" w:color="auto"/>
        <w:left w:val="none" w:sz="0" w:space="0" w:color="auto"/>
        <w:bottom w:val="none" w:sz="0" w:space="0" w:color="auto"/>
        <w:right w:val="none" w:sz="0" w:space="0" w:color="auto"/>
      </w:divBdr>
      <w:divsChild>
        <w:div w:id="309020659">
          <w:marLeft w:val="0"/>
          <w:marRight w:val="0"/>
          <w:marTop w:val="0"/>
          <w:marBottom w:val="0"/>
          <w:divBdr>
            <w:top w:val="none" w:sz="0" w:space="0" w:color="auto"/>
            <w:left w:val="none" w:sz="0" w:space="0" w:color="auto"/>
            <w:bottom w:val="none" w:sz="0" w:space="0" w:color="auto"/>
            <w:right w:val="none" w:sz="0" w:space="0" w:color="auto"/>
          </w:divBdr>
        </w:div>
        <w:div w:id="1231386503">
          <w:marLeft w:val="0"/>
          <w:marRight w:val="0"/>
          <w:marTop w:val="0"/>
          <w:marBottom w:val="0"/>
          <w:divBdr>
            <w:top w:val="none" w:sz="0" w:space="0" w:color="auto"/>
            <w:left w:val="none" w:sz="0" w:space="0" w:color="auto"/>
            <w:bottom w:val="none" w:sz="0" w:space="0" w:color="auto"/>
            <w:right w:val="none" w:sz="0" w:space="0" w:color="auto"/>
          </w:divBdr>
        </w:div>
        <w:div w:id="1640457391">
          <w:marLeft w:val="0"/>
          <w:marRight w:val="0"/>
          <w:marTop w:val="0"/>
          <w:marBottom w:val="0"/>
          <w:divBdr>
            <w:top w:val="none" w:sz="0" w:space="0" w:color="auto"/>
            <w:left w:val="none" w:sz="0" w:space="0" w:color="auto"/>
            <w:bottom w:val="none" w:sz="0" w:space="0" w:color="auto"/>
            <w:right w:val="none" w:sz="0" w:space="0" w:color="auto"/>
          </w:divBdr>
        </w:div>
      </w:divsChild>
    </w:div>
    <w:div w:id="1089350145">
      <w:bodyDiv w:val="1"/>
      <w:marLeft w:val="0"/>
      <w:marRight w:val="0"/>
      <w:marTop w:val="0"/>
      <w:marBottom w:val="0"/>
      <w:divBdr>
        <w:top w:val="none" w:sz="0" w:space="0" w:color="auto"/>
        <w:left w:val="none" w:sz="0" w:space="0" w:color="auto"/>
        <w:bottom w:val="none" w:sz="0" w:space="0" w:color="auto"/>
        <w:right w:val="none" w:sz="0" w:space="0" w:color="auto"/>
      </w:divBdr>
      <w:divsChild>
        <w:div w:id="46228549">
          <w:marLeft w:val="0"/>
          <w:marRight w:val="0"/>
          <w:marTop w:val="0"/>
          <w:marBottom w:val="0"/>
          <w:divBdr>
            <w:top w:val="none" w:sz="0" w:space="0" w:color="auto"/>
            <w:left w:val="none" w:sz="0" w:space="0" w:color="auto"/>
            <w:bottom w:val="none" w:sz="0" w:space="0" w:color="auto"/>
            <w:right w:val="none" w:sz="0" w:space="0" w:color="auto"/>
          </w:divBdr>
        </w:div>
        <w:div w:id="198126742">
          <w:marLeft w:val="0"/>
          <w:marRight w:val="0"/>
          <w:marTop w:val="0"/>
          <w:marBottom w:val="0"/>
          <w:divBdr>
            <w:top w:val="none" w:sz="0" w:space="0" w:color="auto"/>
            <w:left w:val="none" w:sz="0" w:space="0" w:color="auto"/>
            <w:bottom w:val="none" w:sz="0" w:space="0" w:color="auto"/>
            <w:right w:val="none" w:sz="0" w:space="0" w:color="auto"/>
          </w:divBdr>
        </w:div>
        <w:div w:id="505243922">
          <w:marLeft w:val="0"/>
          <w:marRight w:val="0"/>
          <w:marTop w:val="0"/>
          <w:marBottom w:val="0"/>
          <w:divBdr>
            <w:top w:val="none" w:sz="0" w:space="0" w:color="auto"/>
            <w:left w:val="none" w:sz="0" w:space="0" w:color="auto"/>
            <w:bottom w:val="none" w:sz="0" w:space="0" w:color="auto"/>
            <w:right w:val="none" w:sz="0" w:space="0" w:color="auto"/>
          </w:divBdr>
        </w:div>
        <w:div w:id="973408958">
          <w:marLeft w:val="0"/>
          <w:marRight w:val="0"/>
          <w:marTop w:val="0"/>
          <w:marBottom w:val="0"/>
          <w:divBdr>
            <w:top w:val="none" w:sz="0" w:space="0" w:color="auto"/>
            <w:left w:val="none" w:sz="0" w:space="0" w:color="auto"/>
            <w:bottom w:val="none" w:sz="0" w:space="0" w:color="auto"/>
            <w:right w:val="none" w:sz="0" w:space="0" w:color="auto"/>
          </w:divBdr>
        </w:div>
        <w:div w:id="1030492431">
          <w:marLeft w:val="0"/>
          <w:marRight w:val="0"/>
          <w:marTop w:val="0"/>
          <w:marBottom w:val="0"/>
          <w:divBdr>
            <w:top w:val="none" w:sz="0" w:space="0" w:color="auto"/>
            <w:left w:val="none" w:sz="0" w:space="0" w:color="auto"/>
            <w:bottom w:val="none" w:sz="0" w:space="0" w:color="auto"/>
            <w:right w:val="none" w:sz="0" w:space="0" w:color="auto"/>
          </w:divBdr>
        </w:div>
        <w:div w:id="1295332244">
          <w:marLeft w:val="0"/>
          <w:marRight w:val="0"/>
          <w:marTop w:val="0"/>
          <w:marBottom w:val="0"/>
          <w:divBdr>
            <w:top w:val="none" w:sz="0" w:space="0" w:color="auto"/>
            <w:left w:val="none" w:sz="0" w:space="0" w:color="auto"/>
            <w:bottom w:val="none" w:sz="0" w:space="0" w:color="auto"/>
            <w:right w:val="none" w:sz="0" w:space="0" w:color="auto"/>
          </w:divBdr>
        </w:div>
        <w:div w:id="1371611061">
          <w:marLeft w:val="0"/>
          <w:marRight w:val="0"/>
          <w:marTop w:val="0"/>
          <w:marBottom w:val="0"/>
          <w:divBdr>
            <w:top w:val="none" w:sz="0" w:space="0" w:color="auto"/>
            <w:left w:val="none" w:sz="0" w:space="0" w:color="auto"/>
            <w:bottom w:val="none" w:sz="0" w:space="0" w:color="auto"/>
            <w:right w:val="none" w:sz="0" w:space="0" w:color="auto"/>
          </w:divBdr>
        </w:div>
        <w:div w:id="2033144125">
          <w:marLeft w:val="0"/>
          <w:marRight w:val="0"/>
          <w:marTop w:val="0"/>
          <w:marBottom w:val="0"/>
          <w:divBdr>
            <w:top w:val="none" w:sz="0" w:space="0" w:color="auto"/>
            <w:left w:val="none" w:sz="0" w:space="0" w:color="auto"/>
            <w:bottom w:val="none" w:sz="0" w:space="0" w:color="auto"/>
            <w:right w:val="none" w:sz="0" w:space="0" w:color="auto"/>
          </w:divBdr>
        </w:div>
        <w:div w:id="2068841157">
          <w:marLeft w:val="0"/>
          <w:marRight w:val="0"/>
          <w:marTop w:val="0"/>
          <w:marBottom w:val="0"/>
          <w:divBdr>
            <w:top w:val="none" w:sz="0" w:space="0" w:color="auto"/>
            <w:left w:val="none" w:sz="0" w:space="0" w:color="auto"/>
            <w:bottom w:val="none" w:sz="0" w:space="0" w:color="auto"/>
            <w:right w:val="none" w:sz="0" w:space="0" w:color="auto"/>
          </w:divBdr>
        </w:div>
      </w:divsChild>
    </w:div>
    <w:div w:id="1122072251">
      <w:bodyDiv w:val="1"/>
      <w:marLeft w:val="0"/>
      <w:marRight w:val="0"/>
      <w:marTop w:val="0"/>
      <w:marBottom w:val="0"/>
      <w:divBdr>
        <w:top w:val="none" w:sz="0" w:space="0" w:color="auto"/>
        <w:left w:val="none" w:sz="0" w:space="0" w:color="auto"/>
        <w:bottom w:val="none" w:sz="0" w:space="0" w:color="auto"/>
        <w:right w:val="none" w:sz="0" w:space="0" w:color="auto"/>
      </w:divBdr>
    </w:div>
    <w:div w:id="1445420427">
      <w:bodyDiv w:val="1"/>
      <w:marLeft w:val="0"/>
      <w:marRight w:val="0"/>
      <w:marTop w:val="0"/>
      <w:marBottom w:val="0"/>
      <w:divBdr>
        <w:top w:val="none" w:sz="0" w:space="0" w:color="auto"/>
        <w:left w:val="none" w:sz="0" w:space="0" w:color="auto"/>
        <w:bottom w:val="none" w:sz="0" w:space="0" w:color="auto"/>
        <w:right w:val="none" w:sz="0" w:space="0" w:color="auto"/>
      </w:divBdr>
      <w:divsChild>
        <w:div w:id="39667130">
          <w:marLeft w:val="0"/>
          <w:marRight w:val="0"/>
          <w:marTop w:val="0"/>
          <w:marBottom w:val="0"/>
          <w:divBdr>
            <w:top w:val="none" w:sz="0" w:space="0" w:color="auto"/>
            <w:left w:val="none" w:sz="0" w:space="0" w:color="auto"/>
            <w:bottom w:val="none" w:sz="0" w:space="0" w:color="auto"/>
            <w:right w:val="none" w:sz="0" w:space="0" w:color="auto"/>
          </w:divBdr>
        </w:div>
        <w:div w:id="100148709">
          <w:marLeft w:val="0"/>
          <w:marRight w:val="0"/>
          <w:marTop w:val="0"/>
          <w:marBottom w:val="0"/>
          <w:divBdr>
            <w:top w:val="none" w:sz="0" w:space="0" w:color="auto"/>
            <w:left w:val="none" w:sz="0" w:space="0" w:color="auto"/>
            <w:bottom w:val="none" w:sz="0" w:space="0" w:color="auto"/>
            <w:right w:val="none" w:sz="0" w:space="0" w:color="auto"/>
          </w:divBdr>
        </w:div>
        <w:div w:id="106392450">
          <w:marLeft w:val="0"/>
          <w:marRight w:val="0"/>
          <w:marTop w:val="0"/>
          <w:marBottom w:val="0"/>
          <w:divBdr>
            <w:top w:val="none" w:sz="0" w:space="0" w:color="auto"/>
            <w:left w:val="none" w:sz="0" w:space="0" w:color="auto"/>
            <w:bottom w:val="none" w:sz="0" w:space="0" w:color="auto"/>
            <w:right w:val="none" w:sz="0" w:space="0" w:color="auto"/>
          </w:divBdr>
        </w:div>
        <w:div w:id="253242690">
          <w:marLeft w:val="0"/>
          <w:marRight w:val="0"/>
          <w:marTop w:val="0"/>
          <w:marBottom w:val="0"/>
          <w:divBdr>
            <w:top w:val="none" w:sz="0" w:space="0" w:color="auto"/>
            <w:left w:val="none" w:sz="0" w:space="0" w:color="auto"/>
            <w:bottom w:val="none" w:sz="0" w:space="0" w:color="auto"/>
            <w:right w:val="none" w:sz="0" w:space="0" w:color="auto"/>
          </w:divBdr>
        </w:div>
        <w:div w:id="435096842">
          <w:marLeft w:val="0"/>
          <w:marRight w:val="0"/>
          <w:marTop w:val="0"/>
          <w:marBottom w:val="0"/>
          <w:divBdr>
            <w:top w:val="none" w:sz="0" w:space="0" w:color="auto"/>
            <w:left w:val="none" w:sz="0" w:space="0" w:color="auto"/>
            <w:bottom w:val="none" w:sz="0" w:space="0" w:color="auto"/>
            <w:right w:val="none" w:sz="0" w:space="0" w:color="auto"/>
          </w:divBdr>
        </w:div>
        <w:div w:id="496071395">
          <w:marLeft w:val="0"/>
          <w:marRight w:val="0"/>
          <w:marTop w:val="0"/>
          <w:marBottom w:val="0"/>
          <w:divBdr>
            <w:top w:val="none" w:sz="0" w:space="0" w:color="auto"/>
            <w:left w:val="none" w:sz="0" w:space="0" w:color="auto"/>
            <w:bottom w:val="none" w:sz="0" w:space="0" w:color="auto"/>
            <w:right w:val="none" w:sz="0" w:space="0" w:color="auto"/>
          </w:divBdr>
        </w:div>
        <w:div w:id="703671587">
          <w:marLeft w:val="0"/>
          <w:marRight w:val="0"/>
          <w:marTop w:val="0"/>
          <w:marBottom w:val="0"/>
          <w:divBdr>
            <w:top w:val="none" w:sz="0" w:space="0" w:color="auto"/>
            <w:left w:val="none" w:sz="0" w:space="0" w:color="auto"/>
            <w:bottom w:val="none" w:sz="0" w:space="0" w:color="auto"/>
            <w:right w:val="none" w:sz="0" w:space="0" w:color="auto"/>
          </w:divBdr>
        </w:div>
        <w:div w:id="722362566">
          <w:marLeft w:val="0"/>
          <w:marRight w:val="0"/>
          <w:marTop w:val="0"/>
          <w:marBottom w:val="0"/>
          <w:divBdr>
            <w:top w:val="none" w:sz="0" w:space="0" w:color="auto"/>
            <w:left w:val="none" w:sz="0" w:space="0" w:color="auto"/>
            <w:bottom w:val="none" w:sz="0" w:space="0" w:color="auto"/>
            <w:right w:val="none" w:sz="0" w:space="0" w:color="auto"/>
          </w:divBdr>
        </w:div>
        <w:div w:id="830366419">
          <w:marLeft w:val="0"/>
          <w:marRight w:val="0"/>
          <w:marTop w:val="0"/>
          <w:marBottom w:val="0"/>
          <w:divBdr>
            <w:top w:val="none" w:sz="0" w:space="0" w:color="auto"/>
            <w:left w:val="none" w:sz="0" w:space="0" w:color="auto"/>
            <w:bottom w:val="none" w:sz="0" w:space="0" w:color="auto"/>
            <w:right w:val="none" w:sz="0" w:space="0" w:color="auto"/>
          </w:divBdr>
        </w:div>
        <w:div w:id="831993211">
          <w:marLeft w:val="0"/>
          <w:marRight w:val="0"/>
          <w:marTop w:val="0"/>
          <w:marBottom w:val="0"/>
          <w:divBdr>
            <w:top w:val="none" w:sz="0" w:space="0" w:color="auto"/>
            <w:left w:val="none" w:sz="0" w:space="0" w:color="auto"/>
            <w:bottom w:val="none" w:sz="0" w:space="0" w:color="auto"/>
            <w:right w:val="none" w:sz="0" w:space="0" w:color="auto"/>
          </w:divBdr>
        </w:div>
        <w:div w:id="851069272">
          <w:marLeft w:val="0"/>
          <w:marRight w:val="0"/>
          <w:marTop w:val="0"/>
          <w:marBottom w:val="0"/>
          <w:divBdr>
            <w:top w:val="none" w:sz="0" w:space="0" w:color="auto"/>
            <w:left w:val="none" w:sz="0" w:space="0" w:color="auto"/>
            <w:bottom w:val="none" w:sz="0" w:space="0" w:color="auto"/>
            <w:right w:val="none" w:sz="0" w:space="0" w:color="auto"/>
          </w:divBdr>
        </w:div>
        <w:div w:id="896866410">
          <w:marLeft w:val="0"/>
          <w:marRight w:val="0"/>
          <w:marTop w:val="0"/>
          <w:marBottom w:val="0"/>
          <w:divBdr>
            <w:top w:val="none" w:sz="0" w:space="0" w:color="auto"/>
            <w:left w:val="none" w:sz="0" w:space="0" w:color="auto"/>
            <w:bottom w:val="none" w:sz="0" w:space="0" w:color="auto"/>
            <w:right w:val="none" w:sz="0" w:space="0" w:color="auto"/>
          </w:divBdr>
        </w:div>
        <w:div w:id="922109688">
          <w:marLeft w:val="0"/>
          <w:marRight w:val="0"/>
          <w:marTop w:val="0"/>
          <w:marBottom w:val="0"/>
          <w:divBdr>
            <w:top w:val="none" w:sz="0" w:space="0" w:color="auto"/>
            <w:left w:val="none" w:sz="0" w:space="0" w:color="auto"/>
            <w:bottom w:val="none" w:sz="0" w:space="0" w:color="auto"/>
            <w:right w:val="none" w:sz="0" w:space="0" w:color="auto"/>
          </w:divBdr>
        </w:div>
        <w:div w:id="960190405">
          <w:marLeft w:val="0"/>
          <w:marRight w:val="0"/>
          <w:marTop w:val="0"/>
          <w:marBottom w:val="0"/>
          <w:divBdr>
            <w:top w:val="none" w:sz="0" w:space="0" w:color="auto"/>
            <w:left w:val="none" w:sz="0" w:space="0" w:color="auto"/>
            <w:bottom w:val="none" w:sz="0" w:space="0" w:color="auto"/>
            <w:right w:val="none" w:sz="0" w:space="0" w:color="auto"/>
          </w:divBdr>
        </w:div>
        <w:div w:id="966544037">
          <w:marLeft w:val="0"/>
          <w:marRight w:val="0"/>
          <w:marTop w:val="0"/>
          <w:marBottom w:val="0"/>
          <w:divBdr>
            <w:top w:val="none" w:sz="0" w:space="0" w:color="auto"/>
            <w:left w:val="none" w:sz="0" w:space="0" w:color="auto"/>
            <w:bottom w:val="none" w:sz="0" w:space="0" w:color="auto"/>
            <w:right w:val="none" w:sz="0" w:space="0" w:color="auto"/>
          </w:divBdr>
        </w:div>
        <w:div w:id="1018239926">
          <w:marLeft w:val="0"/>
          <w:marRight w:val="0"/>
          <w:marTop w:val="0"/>
          <w:marBottom w:val="0"/>
          <w:divBdr>
            <w:top w:val="none" w:sz="0" w:space="0" w:color="auto"/>
            <w:left w:val="none" w:sz="0" w:space="0" w:color="auto"/>
            <w:bottom w:val="none" w:sz="0" w:space="0" w:color="auto"/>
            <w:right w:val="none" w:sz="0" w:space="0" w:color="auto"/>
          </w:divBdr>
        </w:div>
        <w:div w:id="1164201857">
          <w:marLeft w:val="0"/>
          <w:marRight w:val="0"/>
          <w:marTop w:val="0"/>
          <w:marBottom w:val="0"/>
          <w:divBdr>
            <w:top w:val="none" w:sz="0" w:space="0" w:color="auto"/>
            <w:left w:val="none" w:sz="0" w:space="0" w:color="auto"/>
            <w:bottom w:val="none" w:sz="0" w:space="0" w:color="auto"/>
            <w:right w:val="none" w:sz="0" w:space="0" w:color="auto"/>
          </w:divBdr>
        </w:div>
        <w:div w:id="1266306293">
          <w:marLeft w:val="0"/>
          <w:marRight w:val="0"/>
          <w:marTop w:val="0"/>
          <w:marBottom w:val="0"/>
          <w:divBdr>
            <w:top w:val="none" w:sz="0" w:space="0" w:color="auto"/>
            <w:left w:val="none" w:sz="0" w:space="0" w:color="auto"/>
            <w:bottom w:val="none" w:sz="0" w:space="0" w:color="auto"/>
            <w:right w:val="none" w:sz="0" w:space="0" w:color="auto"/>
          </w:divBdr>
        </w:div>
        <w:div w:id="1404332829">
          <w:marLeft w:val="0"/>
          <w:marRight w:val="0"/>
          <w:marTop w:val="0"/>
          <w:marBottom w:val="0"/>
          <w:divBdr>
            <w:top w:val="none" w:sz="0" w:space="0" w:color="auto"/>
            <w:left w:val="none" w:sz="0" w:space="0" w:color="auto"/>
            <w:bottom w:val="none" w:sz="0" w:space="0" w:color="auto"/>
            <w:right w:val="none" w:sz="0" w:space="0" w:color="auto"/>
          </w:divBdr>
        </w:div>
        <w:div w:id="1697848418">
          <w:marLeft w:val="0"/>
          <w:marRight w:val="0"/>
          <w:marTop w:val="0"/>
          <w:marBottom w:val="0"/>
          <w:divBdr>
            <w:top w:val="none" w:sz="0" w:space="0" w:color="auto"/>
            <w:left w:val="none" w:sz="0" w:space="0" w:color="auto"/>
            <w:bottom w:val="none" w:sz="0" w:space="0" w:color="auto"/>
            <w:right w:val="none" w:sz="0" w:space="0" w:color="auto"/>
          </w:divBdr>
        </w:div>
        <w:div w:id="1714648015">
          <w:marLeft w:val="0"/>
          <w:marRight w:val="0"/>
          <w:marTop w:val="0"/>
          <w:marBottom w:val="0"/>
          <w:divBdr>
            <w:top w:val="none" w:sz="0" w:space="0" w:color="auto"/>
            <w:left w:val="none" w:sz="0" w:space="0" w:color="auto"/>
            <w:bottom w:val="none" w:sz="0" w:space="0" w:color="auto"/>
            <w:right w:val="none" w:sz="0" w:space="0" w:color="auto"/>
          </w:divBdr>
        </w:div>
        <w:div w:id="2126269974">
          <w:marLeft w:val="0"/>
          <w:marRight w:val="0"/>
          <w:marTop w:val="0"/>
          <w:marBottom w:val="0"/>
          <w:divBdr>
            <w:top w:val="none" w:sz="0" w:space="0" w:color="auto"/>
            <w:left w:val="none" w:sz="0" w:space="0" w:color="auto"/>
            <w:bottom w:val="none" w:sz="0" w:space="0" w:color="auto"/>
            <w:right w:val="none" w:sz="0" w:space="0" w:color="auto"/>
          </w:divBdr>
        </w:div>
      </w:divsChild>
    </w:div>
    <w:div w:id="1458909429">
      <w:bodyDiv w:val="1"/>
      <w:marLeft w:val="0"/>
      <w:marRight w:val="0"/>
      <w:marTop w:val="0"/>
      <w:marBottom w:val="0"/>
      <w:divBdr>
        <w:top w:val="none" w:sz="0" w:space="0" w:color="auto"/>
        <w:left w:val="none" w:sz="0" w:space="0" w:color="auto"/>
        <w:bottom w:val="none" w:sz="0" w:space="0" w:color="auto"/>
        <w:right w:val="none" w:sz="0" w:space="0" w:color="auto"/>
      </w:divBdr>
    </w:div>
    <w:div w:id="1570193094">
      <w:bodyDiv w:val="1"/>
      <w:marLeft w:val="0"/>
      <w:marRight w:val="0"/>
      <w:marTop w:val="0"/>
      <w:marBottom w:val="0"/>
      <w:divBdr>
        <w:top w:val="none" w:sz="0" w:space="0" w:color="auto"/>
        <w:left w:val="none" w:sz="0" w:space="0" w:color="auto"/>
        <w:bottom w:val="none" w:sz="0" w:space="0" w:color="auto"/>
        <w:right w:val="none" w:sz="0" w:space="0" w:color="auto"/>
      </w:divBdr>
      <w:divsChild>
        <w:div w:id="618803363">
          <w:marLeft w:val="0"/>
          <w:marRight w:val="0"/>
          <w:marTop w:val="0"/>
          <w:marBottom w:val="0"/>
          <w:divBdr>
            <w:top w:val="none" w:sz="0" w:space="0" w:color="auto"/>
            <w:left w:val="none" w:sz="0" w:space="0" w:color="auto"/>
            <w:bottom w:val="none" w:sz="0" w:space="0" w:color="auto"/>
            <w:right w:val="none" w:sz="0" w:space="0" w:color="auto"/>
          </w:divBdr>
          <w:divsChild>
            <w:div w:id="468329846">
              <w:marLeft w:val="0"/>
              <w:marRight w:val="0"/>
              <w:marTop w:val="0"/>
              <w:marBottom w:val="0"/>
              <w:divBdr>
                <w:top w:val="none" w:sz="0" w:space="0" w:color="auto"/>
                <w:left w:val="none" w:sz="0" w:space="0" w:color="auto"/>
                <w:bottom w:val="none" w:sz="0" w:space="0" w:color="auto"/>
                <w:right w:val="none" w:sz="0" w:space="0" w:color="auto"/>
              </w:divBdr>
              <w:divsChild>
                <w:div w:id="17329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00914">
      <w:bodyDiv w:val="1"/>
      <w:marLeft w:val="0"/>
      <w:marRight w:val="0"/>
      <w:marTop w:val="0"/>
      <w:marBottom w:val="0"/>
      <w:divBdr>
        <w:top w:val="none" w:sz="0" w:space="0" w:color="auto"/>
        <w:left w:val="none" w:sz="0" w:space="0" w:color="auto"/>
        <w:bottom w:val="none" w:sz="0" w:space="0" w:color="auto"/>
        <w:right w:val="none" w:sz="0" w:space="0" w:color="auto"/>
      </w:divBdr>
    </w:div>
    <w:div w:id="1715226129">
      <w:bodyDiv w:val="1"/>
      <w:marLeft w:val="0"/>
      <w:marRight w:val="0"/>
      <w:marTop w:val="0"/>
      <w:marBottom w:val="0"/>
      <w:divBdr>
        <w:top w:val="none" w:sz="0" w:space="0" w:color="auto"/>
        <w:left w:val="none" w:sz="0" w:space="0" w:color="auto"/>
        <w:bottom w:val="none" w:sz="0" w:space="0" w:color="auto"/>
        <w:right w:val="none" w:sz="0" w:space="0" w:color="auto"/>
      </w:divBdr>
    </w:div>
    <w:div w:id="1800877993">
      <w:bodyDiv w:val="1"/>
      <w:marLeft w:val="0"/>
      <w:marRight w:val="0"/>
      <w:marTop w:val="0"/>
      <w:marBottom w:val="0"/>
      <w:divBdr>
        <w:top w:val="none" w:sz="0" w:space="0" w:color="auto"/>
        <w:left w:val="none" w:sz="0" w:space="0" w:color="auto"/>
        <w:bottom w:val="none" w:sz="0" w:space="0" w:color="auto"/>
        <w:right w:val="none" w:sz="0" w:space="0" w:color="auto"/>
      </w:divBdr>
      <w:divsChild>
        <w:div w:id="16589645">
          <w:marLeft w:val="0"/>
          <w:marRight w:val="0"/>
          <w:marTop w:val="0"/>
          <w:marBottom w:val="0"/>
          <w:divBdr>
            <w:top w:val="none" w:sz="0" w:space="0" w:color="auto"/>
            <w:left w:val="none" w:sz="0" w:space="0" w:color="auto"/>
            <w:bottom w:val="none" w:sz="0" w:space="0" w:color="auto"/>
            <w:right w:val="none" w:sz="0" w:space="0" w:color="auto"/>
          </w:divBdr>
        </w:div>
        <w:div w:id="28188767">
          <w:marLeft w:val="0"/>
          <w:marRight w:val="0"/>
          <w:marTop w:val="0"/>
          <w:marBottom w:val="0"/>
          <w:divBdr>
            <w:top w:val="none" w:sz="0" w:space="0" w:color="auto"/>
            <w:left w:val="none" w:sz="0" w:space="0" w:color="auto"/>
            <w:bottom w:val="none" w:sz="0" w:space="0" w:color="auto"/>
            <w:right w:val="none" w:sz="0" w:space="0" w:color="auto"/>
          </w:divBdr>
        </w:div>
        <w:div w:id="171340101">
          <w:marLeft w:val="0"/>
          <w:marRight w:val="0"/>
          <w:marTop w:val="0"/>
          <w:marBottom w:val="0"/>
          <w:divBdr>
            <w:top w:val="none" w:sz="0" w:space="0" w:color="auto"/>
            <w:left w:val="none" w:sz="0" w:space="0" w:color="auto"/>
            <w:bottom w:val="none" w:sz="0" w:space="0" w:color="auto"/>
            <w:right w:val="none" w:sz="0" w:space="0" w:color="auto"/>
          </w:divBdr>
        </w:div>
        <w:div w:id="185293932">
          <w:marLeft w:val="0"/>
          <w:marRight w:val="0"/>
          <w:marTop w:val="0"/>
          <w:marBottom w:val="0"/>
          <w:divBdr>
            <w:top w:val="none" w:sz="0" w:space="0" w:color="auto"/>
            <w:left w:val="none" w:sz="0" w:space="0" w:color="auto"/>
            <w:bottom w:val="none" w:sz="0" w:space="0" w:color="auto"/>
            <w:right w:val="none" w:sz="0" w:space="0" w:color="auto"/>
          </w:divBdr>
        </w:div>
        <w:div w:id="287707528">
          <w:marLeft w:val="0"/>
          <w:marRight w:val="0"/>
          <w:marTop w:val="0"/>
          <w:marBottom w:val="0"/>
          <w:divBdr>
            <w:top w:val="none" w:sz="0" w:space="0" w:color="auto"/>
            <w:left w:val="none" w:sz="0" w:space="0" w:color="auto"/>
            <w:bottom w:val="none" w:sz="0" w:space="0" w:color="auto"/>
            <w:right w:val="none" w:sz="0" w:space="0" w:color="auto"/>
          </w:divBdr>
        </w:div>
        <w:div w:id="329141429">
          <w:marLeft w:val="0"/>
          <w:marRight w:val="0"/>
          <w:marTop w:val="0"/>
          <w:marBottom w:val="0"/>
          <w:divBdr>
            <w:top w:val="none" w:sz="0" w:space="0" w:color="auto"/>
            <w:left w:val="none" w:sz="0" w:space="0" w:color="auto"/>
            <w:bottom w:val="none" w:sz="0" w:space="0" w:color="auto"/>
            <w:right w:val="none" w:sz="0" w:space="0" w:color="auto"/>
          </w:divBdr>
        </w:div>
        <w:div w:id="657616311">
          <w:marLeft w:val="0"/>
          <w:marRight w:val="0"/>
          <w:marTop w:val="0"/>
          <w:marBottom w:val="0"/>
          <w:divBdr>
            <w:top w:val="none" w:sz="0" w:space="0" w:color="auto"/>
            <w:left w:val="none" w:sz="0" w:space="0" w:color="auto"/>
            <w:bottom w:val="none" w:sz="0" w:space="0" w:color="auto"/>
            <w:right w:val="none" w:sz="0" w:space="0" w:color="auto"/>
          </w:divBdr>
        </w:div>
        <w:div w:id="690641127">
          <w:marLeft w:val="0"/>
          <w:marRight w:val="0"/>
          <w:marTop w:val="0"/>
          <w:marBottom w:val="0"/>
          <w:divBdr>
            <w:top w:val="none" w:sz="0" w:space="0" w:color="auto"/>
            <w:left w:val="none" w:sz="0" w:space="0" w:color="auto"/>
            <w:bottom w:val="none" w:sz="0" w:space="0" w:color="auto"/>
            <w:right w:val="none" w:sz="0" w:space="0" w:color="auto"/>
          </w:divBdr>
        </w:div>
        <w:div w:id="740640594">
          <w:marLeft w:val="0"/>
          <w:marRight w:val="0"/>
          <w:marTop w:val="0"/>
          <w:marBottom w:val="0"/>
          <w:divBdr>
            <w:top w:val="none" w:sz="0" w:space="0" w:color="auto"/>
            <w:left w:val="none" w:sz="0" w:space="0" w:color="auto"/>
            <w:bottom w:val="none" w:sz="0" w:space="0" w:color="auto"/>
            <w:right w:val="none" w:sz="0" w:space="0" w:color="auto"/>
          </w:divBdr>
        </w:div>
        <w:div w:id="806898832">
          <w:marLeft w:val="0"/>
          <w:marRight w:val="0"/>
          <w:marTop w:val="0"/>
          <w:marBottom w:val="0"/>
          <w:divBdr>
            <w:top w:val="none" w:sz="0" w:space="0" w:color="auto"/>
            <w:left w:val="none" w:sz="0" w:space="0" w:color="auto"/>
            <w:bottom w:val="none" w:sz="0" w:space="0" w:color="auto"/>
            <w:right w:val="none" w:sz="0" w:space="0" w:color="auto"/>
          </w:divBdr>
        </w:div>
        <w:div w:id="1090850058">
          <w:marLeft w:val="0"/>
          <w:marRight w:val="0"/>
          <w:marTop w:val="0"/>
          <w:marBottom w:val="0"/>
          <w:divBdr>
            <w:top w:val="none" w:sz="0" w:space="0" w:color="auto"/>
            <w:left w:val="none" w:sz="0" w:space="0" w:color="auto"/>
            <w:bottom w:val="none" w:sz="0" w:space="0" w:color="auto"/>
            <w:right w:val="none" w:sz="0" w:space="0" w:color="auto"/>
          </w:divBdr>
        </w:div>
        <w:div w:id="1113553505">
          <w:marLeft w:val="0"/>
          <w:marRight w:val="0"/>
          <w:marTop w:val="0"/>
          <w:marBottom w:val="0"/>
          <w:divBdr>
            <w:top w:val="none" w:sz="0" w:space="0" w:color="auto"/>
            <w:left w:val="none" w:sz="0" w:space="0" w:color="auto"/>
            <w:bottom w:val="none" w:sz="0" w:space="0" w:color="auto"/>
            <w:right w:val="none" w:sz="0" w:space="0" w:color="auto"/>
          </w:divBdr>
        </w:div>
        <w:div w:id="1440956063">
          <w:marLeft w:val="0"/>
          <w:marRight w:val="0"/>
          <w:marTop w:val="0"/>
          <w:marBottom w:val="0"/>
          <w:divBdr>
            <w:top w:val="none" w:sz="0" w:space="0" w:color="auto"/>
            <w:left w:val="none" w:sz="0" w:space="0" w:color="auto"/>
            <w:bottom w:val="none" w:sz="0" w:space="0" w:color="auto"/>
            <w:right w:val="none" w:sz="0" w:space="0" w:color="auto"/>
          </w:divBdr>
        </w:div>
        <w:div w:id="1522084803">
          <w:marLeft w:val="0"/>
          <w:marRight w:val="0"/>
          <w:marTop w:val="0"/>
          <w:marBottom w:val="0"/>
          <w:divBdr>
            <w:top w:val="none" w:sz="0" w:space="0" w:color="auto"/>
            <w:left w:val="none" w:sz="0" w:space="0" w:color="auto"/>
            <w:bottom w:val="none" w:sz="0" w:space="0" w:color="auto"/>
            <w:right w:val="none" w:sz="0" w:space="0" w:color="auto"/>
          </w:divBdr>
        </w:div>
        <w:div w:id="1622148374">
          <w:marLeft w:val="0"/>
          <w:marRight w:val="0"/>
          <w:marTop w:val="0"/>
          <w:marBottom w:val="0"/>
          <w:divBdr>
            <w:top w:val="none" w:sz="0" w:space="0" w:color="auto"/>
            <w:left w:val="none" w:sz="0" w:space="0" w:color="auto"/>
            <w:bottom w:val="none" w:sz="0" w:space="0" w:color="auto"/>
            <w:right w:val="none" w:sz="0" w:space="0" w:color="auto"/>
          </w:divBdr>
        </w:div>
        <w:div w:id="1828131047">
          <w:marLeft w:val="0"/>
          <w:marRight w:val="0"/>
          <w:marTop w:val="0"/>
          <w:marBottom w:val="0"/>
          <w:divBdr>
            <w:top w:val="none" w:sz="0" w:space="0" w:color="auto"/>
            <w:left w:val="none" w:sz="0" w:space="0" w:color="auto"/>
            <w:bottom w:val="none" w:sz="0" w:space="0" w:color="auto"/>
            <w:right w:val="none" w:sz="0" w:space="0" w:color="auto"/>
          </w:divBdr>
        </w:div>
        <w:div w:id="1896962562">
          <w:marLeft w:val="0"/>
          <w:marRight w:val="0"/>
          <w:marTop w:val="0"/>
          <w:marBottom w:val="0"/>
          <w:divBdr>
            <w:top w:val="none" w:sz="0" w:space="0" w:color="auto"/>
            <w:left w:val="none" w:sz="0" w:space="0" w:color="auto"/>
            <w:bottom w:val="none" w:sz="0" w:space="0" w:color="auto"/>
            <w:right w:val="none" w:sz="0" w:space="0" w:color="auto"/>
          </w:divBdr>
        </w:div>
        <w:div w:id="1948349915">
          <w:marLeft w:val="0"/>
          <w:marRight w:val="0"/>
          <w:marTop w:val="0"/>
          <w:marBottom w:val="0"/>
          <w:divBdr>
            <w:top w:val="none" w:sz="0" w:space="0" w:color="auto"/>
            <w:left w:val="none" w:sz="0" w:space="0" w:color="auto"/>
            <w:bottom w:val="none" w:sz="0" w:space="0" w:color="auto"/>
            <w:right w:val="none" w:sz="0" w:space="0" w:color="auto"/>
          </w:divBdr>
        </w:div>
        <w:div w:id="1967350724">
          <w:marLeft w:val="0"/>
          <w:marRight w:val="0"/>
          <w:marTop w:val="0"/>
          <w:marBottom w:val="0"/>
          <w:divBdr>
            <w:top w:val="none" w:sz="0" w:space="0" w:color="auto"/>
            <w:left w:val="none" w:sz="0" w:space="0" w:color="auto"/>
            <w:bottom w:val="none" w:sz="0" w:space="0" w:color="auto"/>
            <w:right w:val="none" w:sz="0" w:space="0" w:color="auto"/>
          </w:divBdr>
        </w:div>
        <w:div w:id="2068335969">
          <w:marLeft w:val="0"/>
          <w:marRight w:val="0"/>
          <w:marTop w:val="0"/>
          <w:marBottom w:val="0"/>
          <w:divBdr>
            <w:top w:val="none" w:sz="0" w:space="0" w:color="auto"/>
            <w:left w:val="none" w:sz="0" w:space="0" w:color="auto"/>
            <w:bottom w:val="none" w:sz="0" w:space="0" w:color="auto"/>
            <w:right w:val="none" w:sz="0" w:space="0" w:color="auto"/>
          </w:divBdr>
        </w:div>
        <w:div w:id="2109570874">
          <w:marLeft w:val="0"/>
          <w:marRight w:val="0"/>
          <w:marTop w:val="0"/>
          <w:marBottom w:val="0"/>
          <w:divBdr>
            <w:top w:val="none" w:sz="0" w:space="0" w:color="auto"/>
            <w:left w:val="none" w:sz="0" w:space="0" w:color="auto"/>
            <w:bottom w:val="none" w:sz="0" w:space="0" w:color="auto"/>
            <w:right w:val="none" w:sz="0" w:space="0" w:color="auto"/>
          </w:divBdr>
        </w:div>
        <w:div w:id="2125077132">
          <w:marLeft w:val="0"/>
          <w:marRight w:val="0"/>
          <w:marTop w:val="0"/>
          <w:marBottom w:val="0"/>
          <w:divBdr>
            <w:top w:val="none" w:sz="0" w:space="0" w:color="auto"/>
            <w:left w:val="none" w:sz="0" w:space="0" w:color="auto"/>
            <w:bottom w:val="none" w:sz="0" w:space="0" w:color="auto"/>
            <w:right w:val="none" w:sz="0" w:space="0" w:color="auto"/>
          </w:divBdr>
        </w:div>
      </w:divsChild>
    </w:div>
    <w:div w:id="1861430040">
      <w:bodyDiv w:val="1"/>
      <w:marLeft w:val="0"/>
      <w:marRight w:val="0"/>
      <w:marTop w:val="0"/>
      <w:marBottom w:val="0"/>
      <w:divBdr>
        <w:top w:val="none" w:sz="0" w:space="0" w:color="auto"/>
        <w:left w:val="none" w:sz="0" w:space="0" w:color="auto"/>
        <w:bottom w:val="none" w:sz="0" w:space="0" w:color="auto"/>
        <w:right w:val="none" w:sz="0" w:space="0" w:color="auto"/>
      </w:divBdr>
    </w:div>
    <w:div w:id="1883707493">
      <w:bodyDiv w:val="1"/>
      <w:marLeft w:val="0"/>
      <w:marRight w:val="0"/>
      <w:marTop w:val="0"/>
      <w:marBottom w:val="0"/>
      <w:divBdr>
        <w:top w:val="none" w:sz="0" w:space="0" w:color="auto"/>
        <w:left w:val="none" w:sz="0" w:space="0" w:color="auto"/>
        <w:bottom w:val="none" w:sz="0" w:space="0" w:color="auto"/>
        <w:right w:val="none" w:sz="0" w:space="0" w:color="auto"/>
      </w:divBdr>
      <w:divsChild>
        <w:div w:id="624190990">
          <w:marLeft w:val="0"/>
          <w:marRight w:val="0"/>
          <w:marTop w:val="0"/>
          <w:marBottom w:val="0"/>
          <w:divBdr>
            <w:top w:val="none" w:sz="0" w:space="0" w:color="auto"/>
            <w:left w:val="none" w:sz="0" w:space="0" w:color="auto"/>
            <w:bottom w:val="none" w:sz="0" w:space="0" w:color="auto"/>
            <w:right w:val="none" w:sz="0" w:space="0" w:color="auto"/>
          </w:divBdr>
        </w:div>
        <w:div w:id="971248666">
          <w:marLeft w:val="0"/>
          <w:marRight w:val="0"/>
          <w:marTop w:val="0"/>
          <w:marBottom w:val="0"/>
          <w:divBdr>
            <w:top w:val="none" w:sz="0" w:space="0" w:color="auto"/>
            <w:left w:val="none" w:sz="0" w:space="0" w:color="auto"/>
            <w:bottom w:val="none" w:sz="0" w:space="0" w:color="auto"/>
            <w:right w:val="none" w:sz="0" w:space="0" w:color="auto"/>
          </w:divBdr>
        </w:div>
        <w:div w:id="1194079022">
          <w:marLeft w:val="0"/>
          <w:marRight w:val="0"/>
          <w:marTop w:val="0"/>
          <w:marBottom w:val="0"/>
          <w:divBdr>
            <w:top w:val="none" w:sz="0" w:space="0" w:color="auto"/>
            <w:left w:val="none" w:sz="0" w:space="0" w:color="auto"/>
            <w:bottom w:val="none" w:sz="0" w:space="0" w:color="auto"/>
            <w:right w:val="none" w:sz="0" w:space="0" w:color="auto"/>
          </w:divBdr>
        </w:div>
      </w:divsChild>
    </w:div>
    <w:div w:id="1963732442">
      <w:bodyDiv w:val="1"/>
      <w:marLeft w:val="0"/>
      <w:marRight w:val="0"/>
      <w:marTop w:val="0"/>
      <w:marBottom w:val="0"/>
      <w:divBdr>
        <w:top w:val="none" w:sz="0" w:space="0" w:color="auto"/>
        <w:left w:val="none" w:sz="0" w:space="0" w:color="auto"/>
        <w:bottom w:val="none" w:sz="0" w:space="0" w:color="auto"/>
        <w:right w:val="none" w:sz="0" w:space="0" w:color="auto"/>
      </w:divBdr>
    </w:div>
    <w:div w:id="1969049096">
      <w:bodyDiv w:val="1"/>
      <w:marLeft w:val="0"/>
      <w:marRight w:val="0"/>
      <w:marTop w:val="0"/>
      <w:marBottom w:val="0"/>
      <w:divBdr>
        <w:top w:val="none" w:sz="0" w:space="0" w:color="auto"/>
        <w:left w:val="none" w:sz="0" w:space="0" w:color="auto"/>
        <w:bottom w:val="none" w:sz="0" w:space="0" w:color="auto"/>
        <w:right w:val="none" w:sz="0" w:space="0" w:color="auto"/>
      </w:divBdr>
    </w:div>
    <w:div w:id="1988583960">
      <w:bodyDiv w:val="1"/>
      <w:marLeft w:val="0"/>
      <w:marRight w:val="0"/>
      <w:marTop w:val="0"/>
      <w:marBottom w:val="0"/>
      <w:divBdr>
        <w:top w:val="none" w:sz="0" w:space="0" w:color="auto"/>
        <w:left w:val="none" w:sz="0" w:space="0" w:color="auto"/>
        <w:bottom w:val="none" w:sz="0" w:space="0" w:color="auto"/>
        <w:right w:val="none" w:sz="0" w:space="0" w:color="auto"/>
      </w:divBdr>
    </w:div>
    <w:div w:id="2132705068">
      <w:bodyDiv w:val="1"/>
      <w:marLeft w:val="0"/>
      <w:marRight w:val="0"/>
      <w:marTop w:val="0"/>
      <w:marBottom w:val="0"/>
      <w:divBdr>
        <w:top w:val="none" w:sz="0" w:space="0" w:color="auto"/>
        <w:left w:val="none" w:sz="0" w:space="0" w:color="auto"/>
        <w:bottom w:val="none" w:sz="0" w:space="0" w:color="auto"/>
        <w:right w:val="none" w:sz="0" w:space="0" w:color="auto"/>
      </w:divBdr>
      <w:divsChild>
        <w:div w:id="36049589">
          <w:marLeft w:val="0"/>
          <w:marRight w:val="0"/>
          <w:marTop w:val="0"/>
          <w:marBottom w:val="0"/>
          <w:divBdr>
            <w:top w:val="none" w:sz="0" w:space="0" w:color="auto"/>
            <w:left w:val="none" w:sz="0" w:space="0" w:color="auto"/>
            <w:bottom w:val="none" w:sz="0" w:space="0" w:color="auto"/>
            <w:right w:val="none" w:sz="0" w:space="0" w:color="auto"/>
          </w:divBdr>
        </w:div>
        <w:div w:id="508830038">
          <w:marLeft w:val="0"/>
          <w:marRight w:val="0"/>
          <w:marTop w:val="0"/>
          <w:marBottom w:val="0"/>
          <w:divBdr>
            <w:top w:val="none" w:sz="0" w:space="0" w:color="auto"/>
            <w:left w:val="none" w:sz="0" w:space="0" w:color="auto"/>
            <w:bottom w:val="none" w:sz="0" w:space="0" w:color="auto"/>
            <w:right w:val="none" w:sz="0" w:space="0" w:color="auto"/>
          </w:divBdr>
        </w:div>
        <w:div w:id="91570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np-mop-01/np-mop-01-dec-08-es.pdf" TargetMode="External"/><Relationship Id="rId18" Type="http://schemas.openxmlformats.org/officeDocument/2006/relationships/hyperlink" Target="https://www.cbd.int/doc/decisions/cop-12/cop-12-dec-13-es.pdf"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cbd.int/doc/decisions/np-mop-02/np-mop-02-dec-13-es.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bd.int/doc/decisions/np-mop-01/np-mop-01-dec-02-es.pdf" TargetMode="External"/><Relationship Id="rId17" Type="http://schemas.openxmlformats.org/officeDocument/2006/relationships/hyperlink" Target="https://www.cbd.int/doc/decisions/np-mop-02/np-mop-02-dec-08-es.pdf" TargetMode="External"/><Relationship Id="rId25" Type="http://schemas.openxmlformats.org/officeDocument/2006/relationships/header" Target="header1.xml"/><Relationship Id="rId33" Type="http://schemas.openxmlformats.org/officeDocument/2006/relationships/hyperlink" Target="https://www.cbd.int/doc/recommendations/sbi-02/sbi-02-rec-02-es.pdf" TargetMode="External"/><Relationship Id="rId2" Type="http://schemas.openxmlformats.org/officeDocument/2006/relationships/customXml" Target="../customXml/item2.xml"/><Relationship Id="rId16" Type="http://schemas.openxmlformats.org/officeDocument/2006/relationships/hyperlink" Target="https://www.cbd.int/doc/decisions/np-mop-01/np-mop-01-dec-08-es.pdf" TargetMode="External"/><Relationship Id="rId20" Type="http://schemas.openxmlformats.org/officeDocument/2006/relationships/hyperlink" Target="https://www.cbd.int/doc/decisions/np-mop-02/np-mop-02-dec-12-es.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edocs.unep.org/bitstream/handle/20.500.11822/11191/K1607206_UNEPEA2_RES18S.pdf?sequence=6&amp;isAllowed=y" TargetMode="External"/><Relationship Id="rId32" Type="http://schemas.openxmlformats.org/officeDocument/2006/relationships/hyperlink" Target="https://www.cbd.int/doc/decisions/cop-13/cop-13-dec-33-en.pdf" TargetMode="External"/><Relationship Id="rId5" Type="http://schemas.openxmlformats.org/officeDocument/2006/relationships/settings" Target="settings.xml"/><Relationship Id="rId15" Type="http://schemas.openxmlformats.org/officeDocument/2006/relationships/hyperlink" Target="https://www.cbd.int/doc/decisions/cop-13/cop-13-dec-23-es.pdf" TargetMode="External"/><Relationship Id="rId23" Type="http://schemas.openxmlformats.org/officeDocument/2006/relationships/hyperlink" Target="https://www.cbd.int/decision/cop/default.shtml?id=7097"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www.cbd.int/doc/decisions/np-mop-01/np-mop-01-dec-12-es.pdf" TargetMode="External"/><Relationship Id="rId31"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np-mop-02/np-mop-02-dec-08-es.pdf" TargetMode="External"/><Relationship Id="rId22" Type="http://schemas.openxmlformats.org/officeDocument/2006/relationships/hyperlink" Target="https://www.cbd.int/doc/decisions/cop-13/cop-13-dec-32-es.pdf" TargetMode="External"/><Relationship Id="rId27" Type="http://schemas.openxmlformats.org/officeDocument/2006/relationships/footer" Target="footer1.xml"/><Relationship Id="rId30" Type="http://schemas.openxmlformats.org/officeDocument/2006/relationships/header" Target="header4.xm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798e/044f/b987484d94d8943a4510907e/np-mop-03-09-es.pdf" TargetMode="External"/><Relationship Id="rId13" Type="http://schemas.openxmlformats.org/officeDocument/2006/relationships/hyperlink" Target="https://www.cbd.int/doc/c/0069/ee5c/e2cdfdb1252f37b6e10bb6af/sbi-02-16-add1-es.pdf" TargetMode="External"/><Relationship Id="rId3" Type="http://schemas.openxmlformats.org/officeDocument/2006/relationships/hyperlink" Target="https://www.cbd.int/doc/c/c02e/b3ee/4b6cd25603d1e4ba09373f66/np-mop-03-04-es.pdf" TargetMode="External"/><Relationship Id="rId7" Type="http://schemas.openxmlformats.org/officeDocument/2006/relationships/hyperlink" Target="https://www.cbd.int/doc/decisions/np-mop-01/np-mop-01-dec-08-es.pdf" TargetMode="External"/><Relationship Id="rId12" Type="http://schemas.openxmlformats.org/officeDocument/2006/relationships/hyperlink" Target="https://www.cbd.int/doc/c/cfe8/c72a/59a488b075654335f58f3673/sbi-02-16-es.pdf" TargetMode="External"/><Relationship Id="rId2" Type="http://schemas.openxmlformats.org/officeDocument/2006/relationships/hyperlink" Target="http://www.un.org/en/ga/search/view_doc.asp?symbol=A/RES/70/1&amp;Lang=S" TargetMode="External"/><Relationship Id="rId1" Type="http://schemas.openxmlformats.org/officeDocument/2006/relationships/hyperlink" Target="https://www.cbd.int/doc/meetings/tk/wg8j-08/information/wg8j-08-inf-10-en.pdf" TargetMode="External"/><Relationship Id="rId6" Type="http://schemas.openxmlformats.org/officeDocument/2006/relationships/hyperlink" Target="https://www.cbd.int/doc/c/67d8/fbcc/5959eee804e9911314c058d0/cop-14-inf-10-en.pdf" TargetMode="External"/><Relationship Id="rId11" Type="http://schemas.openxmlformats.org/officeDocument/2006/relationships/hyperlink" Target="https://www.cbd.int/doc/c/43ac/7ff3/fee412b823b3466ca25fcef9/sbi-02-22-es.pdf" TargetMode="External"/><Relationship Id="rId5" Type="http://schemas.openxmlformats.org/officeDocument/2006/relationships/hyperlink" Target="https://www.cbd.int/doc/decisions/np-mop-01/np-mop-01-dec-08-es.pdf" TargetMode="External"/><Relationship Id="rId15" Type="http://schemas.openxmlformats.org/officeDocument/2006/relationships/hyperlink" Target="https://www.cbd.int/doc/notifications/2019/ntf-2019-017-budget-np-en.pdf" TargetMode="External"/><Relationship Id="rId10" Type="http://schemas.openxmlformats.org/officeDocument/2006/relationships/hyperlink" Target="https://www.thegef.org/sites/default/files/council-meeting-documents/GEF.A6.05.Rev_.01_Replenishment.pdf" TargetMode="External"/><Relationship Id="rId4" Type="http://schemas.openxmlformats.org/officeDocument/2006/relationships/hyperlink" Target="https://www.cbd.int/doc/c/379c/5415/6cc13342a976bc96440d18bb/abs-cbiac-2018-01-04-en.pdf" TargetMode="External"/><Relationship Id="rId9" Type="http://schemas.openxmlformats.org/officeDocument/2006/relationships/hyperlink" Target="https://www.cbd.int/doc/c/88cf/fc1a/ddf5d9438e711624ec384c98/np-mop-03-05-es.pdf" TargetMode="External"/><Relationship Id="rId14" Type="http://schemas.openxmlformats.org/officeDocument/2006/relationships/hyperlink" Target="https://www.cbd.int/doc/c/58ad/cba0/0c094a03bd3f06d83b96445a/sbi-02-05-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y\Application%20Data\Microsoft\Templates\COP-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A360793BC64D399A021CF8819C75E4"/>
        <w:category>
          <w:name w:val="General"/>
          <w:gallery w:val="placeholder"/>
        </w:category>
        <w:types>
          <w:type w:val="bbPlcHdr"/>
        </w:types>
        <w:behaviors>
          <w:behavior w:val="content"/>
        </w:behaviors>
        <w:guid w:val="{FE46B417-F4AE-41DD-AD67-11A5EE16560B}"/>
      </w:docPartPr>
      <w:docPartBody>
        <w:p w:rsidR="00141375" w:rsidRDefault="00141375" w:rsidP="00141375">
          <w:pPr>
            <w:pStyle w:val="C6A360793BC64D399A021CF8819C75E4"/>
          </w:pPr>
          <w:r w:rsidRPr="007E02EB">
            <w:rPr>
              <w:rStyle w:val="Textodelmarcadordeposicin"/>
            </w:rPr>
            <w:t>[Status]</w:t>
          </w:r>
        </w:p>
      </w:docPartBody>
    </w:docPart>
    <w:docPart>
      <w:docPartPr>
        <w:name w:val="DC00FD0B698B4096A87445AB89260D34"/>
        <w:category>
          <w:name w:val="General"/>
          <w:gallery w:val="placeholder"/>
        </w:category>
        <w:types>
          <w:type w:val="bbPlcHdr"/>
        </w:types>
        <w:behaviors>
          <w:behavior w:val="content"/>
        </w:behaviors>
        <w:guid w:val="{A9293B0E-6058-4542-8D8A-54AD43B2C04C}"/>
      </w:docPartPr>
      <w:docPartBody>
        <w:p w:rsidR="00141375" w:rsidRDefault="00141375" w:rsidP="00141375">
          <w:pPr>
            <w:pStyle w:val="DC00FD0B698B4096A87445AB89260D34"/>
          </w:pPr>
          <w:r w:rsidRPr="007E02EB">
            <w:rPr>
              <w:rStyle w:val="Textodelmarcadordeposicin"/>
            </w:rPr>
            <w:t>[Subject]</w:t>
          </w:r>
        </w:p>
      </w:docPartBody>
    </w:docPart>
    <w:docPart>
      <w:docPartPr>
        <w:name w:val="BC4C1ADF0E7940329B5D898FE3224885"/>
        <w:category>
          <w:name w:val="General"/>
          <w:gallery w:val="placeholder"/>
        </w:category>
        <w:types>
          <w:type w:val="bbPlcHdr"/>
        </w:types>
        <w:behaviors>
          <w:behavior w:val="content"/>
        </w:behaviors>
        <w:guid w:val="{49C3331E-4654-4555-8E67-714C85650414}"/>
      </w:docPartPr>
      <w:docPartBody>
        <w:p w:rsidR="002E2B58" w:rsidRDefault="00AA4517" w:rsidP="00AA4517">
          <w:pPr>
            <w:pStyle w:val="BC4C1ADF0E7940329B5D898FE3224885"/>
          </w:pPr>
          <w:r w:rsidRPr="007E02EB">
            <w:rPr>
              <w:rStyle w:val="Textodelmarcadordeposicin"/>
            </w:rPr>
            <w:t>[Status]</w:t>
          </w:r>
        </w:p>
      </w:docPartBody>
    </w:docPart>
    <w:docPart>
      <w:docPartPr>
        <w:name w:val="FACD5019A315438BBAB24F663071927D"/>
        <w:category>
          <w:name w:val="General"/>
          <w:gallery w:val="placeholder"/>
        </w:category>
        <w:types>
          <w:type w:val="bbPlcHdr"/>
        </w:types>
        <w:behaviors>
          <w:behavior w:val="content"/>
        </w:behaviors>
        <w:guid w:val="{6C97A240-2984-4136-A809-DCF48D884172}"/>
      </w:docPartPr>
      <w:docPartBody>
        <w:p w:rsidR="00214F2F" w:rsidRDefault="0021207B" w:rsidP="0021207B">
          <w:pPr>
            <w:pStyle w:val="FACD5019A315438BBAB24F663071927D"/>
          </w:pPr>
          <w:r w:rsidRPr="007E02EB">
            <w:rPr>
              <w:rStyle w:val="Textodelmarcadordeposicin"/>
            </w:rPr>
            <w:t>[Subject]</w:t>
          </w:r>
        </w:p>
      </w:docPartBody>
    </w:docPart>
    <w:docPart>
      <w:docPartPr>
        <w:name w:val="28B5361FFE95474E9916877774AE28E2"/>
        <w:category>
          <w:name w:val="General"/>
          <w:gallery w:val="placeholder"/>
        </w:category>
        <w:types>
          <w:type w:val="bbPlcHdr"/>
        </w:types>
        <w:behaviors>
          <w:behavior w:val="content"/>
        </w:behaviors>
        <w:guid w:val="{5395EFE4-E33D-40A0-86AA-5B30AD9C1AA2}"/>
      </w:docPartPr>
      <w:docPartBody>
        <w:p w:rsidR="00214F2F" w:rsidRDefault="0021207B" w:rsidP="0021207B">
          <w:pPr>
            <w:pStyle w:val="28B5361FFE95474E9916877774AE28E2"/>
          </w:pPr>
          <w:r w:rsidRPr="007E02EB">
            <w:rPr>
              <w:rStyle w:val="Textodelmarcadordeposicin"/>
            </w:rPr>
            <w:t>[Subject]</w:t>
          </w:r>
        </w:p>
      </w:docPartBody>
    </w:docPart>
    <w:docPart>
      <w:docPartPr>
        <w:name w:val="DD28AF7857EB4B129389B936E42A95D2"/>
        <w:category>
          <w:name w:val="General"/>
          <w:gallery w:val="placeholder"/>
        </w:category>
        <w:types>
          <w:type w:val="bbPlcHdr"/>
        </w:types>
        <w:behaviors>
          <w:behavior w:val="content"/>
        </w:behaviors>
        <w:guid w:val="{CABCC1AB-393D-4E58-85DD-9CB772D729D1}"/>
      </w:docPartPr>
      <w:docPartBody>
        <w:p w:rsidR="002344F9" w:rsidRDefault="00214F2F" w:rsidP="00214F2F">
          <w:pPr>
            <w:pStyle w:val="DD28AF7857EB4B129389B936E42A95D2"/>
          </w:pPr>
          <w:r w:rsidRPr="007E02EB">
            <w:rPr>
              <w:rStyle w:val="Textodelmarcadordeposicin"/>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hyphenationZone w:val="425"/>
  <w:characterSpacingControl w:val="doNotCompress"/>
  <w:compat>
    <w:useFELayout/>
  </w:compat>
  <w:rsids>
    <w:rsidRoot w:val="006C5D4D"/>
    <w:rsid w:val="00010785"/>
    <w:rsid w:val="00020603"/>
    <w:rsid w:val="001042E6"/>
    <w:rsid w:val="001112A1"/>
    <w:rsid w:val="00141375"/>
    <w:rsid w:val="00161B05"/>
    <w:rsid w:val="0021207B"/>
    <w:rsid w:val="00214F2F"/>
    <w:rsid w:val="002344F9"/>
    <w:rsid w:val="00282B1A"/>
    <w:rsid w:val="002C4508"/>
    <w:rsid w:val="002E2B58"/>
    <w:rsid w:val="00331E39"/>
    <w:rsid w:val="00336FE6"/>
    <w:rsid w:val="00357425"/>
    <w:rsid w:val="003755F4"/>
    <w:rsid w:val="003A1B97"/>
    <w:rsid w:val="003F6786"/>
    <w:rsid w:val="004A2B7A"/>
    <w:rsid w:val="00525050"/>
    <w:rsid w:val="005A4150"/>
    <w:rsid w:val="0064607F"/>
    <w:rsid w:val="006C5D4D"/>
    <w:rsid w:val="0074414D"/>
    <w:rsid w:val="0076355E"/>
    <w:rsid w:val="007D2431"/>
    <w:rsid w:val="008422C8"/>
    <w:rsid w:val="00850CF0"/>
    <w:rsid w:val="008B37D1"/>
    <w:rsid w:val="00932166"/>
    <w:rsid w:val="00943E38"/>
    <w:rsid w:val="0096749D"/>
    <w:rsid w:val="00A316F8"/>
    <w:rsid w:val="00A31804"/>
    <w:rsid w:val="00A42B1E"/>
    <w:rsid w:val="00AA4517"/>
    <w:rsid w:val="00AF5164"/>
    <w:rsid w:val="00B459DA"/>
    <w:rsid w:val="00C44824"/>
    <w:rsid w:val="00C47E72"/>
    <w:rsid w:val="00CF123A"/>
    <w:rsid w:val="00CF1FC4"/>
    <w:rsid w:val="00D27436"/>
    <w:rsid w:val="00D56B4B"/>
    <w:rsid w:val="00D61593"/>
    <w:rsid w:val="00D71D1D"/>
    <w:rsid w:val="00ED2EDE"/>
    <w:rsid w:val="00F21F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214F2F"/>
  </w:style>
  <w:style w:type="paragraph" w:customStyle="1" w:styleId="393A1EB7C724476598B815DDCC3D0A87">
    <w:name w:val="393A1EB7C724476598B815DDCC3D0A87"/>
    <w:rsid w:val="006C5D4D"/>
  </w:style>
  <w:style w:type="paragraph" w:customStyle="1" w:styleId="003AEFA348234772A691A86113B4E232">
    <w:name w:val="003AEFA348234772A691A86113B4E232"/>
    <w:rsid w:val="006C5D4D"/>
  </w:style>
  <w:style w:type="paragraph" w:customStyle="1" w:styleId="242583F38B2F484086052ED8F2CEF48D">
    <w:name w:val="242583F38B2F484086052ED8F2CEF48D"/>
    <w:rsid w:val="006C5D4D"/>
  </w:style>
  <w:style w:type="paragraph" w:customStyle="1" w:styleId="BFD858A4350040EEB0D3C63414DBBD5D">
    <w:name w:val="BFD858A4350040EEB0D3C63414DBBD5D"/>
    <w:rsid w:val="006C5D4D"/>
  </w:style>
  <w:style w:type="paragraph" w:customStyle="1" w:styleId="C6A360793BC64D399A021CF8819C75E4">
    <w:name w:val="C6A360793BC64D399A021CF8819C75E4"/>
    <w:rsid w:val="00141375"/>
    <w:rPr>
      <w:lang w:val="en-CA" w:eastAsia="en-CA"/>
    </w:rPr>
  </w:style>
  <w:style w:type="paragraph" w:customStyle="1" w:styleId="DC00FD0B698B4096A87445AB89260D34">
    <w:name w:val="DC00FD0B698B4096A87445AB89260D34"/>
    <w:rsid w:val="00141375"/>
    <w:rPr>
      <w:lang w:val="en-CA" w:eastAsia="en-CA"/>
    </w:rPr>
  </w:style>
  <w:style w:type="paragraph" w:customStyle="1" w:styleId="0616ACEF845040C1B0462EB4AED4F1FC">
    <w:name w:val="0616ACEF845040C1B0462EB4AED4F1FC"/>
    <w:rsid w:val="00141375"/>
    <w:rPr>
      <w:lang w:val="en-CA" w:eastAsia="en-CA"/>
    </w:rPr>
  </w:style>
  <w:style w:type="paragraph" w:customStyle="1" w:styleId="47C967355E954A4094BAD1B297704055">
    <w:name w:val="47C967355E954A4094BAD1B297704055"/>
    <w:rsid w:val="00357425"/>
    <w:rPr>
      <w:lang w:val="en-CA" w:eastAsia="en-CA"/>
    </w:rPr>
  </w:style>
  <w:style w:type="paragraph" w:customStyle="1" w:styleId="460455E332CE4C63B5F164DB763A7643">
    <w:name w:val="460455E332CE4C63B5F164DB763A7643"/>
    <w:rsid w:val="00357425"/>
    <w:rPr>
      <w:lang w:val="en-CA" w:eastAsia="en-CA"/>
    </w:rPr>
  </w:style>
  <w:style w:type="paragraph" w:customStyle="1" w:styleId="BA63F60044EB4B46B6E7EDE258FF4671">
    <w:name w:val="BA63F60044EB4B46B6E7EDE258FF4671"/>
    <w:rsid w:val="00357425"/>
    <w:rPr>
      <w:lang w:val="en-CA" w:eastAsia="en-CA"/>
    </w:rPr>
  </w:style>
  <w:style w:type="paragraph" w:customStyle="1" w:styleId="932AD4DBC4B14804AE7FC24962C25D0A">
    <w:name w:val="932AD4DBC4B14804AE7FC24962C25D0A"/>
    <w:rsid w:val="00357425"/>
    <w:rPr>
      <w:lang w:val="en-CA" w:eastAsia="en-CA"/>
    </w:rPr>
  </w:style>
  <w:style w:type="paragraph" w:customStyle="1" w:styleId="E7E9B43504C847C38F9F498242615AFD">
    <w:name w:val="E7E9B43504C847C38F9F498242615AFD"/>
    <w:rsid w:val="00357425"/>
    <w:rPr>
      <w:lang w:val="en-CA" w:eastAsia="en-CA"/>
    </w:rPr>
  </w:style>
  <w:style w:type="paragraph" w:customStyle="1" w:styleId="DB4A818B91764D3FB4C56A6A565CE37B">
    <w:name w:val="DB4A818B91764D3FB4C56A6A565CE37B"/>
    <w:rsid w:val="00357425"/>
    <w:rPr>
      <w:lang w:val="en-CA" w:eastAsia="en-CA"/>
    </w:rPr>
  </w:style>
  <w:style w:type="paragraph" w:customStyle="1" w:styleId="C00DC7C4752A4055B31E736A74F6BE07">
    <w:name w:val="C00DC7C4752A4055B31E736A74F6BE07"/>
    <w:rsid w:val="00357425"/>
    <w:rPr>
      <w:lang w:val="en-CA" w:eastAsia="en-CA"/>
    </w:rPr>
  </w:style>
  <w:style w:type="paragraph" w:customStyle="1" w:styleId="26A1F03C8ABC41F19492FD465C4D0DFF">
    <w:name w:val="26A1F03C8ABC41F19492FD465C4D0DFF"/>
    <w:rsid w:val="00357425"/>
    <w:rPr>
      <w:lang w:val="en-CA" w:eastAsia="en-CA"/>
    </w:rPr>
  </w:style>
  <w:style w:type="paragraph" w:customStyle="1" w:styleId="ACAA2BB709D44010BDE5FE38167D7C33">
    <w:name w:val="ACAA2BB709D44010BDE5FE38167D7C33"/>
    <w:rsid w:val="00357425"/>
    <w:rPr>
      <w:lang w:val="en-CA" w:eastAsia="en-CA"/>
    </w:rPr>
  </w:style>
  <w:style w:type="paragraph" w:customStyle="1" w:styleId="FD40366098984522A80470753E1FB71E">
    <w:name w:val="FD40366098984522A80470753E1FB71E"/>
    <w:rsid w:val="00357425"/>
    <w:rPr>
      <w:lang w:val="en-CA" w:eastAsia="en-CA"/>
    </w:rPr>
  </w:style>
  <w:style w:type="paragraph" w:customStyle="1" w:styleId="F411D8BB4BD34321997FB2891651FA45">
    <w:name w:val="F411D8BB4BD34321997FB2891651FA45"/>
    <w:rsid w:val="00357425"/>
    <w:rPr>
      <w:lang w:val="en-CA" w:eastAsia="en-CA"/>
    </w:rPr>
  </w:style>
  <w:style w:type="paragraph" w:customStyle="1" w:styleId="C9E2E78F52B64979998D34BB15B3423B">
    <w:name w:val="C9E2E78F52B64979998D34BB15B3423B"/>
    <w:rsid w:val="00357425"/>
    <w:rPr>
      <w:lang w:val="en-CA" w:eastAsia="en-CA"/>
    </w:rPr>
  </w:style>
  <w:style w:type="paragraph" w:customStyle="1" w:styleId="0502E9B1C95E43829CE1E12ABF4316C7">
    <w:name w:val="0502E9B1C95E43829CE1E12ABF4316C7"/>
    <w:rsid w:val="00357425"/>
    <w:rPr>
      <w:lang w:val="en-CA" w:eastAsia="en-CA"/>
    </w:rPr>
  </w:style>
  <w:style w:type="paragraph" w:customStyle="1" w:styleId="300E11D673C5477C968BF9948C74FC4E">
    <w:name w:val="300E11D673C5477C968BF9948C74FC4E"/>
    <w:rsid w:val="00357425"/>
    <w:rPr>
      <w:lang w:val="en-CA" w:eastAsia="en-CA"/>
    </w:rPr>
  </w:style>
  <w:style w:type="paragraph" w:customStyle="1" w:styleId="D246CF3EEEF64E53906FB8FA9F3D44CC">
    <w:name w:val="D246CF3EEEF64E53906FB8FA9F3D44CC"/>
    <w:rsid w:val="00357425"/>
    <w:rPr>
      <w:lang w:val="en-CA" w:eastAsia="en-CA"/>
    </w:rPr>
  </w:style>
  <w:style w:type="paragraph" w:customStyle="1" w:styleId="E556E404CB1B4280B0740C40FE46938D">
    <w:name w:val="E556E404CB1B4280B0740C40FE46938D"/>
    <w:rsid w:val="00357425"/>
    <w:rPr>
      <w:lang w:val="en-CA" w:eastAsia="en-CA"/>
    </w:rPr>
  </w:style>
  <w:style w:type="paragraph" w:customStyle="1" w:styleId="1A776ECEC45C4AF2AC9236F07CF1E7EF">
    <w:name w:val="1A776ECEC45C4AF2AC9236F07CF1E7EF"/>
    <w:rsid w:val="00357425"/>
    <w:rPr>
      <w:lang w:val="en-CA" w:eastAsia="en-CA"/>
    </w:rPr>
  </w:style>
  <w:style w:type="paragraph" w:customStyle="1" w:styleId="A04DC71649354F8B85A02FB82968E72E">
    <w:name w:val="A04DC71649354F8B85A02FB82968E72E"/>
    <w:rsid w:val="00357425"/>
    <w:rPr>
      <w:lang w:val="en-CA" w:eastAsia="en-CA"/>
    </w:rPr>
  </w:style>
  <w:style w:type="paragraph" w:customStyle="1" w:styleId="C29BD31A91BF4FD5B4505CBB03004DF0">
    <w:name w:val="C29BD31A91BF4FD5B4505CBB03004DF0"/>
    <w:rsid w:val="00357425"/>
    <w:rPr>
      <w:lang w:val="en-CA" w:eastAsia="en-CA"/>
    </w:rPr>
  </w:style>
  <w:style w:type="paragraph" w:customStyle="1" w:styleId="1BD9CBCE071B45FE8A126060CE6248A7">
    <w:name w:val="1BD9CBCE071B45FE8A126060CE6248A7"/>
    <w:rsid w:val="00357425"/>
    <w:rPr>
      <w:lang w:val="en-CA" w:eastAsia="en-CA"/>
    </w:rPr>
  </w:style>
  <w:style w:type="paragraph" w:customStyle="1" w:styleId="894AFDE8B6E3467FB6AA576F35FB0024">
    <w:name w:val="894AFDE8B6E3467FB6AA576F35FB0024"/>
    <w:rsid w:val="00357425"/>
    <w:rPr>
      <w:lang w:val="en-CA" w:eastAsia="en-CA"/>
    </w:rPr>
  </w:style>
  <w:style w:type="paragraph" w:customStyle="1" w:styleId="27A88C4C4DF34EC8B237D7CB6246156A">
    <w:name w:val="27A88C4C4DF34EC8B237D7CB6246156A"/>
    <w:rsid w:val="00357425"/>
    <w:rPr>
      <w:lang w:val="en-CA" w:eastAsia="en-CA"/>
    </w:rPr>
  </w:style>
  <w:style w:type="paragraph" w:customStyle="1" w:styleId="38019441079C4E7FB3A42A82CB7A9B97">
    <w:name w:val="38019441079C4E7FB3A42A82CB7A9B97"/>
    <w:rsid w:val="00357425"/>
    <w:rPr>
      <w:lang w:val="en-CA" w:eastAsia="en-CA"/>
    </w:rPr>
  </w:style>
  <w:style w:type="paragraph" w:customStyle="1" w:styleId="B0404E2804F2453C978751B90278FA33">
    <w:name w:val="B0404E2804F2453C978751B90278FA33"/>
    <w:rsid w:val="00357425"/>
    <w:rPr>
      <w:lang w:val="en-CA" w:eastAsia="en-CA"/>
    </w:rPr>
  </w:style>
  <w:style w:type="paragraph" w:customStyle="1" w:styleId="2373A7CD98204216A46EC2CA5A4E2AEE">
    <w:name w:val="2373A7CD98204216A46EC2CA5A4E2AEE"/>
    <w:rsid w:val="00357425"/>
    <w:rPr>
      <w:lang w:val="en-CA" w:eastAsia="en-CA"/>
    </w:rPr>
  </w:style>
  <w:style w:type="paragraph" w:customStyle="1" w:styleId="A676BF29891340FFA8559F9E3A24F66B">
    <w:name w:val="A676BF29891340FFA8559F9E3A24F66B"/>
    <w:rsid w:val="00357425"/>
    <w:rPr>
      <w:lang w:val="en-CA" w:eastAsia="en-CA"/>
    </w:rPr>
  </w:style>
  <w:style w:type="paragraph" w:customStyle="1" w:styleId="3B5F9262A76A42B790F38D3D92510661">
    <w:name w:val="3B5F9262A76A42B790F38D3D92510661"/>
    <w:rsid w:val="00357425"/>
    <w:rPr>
      <w:lang w:val="en-CA" w:eastAsia="en-CA"/>
    </w:rPr>
  </w:style>
  <w:style w:type="paragraph" w:customStyle="1" w:styleId="AC07F920344E454A820043F54BC6C63B">
    <w:name w:val="AC07F920344E454A820043F54BC6C63B"/>
    <w:rsid w:val="00357425"/>
    <w:rPr>
      <w:lang w:val="en-CA" w:eastAsia="en-CA"/>
    </w:rPr>
  </w:style>
  <w:style w:type="paragraph" w:customStyle="1" w:styleId="F31C966BAC6E4B86925C02F133F40A35">
    <w:name w:val="F31C966BAC6E4B86925C02F133F40A35"/>
    <w:rsid w:val="00357425"/>
    <w:rPr>
      <w:lang w:val="en-CA" w:eastAsia="en-CA"/>
    </w:rPr>
  </w:style>
  <w:style w:type="paragraph" w:customStyle="1" w:styleId="2AA687CED7444F42BFB92AC805A8562D">
    <w:name w:val="2AA687CED7444F42BFB92AC805A8562D"/>
    <w:rsid w:val="00357425"/>
    <w:rPr>
      <w:lang w:val="en-CA" w:eastAsia="en-CA"/>
    </w:rPr>
  </w:style>
  <w:style w:type="paragraph" w:customStyle="1" w:styleId="C618E6C0A4124ABF9C354A2D5FC2ADED">
    <w:name w:val="C618E6C0A4124ABF9C354A2D5FC2ADED"/>
    <w:rsid w:val="00357425"/>
    <w:rPr>
      <w:lang w:val="en-CA" w:eastAsia="en-CA"/>
    </w:rPr>
  </w:style>
  <w:style w:type="paragraph" w:customStyle="1" w:styleId="A4AB3361FC5D4671A80508DC6C7C7227">
    <w:name w:val="A4AB3361FC5D4671A80508DC6C7C7227"/>
    <w:rsid w:val="00357425"/>
    <w:rPr>
      <w:lang w:val="en-CA" w:eastAsia="en-CA"/>
    </w:rPr>
  </w:style>
  <w:style w:type="paragraph" w:customStyle="1" w:styleId="510CE2DE20FF4BE4B31515B5C4994038">
    <w:name w:val="510CE2DE20FF4BE4B31515B5C4994038"/>
    <w:rsid w:val="00357425"/>
    <w:rPr>
      <w:lang w:val="en-CA" w:eastAsia="en-CA"/>
    </w:rPr>
  </w:style>
  <w:style w:type="paragraph" w:customStyle="1" w:styleId="6C0E6E8B639D4AEBB815E41CB8EED667">
    <w:name w:val="6C0E6E8B639D4AEBB815E41CB8EED667"/>
    <w:rsid w:val="00357425"/>
    <w:rPr>
      <w:lang w:val="en-CA" w:eastAsia="en-CA"/>
    </w:rPr>
  </w:style>
  <w:style w:type="paragraph" w:customStyle="1" w:styleId="1F5B574D48634FADBCA8665E0CE68996">
    <w:name w:val="1F5B574D48634FADBCA8665E0CE68996"/>
    <w:rsid w:val="00357425"/>
    <w:rPr>
      <w:lang w:val="en-CA" w:eastAsia="en-CA"/>
    </w:rPr>
  </w:style>
  <w:style w:type="paragraph" w:customStyle="1" w:styleId="6F0810722CCD47E389B6D4F7D7906537">
    <w:name w:val="6F0810722CCD47E389B6D4F7D7906537"/>
    <w:rsid w:val="00357425"/>
    <w:rPr>
      <w:lang w:val="en-CA" w:eastAsia="en-CA"/>
    </w:rPr>
  </w:style>
  <w:style w:type="paragraph" w:customStyle="1" w:styleId="867AFEDE0E37480E9EB912A6E5DC59CF">
    <w:name w:val="867AFEDE0E37480E9EB912A6E5DC59CF"/>
    <w:rsid w:val="00357425"/>
    <w:rPr>
      <w:lang w:val="en-CA" w:eastAsia="en-CA"/>
    </w:rPr>
  </w:style>
  <w:style w:type="paragraph" w:customStyle="1" w:styleId="BE47B00936F141688034D6621287A8D7">
    <w:name w:val="BE47B00936F141688034D6621287A8D7"/>
    <w:rsid w:val="00357425"/>
    <w:rPr>
      <w:lang w:val="en-CA" w:eastAsia="en-CA"/>
    </w:rPr>
  </w:style>
  <w:style w:type="paragraph" w:customStyle="1" w:styleId="FDFE5712CACD419A8FBE196064F8E415">
    <w:name w:val="FDFE5712CACD419A8FBE196064F8E415"/>
    <w:rsid w:val="00357425"/>
    <w:rPr>
      <w:lang w:val="en-CA" w:eastAsia="en-CA"/>
    </w:rPr>
  </w:style>
  <w:style w:type="paragraph" w:customStyle="1" w:styleId="FBE1E44B68EF438F9CFF4A0784936D82">
    <w:name w:val="FBE1E44B68EF438F9CFF4A0784936D82"/>
    <w:rsid w:val="00357425"/>
    <w:rPr>
      <w:lang w:val="en-CA" w:eastAsia="en-CA"/>
    </w:rPr>
  </w:style>
  <w:style w:type="paragraph" w:customStyle="1" w:styleId="52F65DD55C81462D9F396C4102B7F8F2">
    <w:name w:val="52F65DD55C81462D9F396C4102B7F8F2"/>
    <w:rsid w:val="00357425"/>
    <w:rPr>
      <w:lang w:val="en-CA" w:eastAsia="en-CA"/>
    </w:rPr>
  </w:style>
  <w:style w:type="paragraph" w:customStyle="1" w:styleId="29C9BADDD4B749A3827C78A7254E2050">
    <w:name w:val="29C9BADDD4B749A3827C78A7254E2050"/>
    <w:rsid w:val="00357425"/>
    <w:rPr>
      <w:lang w:val="en-CA" w:eastAsia="en-CA"/>
    </w:rPr>
  </w:style>
  <w:style w:type="paragraph" w:customStyle="1" w:styleId="C8EC4778E4ED41E99177388816E13B2E">
    <w:name w:val="C8EC4778E4ED41E99177388816E13B2E"/>
    <w:rsid w:val="00357425"/>
    <w:rPr>
      <w:lang w:val="en-CA" w:eastAsia="en-CA"/>
    </w:rPr>
  </w:style>
  <w:style w:type="paragraph" w:customStyle="1" w:styleId="23111CE88A544BDBBEF5170D130A32AC">
    <w:name w:val="23111CE88A544BDBBEF5170D130A32AC"/>
    <w:rsid w:val="00357425"/>
    <w:rPr>
      <w:lang w:val="en-CA" w:eastAsia="en-CA"/>
    </w:rPr>
  </w:style>
  <w:style w:type="paragraph" w:customStyle="1" w:styleId="C860F38C34324BCAB9FB7F7264ED6C7A">
    <w:name w:val="C860F38C34324BCAB9FB7F7264ED6C7A"/>
    <w:rsid w:val="00357425"/>
    <w:rPr>
      <w:lang w:val="en-CA" w:eastAsia="en-CA"/>
    </w:rPr>
  </w:style>
  <w:style w:type="paragraph" w:customStyle="1" w:styleId="D1D264F793274B6A9DAC2C6213179E01">
    <w:name w:val="D1D264F793274B6A9DAC2C6213179E01"/>
    <w:rsid w:val="00357425"/>
    <w:rPr>
      <w:lang w:val="en-CA" w:eastAsia="en-CA"/>
    </w:rPr>
  </w:style>
  <w:style w:type="paragraph" w:customStyle="1" w:styleId="EF28EE7D74DB470EAEB95A31AB0B33EB">
    <w:name w:val="EF28EE7D74DB470EAEB95A31AB0B33EB"/>
    <w:rsid w:val="00357425"/>
    <w:rPr>
      <w:lang w:val="en-CA" w:eastAsia="en-CA"/>
    </w:rPr>
  </w:style>
  <w:style w:type="paragraph" w:customStyle="1" w:styleId="2C7DE724DD4D47BEA58B77DB53B3C07C">
    <w:name w:val="2C7DE724DD4D47BEA58B77DB53B3C07C"/>
    <w:rsid w:val="00357425"/>
    <w:rPr>
      <w:lang w:val="en-CA" w:eastAsia="en-CA"/>
    </w:rPr>
  </w:style>
  <w:style w:type="paragraph" w:customStyle="1" w:styleId="FAAE8C274FE348C0A6DD2A5A8CC9BC52">
    <w:name w:val="FAAE8C274FE348C0A6DD2A5A8CC9BC52"/>
    <w:rsid w:val="00357425"/>
    <w:rPr>
      <w:lang w:val="en-CA" w:eastAsia="en-CA"/>
    </w:rPr>
  </w:style>
  <w:style w:type="paragraph" w:customStyle="1" w:styleId="BF45164CF77440A4A50D8954FF923E09">
    <w:name w:val="BF45164CF77440A4A50D8954FF923E09"/>
    <w:rsid w:val="00357425"/>
    <w:rPr>
      <w:lang w:val="en-CA" w:eastAsia="en-CA"/>
    </w:rPr>
  </w:style>
  <w:style w:type="paragraph" w:customStyle="1" w:styleId="F0AD6AD0464744D0A1658678C405BAB9">
    <w:name w:val="F0AD6AD0464744D0A1658678C405BAB9"/>
    <w:rsid w:val="00AA4517"/>
    <w:rPr>
      <w:lang w:val="en-CA" w:eastAsia="en-CA"/>
    </w:rPr>
  </w:style>
  <w:style w:type="paragraph" w:customStyle="1" w:styleId="21DEF58A95C14527AAAE5AB764886004">
    <w:name w:val="21DEF58A95C14527AAAE5AB764886004"/>
    <w:rsid w:val="00AA4517"/>
    <w:rPr>
      <w:lang w:val="en-CA" w:eastAsia="en-CA"/>
    </w:rPr>
  </w:style>
  <w:style w:type="paragraph" w:customStyle="1" w:styleId="AA22870854694DDA9B5E150A9E850BDB">
    <w:name w:val="AA22870854694DDA9B5E150A9E850BDB"/>
    <w:rsid w:val="00AA4517"/>
    <w:rPr>
      <w:lang w:val="en-CA" w:eastAsia="en-CA"/>
    </w:rPr>
  </w:style>
  <w:style w:type="paragraph" w:customStyle="1" w:styleId="BC4C1ADF0E7940329B5D898FE3224885">
    <w:name w:val="BC4C1ADF0E7940329B5D898FE3224885"/>
    <w:rsid w:val="00AA4517"/>
    <w:rPr>
      <w:lang w:val="en-CA" w:eastAsia="en-CA"/>
    </w:rPr>
  </w:style>
  <w:style w:type="paragraph" w:customStyle="1" w:styleId="FACD5019A315438BBAB24F663071927D">
    <w:name w:val="FACD5019A315438BBAB24F663071927D"/>
    <w:rsid w:val="0021207B"/>
    <w:rPr>
      <w:lang w:val="en-GB" w:eastAsia="en-GB"/>
    </w:rPr>
  </w:style>
  <w:style w:type="paragraph" w:customStyle="1" w:styleId="28B5361FFE95474E9916877774AE28E2">
    <w:name w:val="28B5361FFE95474E9916877774AE28E2"/>
    <w:rsid w:val="0021207B"/>
    <w:rPr>
      <w:lang w:val="en-GB" w:eastAsia="en-GB"/>
    </w:rPr>
  </w:style>
  <w:style w:type="paragraph" w:customStyle="1" w:styleId="DD28AF7857EB4B129389B936E42A95D2">
    <w:name w:val="DD28AF7857EB4B129389B936E42A95D2"/>
    <w:rsid w:val="00214F2F"/>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364468-837F-4FB6-96DB-C5217165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COP-6</Template>
  <TotalTime>1</TotalTime>
  <Pages>67</Pages>
  <Words>28389</Words>
  <Characters>156143</Characters>
  <Application>Microsoft Office Word</Application>
  <DocSecurity>0</DocSecurity>
  <Lines>1301</Lines>
  <Paragraphs>368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Report of the Conference of the Parties to the Convention on Biological Diversity serving as the meeting of the Parties to the Nagoya Protocol on Access to Genetic Resources and the Fair and Equitable Sharing of Benefits Arising from their Utilization on </vt:lpstr>
      <vt:lpstr>Report of the Conference of the Parties to the Convention on Biological Diversity serving as the meeting of the Parties to the Nagoya Protocol on Access to Genetic Resources and the Fair and Equitable Sharing of Benefits Arising from their Utilization on </vt:lpstr>
    </vt:vector>
  </TitlesOfParts>
  <Company>Hewlett-Packard Company</Company>
  <LinksUpToDate>false</LinksUpToDate>
  <CharactersWithSpaces>184164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Conference of the Parties to the Convention on Biological Diversity serving as the meeting of the Parties to the Nagoya Protocol on Access to Genetic Resources and the Fair and Equitable Sharing of Benefits Arising from their Utilization on its third meeting</dc:title>
  <dc:subject>CBD/NP/MOP/3/10</dc:subject>
  <dc:creator>NP MOP 3</dc:creator>
  <cp:keywords>Convention on Biological Diversity, Nagoya Protocol on Access to Genetic Resources and the Fair and Equitable Sharing of Benefits Arising from their Utilization</cp:keywords>
  <cp:lastModifiedBy>HP</cp:lastModifiedBy>
  <cp:revision>3</cp:revision>
  <cp:lastPrinted>2019-02-08T19:07:00Z</cp:lastPrinted>
  <dcterms:created xsi:type="dcterms:W3CDTF">2019-03-26T11:54:00Z</dcterms:created>
  <dcterms:modified xsi:type="dcterms:W3CDTF">2019-03-27T16:38:00Z</dcterms:modified>
  <cp:contentStatus>GENERAL</cp:contentStatus>
</cp:coreProperties>
</file>