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41F8F3BD" w14:textId="77777777" w:rsidTr="008A1499">
        <w:trPr>
          <w:trHeight w:val="850"/>
        </w:trPr>
        <w:tc>
          <w:tcPr>
            <w:tcW w:w="975" w:type="dxa"/>
            <w:vAlign w:val="bottom"/>
          </w:tcPr>
          <w:p w14:paraId="7D4812A9" w14:textId="77777777" w:rsidR="008A1499" w:rsidRPr="003F1A75" w:rsidRDefault="008A1499" w:rsidP="008A1499">
            <w:pPr>
              <w:pStyle w:val="AASmallLogo"/>
            </w:pPr>
            <w:r w:rsidRPr="003F1A75">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100E5B0" w14:textId="77777777" w:rsidR="008A1499" w:rsidRPr="003F1A75" w:rsidRDefault="008A1499" w:rsidP="008A1499">
            <w:pPr>
              <w:pStyle w:val="AASmallLogo"/>
            </w:pPr>
          </w:p>
        </w:tc>
        <w:tc>
          <w:tcPr>
            <w:tcW w:w="1434" w:type="dxa"/>
            <w:noWrap/>
            <w:vAlign w:val="bottom"/>
          </w:tcPr>
          <w:p w14:paraId="2A787A5D" w14:textId="77777777" w:rsidR="008A1499" w:rsidRPr="003F1A75" w:rsidRDefault="008A1499" w:rsidP="008A1499">
            <w:pPr>
              <w:pStyle w:val="AASmallLogo"/>
            </w:pPr>
            <w:r w:rsidRPr="003F1A75">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6AFB0B10" w14:textId="77777777" w:rsidR="008A1499" w:rsidRPr="003F1A75" w:rsidRDefault="008A1499" w:rsidP="008A1499">
            <w:pPr>
              <w:pStyle w:val="AASmallLogo"/>
            </w:pPr>
          </w:p>
        </w:tc>
        <w:tc>
          <w:tcPr>
            <w:tcW w:w="8073" w:type="dxa"/>
            <w:vAlign w:val="bottom"/>
          </w:tcPr>
          <w:p w14:paraId="3BE45761" w14:textId="57868E11" w:rsidR="00205ACA" w:rsidRPr="003F1A75" w:rsidRDefault="00205ACA" w:rsidP="0068260B">
            <w:pPr>
              <w:pStyle w:val="ABSymbol"/>
            </w:pPr>
            <w:r w:rsidRPr="008E50AB">
              <w:rPr>
                <w:sz w:val="40"/>
              </w:rPr>
              <w:t>CBD</w:t>
            </w:r>
            <w:r w:rsidRPr="008B30E1">
              <w:t>/</w:t>
            </w:r>
            <w:r w:rsidRPr="008E50AB">
              <w:t>SBI/7/</w:t>
            </w:r>
            <w:r w:rsidR="00AC1B35">
              <w:t>L.10</w:t>
            </w:r>
          </w:p>
        </w:tc>
      </w:tr>
    </w:tbl>
    <w:p w14:paraId="06AB68C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2E253DA4" w14:textId="77777777" w:rsidTr="008A1499">
        <w:trPr>
          <w:trHeight w:val="1814"/>
        </w:trPr>
        <w:tc>
          <w:tcPr>
            <w:tcW w:w="7370" w:type="dxa"/>
          </w:tcPr>
          <w:p w14:paraId="78DFB9AA" w14:textId="77777777" w:rsidR="008A1499" w:rsidRPr="003F1A75" w:rsidRDefault="008A1499" w:rsidP="008A1499">
            <w:pPr>
              <w:pStyle w:val="ACLargeLogo"/>
            </w:pPr>
            <w:r w:rsidRPr="003F1A75">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39E29602" w14:textId="77777777" w:rsidR="008A1499" w:rsidRPr="003F1A75" w:rsidRDefault="008A1499" w:rsidP="008A1499">
            <w:pPr>
              <w:pStyle w:val="ACLargeLogo"/>
            </w:pPr>
          </w:p>
        </w:tc>
        <w:tc>
          <w:tcPr>
            <w:tcW w:w="3112" w:type="dxa"/>
          </w:tcPr>
          <w:p w14:paraId="44A1B041" w14:textId="37DEA60C" w:rsidR="008A1499" w:rsidRPr="00EB4221" w:rsidRDefault="008A1499" w:rsidP="008A1499">
            <w:pPr>
              <w:pStyle w:val="AEDistrNormal"/>
            </w:pPr>
            <w:r w:rsidRPr="00EB4221">
              <w:t xml:space="preserve">Distr.: </w:t>
            </w:r>
            <w:r w:rsidR="002A6215">
              <w:t>Limited</w:t>
            </w:r>
            <w:r w:rsidRPr="00EB4221">
              <w:t xml:space="preserve"> </w:t>
            </w:r>
          </w:p>
          <w:p w14:paraId="09F38C2D" w14:textId="60050FA5" w:rsidR="008A1499" w:rsidRPr="003F1A75" w:rsidRDefault="00EB74F7" w:rsidP="008A1499">
            <w:pPr>
              <w:pStyle w:val="AEDistrNormal"/>
            </w:pPr>
            <w:r>
              <w:t>1</w:t>
            </w:r>
            <w:r w:rsidR="00AC1B35">
              <w:t>2</w:t>
            </w:r>
            <w:r w:rsidR="002A6215">
              <w:t xml:space="preserve"> August</w:t>
            </w:r>
            <w:r w:rsidR="00631BD6" w:rsidRPr="00EB4221">
              <w:t xml:space="preserve"> 2026</w:t>
            </w:r>
          </w:p>
          <w:p w14:paraId="5F5556AA" w14:textId="77777777" w:rsidR="008A1499" w:rsidRPr="003F1A75" w:rsidRDefault="008A1499" w:rsidP="008A1499">
            <w:pPr>
              <w:pStyle w:val="AEDistrNormal6pt"/>
            </w:pPr>
            <w:r w:rsidRPr="003F1A75">
              <w:t xml:space="preserve">Original: English </w:t>
            </w:r>
          </w:p>
          <w:p w14:paraId="67EA9A10" w14:textId="77777777" w:rsidR="008A1499" w:rsidRPr="003F1A75" w:rsidRDefault="008A1499" w:rsidP="008A1499">
            <w:pPr>
              <w:pStyle w:val="AEDistrNormal6pt"/>
            </w:pPr>
          </w:p>
        </w:tc>
      </w:tr>
    </w:tbl>
    <w:p w14:paraId="65BA90A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3F1A75" w14:paraId="75B3E175" w14:textId="77777777" w:rsidTr="008B30E1">
        <w:trPr>
          <w:trHeight w:val="57"/>
        </w:trPr>
        <w:tc>
          <w:tcPr>
            <w:tcW w:w="5670" w:type="dxa"/>
          </w:tcPr>
          <w:p w14:paraId="690E364F" w14:textId="77777777" w:rsidR="002A6215" w:rsidRPr="00866063" w:rsidRDefault="002A6215" w:rsidP="002A6215">
            <w:pPr>
              <w:pStyle w:val="AFCorN12Bold"/>
            </w:pPr>
            <w:r>
              <w:t>Subsidiary Body on Implementation</w:t>
            </w:r>
            <w:r w:rsidRPr="00866063">
              <w:t xml:space="preserve"> </w:t>
            </w:r>
          </w:p>
          <w:p w14:paraId="614675B9" w14:textId="77777777" w:rsidR="002A6215" w:rsidRPr="00866063" w:rsidRDefault="002A6215" w:rsidP="002A6215">
            <w:pPr>
              <w:pStyle w:val="AFCorNBold"/>
            </w:pPr>
            <w:r>
              <w:t>Seventh</w:t>
            </w:r>
            <w:r w:rsidRPr="00866063">
              <w:t xml:space="preserve"> meeting </w:t>
            </w:r>
          </w:p>
          <w:p w14:paraId="671F322A" w14:textId="77777777" w:rsidR="002A6215" w:rsidRPr="00866063" w:rsidRDefault="002A6215" w:rsidP="002A6215">
            <w:pPr>
              <w:pStyle w:val="AFCorNNormal"/>
            </w:pPr>
            <w:r>
              <w:t>Nairobi</w:t>
            </w:r>
            <w:r w:rsidRPr="00866063">
              <w:t xml:space="preserve">, </w:t>
            </w:r>
            <w:r>
              <w:rPr>
                <w:snapToGrid w:val="0"/>
                <w:kern w:val="22"/>
              </w:rPr>
              <w:t>4</w:t>
            </w:r>
            <w:r w:rsidRPr="00866063">
              <w:rPr>
                <w:snapToGrid w:val="0"/>
                <w:kern w:val="22"/>
              </w:rPr>
              <w:t>–</w:t>
            </w:r>
            <w:r>
              <w:rPr>
                <w:snapToGrid w:val="0"/>
                <w:kern w:val="22"/>
              </w:rPr>
              <w:t>12</w:t>
            </w:r>
            <w:r w:rsidRPr="00866063">
              <w:rPr>
                <w:snapToGrid w:val="0"/>
                <w:kern w:val="22"/>
              </w:rPr>
              <w:t xml:space="preserve"> </w:t>
            </w:r>
            <w:r>
              <w:rPr>
                <w:snapToGrid w:val="0"/>
                <w:kern w:val="22"/>
              </w:rPr>
              <w:t>August</w:t>
            </w:r>
            <w:r w:rsidRPr="00866063">
              <w:rPr>
                <w:snapToGrid w:val="0"/>
                <w:kern w:val="22"/>
              </w:rPr>
              <w:t xml:space="preserve"> </w:t>
            </w:r>
            <w:r>
              <w:rPr>
                <w:snapToGrid w:val="0"/>
                <w:kern w:val="22"/>
              </w:rPr>
              <w:t>2026</w:t>
            </w:r>
          </w:p>
          <w:p w14:paraId="32D46E0B" w14:textId="30C2C2BA" w:rsidR="002A6215" w:rsidRPr="00AB44C4" w:rsidRDefault="00ED795E" w:rsidP="002A6215">
            <w:pPr>
              <w:pStyle w:val="AFCorNNormal"/>
            </w:pPr>
            <w:r>
              <w:t>Agenda i</w:t>
            </w:r>
            <w:r w:rsidR="002A6215" w:rsidRPr="00AB44C4">
              <w:t>tem 3</w:t>
            </w:r>
          </w:p>
          <w:p w14:paraId="65704F6D" w14:textId="52103CD8" w:rsidR="00631BD6" w:rsidRPr="003F1A75" w:rsidRDefault="002A6215" w:rsidP="002A6215">
            <w:pPr>
              <w:pStyle w:val="AFCorN12Bold"/>
            </w:pPr>
            <w:r w:rsidRPr="00AB44C4">
              <w:t>Planning, monitoring, reporting and review: global review of collective progress in the implementation of the Kunming-Montreal Global Biodiversity Framework</w:t>
            </w:r>
            <w:r w:rsidR="00631BD6" w:rsidRPr="003D5A52">
              <w:rPr>
                <w:highlight w:val="green"/>
              </w:rPr>
              <w:t xml:space="preserve"> </w:t>
            </w:r>
          </w:p>
        </w:tc>
        <w:tc>
          <w:tcPr>
            <w:tcW w:w="4812" w:type="dxa"/>
          </w:tcPr>
          <w:p w14:paraId="73E6BB7F" w14:textId="2380E552" w:rsidR="00631BD6" w:rsidRPr="003F1A75" w:rsidRDefault="00631BD6" w:rsidP="008B30E1">
            <w:pPr>
              <w:pStyle w:val="AFCorNBold"/>
            </w:pPr>
          </w:p>
        </w:tc>
      </w:tr>
    </w:tbl>
    <w:p w14:paraId="7A7FA53D" w14:textId="1DD19734" w:rsidR="0008415E" w:rsidRPr="0068260B" w:rsidDel="0008415E" w:rsidRDefault="0008415E" w:rsidP="0068260B">
      <w:pPr>
        <w:pStyle w:val="CBDTitle"/>
      </w:pPr>
      <w:r w:rsidRPr="0008415E">
        <w:t xml:space="preserve">Planning, monitoring, reporting and review: global review of collective progress in the implementation of the Kunming-Montreal Global Biodiversity </w:t>
      </w:r>
      <w:r w:rsidRPr="00F25597">
        <w:t>Framework</w:t>
      </w:r>
      <w:r w:rsidR="00B6720F">
        <w:rPr>
          <w:rStyle w:val="FootnoteReference"/>
        </w:rPr>
        <w:footnoteReference w:customMarkFollows="1" w:id="1"/>
        <w:t>*</w:t>
      </w:r>
      <w:r w:rsidRPr="0068260B">
        <w:rPr>
          <w:b w:val="0"/>
        </w:rPr>
        <w:t xml:space="preserve"> </w:t>
      </w:r>
    </w:p>
    <w:p w14:paraId="1871C26C" w14:textId="0CA269B4" w:rsidR="00CB40BE" w:rsidRDefault="00CB40BE" w:rsidP="0068260B">
      <w:pPr>
        <w:pStyle w:val="CBDSubTitle"/>
        <w:spacing w:before="120" w:after="120"/>
        <w:ind w:firstLine="567"/>
      </w:pPr>
      <w:r w:rsidRPr="0068260B">
        <w:rPr>
          <w:b w:val="0"/>
          <w:bCs/>
          <w:i/>
          <w:iCs/>
        </w:rPr>
        <w:t>The Subsidiary Body on Implementation</w:t>
      </w:r>
      <w:r w:rsidRPr="001B08D6">
        <w:rPr>
          <w:b w:val="0"/>
          <w:bCs/>
        </w:rPr>
        <w:t>,</w:t>
      </w:r>
    </w:p>
    <w:p w14:paraId="7AFF29EE" w14:textId="636EADF7" w:rsidR="00CB40BE" w:rsidRPr="00CB40BE" w:rsidRDefault="00CB40BE" w:rsidP="0068260B">
      <w:pPr>
        <w:pStyle w:val="CBDSubTitle"/>
        <w:spacing w:before="120" w:after="120"/>
        <w:ind w:firstLine="567"/>
        <w:jc w:val="both"/>
        <w:rPr>
          <w:b w:val="0"/>
          <w:bCs/>
        </w:rPr>
      </w:pPr>
      <w:r>
        <w:rPr>
          <w:b w:val="0"/>
          <w:bCs/>
          <w:i/>
          <w:iCs/>
        </w:rPr>
        <w:t xml:space="preserve">Noting </w:t>
      </w:r>
      <w:r>
        <w:rPr>
          <w:b w:val="0"/>
          <w:bCs/>
        </w:rPr>
        <w:t xml:space="preserve">the inputs provided by the </w:t>
      </w:r>
      <w:r w:rsidRPr="001B08D6">
        <w:rPr>
          <w:b w:val="0"/>
          <w:bCs/>
        </w:rPr>
        <w:t>Subsidiary Body on Scientific, Technical and Technological Advice</w:t>
      </w:r>
      <w:r>
        <w:rPr>
          <w:b w:val="0"/>
          <w:bCs/>
        </w:rPr>
        <w:t xml:space="preserve"> in recommendation </w:t>
      </w:r>
      <w:r w:rsidR="00FD346C">
        <w:rPr>
          <w:b w:val="0"/>
          <w:bCs/>
        </w:rPr>
        <w:t xml:space="preserve">28/1 of the Subsidiary Body on </w:t>
      </w:r>
      <w:r w:rsidR="008A61DC" w:rsidRPr="001B08D6">
        <w:rPr>
          <w:b w:val="0"/>
          <w:bCs/>
        </w:rPr>
        <w:t>Scientific, Technical and Technological Advice</w:t>
      </w:r>
      <w:r w:rsidR="008A61DC">
        <w:rPr>
          <w:b w:val="0"/>
          <w:bCs/>
        </w:rPr>
        <w:t xml:space="preserve"> </w:t>
      </w:r>
      <w:r w:rsidR="00F97034">
        <w:rPr>
          <w:b w:val="0"/>
          <w:bCs/>
        </w:rPr>
        <w:t xml:space="preserve">of </w:t>
      </w:r>
      <w:r w:rsidR="00FF751E" w:rsidRPr="00FF751E">
        <w:rPr>
          <w:b w:val="0"/>
          <w:bCs/>
        </w:rPr>
        <w:t>1</w:t>
      </w:r>
      <w:r w:rsidR="00FF751E">
        <w:rPr>
          <w:b w:val="0"/>
          <w:bCs/>
        </w:rPr>
        <w:t> </w:t>
      </w:r>
      <w:r w:rsidR="00FF751E" w:rsidRPr="00FF751E">
        <w:rPr>
          <w:b w:val="0"/>
          <w:bCs/>
        </w:rPr>
        <w:t>August 2026</w:t>
      </w:r>
      <w:r>
        <w:rPr>
          <w:b w:val="0"/>
          <w:bCs/>
        </w:rPr>
        <w:t>,</w:t>
      </w:r>
    </w:p>
    <w:p w14:paraId="0CB2D788" w14:textId="75CBC418" w:rsidR="00CB40BE" w:rsidRPr="00CB40BE" w:rsidRDefault="00CB40BE" w:rsidP="0068260B">
      <w:pPr>
        <w:pStyle w:val="CBDSubTitle"/>
        <w:spacing w:before="120" w:after="120"/>
        <w:ind w:firstLine="567"/>
        <w:jc w:val="both"/>
        <w:rPr>
          <w:b w:val="0"/>
          <w:bCs/>
        </w:rPr>
      </w:pPr>
      <w:r w:rsidRPr="00CB40BE">
        <w:rPr>
          <w:b w:val="0"/>
          <w:bCs/>
          <w:i/>
          <w:iCs/>
        </w:rPr>
        <w:t>Recommends</w:t>
      </w:r>
      <w:r w:rsidRPr="00CB40BE">
        <w:rPr>
          <w:b w:val="0"/>
          <w:bCs/>
        </w:rPr>
        <w:t xml:space="preserve"> that, at its seventeenth meeting, </w:t>
      </w:r>
      <w:r w:rsidR="00A7677A" w:rsidRPr="00CB40BE">
        <w:rPr>
          <w:b w:val="0"/>
          <w:bCs/>
        </w:rPr>
        <w:t xml:space="preserve">the Conference of the Parties </w:t>
      </w:r>
      <w:r w:rsidRPr="00CB40BE">
        <w:rPr>
          <w:b w:val="0"/>
          <w:bCs/>
        </w:rPr>
        <w:t>adopt decision</w:t>
      </w:r>
      <w:r>
        <w:rPr>
          <w:b w:val="0"/>
          <w:bCs/>
        </w:rPr>
        <w:t>s</w:t>
      </w:r>
      <w:r w:rsidRPr="00CB40BE">
        <w:rPr>
          <w:b w:val="0"/>
          <w:bCs/>
        </w:rPr>
        <w:t xml:space="preserve"> along the following lines:</w:t>
      </w:r>
    </w:p>
    <w:p w14:paraId="422E0B2F" w14:textId="77C79E94" w:rsidR="0008415E" w:rsidRPr="0068260B" w:rsidRDefault="00E23316" w:rsidP="0068260B">
      <w:pPr>
        <w:pStyle w:val="CBDH2"/>
        <w:tabs>
          <w:tab w:val="clear" w:pos="567"/>
        </w:tabs>
        <w:spacing w:after="240"/>
        <w:ind w:left="1134"/>
        <w:jc w:val="left"/>
      </w:pPr>
      <w:r w:rsidRPr="00E23316">
        <w:t>A.</w:t>
      </w:r>
      <w:r w:rsidRPr="00E23316">
        <w:tab/>
      </w:r>
      <w:r w:rsidR="0008415E" w:rsidRPr="00E23316">
        <w:t>Global review of collective progress in the implementation of the Kunming-Montreal Global Biodiversity Framework</w:t>
      </w:r>
      <w:r w:rsidR="0008415E" w:rsidRPr="0068260B">
        <w:t xml:space="preserve"> </w:t>
      </w:r>
    </w:p>
    <w:p w14:paraId="03643DFC" w14:textId="77777777" w:rsidR="008D797A" w:rsidRPr="00355323" w:rsidRDefault="008D797A" w:rsidP="008D797A">
      <w:pPr>
        <w:pStyle w:val="CBDNormalNoNumber"/>
        <w:shd w:val="clear" w:color="auto" w:fill="A6A6A6" w:themeFill="background1" w:themeFillShade="A6"/>
        <w:tabs>
          <w:tab w:val="clear" w:pos="567"/>
        </w:tabs>
        <w:ind w:left="1134" w:firstLine="567"/>
      </w:pPr>
      <w:r w:rsidRPr="002E56A4">
        <w:rPr>
          <w:i/>
          <w:iCs/>
        </w:rPr>
        <w:t>The Conference of the Parties</w:t>
      </w:r>
      <w:r w:rsidRPr="002E56A4">
        <w:t>,</w:t>
      </w:r>
    </w:p>
    <w:p w14:paraId="37AA98D5" w14:textId="77777777" w:rsidR="008D797A" w:rsidRPr="002E56A4" w:rsidRDefault="008D797A" w:rsidP="008D797A">
      <w:pPr>
        <w:shd w:val="clear" w:color="auto" w:fill="A6A6A6" w:themeFill="background1" w:themeFillShade="A6"/>
        <w:tabs>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Recalling</w:t>
      </w:r>
      <w:r w:rsidRPr="002E56A4">
        <w:rPr>
          <w:rFonts w:eastAsia="Times New Roman"/>
          <w:color w:val="000000" w:themeColor="text1"/>
        </w:rPr>
        <w:t xml:space="preserve"> that, in its decisions </w:t>
      </w:r>
      <w:hyperlink r:id="rId15" w:history="1">
        <w:r w:rsidRPr="002E56A4">
          <w:rPr>
            <w:rStyle w:val="Hyperlink"/>
            <w:rFonts w:eastAsia="Times New Roman"/>
          </w:rPr>
          <w:t>15/4</w:t>
        </w:r>
      </w:hyperlink>
      <w:r w:rsidRPr="002E56A4">
        <w:rPr>
          <w:rFonts w:eastAsia="Times New Roman"/>
          <w:color w:val="000000" w:themeColor="text1"/>
        </w:rPr>
        <w:t xml:space="preserve"> and </w:t>
      </w:r>
      <w:hyperlink r:id="rId16" w:history="1">
        <w:r w:rsidRPr="002E56A4">
          <w:rPr>
            <w:rStyle w:val="Hyperlink"/>
            <w:rFonts w:eastAsia="Times New Roman"/>
          </w:rPr>
          <w:t>15/6</w:t>
        </w:r>
      </w:hyperlink>
      <w:r w:rsidRPr="002E56A4">
        <w:rPr>
          <w:rFonts w:eastAsia="Times New Roman"/>
          <w:color w:val="000000" w:themeColor="text1"/>
        </w:rPr>
        <w:t xml:space="preserve"> of 19</w:t>
      </w:r>
      <w:r>
        <w:rPr>
          <w:rFonts w:eastAsia="Times New Roman"/>
          <w:color w:val="000000" w:themeColor="text1"/>
        </w:rPr>
        <w:t> </w:t>
      </w:r>
      <w:r w:rsidRPr="002E56A4">
        <w:rPr>
          <w:rFonts w:eastAsia="Times New Roman"/>
          <w:color w:val="000000" w:themeColor="text1"/>
        </w:rPr>
        <w:t xml:space="preserve">December 2022, and </w:t>
      </w:r>
      <w:hyperlink r:id="rId17" w:history="1">
        <w:r w:rsidRPr="002E56A4">
          <w:rPr>
            <w:rStyle w:val="Hyperlink"/>
            <w:rFonts w:eastAsia="Times New Roman"/>
          </w:rPr>
          <w:t>16/32</w:t>
        </w:r>
      </w:hyperlink>
      <w:r w:rsidRPr="002E56A4">
        <w:rPr>
          <w:rFonts w:eastAsia="Times New Roman"/>
          <w:color w:val="000000" w:themeColor="text1"/>
        </w:rPr>
        <w:t xml:space="preserve"> of 27</w:t>
      </w:r>
      <w:r>
        <w:rPr>
          <w:rFonts w:eastAsia="Times New Roman"/>
          <w:color w:val="000000" w:themeColor="text1"/>
        </w:rPr>
        <w:t> </w:t>
      </w:r>
      <w:r w:rsidRPr="002E56A4">
        <w:rPr>
          <w:rFonts w:eastAsia="Times New Roman"/>
          <w:color w:val="000000" w:themeColor="text1"/>
        </w:rPr>
        <w:t xml:space="preserve">February 2025, the Conference of the Parties decided to conduct a global review of collective progress in the implementation of the Kunming-Montreal Global Biodiversity Framework at its seventeenth meeting and that the national reports and the global report on collective progress in the implementation of the Framework </w:t>
      </w:r>
      <w:r>
        <w:rPr>
          <w:rFonts w:eastAsia="Times New Roman"/>
          <w:color w:val="000000" w:themeColor="text1"/>
        </w:rPr>
        <w:t>would be</w:t>
      </w:r>
      <w:r w:rsidRPr="002E56A4">
        <w:rPr>
          <w:rFonts w:eastAsia="Times New Roman"/>
          <w:color w:val="000000" w:themeColor="text1"/>
        </w:rPr>
        <w:t xml:space="preserve"> the primary sources of information for the global review,</w:t>
      </w:r>
    </w:p>
    <w:p w14:paraId="26B5E445" w14:textId="77777777" w:rsidR="008D797A" w:rsidRPr="002E56A4" w:rsidRDefault="008D797A" w:rsidP="008D797A">
      <w:pPr>
        <w:shd w:val="clear" w:color="auto" w:fill="A6A6A6" w:themeFill="background1" w:themeFillShade="A6"/>
        <w:tabs>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Recalling also</w:t>
      </w:r>
      <w:r w:rsidRPr="002E56A4">
        <w:rPr>
          <w:rFonts w:eastAsia="Times New Roman"/>
          <w:color w:val="000000" w:themeColor="text1"/>
        </w:rPr>
        <w:t xml:space="preserve"> that, in </w:t>
      </w:r>
      <w:r>
        <w:rPr>
          <w:rFonts w:eastAsia="Times New Roman"/>
          <w:color w:val="000000" w:themeColor="text1"/>
        </w:rPr>
        <w:t xml:space="preserve">its </w:t>
      </w:r>
      <w:r w:rsidRPr="002E56A4">
        <w:rPr>
          <w:rFonts w:eastAsia="Times New Roman"/>
          <w:color w:val="000000" w:themeColor="text1"/>
        </w:rPr>
        <w:t xml:space="preserve">decision </w:t>
      </w:r>
      <w:hyperlink r:id="rId18" w:history="1">
        <w:r w:rsidRPr="002E56A4">
          <w:rPr>
            <w:rStyle w:val="Hyperlink"/>
            <w:rFonts w:eastAsia="Times New Roman"/>
          </w:rPr>
          <w:t>16/32</w:t>
        </w:r>
      </w:hyperlink>
      <w:r w:rsidRPr="002E56A4">
        <w:rPr>
          <w:rFonts w:eastAsia="Times New Roman"/>
          <w:color w:val="000000" w:themeColor="text1"/>
        </w:rPr>
        <w:t xml:space="preserve">, the Conference of the Parties also decided that the global review would draw upon relevant recommendations of the subsidiary bodies and working groups and, as relevant, the outcomes of the informal technical dialogue, [which has since been named the Kunming dialogue on collective progress in the implementation of the Kunming-Montreal Global Biodiversity Framework in support of the global review,] the outcomes of the subregional and regional dialogues on national biodiversity strategies and </w:t>
      </w:r>
      <w:r w:rsidRPr="002E56A4">
        <w:rPr>
          <w:rFonts w:eastAsia="Times New Roman"/>
          <w:color w:val="000000" w:themeColor="text1"/>
        </w:rPr>
        <w:lastRenderedPageBreak/>
        <w:t>action plans and national reports, and the global analysis of information in national biodiversity strategies and action plans,</w:t>
      </w:r>
    </w:p>
    <w:p w14:paraId="2B02EA15" w14:textId="77777777" w:rsidR="008D797A" w:rsidRPr="002E56A4"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Recognizing</w:t>
      </w:r>
      <w:r w:rsidRPr="002E56A4">
        <w:rPr>
          <w:rFonts w:eastAsia="Times New Roman"/>
          <w:color w:val="000000" w:themeColor="text1"/>
        </w:rPr>
        <w:t xml:space="preserve"> that 129 Parties had submitted national reports in time for consideration in the preparation of </w:t>
      </w:r>
      <w:r>
        <w:rPr>
          <w:rFonts w:eastAsia="Times New Roman"/>
          <w:color w:val="000000" w:themeColor="text1"/>
        </w:rPr>
        <w:t xml:space="preserve">the </w:t>
      </w:r>
      <w:r w:rsidRPr="002E56A4">
        <w:rPr>
          <w:rFonts w:eastAsia="Times New Roman"/>
          <w:color w:val="000000" w:themeColor="text1"/>
        </w:rPr>
        <w:t xml:space="preserve">global report, that is, by 8 March 2026, which had provided substantial evidence for preparing the global report, </w:t>
      </w:r>
    </w:p>
    <w:p w14:paraId="29DAF841" w14:textId="77777777" w:rsidR="008D797A" w:rsidRPr="002E56A4"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Recognizing also</w:t>
      </w:r>
      <w:r w:rsidRPr="002E56A4">
        <w:rPr>
          <w:rFonts w:eastAsia="Times New Roman"/>
          <w:color w:val="000000" w:themeColor="text1"/>
        </w:rPr>
        <w:t xml:space="preserve"> that additional sources of information identified in decision</w:t>
      </w:r>
      <w:r>
        <w:rPr>
          <w:rFonts w:eastAsia="Times New Roman"/>
          <w:color w:val="000000" w:themeColor="text1"/>
        </w:rPr>
        <w:t> </w:t>
      </w:r>
      <w:hyperlink r:id="rId19" w:history="1">
        <w:r w:rsidRPr="002E56A4">
          <w:rPr>
            <w:rStyle w:val="Hyperlink"/>
            <w:rFonts w:eastAsia="Times New Roman"/>
          </w:rPr>
          <w:t>16/32</w:t>
        </w:r>
      </w:hyperlink>
      <w:r w:rsidRPr="002E56A4">
        <w:rPr>
          <w:rFonts w:eastAsia="Times New Roman"/>
          <w:color w:val="000000" w:themeColor="text1"/>
        </w:rPr>
        <w:t xml:space="preserve">, such as scientific literature and the deliverables of the Intergovernmental Science-Policy Platform on Biodiversity and Ecosystem Services, were used in the preparation of the global report, that those sources further strengthened the evidence base for the global report and that science played an important </w:t>
      </w:r>
      <w:r>
        <w:rPr>
          <w:rFonts w:eastAsia="Times New Roman"/>
          <w:color w:val="000000" w:themeColor="text1"/>
        </w:rPr>
        <w:t xml:space="preserve">role </w:t>
      </w:r>
      <w:r w:rsidRPr="002E56A4">
        <w:rPr>
          <w:rFonts w:eastAsia="Times New Roman"/>
          <w:color w:val="000000" w:themeColor="text1"/>
        </w:rPr>
        <w:t>in the global review,</w:t>
      </w:r>
    </w:p>
    <w:p w14:paraId="50729A2C" w14:textId="77777777" w:rsidR="008D797A" w:rsidRPr="002E56A4"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Noting with concern</w:t>
      </w:r>
      <w:r w:rsidRPr="002E56A4">
        <w:rPr>
          <w:rFonts w:eastAsia="Times New Roman"/>
          <w:color w:val="000000" w:themeColor="text1"/>
        </w:rPr>
        <w:t xml:space="preserve"> that there remain data and information gaps in the national reports, that not all Parties were able to submit national reports in time for them to be considered in the preparation of the global report and that, consequently, the experiences of some Parties, in particular small island developing States, are not well reflected in the global report,</w:t>
      </w:r>
    </w:p>
    <w:p w14:paraId="57916B8A" w14:textId="77777777" w:rsidR="008D797A" w:rsidRPr="002E56A4"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Noting with appreciation</w:t>
      </w:r>
      <w:r w:rsidRPr="002E56A4">
        <w:rPr>
          <w:rFonts w:eastAsia="Times New Roman"/>
          <w:color w:val="000000" w:themeColor="text1"/>
        </w:rPr>
        <w:t xml:space="preserve"> the support provided to Parties for developing national biodiversity strategies and actions plans and national reports, </w:t>
      </w:r>
    </w:p>
    <w:p w14:paraId="00D77A02" w14:textId="77777777" w:rsidR="008D797A" w:rsidRPr="002E56A4"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 xml:space="preserve">Highlighting </w:t>
      </w:r>
      <w:r w:rsidRPr="002E56A4">
        <w:rPr>
          <w:rFonts w:eastAsia="Times New Roman"/>
          <w:color w:val="000000" w:themeColor="text1"/>
        </w:rPr>
        <w:t>that, for many developing country Parties, in particular small island developing States, there continues to be delays in the initiation of the Global Environment Facility support for developing national biodiversity strategies and actions plans and national reports, which had an impact on the timeliness and completeness of some national reports,</w:t>
      </w:r>
      <w:r w:rsidRPr="002E56A4">
        <w:rPr>
          <w:rStyle w:val="FootnoteReference"/>
          <w:rFonts w:eastAsia="Times New Roman"/>
          <w:color w:val="000000" w:themeColor="text1"/>
        </w:rPr>
        <w:footnoteReference w:id="2"/>
      </w:r>
      <w:r w:rsidRPr="002E56A4">
        <w:rPr>
          <w:rFonts w:eastAsia="Times New Roman"/>
          <w:color w:val="000000" w:themeColor="text1"/>
        </w:rPr>
        <w:t xml:space="preserve"> and recognizing that a range of factors may have contributed to delays, </w:t>
      </w:r>
    </w:p>
    <w:p w14:paraId="65704F47" w14:textId="77777777" w:rsidR="008D797A" w:rsidRPr="002E56A4"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2E56A4">
        <w:rPr>
          <w:rFonts w:eastAsia="Times New Roman"/>
          <w:i/>
          <w:iCs/>
        </w:rPr>
        <w:t>Recognizing</w:t>
      </w:r>
      <w:r w:rsidRPr="002E56A4">
        <w:rPr>
          <w:rFonts w:eastAsia="Times New Roman"/>
        </w:rPr>
        <w:t xml:space="preserve"> that the information and data gaps identified in the global report do not necessarily represent gaps in </w:t>
      </w:r>
      <w:r>
        <w:rPr>
          <w:rFonts w:eastAsia="Times New Roman"/>
        </w:rPr>
        <w:t xml:space="preserve">the </w:t>
      </w:r>
      <w:r w:rsidRPr="002E56A4">
        <w:rPr>
          <w:rFonts w:eastAsia="Times New Roman"/>
        </w:rPr>
        <w:t xml:space="preserve">implementation of </w:t>
      </w:r>
      <w:r>
        <w:rPr>
          <w:rFonts w:eastAsia="Times New Roman"/>
        </w:rPr>
        <w:t xml:space="preserve">the Framework </w:t>
      </w:r>
      <w:r w:rsidRPr="002E56A4">
        <w:rPr>
          <w:rFonts w:eastAsia="Times New Roman"/>
        </w:rPr>
        <w:t>or a lack of commitment to the Framework,</w:t>
      </w:r>
    </w:p>
    <w:p w14:paraId="209E4B9C" w14:textId="77777777" w:rsidR="008D797A" w:rsidRPr="002E56A4"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2E56A4">
        <w:rPr>
          <w:rFonts w:eastAsia="Times New Roman"/>
          <w:i/>
          <w:iCs/>
        </w:rPr>
        <w:t>Stressing</w:t>
      </w:r>
      <w:r w:rsidRPr="002E56A4">
        <w:rPr>
          <w:rFonts w:eastAsia="Times New Roman"/>
        </w:rPr>
        <w:t xml:space="preserve"> that many Parties face institutional, technical, capacity and resource challenges in preparing national biodiversity strategies and action plans and national reports, in particular in relation to the use of the headline indicators in the monitoring framework</w:t>
      </w:r>
      <w:r w:rsidRPr="002E56A4">
        <w:rPr>
          <w:rFonts w:eastAsia="Times New Roman"/>
          <w:color w:val="000000" w:themeColor="text1"/>
        </w:rPr>
        <w:t xml:space="preserve"> </w:t>
      </w:r>
      <w:r>
        <w:rPr>
          <w:rFonts w:eastAsia="Times New Roman"/>
          <w:color w:val="000000" w:themeColor="text1"/>
        </w:rPr>
        <w:t xml:space="preserve">for the </w:t>
      </w:r>
      <w:r w:rsidRPr="002E56A4">
        <w:rPr>
          <w:rFonts w:eastAsia="Times New Roman"/>
          <w:color w:val="000000" w:themeColor="text1"/>
        </w:rPr>
        <w:t>Kunming-Montreal Global Biodiversity Framework</w:t>
      </w:r>
      <w:r w:rsidRPr="002E56A4">
        <w:rPr>
          <w:rFonts w:eastAsia="Times New Roman"/>
        </w:rPr>
        <w:t>,</w:t>
      </w:r>
      <w:r w:rsidRPr="002E56A4">
        <w:rPr>
          <w:rStyle w:val="FootnoteReference"/>
          <w:rFonts w:eastAsia="Times New Roman"/>
        </w:rPr>
        <w:footnoteReference w:id="3"/>
      </w:r>
      <w:r w:rsidRPr="002E56A4">
        <w:rPr>
          <w:rFonts w:eastAsia="Times New Roman"/>
        </w:rPr>
        <w:t xml:space="preserve"> which contribute to the information gaps in the global report,</w:t>
      </w:r>
    </w:p>
    <w:p w14:paraId="73C7656D" w14:textId="77777777" w:rsidR="008D797A" w:rsidRPr="002E56A4"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 xml:space="preserve">Acknowledging </w:t>
      </w:r>
      <w:r w:rsidRPr="002E56A4">
        <w:rPr>
          <w:rFonts w:eastAsia="Times New Roman"/>
          <w:color w:val="000000" w:themeColor="text1"/>
        </w:rPr>
        <w:t xml:space="preserve">that, while there were methodological, scientific, technical and data limitations and time constraints related to the preparation of the first global report, the global report is the most definitive source of information on collective progress currently available, that it was developed through a Party-led process and that it provides a [sound] basis for the global review of implementation of the Framework, </w:t>
      </w:r>
    </w:p>
    <w:p w14:paraId="438B0AEC" w14:textId="77777777" w:rsidR="008D797A" w:rsidRPr="002E56A4"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Pr>
          <w:rFonts w:eastAsia="Times New Roman"/>
          <w:i/>
          <w:iCs/>
        </w:rPr>
        <w:t>A</w:t>
      </w:r>
      <w:r w:rsidRPr="002E56A4">
        <w:rPr>
          <w:rFonts w:eastAsia="Times New Roman"/>
          <w:i/>
          <w:iCs/>
        </w:rPr>
        <w:t>cknowledging</w:t>
      </w:r>
      <w:r>
        <w:rPr>
          <w:rFonts w:eastAsia="Times New Roman"/>
          <w:i/>
          <w:iCs/>
        </w:rPr>
        <w:t xml:space="preserve"> also</w:t>
      </w:r>
      <w:r w:rsidRPr="002E56A4">
        <w:rPr>
          <w:rFonts w:eastAsia="Times New Roman"/>
        </w:rPr>
        <w:t xml:space="preserve"> that the planning, monitoring, reporting and review mechanism, including future global reviews, could be further strengthened by </w:t>
      </w:r>
      <w:proofErr w:type="gramStart"/>
      <w:r w:rsidRPr="002E56A4">
        <w:rPr>
          <w:rFonts w:eastAsia="Times New Roman"/>
        </w:rPr>
        <w:t>taking into account</w:t>
      </w:r>
      <w:proofErr w:type="gramEnd"/>
      <w:r w:rsidRPr="002E56A4">
        <w:rPr>
          <w:rFonts w:eastAsia="Times New Roman"/>
        </w:rPr>
        <w:t xml:space="preserve"> the experiences and lessons learned in preparing the first global report and the seventh national reports,</w:t>
      </w:r>
    </w:p>
    <w:p w14:paraId="482ED12E" w14:textId="77777777" w:rsidR="008D797A" w:rsidRPr="002E56A4"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2E56A4">
        <w:rPr>
          <w:rFonts w:eastAsia="Times New Roman"/>
          <w:i/>
          <w:iCs/>
        </w:rPr>
        <w:t xml:space="preserve">Expressing appreciation </w:t>
      </w:r>
      <w:r w:rsidRPr="002E56A4">
        <w:rPr>
          <w:rFonts w:eastAsia="Times New Roman"/>
        </w:rPr>
        <w:t>for</w:t>
      </w:r>
      <w:r w:rsidRPr="002E56A4">
        <w:rPr>
          <w:rFonts w:eastAsia="Times New Roman"/>
          <w:i/>
          <w:iCs/>
        </w:rPr>
        <w:t xml:space="preserve"> </w:t>
      </w:r>
      <w:r w:rsidRPr="002E56A4">
        <w:rPr>
          <w:rFonts w:eastAsia="Times New Roman"/>
        </w:rPr>
        <w:t>the</w:t>
      </w:r>
      <w:r w:rsidRPr="002E56A4">
        <w:rPr>
          <w:rFonts w:eastAsia="Times New Roman"/>
          <w:i/>
          <w:iCs/>
        </w:rPr>
        <w:t xml:space="preserve"> </w:t>
      </w:r>
      <w:r w:rsidRPr="002E56A4">
        <w:rPr>
          <w:rFonts w:eastAsia="Times New Roman"/>
        </w:rPr>
        <w:t>work of the Ad Hoc Scientific and Technical Advisory Group for the Preparation of the Global Report on Collective Progress in the Implementation of the Kunming-Montreal Global Biodiversity Framework in guiding the production of the first global report,</w:t>
      </w:r>
    </w:p>
    <w:p w14:paraId="2E728E3E" w14:textId="6779BFEB" w:rsidR="0057292D" w:rsidRDefault="0057292D" w:rsidP="008B30E1">
      <w:pPr>
        <w:pStyle w:val="CBDNormalNoNumber"/>
        <w:tabs>
          <w:tab w:val="clear" w:pos="567"/>
        </w:tabs>
        <w:ind w:left="1134" w:firstLine="567"/>
        <w:rPr>
          <w:kern w:val="22"/>
        </w:rPr>
      </w:pPr>
      <w:r w:rsidRPr="00AE12CA">
        <w:rPr>
          <w:i/>
          <w:kern w:val="22"/>
        </w:rPr>
        <w:t>Acknowledging with appreciation</w:t>
      </w:r>
      <w:r w:rsidRPr="00AE12CA">
        <w:rPr>
          <w:kern w:val="22"/>
        </w:rPr>
        <w:t xml:space="preserve"> the </w:t>
      </w:r>
      <w:r w:rsidR="00AC5E44">
        <w:rPr>
          <w:kern w:val="22"/>
        </w:rPr>
        <w:t xml:space="preserve">financial </w:t>
      </w:r>
      <w:r w:rsidRPr="00AE12CA">
        <w:rPr>
          <w:kern w:val="22"/>
        </w:rPr>
        <w:t xml:space="preserve">support provided </w:t>
      </w:r>
      <w:r w:rsidR="004409FC">
        <w:rPr>
          <w:kern w:val="22"/>
        </w:rPr>
        <w:t>by</w:t>
      </w:r>
      <w:r w:rsidR="004409FC" w:rsidRPr="00AE12CA">
        <w:t xml:space="preserve"> the Governments of Germany and the Kingdom of the Netherlands and</w:t>
      </w:r>
      <w:r w:rsidR="00C47977">
        <w:t>,</w:t>
      </w:r>
      <w:r w:rsidR="00C47977" w:rsidRPr="00AE12CA">
        <w:t xml:space="preserve"> th</w:t>
      </w:r>
      <w:r w:rsidR="00C47977">
        <w:t>r</w:t>
      </w:r>
      <w:r w:rsidR="00C47977" w:rsidRPr="00AE12CA">
        <w:t>ough the China Trust Fund</w:t>
      </w:r>
      <w:r w:rsidR="00C47977">
        <w:t>,</w:t>
      </w:r>
      <w:r w:rsidR="004409FC" w:rsidRPr="00AE12CA">
        <w:t xml:space="preserve"> the United </w:t>
      </w:r>
      <w:r w:rsidR="004409FC" w:rsidRPr="00AE12CA">
        <w:lastRenderedPageBreak/>
        <w:t>Nations Environment Programme</w:t>
      </w:r>
      <w:r w:rsidR="006C19B0">
        <w:t xml:space="preserve"> </w:t>
      </w:r>
      <w:r w:rsidR="00A931F6">
        <w:t xml:space="preserve">for the global review </w:t>
      </w:r>
      <w:r w:rsidR="00842579">
        <w:rPr>
          <w:kern w:val="22"/>
        </w:rPr>
        <w:t>of</w:t>
      </w:r>
      <w:r w:rsidRPr="00AE12CA">
        <w:rPr>
          <w:kern w:val="22"/>
        </w:rPr>
        <w:t xml:space="preserve"> collective progress in the implementation of the Kunming-Montreal Global Biodiversity Framework</w:t>
      </w:r>
      <w:r w:rsidR="00D82676">
        <w:rPr>
          <w:kern w:val="22"/>
        </w:rPr>
        <w:t>,</w:t>
      </w:r>
      <w:r w:rsidR="00C47977">
        <w:rPr>
          <w:rStyle w:val="FootnoteReference"/>
          <w:kern w:val="22"/>
        </w:rPr>
        <w:footnoteReference w:id="4"/>
      </w:r>
      <w:r w:rsidRPr="00AE12CA">
        <w:rPr>
          <w:kern w:val="22"/>
        </w:rPr>
        <w:t xml:space="preserve"> </w:t>
      </w:r>
      <w:r w:rsidR="00A93AAD">
        <w:rPr>
          <w:kern w:val="22"/>
        </w:rPr>
        <w:t xml:space="preserve">as well as the </w:t>
      </w:r>
      <w:r w:rsidRPr="00AE12CA">
        <w:rPr>
          <w:kern w:val="22"/>
        </w:rPr>
        <w:t xml:space="preserve">financial support </w:t>
      </w:r>
      <w:r w:rsidR="00A93AAD" w:rsidRPr="00AE12CA">
        <w:rPr>
          <w:kern w:val="22"/>
        </w:rPr>
        <w:t xml:space="preserve">provided by the European Union and the Governments of the Kingdom of the Netherlands </w:t>
      </w:r>
      <w:r w:rsidR="00856553">
        <w:rPr>
          <w:kern w:val="22"/>
        </w:rPr>
        <w:t xml:space="preserve">and </w:t>
      </w:r>
      <w:r w:rsidR="00A93AAD" w:rsidRPr="00AE12CA">
        <w:rPr>
          <w:kern w:val="22"/>
        </w:rPr>
        <w:t>Switzerland and</w:t>
      </w:r>
      <w:r w:rsidR="00AB7300">
        <w:rPr>
          <w:kern w:val="22"/>
        </w:rPr>
        <w:t>,</w:t>
      </w:r>
      <w:r w:rsidR="00A93AAD" w:rsidRPr="00AE12CA">
        <w:rPr>
          <w:kern w:val="22"/>
        </w:rPr>
        <w:t xml:space="preserve"> </w:t>
      </w:r>
      <w:r w:rsidR="00AB7300" w:rsidRPr="00AE12CA">
        <w:rPr>
          <w:kern w:val="22"/>
        </w:rPr>
        <w:t>through the China Trust Fund</w:t>
      </w:r>
      <w:r w:rsidR="00AB7300">
        <w:rPr>
          <w:kern w:val="22"/>
        </w:rPr>
        <w:t>,</w:t>
      </w:r>
      <w:r w:rsidR="00AB7300" w:rsidRPr="00AE12CA">
        <w:rPr>
          <w:kern w:val="22"/>
        </w:rPr>
        <w:t xml:space="preserve"> </w:t>
      </w:r>
      <w:r w:rsidR="00A93AAD" w:rsidRPr="008B30E1">
        <w:t>the</w:t>
      </w:r>
      <w:r w:rsidR="00A93AAD" w:rsidRPr="00AE12CA">
        <w:rPr>
          <w:kern w:val="22"/>
        </w:rPr>
        <w:t xml:space="preserve"> United Nations Environment Programme </w:t>
      </w:r>
      <w:r w:rsidR="00842579">
        <w:rPr>
          <w:kern w:val="22"/>
        </w:rPr>
        <w:t xml:space="preserve">for the </w:t>
      </w:r>
      <w:r w:rsidR="00A93AAD">
        <w:rPr>
          <w:kern w:val="22"/>
        </w:rPr>
        <w:t xml:space="preserve">preparation of the </w:t>
      </w:r>
      <w:r w:rsidR="000E636B">
        <w:rPr>
          <w:kern w:val="22"/>
        </w:rPr>
        <w:t xml:space="preserve">related </w:t>
      </w:r>
      <w:r w:rsidR="00842579">
        <w:rPr>
          <w:kern w:val="22"/>
        </w:rPr>
        <w:t>global report</w:t>
      </w:r>
      <w:r w:rsidR="008F3684">
        <w:rPr>
          <w:kern w:val="22"/>
        </w:rPr>
        <w:t>,</w:t>
      </w:r>
      <w:r w:rsidR="00842579">
        <w:rPr>
          <w:rStyle w:val="FootnoteReference"/>
          <w:kern w:val="22"/>
        </w:rPr>
        <w:footnoteReference w:id="5"/>
      </w:r>
    </w:p>
    <w:p w14:paraId="5C32CEAB" w14:textId="77777777" w:rsidR="008D797A" w:rsidRPr="002E56A4"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2E56A4">
        <w:rPr>
          <w:rFonts w:eastAsia="Times New Roman"/>
        </w:rPr>
        <w:t>1.</w:t>
      </w:r>
      <w:r w:rsidRPr="002E56A4">
        <w:tab/>
      </w:r>
      <w:r w:rsidRPr="002E56A4">
        <w:rPr>
          <w:rFonts w:eastAsia="Times New Roman"/>
          <w:i/>
          <w:iCs/>
        </w:rPr>
        <w:t>Welcomes</w:t>
      </w:r>
      <w:r>
        <w:rPr>
          <w:rFonts w:eastAsia="Times New Roman"/>
          <w:i/>
          <w:iCs/>
        </w:rPr>
        <w:t xml:space="preserve"> </w:t>
      </w:r>
      <w:r w:rsidRPr="00355323">
        <w:rPr>
          <w:rFonts w:eastAsia="Times New Roman"/>
        </w:rPr>
        <w:t>[</w:t>
      </w:r>
      <w:r>
        <w:rPr>
          <w:rFonts w:eastAsia="Times New Roman"/>
          <w:i/>
          <w:iCs/>
        </w:rPr>
        <w:t>with appreciation</w:t>
      </w:r>
      <w:r w:rsidRPr="002E56A4">
        <w:rPr>
          <w:rFonts w:eastAsia="Times New Roman"/>
        </w:rPr>
        <w:t>]</w:t>
      </w:r>
      <w:r w:rsidRPr="002E56A4">
        <w:rPr>
          <w:rFonts w:eastAsia="Times New Roman"/>
          <w:i/>
          <w:iCs/>
        </w:rPr>
        <w:t xml:space="preserve"> </w:t>
      </w:r>
      <w:r w:rsidRPr="002E56A4">
        <w:rPr>
          <w:rFonts w:eastAsia="Times New Roman"/>
        </w:rPr>
        <w:t>the</w:t>
      </w:r>
      <w:r w:rsidRPr="002E56A4">
        <w:rPr>
          <w:rFonts w:eastAsia="Times New Roman"/>
          <w:i/>
          <w:iCs/>
        </w:rPr>
        <w:t xml:space="preserve"> </w:t>
      </w:r>
      <w:r w:rsidRPr="002E56A4">
        <w:rPr>
          <w:rFonts w:eastAsia="Times New Roman"/>
        </w:rPr>
        <w:t>global report on collective progress in the implementation of the Kunming-Montreal Global Biodiversity Framework</w:t>
      </w:r>
      <w:r>
        <w:rPr>
          <w:rFonts w:eastAsia="Times New Roman"/>
        </w:rPr>
        <w:t>, and notes its overarching messages and key messages</w:t>
      </w:r>
      <w:r w:rsidRPr="002E56A4">
        <w:rPr>
          <w:rFonts w:eastAsia="Times New Roman"/>
        </w:rPr>
        <w:t>;</w:t>
      </w:r>
    </w:p>
    <w:p w14:paraId="242F6A90" w14:textId="77777777" w:rsidR="008D797A" w:rsidRPr="002E56A4"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2E56A4">
        <w:rPr>
          <w:rFonts w:eastAsia="Times New Roman"/>
        </w:rPr>
        <w:t>2</w:t>
      </w:r>
      <w:r w:rsidRPr="002E56A4">
        <w:rPr>
          <w:rFonts w:eastAsia="Times New Roman"/>
          <w:i/>
          <w:iCs/>
        </w:rPr>
        <w:t>.</w:t>
      </w:r>
      <w:r w:rsidRPr="002E56A4">
        <w:tab/>
      </w:r>
      <w:r w:rsidRPr="002E56A4">
        <w:rPr>
          <w:rFonts w:eastAsia="Times New Roman"/>
        </w:rPr>
        <w:t>[</w:t>
      </w:r>
      <w:r w:rsidRPr="00661FE4">
        <w:rPr>
          <w:rFonts w:eastAsia="Times New Roman"/>
          <w:i/>
          <w:iCs/>
        </w:rPr>
        <w:t>Also</w:t>
      </w:r>
      <w:r>
        <w:rPr>
          <w:rFonts w:eastAsia="Times New Roman"/>
        </w:rPr>
        <w:t xml:space="preserve"> </w:t>
      </w:r>
      <w:proofErr w:type="gramStart"/>
      <w:r>
        <w:rPr>
          <w:rFonts w:eastAsia="Times New Roman"/>
          <w:i/>
          <w:iCs/>
        </w:rPr>
        <w:t>w</w:t>
      </w:r>
      <w:r w:rsidRPr="002E56A4">
        <w:rPr>
          <w:rFonts w:eastAsia="Times New Roman"/>
          <w:i/>
          <w:iCs/>
        </w:rPr>
        <w:t>elcomes</w:t>
      </w:r>
      <w:r w:rsidRPr="002E56A4">
        <w:rPr>
          <w:rFonts w:eastAsia="Times New Roman"/>
        </w:rPr>
        <w:t>][</w:t>
      </w:r>
      <w:proofErr w:type="gramEnd"/>
      <w:r w:rsidRPr="002E56A4">
        <w:rPr>
          <w:rFonts w:eastAsia="Times New Roman"/>
          <w:i/>
          <w:iCs/>
        </w:rPr>
        <w:t>Recognizes</w:t>
      </w:r>
      <w:r w:rsidRPr="002E56A4">
        <w:rPr>
          <w:rFonts w:eastAsia="Times New Roman"/>
        </w:rPr>
        <w:t>]</w:t>
      </w:r>
      <w:r w:rsidRPr="002E56A4">
        <w:rPr>
          <w:rFonts w:eastAsia="Times New Roman"/>
          <w:i/>
          <w:iCs/>
        </w:rPr>
        <w:t xml:space="preserve"> with appreciation</w:t>
      </w:r>
      <w:r w:rsidRPr="002E56A4">
        <w:rPr>
          <w:rFonts w:eastAsia="Times New Roman"/>
        </w:rPr>
        <w:t xml:space="preserve"> that the Framework has generated unprecedented global engagement and has driven action, innovation, collaboration and learning;</w:t>
      </w:r>
    </w:p>
    <w:p w14:paraId="4A17D421" w14:textId="77777777" w:rsidR="008D797A" w:rsidRPr="002E56A4"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2E56A4">
        <w:rPr>
          <w:rFonts w:eastAsia="Times New Roman"/>
        </w:rPr>
        <w:t>3</w:t>
      </w:r>
      <w:r w:rsidRPr="002E56A4">
        <w:rPr>
          <w:rFonts w:eastAsia="Times New Roman"/>
          <w:i/>
          <w:iCs/>
        </w:rPr>
        <w:t>.</w:t>
      </w:r>
      <w:r w:rsidRPr="002E56A4">
        <w:tab/>
      </w:r>
      <w:r>
        <w:rPr>
          <w:i/>
          <w:iCs/>
        </w:rPr>
        <w:t>Further</w:t>
      </w:r>
      <w:r>
        <w:t xml:space="preserve"> </w:t>
      </w:r>
      <w:r>
        <w:rPr>
          <w:rFonts w:eastAsia="Times New Roman"/>
          <w:i/>
          <w:iCs/>
        </w:rPr>
        <w:t>w</w:t>
      </w:r>
      <w:r w:rsidRPr="002E56A4">
        <w:rPr>
          <w:rFonts w:eastAsia="Times New Roman"/>
          <w:i/>
          <w:iCs/>
        </w:rPr>
        <w:t xml:space="preserve">elcomes </w:t>
      </w:r>
      <w:r w:rsidRPr="002E56A4">
        <w:rPr>
          <w:rFonts w:eastAsia="Times New Roman"/>
        </w:rPr>
        <w:t>the fact</w:t>
      </w:r>
      <w:r w:rsidRPr="002E56A4">
        <w:rPr>
          <w:rFonts w:eastAsia="Times New Roman"/>
          <w:i/>
          <w:iCs/>
        </w:rPr>
        <w:t xml:space="preserve"> </w:t>
      </w:r>
      <w:r w:rsidRPr="002E56A4">
        <w:rPr>
          <w:rFonts w:eastAsia="Times New Roman"/>
        </w:rPr>
        <w:t>that Parties have taken actions across all 23 </w:t>
      </w:r>
      <w:r w:rsidRPr="00EA5438">
        <w:rPr>
          <w:rFonts w:eastAsia="Times New Roman"/>
        </w:rPr>
        <w:t>targets</w:t>
      </w:r>
      <w:r w:rsidRPr="002E56A4">
        <w:rPr>
          <w:rFonts w:eastAsia="Times New Roman"/>
        </w:rPr>
        <w:t xml:space="preserve"> of the Framework showing successful examples of implementation for every target</w:t>
      </w:r>
      <w:r>
        <w:rPr>
          <w:rFonts w:eastAsia="Times New Roman"/>
        </w:rPr>
        <w:t>;</w:t>
      </w:r>
    </w:p>
    <w:p w14:paraId="0F31CA36" w14:textId="77777777" w:rsidR="008D797A" w:rsidRPr="002E56A4"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2E56A4">
        <w:rPr>
          <w:rFonts w:eastAsia="Times New Roman"/>
        </w:rPr>
        <w:t>4</w:t>
      </w:r>
      <w:r w:rsidRPr="002E56A4">
        <w:rPr>
          <w:rFonts w:eastAsia="Times New Roman"/>
          <w:i/>
          <w:iCs/>
        </w:rPr>
        <w:t>.</w:t>
      </w:r>
      <w:r w:rsidRPr="002E56A4">
        <w:tab/>
      </w:r>
      <w:r>
        <w:rPr>
          <w:rFonts w:eastAsia="Times New Roman"/>
          <w:i/>
          <w:iCs/>
        </w:rPr>
        <w:t>W</w:t>
      </w:r>
      <w:r w:rsidRPr="002E56A4">
        <w:rPr>
          <w:rFonts w:eastAsia="Times New Roman"/>
          <w:i/>
          <w:iCs/>
        </w:rPr>
        <w:t xml:space="preserve">elcomes </w:t>
      </w:r>
      <w:r w:rsidRPr="002E56A4">
        <w:rPr>
          <w:rFonts w:eastAsia="Times New Roman"/>
        </w:rPr>
        <w:t>the fact</w:t>
      </w:r>
      <w:r w:rsidRPr="002E56A4">
        <w:rPr>
          <w:rFonts w:eastAsia="Times New Roman"/>
          <w:i/>
          <w:iCs/>
        </w:rPr>
        <w:t xml:space="preserve"> </w:t>
      </w:r>
      <w:r w:rsidRPr="002E56A4">
        <w:rPr>
          <w:rFonts w:eastAsia="Times New Roman"/>
        </w:rPr>
        <w:t>that actors other than national Governments, namely,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sidRPr="002E56A4">
        <w:rPr>
          <w:rStyle w:val="FootnoteReference"/>
          <w:rFonts w:eastAsia="Times New Roman"/>
        </w:rPr>
        <w:footnoteReference w:id="6"/>
      </w:r>
    </w:p>
    <w:p w14:paraId="04273364" w14:textId="77777777" w:rsidR="008D797A" w:rsidRPr="002E56A4" w:rsidRDefault="008D797A" w:rsidP="008D797A">
      <w:pPr>
        <w:pStyle w:val="CBDNormalNoNumber"/>
        <w:shd w:val="clear" w:color="auto" w:fill="A6A6A6" w:themeFill="background1" w:themeFillShade="A6"/>
        <w:tabs>
          <w:tab w:val="clear" w:pos="567"/>
        </w:tabs>
        <w:ind w:left="1134" w:firstLine="567"/>
      </w:pPr>
      <w:r>
        <w:t>5</w:t>
      </w:r>
      <w:r w:rsidRPr="002E56A4">
        <w:rPr>
          <w:kern w:val="22"/>
        </w:rPr>
        <w:t>.</w:t>
      </w:r>
      <w:r w:rsidRPr="002E56A4">
        <w:rPr>
          <w:kern w:val="22"/>
        </w:rPr>
        <w:tab/>
      </w:r>
      <w:r w:rsidRPr="002E56A4">
        <w:rPr>
          <w:i/>
          <w:iCs/>
          <w:lang w:val="en-CA"/>
        </w:rPr>
        <w:t xml:space="preserve">Highlights </w:t>
      </w:r>
      <w:r w:rsidRPr="002E56A4">
        <w:rPr>
          <w:lang w:val="en-CA"/>
        </w:rPr>
        <w:t>the fact</w:t>
      </w:r>
      <w:r w:rsidRPr="002E56A4">
        <w:rPr>
          <w:i/>
          <w:iCs/>
          <w:lang w:val="en-CA"/>
        </w:rPr>
        <w:t xml:space="preserve"> </w:t>
      </w:r>
      <w:r w:rsidRPr="002E56A4">
        <w:rPr>
          <w:lang w:val="en-CA"/>
        </w:rPr>
        <w:t>that, as indicated in the global report, the review ha</w:t>
      </w:r>
      <w:r>
        <w:rPr>
          <w:lang w:val="en-CA"/>
        </w:rPr>
        <w:t>s</w:t>
      </w:r>
      <w:r w:rsidRPr="002E56A4">
        <w:rPr>
          <w:lang w:val="en-CA"/>
        </w:rPr>
        <w:t xml:space="preserve"> revealed both progress and gaps in implementation, in particular:</w:t>
      </w:r>
    </w:p>
    <w:p w14:paraId="6EEB3886" w14:textId="77777777" w:rsidR="008D797A" w:rsidRPr="002E56A4" w:rsidRDefault="008D797A" w:rsidP="008D797A">
      <w:pPr>
        <w:pStyle w:val="CBDNormalNoNumber"/>
        <w:keepNext/>
        <w:shd w:val="clear" w:color="auto" w:fill="A6A6A6" w:themeFill="background1" w:themeFillShade="A6"/>
        <w:tabs>
          <w:tab w:val="clear" w:pos="567"/>
        </w:tabs>
        <w:ind w:firstLine="567"/>
      </w:pPr>
      <w:r w:rsidRPr="002E56A4">
        <w:t>(a)</w:t>
      </w:r>
      <w:r w:rsidRPr="002E56A4">
        <w:tab/>
      </w:r>
      <w:r>
        <w:rPr>
          <w:kern w:val="22"/>
        </w:rPr>
        <w:t>Scope and coverage</w:t>
      </w:r>
    </w:p>
    <w:p w14:paraId="50E46B88"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(i)</w:t>
      </w:r>
      <w:r w:rsidRPr="002E56A4">
        <w:tab/>
      </w:r>
      <w:r w:rsidRPr="002E56A4">
        <w:rPr>
          <w:lang w:val="en-CA"/>
        </w:rPr>
        <w:t xml:space="preserve">Parties have collectively set national targets that had a higher level of scope and coverage of Targets 4, 5, </w:t>
      </w:r>
      <w:r w:rsidRPr="002E56A4">
        <w:t xml:space="preserve">8, 9, 10 and 11 of the Framework, an intermediate level of scope and coverage of Targets 2, 3, 6, 7, 12, 13, 17 and 21 and a lower level of scope and coverage of </w:t>
      </w:r>
      <w:r w:rsidRPr="002E56A4">
        <w:rPr>
          <w:lang w:val="en-CA"/>
        </w:rPr>
        <w:t>Targets 1, 14, 15, 16, 18, 19, 20, 22 and 23;</w:t>
      </w:r>
    </w:p>
    <w:p w14:paraId="65FE2E2D"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(ii)</w:t>
      </w:r>
      <w:r w:rsidRPr="002E56A4">
        <w:tab/>
      </w:r>
      <w:r w:rsidRPr="002E56A4">
        <w:rPr>
          <w:lang w:val="en-CA"/>
        </w:rPr>
        <w:t>The consideration of marine, coastal and inland water ecosystems, issues related to the drivers of biodiversity loss and issues related to [section</w:t>
      </w:r>
      <w:r>
        <w:rPr>
          <w:lang w:val="en-CA"/>
        </w:rPr>
        <w:t> </w:t>
      </w:r>
      <w:r w:rsidRPr="002E56A4">
        <w:rPr>
          <w:lang w:val="en-CA"/>
        </w:rPr>
        <w:t xml:space="preserve">C of the Framework, in particular] </w:t>
      </w:r>
      <w:r>
        <w:rPr>
          <w:lang w:val="en-CA"/>
        </w:rPr>
        <w:t>[</w:t>
      </w:r>
      <w:r w:rsidRPr="002E56A4">
        <w:rPr>
          <w:lang w:val="en-CA"/>
        </w:rPr>
        <w:t>whole-of-government and whole-of-society approaches, including participation, the engagement of actors other than national Governments, gender responsiveness, equitable governance and mainstreaming</w:t>
      </w:r>
      <w:r>
        <w:rPr>
          <w:lang w:val="en-CA"/>
        </w:rPr>
        <w:t>]</w:t>
      </w:r>
      <w:r w:rsidRPr="002E56A4">
        <w:rPr>
          <w:lang w:val="en-CA"/>
        </w:rPr>
        <w:t>, ha</w:t>
      </w:r>
      <w:r>
        <w:rPr>
          <w:lang w:val="en-CA"/>
        </w:rPr>
        <w:t>s</w:t>
      </w:r>
      <w:r w:rsidRPr="002E56A4">
        <w:rPr>
          <w:lang w:val="en-CA"/>
        </w:rPr>
        <w:t xml:space="preserve"> been less addressed in national biodiversity strategies and action plans, national targets and national reports;</w:t>
      </w:r>
    </w:p>
    <w:p w14:paraId="633E5228" w14:textId="77777777" w:rsidR="008D797A" w:rsidRPr="002E56A4" w:rsidRDefault="008D797A" w:rsidP="008D797A">
      <w:pPr>
        <w:pStyle w:val="CBDNormalNoNumber"/>
        <w:keepNext/>
        <w:shd w:val="clear" w:color="auto" w:fill="A6A6A6" w:themeFill="background1" w:themeFillShade="A6"/>
        <w:tabs>
          <w:tab w:val="clear" w:pos="567"/>
        </w:tabs>
        <w:ind w:firstLine="567"/>
        <w:rPr>
          <w:kern w:val="22"/>
        </w:rPr>
      </w:pPr>
      <w:r w:rsidRPr="002E56A4">
        <w:rPr>
          <w:kern w:val="22"/>
        </w:rPr>
        <w:t>(b)</w:t>
      </w:r>
      <w:r w:rsidRPr="002E56A4">
        <w:rPr>
          <w:kern w:val="22"/>
        </w:rPr>
        <w:tab/>
      </w:r>
      <w:r>
        <w:rPr>
          <w:kern w:val="22"/>
        </w:rPr>
        <w:t>A</w:t>
      </w:r>
      <w:r w:rsidRPr="002E56A4">
        <w:rPr>
          <w:kern w:val="22"/>
        </w:rPr>
        <w:t>ction and implementation</w:t>
      </w:r>
    </w:p>
    <w:p w14:paraId="68E2B241"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(i)</w:t>
      </w:r>
      <w:r w:rsidRPr="002E56A4">
        <w:tab/>
        <w:t xml:space="preserve">National </w:t>
      </w:r>
      <w:r w:rsidRPr="002E56A4">
        <w:rPr>
          <w:lang w:val="en-CA"/>
        </w:rPr>
        <w:t>targets</w:t>
      </w:r>
      <w:r w:rsidRPr="002E56A4">
        <w:t xml:space="preserve"> associated with Targets 1, 2, 3, 8, 13, 20, 21 and 22 of the Framework </w:t>
      </w:r>
      <w:r>
        <w:t xml:space="preserve">were </w:t>
      </w:r>
      <w:r w:rsidRPr="002E56A4">
        <w:t xml:space="preserve">most frequently self-assessed by Parties as being on track, while national targets associated with Targets 6, 12, 15, 16, 18 and 19 </w:t>
      </w:r>
      <w:r>
        <w:t xml:space="preserve">were </w:t>
      </w:r>
      <w:r w:rsidRPr="002E56A4">
        <w:t xml:space="preserve">least frequently self-assessed by Parties as being on track; however, less than half of the national targets associated with any global target had been reported by Parties as </w:t>
      </w:r>
      <w:r>
        <w:t xml:space="preserve">being </w:t>
      </w:r>
      <w:r w:rsidRPr="002E56A4">
        <w:t>on track;</w:t>
      </w:r>
    </w:p>
    <w:p w14:paraId="5BDD4CC4"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(ii)</w:t>
      </w:r>
      <w:r w:rsidRPr="002E56A4">
        <w:tab/>
      </w:r>
      <w:r w:rsidRPr="002E56A4">
        <w:rPr>
          <w:lang w:val="en-US"/>
        </w:rPr>
        <w:t xml:space="preserve">While </w:t>
      </w:r>
      <w:r w:rsidRPr="002E56A4">
        <w:rPr>
          <w:lang w:val="en-CA"/>
        </w:rPr>
        <w:t>there</w:t>
      </w:r>
      <w:r w:rsidRPr="002E56A4">
        <w:rPr>
          <w:lang w:val="en-US"/>
        </w:rPr>
        <w:t xml:space="preserve"> were data and national monitoring capacity gaps that limited the ability to report national data and, thus, to aggregate them at the global level and conclusively track collective progress towards the global targets, </w:t>
      </w:r>
      <w:r w:rsidRPr="002E56A4">
        <w:t xml:space="preserve">indicators </w:t>
      </w:r>
      <w:r w:rsidRPr="002E56A4">
        <w:lastRenderedPageBreak/>
        <w:t xml:space="preserve">related to the targets of the Framework showed negative trends more commonly than positive ones; </w:t>
      </w:r>
    </w:p>
    <w:p w14:paraId="53D6DD49" w14:textId="77777777" w:rsidR="008D797A" w:rsidRPr="002E56A4" w:rsidRDefault="008D797A" w:rsidP="008D797A">
      <w:pPr>
        <w:pStyle w:val="CBDNormalNoNumber"/>
        <w:keepNext/>
        <w:shd w:val="clear" w:color="auto" w:fill="A6A6A6" w:themeFill="background1" w:themeFillShade="A6"/>
        <w:tabs>
          <w:tab w:val="clear" w:pos="567"/>
        </w:tabs>
        <w:ind w:firstLine="567"/>
        <w:rPr>
          <w:kern w:val="22"/>
        </w:rPr>
      </w:pPr>
      <w:r w:rsidRPr="002E56A4">
        <w:rPr>
          <w:lang w:val="en-CA"/>
        </w:rPr>
        <w:t>(c)</w:t>
      </w:r>
      <w:r w:rsidRPr="002E56A4">
        <w:rPr>
          <w:lang w:val="en-CA"/>
        </w:rPr>
        <w:tab/>
      </w:r>
      <w:r>
        <w:rPr>
          <w:kern w:val="22"/>
        </w:rPr>
        <w:t>M</w:t>
      </w:r>
      <w:r w:rsidRPr="002E56A4">
        <w:rPr>
          <w:kern w:val="22"/>
        </w:rPr>
        <w:t>eans of implementation</w:t>
      </w:r>
    </w:p>
    <w:p w14:paraId="74F40A70"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rPr>
          <w:lang w:val="en-US"/>
        </w:rPr>
        <w:t>(i)</w:t>
      </w:r>
      <w:r w:rsidRPr="002E56A4">
        <w:rPr>
          <w:lang w:val="en-US"/>
        </w:rPr>
        <w:tab/>
      </w:r>
      <w:r>
        <w:t>M</w:t>
      </w:r>
      <w:r w:rsidRPr="002E56A4">
        <w:t xml:space="preserve">eans of implementation </w:t>
      </w:r>
      <w:r>
        <w:t>remain</w:t>
      </w:r>
      <w:r w:rsidRPr="002E56A4">
        <w:t xml:space="preserve"> </w:t>
      </w:r>
      <w:r>
        <w:t>below what is</w:t>
      </w:r>
      <w:r w:rsidRPr="002E56A4">
        <w:t xml:space="preserve"> required for the full and effective implementation of the Framework, especially for developing country Parties, in particular the least developed countries and small island developing States</w:t>
      </w:r>
      <w:r>
        <w:t>;</w:t>
      </w:r>
    </w:p>
    <w:p w14:paraId="5141717C" w14:textId="77777777" w:rsidR="008D797A" w:rsidRDefault="008D797A" w:rsidP="008D797A">
      <w:pPr>
        <w:pStyle w:val="CBDNormalNoNumber"/>
        <w:shd w:val="clear" w:color="auto" w:fill="A6A6A6" w:themeFill="background1" w:themeFillShade="A6"/>
        <w:tabs>
          <w:tab w:val="clear" w:pos="567"/>
          <w:tab w:val="clear" w:pos="1134"/>
          <w:tab w:val="clear" w:pos="1701"/>
        </w:tabs>
        <w:ind w:left="2268" w:hanging="567"/>
      </w:pPr>
      <w:r>
        <w:t>(ii</w:t>
      </w:r>
      <w:r w:rsidRPr="002E56A4">
        <w:t>)</w:t>
      </w:r>
      <w:r w:rsidRPr="002E56A4">
        <w:tab/>
      </w:r>
      <w:r>
        <w:t>S</w:t>
      </w:r>
      <w:r w:rsidRPr="002E56A4">
        <w:t>ince the adoption of the Framework</w:t>
      </w:r>
      <w:r>
        <w:t>,</w:t>
      </w:r>
      <w:r w:rsidRPr="002E56A4">
        <w:t xml:space="preserve"> </w:t>
      </w:r>
      <w:r>
        <w:t>t</w:t>
      </w:r>
      <w:r w:rsidRPr="002E56A4">
        <w:t>here ha</w:t>
      </w:r>
      <w:r>
        <w:t>s</w:t>
      </w:r>
      <w:r w:rsidRPr="002E56A4">
        <w:t xml:space="preserve"> been some</w:t>
      </w:r>
      <w:r>
        <w:t>,</w:t>
      </w:r>
      <w:r w:rsidRPr="002E56A4">
        <w:t xml:space="preserve"> </w:t>
      </w:r>
      <w:r>
        <w:t>albeit uneven, progress across Parties</w:t>
      </w:r>
      <w:r w:rsidRPr="002E56A4">
        <w:t xml:space="preserve"> in domestic and international public finance, positive incentives for biodiversity, capacity-building and development, access to and transfer of technology and technical and scientific cooperation</w:t>
      </w:r>
      <w:r>
        <w:t>;</w:t>
      </w:r>
    </w:p>
    <w:p w14:paraId="56AB7331"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rPr>
          <w:iCs/>
        </w:rPr>
      </w:pPr>
      <w:r w:rsidRPr="002E56A4">
        <w:rPr>
          <w:iCs/>
        </w:rPr>
        <w:t>(iii)</w:t>
      </w:r>
      <w:r w:rsidRPr="002E56A4">
        <w:rPr>
          <w:iCs/>
        </w:rPr>
        <w:tab/>
        <w:t>Collectively, limited progress ha</w:t>
      </w:r>
      <w:r>
        <w:rPr>
          <w:iCs/>
        </w:rPr>
        <w:t>s</w:t>
      </w:r>
      <w:r w:rsidRPr="002E56A4">
        <w:rPr>
          <w:iCs/>
        </w:rPr>
        <w:t xml:space="preserve"> been made in mobilizing and tracking private sector finance and positive incentives and in reducing incentives, including subsidies, harmful to biodiversity; </w:t>
      </w:r>
    </w:p>
    <w:p w14:paraId="0A6F1424"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rPr>
          <w:iCs/>
        </w:rPr>
      </w:pPr>
      <w:r w:rsidRPr="002E56A4">
        <w:rPr>
          <w:iCs/>
        </w:rPr>
        <w:t>(iv)</w:t>
      </w:r>
      <w:r w:rsidRPr="002E56A4">
        <w:rPr>
          <w:iCs/>
        </w:rPr>
        <w:tab/>
        <w:t xml:space="preserve">The </w:t>
      </w:r>
      <w:r>
        <w:rPr>
          <w:iCs/>
        </w:rPr>
        <w:t xml:space="preserve">lack of </w:t>
      </w:r>
      <w:r w:rsidRPr="002E56A4">
        <w:rPr>
          <w:iCs/>
        </w:rPr>
        <w:t xml:space="preserve">availability of sufficient and timely means of implementation </w:t>
      </w:r>
      <w:r>
        <w:rPr>
          <w:iCs/>
        </w:rPr>
        <w:t xml:space="preserve">was </w:t>
      </w:r>
      <w:r w:rsidRPr="002E56A4">
        <w:rPr>
          <w:iCs/>
        </w:rPr>
        <w:t xml:space="preserve">identified as the most common barrier to implementation, especially by developing country Parties, in particular the least developed countries and small island developing States; </w:t>
      </w:r>
    </w:p>
    <w:p w14:paraId="62646DC9" w14:textId="77777777" w:rsidR="008D797A" w:rsidRPr="002E56A4" w:rsidRDefault="008D797A" w:rsidP="008D797A">
      <w:pPr>
        <w:pStyle w:val="CBDNormalNoNumber"/>
        <w:keepNext/>
        <w:shd w:val="clear" w:color="auto" w:fill="A6A6A6" w:themeFill="background1" w:themeFillShade="A6"/>
        <w:tabs>
          <w:tab w:val="clear" w:pos="567"/>
        </w:tabs>
        <w:ind w:firstLine="567"/>
        <w:rPr>
          <w:kern w:val="22"/>
        </w:rPr>
      </w:pPr>
      <w:r w:rsidRPr="002E56A4">
        <w:rPr>
          <w:iCs/>
        </w:rPr>
        <w:t>(d)</w:t>
      </w:r>
      <w:r w:rsidRPr="002E56A4">
        <w:rPr>
          <w:iCs/>
        </w:rPr>
        <w:tab/>
      </w:r>
      <w:r>
        <w:rPr>
          <w:kern w:val="22"/>
        </w:rPr>
        <w:t>W</w:t>
      </w:r>
      <w:r w:rsidRPr="002E56A4">
        <w:rPr>
          <w:kern w:val="22"/>
        </w:rPr>
        <w:t>hole-of-government approaches</w:t>
      </w:r>
    </w:p>
    <w:p w14:paraId="41D4A783"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(i)</w:t>
      </w:r>
      <w:r w:rsidRPr="002E56A4">
        <w:tab/>
        <w:t>Parties ha</w:t>
      </w:r>
      <w:r>
        <w:t>ve</w:t>
      </w:r>
      <w:r w:rsidRPr="002E56A4">
        <w:t xml:space="preserve"> made progress in strengthening environmental governance, including by engaging all levels of government and all sectors; however, gaps remain </w:t>
      </w:r>
      <w:proofErr w:type="gramStart"/>
      <w:r w:rsidRPr="002E56A4">
        <w:t>with regard to</w:t>
      </w:r>
      <w:proofErr w:type="gramEnd"/>
      <w:r w:rsidRPr="002E56A4">
        <w:t xml:space="preserve"> policy coherence, mainstreaming biodiversity and its multiple values into national policy and engaging ministries beyond the environmental sector in implementation;</w:t>
      </w:r>
    </w:p>
    <w:p w14:paraId="162B3139"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(ii)</w:t>
      </w:r>
      <w:r w:rsidRPr="002E56A4">
        <w:tab/>
        <w:t>Gaps remain with regard to progress towards Targets 1 and 14 of the Framework, which relate to integrated planning and mainstreaming and are most directly related to whole-of-government approaches, especially in relation to integrated spatial planning, integrating biodiversity and its multiple values into policies, regulations, planning and development processes and ensuring integration across all levels of government and sectors;</w:t>
      </w:r>
    </w:p>
    <w:p w14:paraId="120C0903" w14:textId="77777777" w:rsidR="008D797A" w:rsidRPr="002E56A4" w:rsidRDefault="008D797A" w:rsidP="008D797A">
      <w:pPr>
        <w:pStyle w:val="CBDNormalNoNumber"/>
        <w:keepNext/>
        <w:shd w:val="clear" w:color="auto" w:fill="A6A6A6" w:themeFill="background1" w:themeFillShade="A6"/>
        <w:tabs>
          <w:tab w:val="clear" w:pos="567"/>
        </w:tabs>
        <w:ind w:firstLine="567"/>
        <w:rPr>
          <w:kern w:val="22"/>
        </w:rPr>
      </w:pPr>
      <w:r w:rsidRPr="002E56A4">
        <w:rPr>
          <w:kern w:val="22"/>
        </w:rPr>
        <w:t>(e)</w:t>
      </w:r>
      <w:r w:rsidRPr="002E56A4">
        <w:rPr>
          <w:kern w:val="22"/>
        </w:rPr>
        <w:tab/>
      </w:r>
      <w:r>
        <w:rPr>
          <w:kern w:val="22"/>
        </w:rPr>
        <w:t>W</w:t>
      </w:r>
      <w:r w:rsidRPr="002E56A4">
        <w:rPr>
          <w:kern w:val="22"/>
        </w:rPr>
        <w:t>hole</w:t>
      </w:r>
      <w:r>
        <w:rPr>
          <w:kern w:val="22"/>
        </w:rPr>
        <w:t xml:space="preserve"> </w:t>
      </w:r>
      <w:r w:rsidRPr="002E56A4">
        <w:rPr>
          <w:kern w:val="22"/>
        </w:rPr>
        <w:t>of</w:t>
      </w:r>
      <w:r>
        <w:rPr>
          <w:kern w:val="22"/>
        </w:rPr>
        <w:t xml:space="preserve"> </w:t>
      </w:r>
      <w:r w:rsidRPr="002E56A4">
        <w:rPr>
          <w:kern w:val="22"/>
        </w:rPr>
        <w:t xml:space="preserve">society </w:t>
      </w:r>
    </w:p>
    <w:p w14:paraId="72C27F7E"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rPr>
          <w:lang w:val="en-CA"/>
        </w:rPr>
      </w:pPr>
      <w:r w:rsidRPr="002E56A4">
        <w:rPr>
          <w:lang w:val="en-CA"/>
        </w:rPr>
        <w:t>(i)</w:t>
      </w:r>
      <w:r w:rsidRPr="002E56A4">
        <w:tab/>
        <w:t xml:space="preserve">Actors other than national Governments </w:t>
      </w:r>
      <w:r>
        <w:t>are</w:t>
      </w:r>
      <w:r w:rsidRPr="002E56A4">
        <w:t xml:space="preserve"> actively supporting the implementation of the Framework,</w:t>
      </w:r>
      <w:r w:rsidRPr="002E56A4">
        <w:rPr>
          <w:lang w:val="en-CA"/>
        </w:rPr>
        <w:t xml:space="preserve"> but indigenous peoples and local communities, women, youth and persons with disabilities face challenges related to limited resources, technical capacities, access to information and knowledge</w:t>
      </w:r>
      <w:r>
        <w:rPr>
          <w:lang w:val="en-CA"/>
        </w:rPr>
        <w:t>,</w:t>
      </w:r>
      <w:r w:rsidRPr="002E56A4">
        <w:rPr>
          <w:lang w:val="en-CA"/>
        </w:rPr>
        <w:t xml:space="preserve"> effective participation and coordination mechanisms;</w:t>
      </w:r>
    </w:p>
    <w:p w14:paraId="2AA208F3"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rPr>
          <w:iCs/>
          <w:lang w:val="en-CA"/>
        </w:rPr>
      </w:pPr>
      <w:r w:rsidRPr="002E56A4">
        <w:rPr>
          <w:iCs/>
          <w:lang w:val="en-CA"/>
        </w:rPr>
        <w:t>(ii)</w:t>
      </w:r>
      <w:r w:rsidRPr="002E56A4">
        <w:rPr>
          <w:iCs/>
          <w:lang w:val="en-CA"/>
        </w:rPr>
        <w:tab/>
      </w:r>
      <w:r w:rsidRPr="002E56A4">
        <w:rPr>
          <w:iCs/>
        </w:rPr>
        <w:t>Collectively, Parties ha</w:t>
      </w:r>
      <w:r>
        <w:rPr>
          <w:iCs/>
        </w:rPr>
        <w:t>ve</w:t>
      </w:r>
      <w:r w:rsidRPr="002E56A4">
        <w:rPr>
          <w:iCs/>
        </w:rPr>
        <w:t xml:space="preserve"> made progress in engaging actors other than national Governments in planning and implementation; however, many Parties reported challenges in accounting for the contributions of those actors in national implementation efforts; </w:t>
      </w:r>
    </w:p>
    <w:p w14:paraId="253E15A4"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rPr>
          <w:lang w:val="en-CA"/>
        </w:rPr>
      </w:pPr>
      <w:r w:rsidRPr="002E56A4">
        <w:rPr>
          <w:lang w:val="en-CA"/>
        </w:rPr>
        <w:t>(iii)</w:t>
      </w:r>
      <w:r w:rsidRPr="002E56A4">
        <w:rPr>
          <w:lang w:val="en-CA"/>
        </w:rPr>
        <w:tab/>
      </w:r>
      <w:r w:rsidRPr="002E56A4">
        <w:rPr>
          <w:iCs/>
        </w:rPr>
        <w:t>While many Parties reported progress towards some elements of Targets 22 and 23 of the Framework, such as involving to a varying degree indigenous peoples and local communities, women and youth,</w:t>
      </w:r>
      <w:r w:rsidRPr="002E56A4">
        <w:rPr>
          <w:lang w:val="en-CA"/>
        </w:rPr>
        <w:t xml:space="preserve"> persons with disabilities</w:t>
      </w:r>
      <w:r w:rsidRPr="002E56A4">
        <w:rPr>
          <w:iCs/>
        </w:rPr>
        <w:t xml:space="preserve"> and other actors defined in those targets in biodiversity-related decision-making, issues related to the following </w:t>
      </w:r>
      <w:r>
        <w:rPr>
          <w:iCs/>
        </w:rPr>
        <w:t xml:space="preserve">were </w:t>
      </w:r>
      <w:r w:rsidRPr="002E56A4">
        <w:rPr>
          <w:iCs/>
        </w:rPr>
        <w:t xml:space="preserve">less well reflected in national targets: access to information and justice, rights over lands, territories, resources and traditional knowledge, </w:t>
      </w:r>
      <w:r>
        <w:rPr>
          <w:iCs/>
        </w:rPr>
        <w:t xml:space="preserve">and </w:t>
      </w:r>
      <w:r w:rsidRPr="002E56A4">
        <w:rPr>
          <w:iCs/>
        </w:rPr>
        <w:t>the protection of environmental human rights defenders or gender-responsive biodiversity governance;</w:t>
      </w:r>
    </w:p>
    <w:p w14:paraId="59D0F35E" w14:textId="77777777" w:rsidR="008D797A" w:rsidRPr="002E56A4" w:rsidRDefault="008D797A" w:rsidP="008D797A">
      <w:pPr>
        <w:pStyle w:val="CBDNormalNoNumber"/>
        <w:keepNext/>
        <w:shd w:val="clear" w:color="auto" w:fill="A6A6A6" w:themeFill="background1" w:themeFillShade="A6"/>
        <w:tabs>
          <w:tab w:val="clear" w:pos="567"/>
        </w:tabs>
        <w:ind w:firstLine="567"/>
        <w:rPr>
          <w:kern w:val="22"/>
        </w:rPr>
      </w:pPr>
      <w:r w:rsidRPr="002E56A4">
        <w:rPr>
          <w:kern w:val="22"/>
        </w:rPr>
        <w:lastRenderedPageBreak/>
        <w:t>(f)</w:t>
      </w:r>
      <w:r w:rsidRPr="002E56A4">
        <w:rPr>
          <w:kern w:val="22"/>
        </w:rPr>
        <w:tab/>
      </w:r>
      <w:r>
        <w:rPr>
          <w:kern w:val="22"/>
        </w:rPr>
        <w:t>D</w:t>
      </w:r>
      <w:r w:rsidRPr="002E56A4">
        <w:rPr>
          <w:kern w:val="22"/>
        </w:rPr>
        <w:t>ata and knowledge</w:t>
      </w:r>
    </w:p>
    <w:p w14:paraId="40153F3B"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(i)</w:t>
      </w:r>
      <w:r w:rsidRPr="002E56A4">
        <w:tab/>
        <w:t>Parties ha</w:t>
      </w:r>
      <w:r>
        <w:t>ve</w:t>
      </w:r>
      <w:r w:rsidRPr="002E56A4">
        <w:t xml:space="preserve"> demonstrated improvements to national monitoring and knowledge management systems, including accounting for traditional knowledge and collecting and using information from government agencies, scientific institutions, indigenous peoples and local communities, civil society and international sources, as reflected in the progress made towards Target 21 of the Framework; </w:t>
      </w:r>
    </w:p>
    <w:p w14:paraId="0A278B5C"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rPr>
          <w:lang w:val="en-US"/>
        </w:rPr>
      </w:pPr>
      <w:r w:rsidRPr="002E56A4">
        <w:t>(</w:t>
      </w:r>
      <w:r w:rsidRPr="002E56A4">
        <w:rPr>
          <w:lang w:val="en-US"/>
        </w:rPr>
        <w:t>ii)</w:t>
      </w:r>
      <w:r w:rsidRPr="002E56A4">
        <w:rPr>
          <w:lang w:val="en-US"/>
        </w:rPr>
        <w:tab/>
        <w:t xml:space="preserve">A total of </w:t>
      </w:r>
      <w:r w:rsidRPr="002E56A4">
        <w:t xml:space="preserve">116 Parties reported on at least one headline indicator; the </w:t>
      </w:r>
      <w:r w:rsidRPr="002E56A4">
        <w:rPr>
          <w:lang w:val="en-US"/>
        </w:rPr>
        <w:t>headline indicators on protected area extent (3.1), Red List Index (A.3), international public funding (D.1) and domestic public funding (D.2), which are associated with Targets 3, 4 and 19 of the Framework, were the headline indicators</w:t>
      </w:r>
      <w:r w:rsidRPr="00FB756E">
        <w:rPr>
          <w:lang w:val="en-US"/>
        </w:rPr>
        <w:t xml:space="preserve"> </w:t>
      </w:r>
      <w:r w:rsidRPr="002E56A4">
        <w:rPr>
          <w:lang w:val="en-US"/>
        </w:rPr>
        <w:t>most reported</w:t>
      </w:r>
      <w:r>
        <w:rPr>
          <w:lang w:val="en-US"/>
        </w:rPr>
        <w:t xml:space="preserve"> on</w:t>
      </w:r>
      <w:r w:rsidRPr="002E56A4">
        <w:rPr>
          <w:lang w:val="en-US"/>
        </w:rPr>
        <w:t xml:space="preserve">, </w:t>
      </w:r>
      <w:r>
        <w:rPr>
          <w:lang w:val="en-US"/>
        </w:rPr>
        <w:t xml:space="preserve">while </w:t>
      </w:r>
      <w:r w:rsidRPr="002E56A4">
        <w:rPr>
          <w:lang w:val="en-US"/>
        </w:rPr>
        <w:t>the indicators related to l</w:t>
      </w:r>
      <w:r w:rsidRPr="002E56A4">
        <w:t xml:space="preserve">and-use change and land tenure in the traditional territories of indigenous peoples and </w:t>
      </w:r>
      <w:r w:rsidRPr="002E56A4">
        <w:rPr>
          <w:iCs/>
        </w:rPr>
        <w:t>local</w:t>
      </w:r>
      <w:r w:rsidRPr="002E56A4">
        <w:t xml:space="preserve"> communities (</w:t>
      </w:r>
      <w:r w:rsidRPr="002E56A4">
        <w:rPr>
          <w:lang w:val="en-US"/>
        </w:rPr>
        <w:t xml:space="preserve">22.1), </w:t>
      </w:r>
      <w:r w:rsidRPr="002E56A4">
        <w:t>benefits from the sustainable use of wild species (</w:t>
      </w:r>
      <w:r w:rsidRPr="002E56A4">
        <w:rPr>
          <w:lang w:val="en-US"/>
        </w:rPr>
        <w:t xml:space="preserve">9.1), </w:t>
      </w:r>
      <w:r w:rsidRPr="002E56A4">
        <w:t>index of coastal eutrophication (</w:t>
      </w:r>
      <w:r w:rsidRPr="002E56A4">
        <w:rPr>
          <w:lang w:val="en-US"/>
        </w:rPr>
        <w:t xml:space="preserve">7.1) and </w:t>
      </w:r>
      <w:r w:rsidRPr="002E56A4">
        <w:t>monetary benefits received in accordance with applicable internationally agreed access and benefit-sharing instruments (C.1), which are associated with Targets 7, 9 and 13,</w:t>
      </w:r>
      <w:r w:rsidRPr="002E56A4">
        <w:rPr>
          <w:lang w:val="en-US"/>
        </w:rPr>
        <w:t xml:space="preserve"> were the indicators</w:t>
      </w:r>
      <w:r w:rsidRPr="00522F5F">
        <w:rPr>
          <w:lang w:val="en-US"/>
        </w:rPr>
        <w:t xml:space="preserve"> </w:t>
      </w:r>
      <w:r w:rsidRPr="002E56A4">
        <w:rPr>
          <w:lang w:val="en-US"/>
        </w:rPr>
        <w:t>least reported</w:t>
      </w:r>
      <w:r>
        <w:rPr>
          <w:lang w:val="en-US"/>
        </w:rPr>
        <w:t xml:space="preserve"> on</w:t>
      </w:r>
      <w:r w:rsidRPr="002E56A4">
        <w:rPr>
          <w:lang w:val="en-US"/>
        </w:rPr>
        <w:t>;</w:t>
      </w:r>
    </w:p>
    <w:p w14:paraId="2A1A027E"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(iii)</w:t>
      </w:r>
      <w:r w:rsidRPr="002E56A4">
        <w:tab/>
        <w:t xml:space="preserve">For 19 of the </w:t>
      </w:r>
      <w:r w:rsidRPr="000561B1">
        <w:t>23 targets of</w:t>
      </w:r>
      <w:r w:rsidRPr="002E56A4">
        <w:t xml:space="preserve"> the Framework, less than half of the reporting Parties submitted any data for a </w:t>
      </w:r>
      <w:r w:rsidRPr="002E56A4">
        <w:rPr>
          <w:iCs/>
        </w:rPr>
        <w:t>headline</w:t>
      </w:r>
      <w:r w:rsidRPr="002E56A4">
        <w:t>, component, complementary or national indicator; the targets with the most reported quantitative data were 1, 2, 3, 4 and</w:t>
      </w:r>
      <w:r>
        <w:t> </w:t>
      </w:r>
      <w:r w:rsidRPr="002E56A4">
        <w:t xml:space="preserve">10, while Targets 8, 14, 16, 17, 20, 22 and 23 received the least; </w:t>
      </w:r>
    </w:p>
    <w:p w14:paraId="42DE6CD9"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pPr>
      <w:r w:rsidRPr="002E56A4">
        <w:t>(iv)</w:t>
      </w:r>
      <w:r w:rsidRPr="002E56A4">
        <w:tab/>
        <w:t xml:space="preserve">The use of disaggregated indicator information, including by ecosystem type, sex, age, indigenous people and </w:t>
      </w:r>
      <w:r w:rsidRPr="002E56A4">
        <w:rPr>
          <w:iCs/>
        </w:rPr>
        <w:t>local</w:t>
      </w:r>
      <w:r w:rsidRPr="002E56A4">
        <w:t xml:space="preserve"> community status or other relevant characteristics, was limited;</w:t>
      </w:r>
    </w:p>
    <w:p w14:paraId="6A0288D6" w14:textId="77777777" w:rsidR="008D797A" w:rsidRPr="002E56A4" w:rsidRDefault="008D797A" w:rsidP="008D797A">
      <w:pPr>
        <w:pStyle w:val="CBDNormalNoNumber"/>
        <w:shd w:val="clear" w:color="auto" w:fill="A6A6A6" w:themeFill="background1" w:themeFillShade="A6"/>
        <w:tabs>
          <w:tab w:val="clear" w:pos="567"/>
          <w:tab w:val="clear" w:pos="1134"/>
          <w:tab w:val="clear" w:pos="1701"/>
        </w:tabs>
        <w:ind w:left="2268" w:hanging="567"/>
        <w:rPr>
          <w:rFonts w:eastAsia="Times New Roman"/>
        </w:rPr>
      </w:pPr>
      <w:r w:rsidRPr="002E56A4">
        <w:t>(v)</w:t>
      </w:r>
      <w:r w:rsidRPr="002E56A4">
        <w:tab/>
      </w:r>
      <w:r w:rsidRPr="00355323">
        <w:rPr>
          <w:rFonts w:eastAsia="Times New Roman"/>
        </w:rPr>
        <w:t>Reporting</w:t>
      </w:r>
      <w:r>
        <w:rPr>
          <w:rFonts w:eastAsia="Times New Roman"/>
        </w:rPr>
        <w:t xml:space="preserve"> against the indicators</w:t>
      </w:r>
      <w:r w:rsidRPr="00355323">
        <w:rPr>
          <w:rFonts w:eastAsia="Times New Roman"/>
        </w:rPr>
        <w:t xml:space="preserve"> and monitoring efforts have been negatively affected by </w:t>
      </w:r>
      <w:r>
        <w:rPr>
          <w:rFonts w:eastAsia="Times New Roman"/>
        </w:rPr>
        <w:t xml:space="preserve">gaps, </w:t>
      </w:r>
      <w:r w:rsidRPr="00355323">
        <w:rPr>
          <w:rFonts w:eastAsia="Times New Roman"/>
        </w:rPr>
        <w:t>challenges</w:t>
      </w:r>
      <w:r>
        <w:rPr>
          <w:rFonts w:eastAsia="Times New Roman"/>
        </w:rPr>
        <w:t xml:space="preserve"> and barriers </w:t>
      </w:r>
      <w:r w:rsidRPr="002E56A4">
        <w:rPr>
          <w:rFonts w:eastAsia="Times New Roman"/>
        </w:rPr>
        <w:t>relate</w:t>
      </w:r>
      <w:r>
        <w:rPr>
          <w:rFonts w:eastAsia="Times New Roman"/>
        </w:rPr>
        <w:t>d</w:t>
      </w:r>
      <w:r w:rsidRPr="002E56A4">
        <w:rPr>
          <w:rFonts w:eastAsia="Times New Roman"/>
        </w:rPr>
        <w:t xml:space="preserve"> to </w:t>
      </w:r>
      <w:r>
        <w:rPr>
          <w:rFonts w:eastAsia="Times New Roman"/>
        </w:rPr>
        <w:t xml:space="preserve">methodologies, </w:t>
      </w:r>
      <w:r w:rsidRPr="002E56A4">
        <w:rPr>
          <w:rFonts w:eastAsia="Times New Roman"/>
        </w:rPr>
        <w:t>data availability and access, data fragmentation, technical and technological infrastructure, resource availability and capacity;</w:t>
      </w:r>
    </w:p>
    <w:p w14:paraId="7E4868EF" w14:textId="77777777" w:rsidR="008D797A" w:rsidRDefault="008D797A" w:rsidP="00961A91">
      <w:pPr>
        <w:shd w:val="clear" w:color="auto" w:fill="A6A6A6" w:themeFill="background1" w:themeFillShade="A6"/>
        <w:tabs>
          <w:tab w:val="clear" w:pos="567"/>
        </w:tabs>
        <w:spacing w:after="120"/>
        <w:ind w:left="1134" w:firstLine="567"/>
        <w:rPr>
          <w:rFonts w:eastAsia="Times New Roman"/>
        </w:rPr>
      </w:pPr>
      <w:r>
        <w:rPr>
          <w:rFonts w:eastAsia="Times New Roman"/>
        </w:rPr>
        <w:t>6</w:t>
      </w:r>
      <w:r w:rsidRPr="00355323">
        <w:rPr>
          <w:rFonts w:eastAsia="Times New Roman"/>
          <w:i/>
          <w:iCs/>
        </w:rPr>
        <w:t>.</w:t>
      </w:r>
      <w:r w:rsidRPr="002E56A4">
        <w:tab/>
      </w:r>
      <w:r>
        <w:rPr>
          <w:i/>
          <w:iCs/>
        </w:rPr>
        <w:t xml:space="preserve">Notes with deep </w:t>
      </w:r>
      <w:r w:rsidRPr="002B3BB5">
        <w:rPr>
          <w:i/>
          <w:iCs/>
        </w:rPr>
        <w:t>concern</w:t>
      </w:r>
      <w:r>
        <w:t xml:space="preserve"> that, unless collective implementation is rapidly accelerated, including through enhanced international cooperation, improved actions and efforts and strengthened means of implementation, the 2030 targets and mission of the Framework will not be achieved, and </w:t>
      </w:r>
      <w:r w:rsidRPr="00355323">
        <w:rPr>
          <w:rFonts w:eastAsia="Times New Roman"/>
        </w:rPr>
        <w:t>stresses</w:t>
      </w:r>
      <w:r w:rsidRPr="00355323">
        <w:rPr>
          <w:rFonts w:eastAsia="Times New Roman"/>
          <w:i/>
          <w:iCs/>
        </w:rPr>
        <w:t xml:space="preserve"> </w:t>
      </w:r>
      <w:r>
        <w:rPr>
          <w:rFonts w:eastAsia="Times New Roman"/>
          <w:lang w:val="en-CA"/>
        </w:rPr>
        <w:t>the</w:t>
      </w:r>
      <w:r w:rsidRPr="00355323">
        <w:rPr>
          <w:rFonts w:eastAsia="Times New Roman"/>
        </w:rPr>
        <w:t xml:space="preserve"> imperative </w:t>
      </w:r>
      <w:r>
        <w:rPr>
          <w:rFonts w:eastAsia="Times New Roman"/>
        </w:rPr>
        <w:t>to</w:t>
      </w:r>
      <w:r w:rsidRPr="00355323">
        <w:rPr>
          <w:rFonts w:eastAsia="Times New Roman"/>
        </w:rPr>
        <w:t xml:space="preserve"> address gaps, challenges and barriers in implementation to achieve the 2030 targets and mission</w:t>
      </w:r>
      <w:r>
        <w:rPr>
          <w:rFonts w:eastAsia="Times New Roman"/>
        </w:rPr>
        <w:t>;</w:t>
      </w:r>
      <w:r w:rsidRPr="00355323">
        <w:rPr>
          <w:rFonts w:eastAsia="Times New Roman"/>
        </w:rPr>
        <w:t xml:space="preserve"> </w:t>
      </w:r>
    </w:p>
    <w:p w14:paraId="3AEE87F2" w14:textId="77777777" w:rsidR="008D797A" w:rsidRPr="00355323" w:rsidRDefault="008D797A" w:rsidP="00961A91">
      <w:pPr>
        <w:shd w:val="clear" w:color="auto" w:fill="A6A6A6" w:themeFill="background1" w:themeFillShade="A6"/>
        <w:tabs>
          <w:tab w:val="clear" w:pos="567"/>
        </w:tabs>
        <w:spacing w:after="120"/>
        <w:ind w:left="1134" w:firstLine="567"/>
        <w:rPr>
          <w:rFonts w:eastAsia="Times New Roman"/>
        </w:rPr>
      </w:pPr>
      <w:r>
        <w:rPr>
          <w:rFonts w:eastAsia="Times New Roman"/>
        </w:rPr>
        <w:t>[7.</w:t>
      </w:r>
      <w:r>
        <w:rPr>
          <w:rFonts w:eastAsia="Times New Roman"/>
        </w:rPr>
        <w:tab/>
      </w:r>
      <w:r>
        <w:rPr>
          <w:rFonts w:eastAsia="Times New Roman"/>
          <w:i/>
          <w:iCs/>
        </w:rPr>
        <w:t xml:space="preserve">Also notes with deep concern </w:t>
      </w:r>
      <w:r>
        <w:rPr>
          <w:rFonts w:eastAsia="Times New Roman"/>
        </w:rPr>
        <w:t xml:space="preserve">that, if the 2030 targets and mission </w:t>
      </w:r>
      <w:r>
        <w:t xml:space="preserve">of the Framework </w:t>
      </w:r>
      <w:r>
        <w:rPr>
          <w:rFonts w:eastAsia="Times New Roman"/>
        </w:rPr>
        <w:t xml:space="preserve">are not achieved, [its </w:t>
      </w:r>
      <w:r w:rsidRPr="00355323">
        <w:rPr>
          <w:rFonts w:eastAsia="Times New Roman"/>
        </w:rPr>
        <w:t>2050 goals and vision</w:t>
      </w:r>
      <w:r>
        <w:rPr>
          <w:rFonts w:eastAsia="Times New Roman"/>
        </w:rPr>
        <w:t xml:space="preserve"> may be at risk [unless the provision of means of implementation are rapidly accelerated]]</w:t>
      </w:r>
      <w:r w:rsidRPr="00355323">
        <w:rPr>
          <w:rFonts w:eastAsia="Times New Roman"/>
        </w:rPr>
        <w:t>;</w:t>
      </w:r>
      <w:r>
        <w:rPr>
          <w:rFonts w:eastAsia="Times New Roman"/>
        </w:rPr>
        <w:t>]</w:t>
      </w:r>
    </w:p>
    <w:p w14:paraId="6F6B3687" w14:textId="6CA03781" w:rsidR="008D797A" w:rsidRDefault="008D797A" w:rsidP="00961A91">
      <w:pPr>
        <w:shd w:val="clear" w:color="auto" w:fill="FFFFFF" w:themeFill="background1"/>
        <w:tabs>
          <w:tab w:val="clear" w:pos="567"/>
        </w:tabs>
        <w:spacing w:after="120"/>
        <w:ind w:left="1134" w:firstLine="567"/>
        <w:rPr>
          <w:rFonts w:eastAsia="Times New Roman"/>
        </w:rPr>
      </w:pPr>
      <w:r>
        <w:rPr>
          <w:rFonts w:eastAsia="Times New Roman"/>
        </w:rPr>
        <w:t>8.</w:t>
      </w:r>
      <w:r>
        <w:rPr>
          <w:rFonts w:eastAsia="Times New Roman"/>
        </w:rPr>
        <w:tab/>
        <w:t>[</w:t>
      </w:r>
      <w:r w:rsidRPr="0068260B">
        <w:rPr>
          <w:rFonts w:eastAsia="Times New Roman"/>
          <w:i/>
          <w:iCs/>
        </w:rPr>
        <w:t>Decides</w:t>
      </w:r>
      <w:r w:rsidRPr="008D797A">
        <w:rPr>
          <w:rFonts w:eastAsia="Times New Roman"/>
        </w:rPr>
        <w:t>][</w:t>
      </w:r>
      <w:r w:rsidRPr="0068260B">
        <w:rPr>
          <w:rFonts w:eastAsia="Times New Roman"/>
          <w:i/>
          <w:iCs/>
        </w:rPr>
        <w:t>Agrees</w:t>
      </w:r>
      <w:r w:rsidRPr="008D797A">
        <w:rPr>
          <w:rFonts w:eastAsia="Times New Roman"/>
        </w:rPr>
        <w:t xml:space="preserve">] that the provisions in the present decision on the </w:t>
      </w:r>
      <w:r w:rsidR="00471572">
        <w:rPr>
          <w:rFonts w:eastAsia="Times New Roman"/>
        </w:rPr>
        <w:t>g</w:t>
      </w:r>
      <w:r w:rsidRPr="008D797A">
        <w:rPr>
          <w:rFonts w:eastAsia="Times New Roman"/>
        </w:rPr>
        <w:t xml:space="preserve">lobal </w:t>
      </w:r>
      <w:r w:rsidR="00471572">
        <w:rPr>
          <w:rFonts w:eastAsia="Times New Roman"/>
        </w:rPr>
        <w:t>r</w:t>
      </w:r>
      <w:r w:rsidRPr="008D797A">
        <w:rPr>
          <w:rFonts w:eastAsia="Times New Roman"/>
        </w:rPr>
        <w:t>eview[</w:t>
      </w:r>
      <w:r w:rsidR="00F01D42">
        <w:rPr>
          <w:rFonts w:eastAsia="Times New Roman"/>
        </w:rPr>
        <w:t xml:space="preserve">, </w:t>
      </w:r>
      <w:r w:rsidRPr="008D797A">
        <w:rPr>
          <w:rFonts w:eastAsia="Times New Roman"/>
        </w:rPr>
        <w:t>as well as the global report</w:t>
      </w:r>
      <w:r w:rsidR="00F01D42">
        <w:rPr>
          <w:rFonts w:eastAsia="Times New Roman"/>
        </w:rPr>
        <w:t>,</w:t>
      </w:r>
      <w:r w:rsidRPr="008D797A">
        <w:rPr>
          <w:rFonts w:eastAsia="Times New Roman"/>
        </w:rPr>
        <w:t>] [may][are to][should] be used to guide and prioritize future work over the period 2026–2030 to address</w:t>
      </w:r>
      <w:r w:rsidR="00F01D42">
        <w:rPr>
          <w:rFonts w:eastAsia="Times New Roman"/>
        </w:rPr>
        <w:t xml:space="preserve"> </w:t>
      </w:r>
      <w:r w:rsidRPr="008D797A">
        <w:rPr>
          <w:rFonts w:eastAsia="Times New Roman"/>
        </w:rPr>
        <w:t xml:space="preserve">gaps, challenges and barriers and foster possible opportunities to enhance collective progress in implementation and means of implementation in relation to the 2030 targets and mission, for all Parties, especially for developing country Parties, in particular least developed countries and small island developing </w:t>
      </w:r>
      <w:r w:rsidR="00F13DED">
        <w:rPr>
          <w:rFonts w:eastAsia="Times New Roman"/>
        </w:rPr>
        <w:t>S</w:t>
      </w:r>
      <w:r w:rsidRPr="008D797A">
        <w:rPr>
          <w:rFonts w:eastAsia="Times New Roman"/>
        </w:rPr>
        <w:t>tates and that these provisions should be interpreted to be facilitative, non-intrusive and nonpunitive;</w:t>
      </w:r>
    </w:p>
    <w:p w14:paraId="1E4AA9EE" w14:textId="5C1D8194" w:rsidR="008D797A" w:rsidRDefault="008D797A" w:rsidP="00961A91">
      <w:pPr>
        <w:shd w:val="clear" w:color="auto" w:fill="FFFFFF" w:themeFill="background1"/>
        <w:tabs>
          <w:tab w:val="clear" w:pos="567"/>
        </w:tabs>
        <w:spacing w:after="120"/>
        <w:ind w:left="1134" w:firstLine="567"/>
        <w:rPr>
          <w:rFonts w:eastAsia="Times New Roman"/>
        </w:rPr>
      </w:pPr>
      <w:r>
        <w:rPr>
          <w:rFonts w:eastAsia="Times New Roman"/>
        </w:rPr>
        <w:t>[9.</w:t>
      </w:r>
      <w:r>
        <w:rPr>
          <w:rFonts w:eastAsia="Times New Roman"/>
        </w:rPr>
        <w:tab/>
        <w:t>[</w:t>
      </w:r>
      <w:r w:rsidR="00120F89" w:rsidRPr="0068260B">
        <w:rPr>
          <w:rFonts w:eastAsia="Times New Roman"/>
          <w:i/>
          <w:iCs/>
        </w:rPr>
        <w:t>Also</w:t>
      </w:r>
      <w:r w:rsidR="00120F89">
        <w:rPr>
          <w:i/>
          <w:iCs/>
          <w:lang w:val="en-US"/>
        </w:rPr>
        <w:t xml:space="preserve"> </w:t>
      </w:r>
      <w:proofErr w:type="gramStart"/>
      <w:r w:rsidR="00120F89">
        <w:rPr>
          <w:i/>
          <w:iCs/>
          <w:lang w:val="en-US"/>
        </w:rPr>
        <w:t>d</w:t>
      </w:r>
      <w:r>
        <w:rPr>
          <w:i/>
          <w:iCs/>
          <w:lang w:val="en-US"/>
        </w:rPr>
        <w:t>ecides</w:t>
      </w:r>
      <w:r w:rsidRPr="00CB40BE">
        <w:rPr>
          <w:lang w:val="en-US"/>
        </w:rPr>
        <w:t>][</w:t>
      </w:r>
      <w:proofErr w:type="gramEnd"/>
      <w:r w:rsidRPr="00191A10">
        <w:rPr>
          <w:i/>
          <w:iCs/>
          <w:lang w:val="en-US"/>
        </w:rPr>
        <w:t>Reiterates</w:t>
      </w:r>
      <w:r w:rsidRPr="00CB40BE">
        <w:rPr>
          <w:lang w:val="en-US"/>
        </w:rPr>
        <w:t>][</w:t>
      </w:r>
      <w:r w:rsidRPr="00191A10">
        <w:rPr>
          <w:i/>
          <w:iCs/>
          <w:lang w:val="en-US"/>
        </w:rPr>
        <w:t>Recall</w:t>
      </w:r>
      <w:r w:rsidR="00120F89">
        <w:rPr>
          <w:i/>
          <w:iCs/>
          <w:lang w:val="en-US"/>
        </w:rPr>
        <w:t>s</w:t>
      </w:r>
      <w:r w:rsidRPr="00CB40BE">
        <w:rPr>
          <w:lang w:val="en-US"/>
        </w:rPr>
        <w:t xml:space="preserve">] </w:t>
      </w:r>
      <w:r>
        <w:rPr>
          <w:lang w:val="en-US"/>
        </w:rPr>
        <w:t>that Parties [</w:t>
      </w:r>
      <w:r w:rsidRPr="00B97C8D">
        <w:rPr>
          <w:lang w:val="en-US"/>
        </w:rPr>
        <w:t>shall</w:t>
      </w:r>
      <w:r>
        <w:rPr>
          <w:lang w:val="en-US"/>
        </w:rPr>
        <w:t>][should]</w:t>
      </w:r>
      <w:r w:rsidRPr="00B97C8D">
        <w:rPr>
          <w:lang w:val="en-US"/>
        </w:rPr>
        <w:t xml:space="preserve"> retain flexibility </w:t>
      </w:r>
      <w:proofErr w:type="gramStart"/>
      <w:r w:rsidRPr="00B97C8D">
        <w:rPr>
          <w:lang w:val="en-US"/>
        </w:rPr>
        <w:t>with regard to</w:t>
      </w:r>
      <w:proofErr w:type="gramEnd"/>
      <w:r w:rsidRPr="00B97C8D">
        <w:rPr>
          <w:lang w:val="en-US"/>
        </w:rPr>
        <w:t xml:space="preserve"> developing </w:t>
      </w:r>
      <w:r>
        <w:rPr>
          <w:lang w:val="en-US"/>
        </w:rPr>
        <w:t>[</w:t>
      </w:r>
      <w:r w:rsidRPr="00B97C8D">
        <w:rPr>
          <w:lang w:val="en-US"/>
        </w:rPr>
        <w:t>and implementing</w:t>
      </w:r>
      <w:r>
        <w:rPr>
          <w:lang w:val="en-US"/>
        </w:rPr>
        <w:t>]</w:t>
      </w:r>
      <w:r w:rsidRPr="00B97C8D">
        <w:rPr>
          <w:lang w:val="en-US"/>
        </w:rPr>
        <w:t xml:space="preserve"> national targets and associated actions</w:t>
      </w:r>
      <w:r>
        <w:rPr>
          <w:lang w:val="en-US"/>
        </w:rPr>
        <w:t xml:space="preserve">, </w:t>
      </w:r>
      <w:proofErr w:type="gramStart"/>
      <w:r>
        <w:rPr>
          <w:lang w:val="en-US"/>
        </w:rPr>
        <w:t>taking into account</w:t>
      </w:r>
      <w:proofErr w:type="gramEnd"/>
      <w:r>
        <w:rPr>
          <w:lang w:val="en-US"/>
        </w:rPr>
        <w:t xml:space="preserve"> national circumstances, priorities and capabilities [and</w:t>
      </w:r>
      <w:proofErr w:type="gramStart"/>
      <w:r>
        <w:rPr>
          <w:lang w:val="en-US"/>
        </w:rPr>
        <w:t>][</w:t>
      </w:r>
      <w:proofErr w:type="gramEnd"/>
      <w:r>
        <w:rPr>
          <w:lang w:val="en-US"/>
        </w:rPr>
        <w:t>within the] means of implementation available;]</w:t>
      </w:r>
    </w:p>
    <w:p w14:paraId="09804C68" w14:textId="77777777" w:rsidR="008D797A" w:rsidRDefault="008D797A" w:rsidP="00961A91">
      <w:pPr>
        <w:shd w:val="clear" w:color="auto" w:fill="FFFFFF" w:themeFill="background1"/>
        <w:tabs>
          <w:tab w:val="clear" w:pos="567"/>
        </w:tabs>
        <w:spacing w:after="120"/>
        <w:ind w:left="1134" w:firstLine="567"/>
        <w:rPr>
          <w:rFonts w:eastAsia="Times New Roman"/>
        </w:rPr>
      </w:pPr>
      <w:r>
        <w:rPr>
          <w:rFonts w:eastAsia="Times New Roman"/>
        </w:rPr>
        <w:lastRenderedPageBreak/>
        <w:t>10.</w:t>
      </w:r>
      <w:r>
        <w:rPr>
          <w:rFonts w:eastAsia="Times New Roman"/>
        </w:rPr>
        <w:tab/>
      </w:r>
      <w:r>
        <w:rPr>
          <w:i/>
          <w:iCs/>
        </w:rPr>
        <w:t>Notes</w:t>
      </w:r>
      <w:r>
        <w:t xml:space="preserve"> that the present decision is complemented by relevant decisions adopted by the Conference of the Parties at its seventeenth meeting and that the implementation of those decisions should be informed, as appropriate, by the present decision; </w:t>
      </w:r>
    </w:p>
    <w:p w14:paraId="664F4EE8" w14:textId="7300F7B5" w:rsidR="008D797A" w:rsidRDefault="008D797A" w:rsidP="00961A91">
      <w:pPr>
        <w:shd w:val="clear" w:color="auto" w:fill="FFFFFF" w:themeFill="background1"/>
        <w:tabs>
          <w:tab w:val="clear" w:pos="567"/>
        </w:tabs>
        <w:spacing w:after="120"/>
        <w:ind w:left="1134" w:firstLine="567"/>
      </w:pPr>
      <w:r>
        <w:rPr>
          <w:rFonts w:eastAsia="Times New Roman"/>
        </w:rPr>
        <w:t>11.</w:t>
      </w:r>
      <w:r>
        <w:rPr>
          <w:rFonts w:eastAsia="Times New Roman"/>
        </w:rPr>
        <w:tab/>
      </w:r>
      <w:r>
        <w:rPr>
          <w:i/>
          <w:lang w:val="en-CA"/>
        </w:rPr>
        <w:t xml:space="preserve">Also </w:t>
      </w:r>
      <w:r>
        <w:rPr>
          <w:i/>
        </w:rPr>
        <w:t>notes</w:t>
      </w:r>
      <w:r>
        <w:t xml:space="preserve"> that the implementation of the Framework is supported by relevant decisions of the Conference of the Parties serving as the meetings of the Parties to the Cartagena Protocol on Biosafety</w:t>
      </w:r>
      <w:r>
        <w:rPr>
          <w:rStyle w:val="FootnoteReference"/>
        </w:rPr>
        <w:footnoteReference w:id="7"/>
      </w:r>
      <w:r>
        <w:t xml:space="preserve"> and the Nagoya Protocol on Access to Genetic Resources and the Fair and Equitable Sharing of Benefits Arising from Their Utilization</w:t>
      </w:r>
      <w:r>
        <w:rPr>
          <w:rStyle w:val="FootnoteReference"/>
        </w:rPr>
        <w:footnoteReference w:id="8"/>
      </w:r>
      <w:r>
        <w:t xml:space="preserve">  and recognizes </w:t>
      </w:r>
      <w:r>
        <w:rPr>
          <w:lang w:val="en-CA"/>
        </w:rPr>
        <w:t>t</w:t>
      </w:r>
      <w:r>
        <w:t>he respective governing bodies of the Protocols may take into account, as appropriate, relevant provisions of the present decision;</w:t>
      </w:r>
    </w:p>
    <w:p w14:paraId="53831EA0" w14:textId="19E5BADC" w:rsidR="00FD028B" w:rsidRDefault="008D797A" w:rsidP="00961A91">
      <w:pPr>
        <w:shd w:val="clear" w:color="auto" w:fill="FFFFFF" w:themeFill="background1"/>
        <w:tabs>
          <w:tab w:val="clear" w:pos="567"/>
        </w:tabs>
        <w:spacing w:after="120"/>
        <w:ind w:left="1134" w:firstLine="567"/>
      </w:pPr>
      <w:r>
        <w:t>12</w:t>
      </w:r>
      <w:r w:rsidR="00191A10">
        <w:t>.</w:t>
      </w:r>
      <w:r>
        <w:tab/>
      </w:r>
      <w:r w:rsidR="00A27951">
        <w:t>[</w:t>
      </w:r>
      <w:r w:rsidRPr="00D23656">
        <w:rPr>
          <w:i/>
          <w:iCs/>
        </w:rPr>
        <w:t>Invites</w:t>
      </w:r>
      <w:r w:rsidR="00A27951" w:rsidRPr="0068260B">
        <w:t>][</w:t>
      </w:r>
      <w:r w:rsidR="00A27951">
        <w:rPr>
          <w:i/>
          <w:iCs/>
        </w:rPr>
        <w:t>Encourages</w:t>
      </w:r>
      <w:r w:rsidR="00A27951" w:rsidRPr="0068260B">
        <w:t>]</w:t>
      </w:r>
      <w:r>
        <w:t xml:space="preserve"> Parties and [actors other than national Governments] to consider, as appropriate and relevant, the non-prescriptive approaches</w:t>
      </w:r>
      <w:r w:rsidR="00FD028B">
        <w:rPr>
          <w:rStyle w:val="FootnoteReference"/>
        </w:rPr>
        <w:footnoteReference w:id="9"/>
      </w:r>
      <w:r>
        <w:t xml:space="preserve"> identified in the global report </w:t>
      </w:r>
      <w:r w:rsidR="00A27951">
        <w:t xml:space="preserve"> to </w:t>
      </w:r>
      <w:r>
        <w:t>address the gaps, challenges and barriers in the implementation of the Framework and to foster possible opportunities to enhanced collective progress in implementation</w:t>
      </w:r>
      <w:r w:rsidR="005B2E50">
        <w:t>,</w:t>
      </w:r>
      <w:r>
        <w:t xml:space="preserve"> and </w:t>
      </w:r>
      <w:r w:rsidRPr="0068260B">
        <w:t>notes</w:t>
      </w:r>
      <w:r>
        <w:t xml:space="preserve"> that Parties may also use the policy relevant actions described in </w:t>
      </w:r>
      <w:r w:rsidR="00A27951">
        <w:t xml:space="preserve">relevant </w:t>
      </w:r>
      <w:r>
        <w:t>assessments</w:t>
      </w:r>
      <w:r w:rsidR="00191A10">
        <w:t xml:space="preserve"> of the </w:t>
      </w:r>
      <w:r w:rsidR="00191A10" w:rsidRPr="00191A10">
        <w:rPr>
          <w:rFonts w:eastAsia="Times New Roman"/>
          <w:color w:val="000000" w:themeColor="text1"/>
        </w:rPr>
        <w:t>Intergovernmental Science-Policy Platform on Biodiversity and Ecosystem Services</w:t>
      </w:r>
      <w:r>
        <w:t xml:space="preserve"> in th</w:t>
      </w:r>
      <w:r w:rsidR="005B2E50">
        <w:t>at</w:t>
      </w:r>
      <w:r>
        <w:t xml:space="preserve"> effect</w:t>
      </w:r>
      <w:r w:rsidR="00BF593E">
        <w:t>;</w:t>
      </w:r>
    </w:p>
    <w:p w14:paraId="0E13E4BB" w14:textId="0490307A" w:rsidR="00FD028B" w:rsidRDefault="008D797A" w:rsidP="00961A91">
      <w:pPr>
        <w:shd w:val="clear" w:color="auto" w:fill="FFFFFF" w:themeFill="background1"/>
        <w:tabs>
          <w:tab w:val="clear" w:pos="567"/>
        </w:tabs>
        <w:spacing w:after="120"/>
        <w:ind w:left="1134" w:firstLine="567"/>
      </w:pPr>
      <w:r>
        <w:rPr>
          <w:rFonts w:eastAsia="Times New Roman"/>
        </w:rPr>
        <w:t>13.</w:t>
      </w:r>
      <w:r>
        <w:rPr>
          <w:rFonts w:eastAsia="Times New Roman"/>
        </w:rPr>
        <w:tab/>
      </w:r>
      <w:r>
        <w:t xml:space="preserve">[Placeholder for the outcomes on the Kunming </w:t>
      </w:r>
      <w:r w:rsidR="00471572">
        <w:t>d</w:t>
      </w:r>
      <w:r>
        <w:t xml:space="preserve">ialogue on the </w:t>
      </w:r>
      <w:r w:rsidR="00471572">
        <w:t>g</w:t>
      </w:r>
      <w:r>
        <w:t xml:space="preserve">lobal </w:t>
      </w:r>
      <w:r w:rsidR="00471572">
        <w:t>r</w:t>
      </w:r>
      <w:r>
        <w:t>eview of collective progress in the implementation of the Kunming</w:t>
      </w:r>
      <w:r w:rsidR="00F01D42">
        <w:t>-</w:t>
      </w:r>
      <w:r>
        <w:t>Montreal Global Biodiversity Framework</w:t>
      </w:r>
      <w:r w:rsidR="00BF593E">
        <w:t>;</w:t>
      </w:r>
      <w:r>
        <w:t>]</w:t>
      </w:r>
    </w:p>
    <w:p w14:paraId="469348FE" w14:textId="77777777" w:rsidR="00FD028B" w:rsidRPr="00FD028B" w:rsidRDefault="00FD028B" w:rsidP="0068260B">
      <w:pPr>
        <w:shd w:val="clear" w:color="auto" w:fill="FFFFFF" w:themeFill="background1"/>
        <w:tabs>
          <w:tab w:val="clear" w:pos="567"/>
        </w:tabs>
        <w:spacing w:after="120"/>
        <w:ind w:left="1134"/>
        <w:jc w:val="left"/>
        <w:rPr>
          <w:b/>
        </w:rPr>
      </w:pPr>
      <w:r w:rsidRPr="00FD028B">
        <w:rPr>
          <w:b/>
          <w:lang w:val="en-CA"/>
        </w:rPr>
        <w:t xml:space="preserve">Yerevan pathway for accelerating the implementation </w:t>
      </w:r>
      <w:r w:rsidRPr="00FD028B">
        <w:rPr>
          <w:b/>
        </w:rPr>
        <w:br/>
      </w:r>
      <w:r w:rsidRPr="00FD028B">
        <w:rPr>
          <w:b/>
          <w:lang w:val="en-CA"/>
        </w:rPr>
        <w:t xml:space="preserve">of the Kunming-Montreal Global Biodiversity Framework </w:t>
      </w:r>
    </w:p>
    <w:p w14:paraId="3DE3274F" w14:textId="010F7901" w:rsidR="00FD028B" w:rsidRPr="00FD028B" w:rsidRDefault="00FD028B" w:rsidP="00961A91">
      <w:pPr>
        <w:shd w:val="clear" w:color="auto" w:fill="FFFFFF" w:themeFill="background1"/>
        <w:tabs>
          <w:tab w:val="clear" w:pos="567"/>
        </w:tabs>
        <w:spacing w:after="120"/>
        <w:ind w:left="1134" w:firstLine="567"/>
      </w:pPr>
      <w:r w:rsidRPr="00CB40BE">
        <w:rPr>
          <w:lang w:val="en-CA"/>
        </w:rPr>
        <w:t>14</w:t>
      </w:r>
      <w:r>
        <w:rPr>
          <w:i/>
          <w:iCs/>
          <w:lang w:val="en-CA"/>
        </w:rPr>
        <w:t>.</w:t>
      </w:r>
      <w:r>
        <w:rPr>
          <w:i/>
          <w:iCs/>
          <w:lang w:val="en-CA"/>
        </w:rPr>
        <w:tab/>
        <w:t>Reaffirms</w:t>
      </w:r>
      <w:r>
        <w:rPr>
          <w:lang w:val="en-CA"/>
        </w:rPr>
        <w:t xml:space="preserve"> Parties commitment to the full and effective </w:t>
      </w:r>
      <w:r>
        <w:t>implementation</w:t>
      </w:r>
      <w:r>
        <w:rPr>
          <w:lang w:val="en-CA"/>
        </w:rPr>
        <w:t xml:space="preserve"> of the Framework</w:t>
      </w:r>
      <w:r>
        <w:t>, including through taking into account the considerations in section C</w:t>
      </w:r>
      <w:r w:rsidR="00DF6D1A">
        <w:t xml:space="preserve">, </w:t>
      </w:r>
      <w:r>
        <w:rPr>
          <w:lang w:val="en-CA"/>
        </w:rPr>
        <w:t>in accordance with national circumstances, priorities and capabilities,</w:t>
      </w:r>
      <w:r w:rsidR="00DF6D1A">
        <w:rPr>
          <w:lang w:val="en-CA"/>
        </w:rPr>
        <w:t xml:space="preserve"> to</w:t>
      </w:r>
      <w:r>
        <w:rPr>
          <w:lang w:val="en-CA"/>
        </w:rPr>
        <w:t xml:space="preserve"> </w:t>
      </w:r>
      <w:r w:rsidR="00DF6D1A">
        <w:rPr>
          <w:lang w:val="en-CA"/>
        </w:rPr>
        <w:t xml:space="preserve">advance </w:t>
      </w:r>
      <w:r>
        <w:rPr>
          <w:lang w:val="en-CA"/>
        </w:rPr>
        <w:t xml:space="preserve">the three objectives of the </w:t>
      </w:r>
      <w:proofErr w:type="gramStart"/>
      <w:r>
        <w:rPr>
          <w:lang w:val="en-CA"/>
        </w:rPr>
        <w:t>Convention  in</w:t>
      </w:r>
      <w:proofErr w:type="gramEnd"/>
      <w:r>
        <w:rPr>
          <w:lang w:val="en-CA"/>
        </w:rPr>
        <w:t xml:space="preserve"> a balanced and mutually supportive manner, including through enhanced international cooperation, improved actions and efforts and strengthened means of implementation</w:t>
      </w:r>
      <w:r w:rsidR="00BF593E">
        <w:rPr>
          <w:lang w:val="en-CA"/>
        </w:rPr>
        <w:t>;</w:t>
      </w:r>
    </w:p>
    <w:p w14:paraId="46C41DE8" w14:textId="77777777" w:rsidR="00FD028B" w:rsidRPr="00FD028B" w:rsidRDefault="00FD028B" w:rsidP="0068260B">
      <w:pPr>
        <w:shd w:val="clear" w:color="auto" w:fill="FFFFFF" w:themeFill="background1"/>
        <w:tabs>
          <w:tab w:val="clear" w:pos="567"/>
        </w:tabs>
        <w:spacing w:after="120"/>
        <w:ind w:left="1134"/>
        <w:rPr>
          <w:b/>
          <w:lang w:val="en-CA"/>
        </w:rPr>
      </w:pPr>
      <w:r w:rsidRPr="00FD028B">
        <w:rPr>
          <w:b/>
          <w:lang w:val="en-CA"/>
        </w:rPr>
        <w:t>Accelerating action and implementation</w:t>
      </w:r>
    </w:p>
    <w:p w14:paraId="014051E5" w14:textId="606A838F" w:rsidR="00FD028B" w:rsidRDefault="00FD028B" w:rsidP="0068260B">
      <w:pPr>
        <w:shd w:val="clear" w:color="auto" w:fill="FFFFFF" w:themeFill="background1"/>
        <w:tabs>
          <w:tab w:val="clear" w:pos="567"/>
        </w:tabs>
        <w:spacing w:after="120"/>
        <w:ind w:left="1134" w:firstLine="567"/>
        <w:rPr>
          <w:lang w:val="en-US"/>
        </w:rPr>
      </w:pPr>
      <w:r w:rsidRPr="0068260B">
        <w:t>1</w:t>
      </w:r>
      <w:r w:rsidR="00191A10" w:rsidRPr="0068260B">
        <w:t>5</w:t>
      </w:r>
      <w:r w:rsidRPr="0068260B">
        <w:t>.</w:t>
      </w:r>
      <w:r>
        <w:rPr>
          <w:i/>
          <w:iCs/>
        </w:rPr>
        <w:tab/>
        <w:t xml:space="preserve">Urges </w:t>
      </w:r>
      <w:r>
        <w:t xml:space="preserve">Parties to accelerate </w:t>
      </w:r>
      <w:r>
        <w:rPr>
          <w:lang w:val="en-US"/>
        </w:rPr>
        <w:t xml:space="preserve">implementation of the Framework, including by [increased ambition as well as] addressing </w:t>
      </w:r>
      <w:r w:rsidRPr="0068260B">
        <w:rPr>
          <w:lang w:val="en-CA"/>
        </w:rPr>
        <w:t>the</w:t>
      </w:r>
      <w:r>
        <w:rPr>
          <w:lang w:val="en-US"/>
        </w:rPr>
        <w:t xml:space="preserve"> gaps, challenges and barriers related to implementation, [scope and coverage, means of implementation, whole-of-government, whole-of-society approaches and data and knowledge [noted in paragraph</w:t>
      </w:r>
      <w:r w:rsidR="00471572">
        <w:rPr>
          <w:lang w:val="en-US"/>
        </w:rPr>
        <w:t> </w:t>
      </w:r>
      <w:r>
        <w:rPr>
          <w:lang w:val="en-US"/>
        </w:rPr>
        <w:t>5 of th</w:t>
      </w:r>
      <w:r w:rsidR="00471572">
        <w:rPr>
          <w:lang w:val="en-US"/>
        </w:rPr>
        <w:t>e</w:t>
      </w:r>
      <w:r>
        <w:rPr>
          <w:lang w:val="en-US"/>
        </w:rPr>
        <w:t xml:space="preserve"> </w:t>
      </w:r>
      <w:r w:rsidR="00471572">
        <w:rPr>
          <w:lang w:val="en-US"/>
        </w:rPr>
        <w:t xml:space="preserve">present </w:t>
      </w:r>
      <w:r>
        <w:rPr>
          <w:lang w:val="en-US"/>
        </w:rPr>
        <w:t>decision,]] in accordance with national circumstances, priorities and capabilities, [and the means of implementation available to them;]</w:t>
      </w:r>
    </w:p>
    <w:p w14:paraId="1B9275F1" w14:textId="24213349" w:rsidR="00FD028B" w:rsidRDefault="00FD028B" w:rsidP="0068260B">
      <w:pPr>
        <w:shd w:val="clear" w:color="auto" w:fill="FFFFFF" w:themeFill="background1"/>
        <w:tabs>
          <w:tab w:val="clear" w:pos="567"/>
        </w:tabs>
        <w:spacing w:after="120"/>
        <w:ind w:left="1134" w:firstLine="567"/>
      </w:pPr>
      <w:r>
        <w:t>[1</w:t>
      </w:r>
      <w:r w:rsidR="00191A10">
        <w:t>6</w:t>
      </w:r>
      <w:r>
        <w:t>.</w:t>
      </w:r>
      <w:r>
        <w:tab/>
      </w:r>
      <w:r>
        <w:rPr>
          <w:i/>
          <w:iCs/>
        </w:rPr>
        <w:t xml:space="preserve">Emphasizes </w:t>
      </w:r>
      <w:r w:rsidRPr="00B97C8D">
        <w:t>that</w:t>
      </w:r>
      <w:r>
        <w:rPr>
          <w:i/>
          <w:iCs/>
        </w:rPr>
        <w:t xml:space="preserve"> </w:t>
      </w:r>
      <w:r>
        <w:t xml:space="preserve">accelerating implementation would need to be supported through increased action to address the underlying drivers of biodiversity loss [and transformation of economic and financial systems] [and </w:t>
      </w:r>
      <w:r w:rsidRPr="0068260B">
        <w:rPr>
          <w:lang w:val="en-US"/>
        </w:rPr>
        <w:t>sectors</w:t>
      </w:r>
      <w:r>
        <w:t xml:space="preserve"> that [negatively] impact nature];] </w:t>
      </w:r>
    </w:p>
    <w:p w14:paraId="5CC3576C" w14:textId="646276E8" w:rsidR="00FD028B" w:rsidRDefault="00FD028B" w:rsidP="0068260B">
      <w:pPr>
        <w:shd w:val="clear" w:color="auto" w:fill="FFFFFF" w:themeFill="background1"/>
        <w:tabs>
          <w:tab w:val="clear" w:pos="567"/>
        </w:tabs>
        <w:spacing w:after="120"/>
        <w:ind w:left="1134" w:firstLine="567"/>
        <w:rPr>
          <w:lang w:val="en-US"/>
        </w:rPr>
      </w:pPr>
      <w:r>
        <w:t>[1</w:t>
      </w:r>
      <w:r w:rsidR="00191A10">
        <w:t>7</w:t>
      </w:r>
      <w:r>
        <w:t>.</w:t>
      </w:r>
      <w:r>
        <w:tab/>
      </w:r>
      <w:r>
        <w:rPr>
          <w:i/>
          <w:iCs/>
        </w:rPr>
        <w:t xml:space="preserve">Invites </w:t>
      </w:r>
      <w:r w:rsidRPr="00D23656">
        <w:t>[</w:t>
      </w:r>
      <w:r>
        <w:t>actors other than national Governments] to accelerate their contributions to the implementation of the Framework</w:t>
      </w:r>
      <w:r>
        <w:rPr>
          <w:lang w:val="en-US"/>
        </w:rPr>
        <w:t xml:space="preserve">, [and also invites them </w:t>
      </w:r>
      <w:proofErr w:type="gramStart"/>
      <w:r>
        <w:rPr>
          <w:lang w:val="en-US"/>
        </w:rPr>
        <w:t>to][</w:t>
      </w:r>
      <w:proofErr w:type="gramEnd"/>
      <w:r>
        <w:rPr>
          <w:lang w:val="en-US"/>
        </w:rPr>
        <w:t xml:space="preserve">taking into account national priorities and </w:t>
      </w:r>
      <w:proofErr w:type="gramStart"/>
      <w:r>
        <w:rPr>
          <w:lang w:val="en-US"/>
        </w:rPr>
        <w:t>needs][</w:t>
      </w:r>
      <w:proofErr w:type="gramEnd"/>
      <w:r>
        <w:rPr>
          <w:lang w:val="en-US"/>
        </w:rPr>
        <w:t xml:space="preserve">in a manner that [is consistent with the needs and priorities of </w:t>
      </w:r>
      <w:proofErr w:type="gramStart"/>
      <w:r>
        <w:rPr>
          <w:lang w:val="en-US"/>
        </w:rPr>
        <w:t>Parties][</w:t>
      </w:r>
      <w:proofErr w:type="gramEnd"/>
      <w:r>
        <w:rPr>
          <w:lang w:val="en-US"/>
        </w:rPr>
        <w:t xml:space="preserve">aligns][supports][reinforces] the implementation priorities and needs of Parties] with implementation priorities and needs of </w:t>
      </w:r>
      <w:proofErr w:type="gramStart"/>
      <w:r>
        <w:rPr>
          <w:lang w:val="en-US"/>
        </w:rPr>
        <w:t>Parties][</w:t>
      </w:r>
      <w:proofErr w:type="gramEnd"/>
      <w:r>
        <w:rPr>
          <w:lang w:val="en-US"/>
        </w:rPr>
        <w:t>as appropriate];]</w:t>
      </w:r>
    </w:p>
    <w:p w14:paraId="4CFDAA68" w14:textId="096B333C" w:rsidR="00FD028B" w:rsidRDefault="00FD028B" w:rsidP="0068260B">
      <w:pPr>
        <w:shd w:val="clear" w:color="auto" w:fill="FFFFFF" w:themeFill="background1"/>
        <w:tabs>
          <w:tab w:val="clear" w:pos="567"/>
        </w:tabs>
        <w:spacing w:after="120"/>
        <w:ind w:left="1134" w:firstLine="567"/>
        <w:rPr>
          <w:lang w:val="en-US"/>
        </w:rPr>
      </w:pPr>
      <w:r>
        <w:lastRenderedPageBreak/>
        <w:t>[1</w:t>
      </w:r>
      <w:r w:rsidR="00191A10">
        <w:t>7</w:t>
      </w:r>
      <w:r>
        <w:t>.</w:t>
      </w:r>
      <w:r w:rsidR="00516B3C">
        <w:t> A</w:t>
      </w:r>
      <w:r>
        <w:t>lt</w:t>
      </w:r>
      <w:r w:rsidR="00516B3C">
        <w:t>.</w:t>
      </w:r>
      <w:r>
        <w:tab/>
      </w:r>
      <w:r>
        <w:rPr>
          <w:i/>
          <w:iCs/>
        </w:rPr>
        <w:t xml:space="preserve">Invites </w:t>
      </w:r>
      <w:r w:rsidRPr="001D19C7">
        <w:t>[</w:t>
      </w:r>
      <w:r>
        <w:t>actors other than national Governments] to accelerate their contributions to the implementation of the Framework</w:t>
      </w:r>
      <w:r>
        <w:rPr>
          <w:lang w:val="en-US"/>
        </w:rPr>
        <w:t xml:space="preserve">, </w:t>
      </w:r>
      <w:proofErr w:type="gramStart"/>
      <w:r>
        <w:rPr>
          <w:lang w:val="en-US"/>
        </w:rPr>
        <w:t>and also</w:t>
      </w:r>
      <w:proofErr w:type="gramEnd"/>
      <w:r>
        <w:rPr>
          <w:lang w:val="en-US"/>
        </w:rPr>
        <w:t xml:space="preserve"> support the implementation priorities and needs of Parties as appropriate;]</w:t>
      </w:r>
    </w:p>
    <w:p w14:paraId="3A7F239C" w14:textId="7BD9294E" w:rsidR="00FD028B" w:rsidRPr="00EB214E" w:rsidRDefault="00FD028B" w:rsidP="0068260B">
      <w:pPr>
        <w:shd w:val="clear" w:color="auto" w:fill="FFFFFF" w:themeFill="background1"/>
        <w:tabs>
          <w:tab w:val="clear" w:pos="567"/>
        </w:tabs>
        <w:spacing w:after="120"/>
        <w:ind w:left="1134" w:firstLine="567"/>
        <w:rPr>
          <w:lang w:val="en-US"/>
        </w:rPr>
      </w:pPr>
      <w:r>
        <w:t>1</w:t>
      </w:r>
      <w:r w:rsidR="00191A10">
        <w:t>8</w:t>
      </w:r>
      <w:r>
        <w:t>.</w:t>
      </w:r>
      <w:r>
        <w:tab/>
        <w:t>[</w:t>
      </w:r>
      <w:r>
        <w:rPr>
          <w:i/>
          <w:iCs/>
          <w:lang w:val="en-US"/>
        </w:rPr>
        <w:t>Welcomes</w:t>
      </w:r>
      <w:r w:rsidRPr="0068260B">
        <w:rPr>
          <w:lang w:val="en-US"/>
        </w:rPr>
        <w:t>][</w:t>
      </w:r>
      <w:r w:rsidR="000B5EF7">
        <w:rPr>
          <w:i/>
          <w:iCs/>
          <w:lang w:val="en-US"/>
        </w:rPr>
        <w:t>T</w:t>
      </w:r>
      <w:r>
        <w:rPr>
          <w:i/>
          <w:iCs/>
          <w:lang w:val="en-US"/>
        </w:rPr>
        <w:t xml:space="preserve">akes note </w:t>
      </w:r>
      <w:r w:rsidRPr="00D23656">
        <w:rPr>
          <w:lang w:val="en-US"/>
        </w:rPr>
        <w:t>of]</w:t>
      </w:r>
      <w:r>
        <w:rPr>
          <w:i/>
          <w:iCs/>
          <w:lang w:val="en-US"/>
        </w:rPr>
        <w:t xml:space="preserve"> </w:t>
      </w:r>
      <w:r>
        <w:rPr>
          <w:lang w:val="en-US"/>
        </w:rPr>
        <w:t xml:space="preserve">the </w:t>
      </w:r>
      <w:r w:rsidRPr="0068260B">
        <w:t>voluntary</w:t>
      </w:r>
      <w:r>
        <w:rPr>
          <w:lang w:val="en-US"/>
        </w:rPr>
        <w:t xml:space="preserve"> coalitions, partnerships, initiatives and multi-stakeholder platforms that have been established to support the implementation [of specific aspects] of the Framework, and </w:t>
      </w:r>
      <w:r w:rsidRPr="0068260B">
        <w:rPr>
          <w:lang w:val="en-US"/>
        </w:rPr>
        <w:t>encourages</w:t>
      </w:r>
      <w:r>
        <w:rPr>
          <w:i/>
          <w:iCs/>
          <w:lang w:val="en-US"/>
        </w:rPr>
        <w:t xml:space="preserve"> </w:t>
      </w:r>
      <w:r>
        <w:t xml:space="preserve">Parties, [in accordance with national circumstances and priorities] and </w:t>
      </w:r>
      <w:r w:rsidRPr="0068260B">
        <w:t>invites</w:t>
      </w:r>
      <w:r>
        <w:rPr>
          <w:i/>
          <w:iCs/>
        </w:rPr>
        <w:t xml:space="preserve"> </w:t>
      </w:r>
      <w:r>
        <w:t xml:space="preserve">other Governments and actors other than national </w:t>
      </w:r>
      <w:r w:rsidR="006F5C63">
        <w:t>G</w:t>
      </w:r>
      <w:r>
        <w:t>overnments, to make effective use of relevant</w:t>
      </w:r>
      <w:r>
        <w:rPr>
          <w:lang w:val="en-US"/>
        </w:rPr>
        <w:t xml:space="preserve"> existing initiatives, and, where needed, establish new ones, aimed at enhancing the implementation of the Framework,</w:t>
      </w:r>
      <w:r w:rsidRPr="00CB40BE">
        <w:rPr>
          <w:lang w:val="en-US"/>
        </w:rPr>
        <w:t xml:space="preserve"> </w:t>
      </w:r>
      <w:r>
        <w:rPr>
          <w:lang w:val="en-US"/>
        </w:rPr>
        <w:t xml:space="preserve">prioritizing the targets and cross-cutting elements of the Framework for where Parties have reported the least progress towards their national targets, [including </w:t>
      </w:r>
      <w:r w:rsidR="00516B3C">
        <w:rPr>
          <w:lang w:val="en-US"/>
        </w:rPr>
        <w:t>T</w:t>
      </w:r>
      <w:r>
        <w:rPr>
          <w:lang w:val="en-US"/>
        </w:rPr>
        <w:t xml:space="preserve">argets 6, 12, 15, 16, 18 and 19, as identified </w:t>
      </w:r>
      <w:r w:rsidR="00516B3C">
        <w:rPr>
          <w:lang w:val="en-US"/>
        </w:rPr>
        <w:t>sub</w:t>
      </w:r>
      <w:r>
        <w:rPr>
          <w:lang w:val="en-US"/>
        </w:rPr>
        <w:t>paragraph</w:t>
      </w:r>
      <w:r w:rsidR="00471572">
        <w:rPr>
          <w:lang w:val="en-US"/>
        </w:rPr>
        <w:t> </w:t>
      </w:r>
      <w:r>
        <w:rPr>
          <w:lang w:val="en-US"/>
        </w:rPr>
        <w:t>5</w:t>
      </w:r>
      <w:r w:rsidR="00516B3C">
        <w:rPr>
          <w:lang w:val="en-US"/>
        </w:rPr>
        <w:t> </w:t>
      </w:r>
      <w:r>
        <w:rPr>
          <w:lang w:val="en-US"/>
        </w:rPr>
        <w:t xml:space="preserve">(b)] and in a manner which is supportive of the national implementation of Parties and noting that such initiatives </w:t>
      </w:r>
      <w:r w:rsidR="00033902">
        <w:rPr>
          <w:lang w:val="en-US"/>
        </w:rPr>
        <w:t xml:space="preserve">may complement and contribute to means of implementation and </w:t>
      </w:r>
      <w:r>
        <w:rPr>
          <w:lang w:val="en-US"/>
        </w:rPr>
        <w:t>should not be seen as a substitute for</w:t>
      </w:r>
      <w:r w:rsidR="00033902">
        <w:rPr>
          <w:lang w:val="en-US"/>
        </w:rPr>
        <w:t xml:space="preserve"> [the obligations under the Convention regarding]</w:t>
      </w:r>
      <w:r>
        <w:rPr>
          <w:lang w:val="en-US"/>
        </w:rPr>
        <w:t xml:space="preserve"> means of implementation</w:t>
      </w:r>
      <w:r w:rsidR="00CB40BE">
        <w:rPr>
          <w:lang w:val="en-US"/>
        </w:rPr>
        <w:t>;</w:t>
      </w:r>
    </w:p>
    <w:p w14:paraId="3A85EA9E" w14:textId="0C0F421F" w:rsidR="00FD028B" w:rsidRDefault="00191A10" w:rsidP="0068260B">
      <w:pPr>
        <w:shd w:val="clear" w:color="auto" w:fill="FFFFFF" w:themeFill="background1"/>
        <w:tabs>
          <w:tab w:val="clear" w:pos="567"/>
        </w:tabs>
        <w:spacing w:after="120"/>
        <w:ind w:left="1134" w:firstLine="567"/>
        <w:rPr>
          <w:rFonts w:eastAsia="Times New Roman"/>
          <w:color w:val="000000" w:themeColor="text1"/>
        </w:rPr>
      </w:pPr>
      <w:r w:rsidRPr="0068260B">
        <w:rPr>
          <w:rFonts w:eastAsia="Times New Roman"/>
          <w:color w:val="000000" w:themeColor="text1"/>
        </w:rPr>
        <w:t>19</w:t>
      </w:r>
      <w:r w:rsidR="00FD028B" w:rsidRPr="0068260B">
        <w:rPr>
          <w:rFonts w:eastAsia="Times New Roman"/>
          <w:color w:val="000000" w:themeColor="text1"/>
        </w:rPr>
        <w:t>.</w:t>
      </w:r>
      <w:r w:rsidR="00FD028B">
        <w:rPr>
          <w:rFonts w:eastAsia="Times New Roman"/>
          <w:i/>
          <w:iCs/>
          <w:color w:val="000000" w:themeColor="text1"/>
        </w:rPr>
        <w:tab/>
        <w:t xml:space="preserve">Welcomes </w:t>
      </w:r>
      <w:r w:rsidR="00FD028B">
        <w:rPr>
          <w:rFonts w:eastAsia="Times New Roman"/>
          <w:color w:val="000000" w:themeColor="text1"/>
        </w:rPr>
        <w:t>the support provided by</w:t>
      </w:r>
      <w:r w:rsidR="00FD028B">
        <w:rPr>
          <w:rFonts w:eastAsia="Times New Roman"/>
          <w:i/>
          <w:iCs/>
          <w:color w:val="000000" w:themeColor="text1"/>
        </w:rPr>
        <w:t xml:space="preserve"> </w:t>
      </w:r>
      <w:r w:rsidR="00FD028B">
        <w:rPr>
          <w:rFonts w:eastAsia="Times New Roman"/>
          <w:color w:val="000000" w:themeColor="text1"/>
          <w:lang w:val="en-CA"/>
        </w:rPr>
        <w:t xml:space="preserve">relevant </w:t>
      </w:r>
      <w:r w:rsidR="00FD028B">
        <w:rPr>
          <w:rFonts w:eastAsia="Times New Roman"/>
          <w:color w:val="000000" w:themeColor="text1"/>
        </w:rPr>
        <w:t xml:space="preserve">partners, including the regional and subregional technical and scientific cooperation support centres, the secretariats of multilateral environmental agreements, United Nations entities, intergovernmental organizations, non-governmental organizations and research networks, to implement the Framework, and </w:t>
      </w:r>
      <w:r w:rsidR="00FD028B" w:rsidRPr="0068260B">
        <w:rPr>
          <w:rFonts w:eastAsia="Times New Roman"/>
          <w:color w:val="000000" w:themeColor="text1"/>
        </w:rPr>
        <w:t>invites</w:t>
      </w:r>
      <w:r w:rsidR="00FD028B">
        <w:rPr>
          <w:rFonts w:eastAsia="Times New Roman"/>
          <w:color w:val="000000" w:themeColor="text1"/>
        </w:rPr>
        <w:t xml:space="preserve"> these partners</w:t>
      </w:r>
      <w:r w:rsidR="00FD028B">
        <w:rPr>
          <w:rFonts w:eastAsia="Times New Roman"/>
          <w:color w:val="000000" w:themeColor="text1"/>
          <w:lang w:val="en-CA"/>
        </w:rPr>
        <w:t xml:space="preserve"> to provide further support, paying particular attention to areas where progress remains insufficient, while responding to the needs and priorities identified by Parties, especially developing country Parties, in particular least developed countries and small island development </w:t>
      </w:r>
      <w:r w:rsidR="00516B3C">
        <w:rPr>
          <w:rFonts w:eastAsia="Times New Roman"/>
          <w:color w:val="000000" w:themeColor="text1"/>
          <w:lang w:val="en-CA"/>
        </w:rPr>
        <w:t>S</w:t>
      </w:r>
      <w:r w:rsidR="00FD028B">
        <w:rPr>
          <w:rFonts w:eastAsia="Times New Roman"/>
          <w:color w:val="000000" w:themeColor="text1"/>
          <w:lang w:val="en-CA"/>
        </w:rPr>
        <w:t xml:space="preserve">tates[, and countries with economies in transition], including by facilitating </w:t>
      </w:r>
      <w:r w:rsidR="00FD028B">
        <w:rPr>
          <w:rFonts w:eastAsia="Times New Roman"/>
          <w:color w:val="000000" w:themeColor="text1"/>
        </w:rPr>
        <w:t xml:space="preserve">peer-to-peer learning, North-South, South-South and triangular cooperation and information exchange; </w:t>
      </w:r>
    </w:p>
    <w:p w14:paraId="3E868C29" w14:textId="77777777" w:rsidR="00FD028B" w:rsidRDefault="00FD028B" w:rsidP="00FD028B">
      <w:pPr>
        <w:pStyle w:val="CBDNormalNoNumber"/>
        <w:rPr>
          <w:b/>
          <w:bCs/>
        </w:rPr>
      </w:pPr>
      <w:r w:rsidRPr="0068260B">
        <w:rPr>
          <w:b/>
          <w:bCs/>
        </w:rPr>
        <w:t>Enhancing scope and coverage</w:t>
      </w:r>
    </w:p>
    <w:p w14:paraId="574FA18C" w14:textId="3B9400AB" w:rsidR="00FD028B" w:rsidRDefault="00FD028B" w:rsidP="0068260B">
      <w:pPr>
        <w:shd w:val="clear" w:color="auto" w:fill="FFFFFF" w:themeFill="background1"/>
        <w:tabs>
          <w:tab w:val="clear" w:pos="567"/>
        </w:tabs>
        <w:spacing w:after="120"/>
        <w:ind w:left="1134" w:firstLine="567"/>
      </w:pPr>
      <w:r>
        <w:t>2</w:t>
      </w:r>
      <w:r w:rsidR="00191A10">
        <w:t>0</w:t>
      </w:r>
      <w:r>
        <w:t>.</w:t>
      </w:r>
      <w:r>
        <w:tab/>
      </w:r>
      <w:r>
        <w:rPr>
          <w:i/>
          <w:iCs/>
        </w:rPr>
        <w:t>Urges</w:t>
      </w:r>
      <w:r>
        <w:t xml:space="preserve"> Parties that have not yet done so to finalize and submit their revised or updated national biodiversity strategies and action plans, national targets and seventh national report as soon as possible, noting that the submission of national biodiversity strategies and action plans and national reports are commitments </w:t>
      </w:r>
      <w:r w:rsidRPr="0068260B">
        <w:rPr>
          <w:rFonts w:eastAsia="Times New Roman"/>
          <w:color w:val="000000" w:themeColor="text1"/>
          <w:lang w:val="en-CA"/>
        </w:rPr>
        <w:t>under</w:t>
      </w:r>
      <w:r>
        <w:t xml:space="preserve"> Articles 6 and 26 of the Convention, and, where relevant and </w:t>
      </w:r>
      <w:r>
        <w:rPr>
          <w:lang w:val="en-US"/>
        </w:rPr>
        <w:t>in accordance with national circumstances, priorities and capabilities</w:t>
      </w:r>
      <w:r>
        <w:t>, take into account the gaps, challenges, barriers and opportunities identified in the global report, in particular those in paragraph</w:t>
      </w:r>
      <w:r w:rsidR="00471572">
        <w:t> </w:t>
      </w:r>
      <w:r>
        <w:t>5 of the present decision</w:t>
      </w:r>
      <w:r>
        <w:rPr>
          <w:lang w:val="en-US"/>
        </w:rPr>
        <w:t>;</w:t>
      </w:r>
    </w:p>
    <w:p w14:paraId="4E5AB4B4" w14:textId="56848FE7" w:rsidR="00FD028B" w:rsidRDefault="00FD028B" w:rsidP="0068260B">
      <w:pPr>
        <w:shd w:val="clear" w:color="auto" w:fill="FFFFFF" w:themeFill="background1"/>
        <w:tabs>
          <w:tab w:val="clear" w:pos="567"/>
        </w:tabs>
        <w:spacing w:after="120"/>
        <w:ind w:left="1134" w:firstLine="567"/>
      </w:pPr>
      <w:r w:rsidRPr="0068260B">
        <w:t>2</w:t>
      </w:r>
      <w:r w:rsidR="00516B3C">
        <w:t>1</w:t>
      </w:r>
      <w:r>
        <w:rPr>
          <w:i/>
          <w:iCs/>
        </w:rPr>
        <w:t>.</w:t>
      </w:r>
      <w:r>
        <w:rPr>
          <w:i/>
          <w:iCs/>
        </w:rPr>
        <w:tab/>
        <w:t>Encourages</w:t>
      </w:r>
      <w:r>
        <w:t xml:space="preserve"> Parties who have not already done so, on a voluntary basis, to develop, through inclusive processes, national biodiversity finance plans or similar instruments, capacity</w:t>
      </w:r>
      <w:r w:rsidR="00516B3C">
        <w:t>-</w:t>
      </w:r>
      <w:r>
        <w:t xml:space="preserve">building plans and monitoring plans to guide effective implementation </w:t>
      </w:r>
      <w:r>
        <w:rPr>
          <w:lang w:val="en-US"/>
        </w:rPr>
        <w:t>in accordance with national circumstances, priorities and capabilities</w:t>
      </w:r>
      <w:r>
        <w:t>;</w:t>
      </w:r>
    </w:p>
    <w:p w14:paraId="6175DE41" w14:textId="5C283E5C" w:rsidR="00FD028B" w:rsidRDefault="004D4152" w:rsidP="0068260B">
      <w:pPr>
        <w:shd w:val="clear" w:color="auto" w:fill="FFFFFF" w:themeFill="background1"/>
        <w:tabs>
          <w:tab w:val="clear" w:pos="567"/>
        </w:tabs>
        <w:spacing w:after="120"/>
        <w:ind w:left="1134" w:firstLine="567"/>
      </w:pPr>
      <w:r w:rsidRPr="00701AD1">
        <w:t>[</w:t>
      </w:r>
      <w:r w:rsidR="00FD028B" w:rsidRPr="00701AD1">
        <w:t>2</w:t>
      </w:r>
      <w:r w:rsidR="00595DFE" w:rsidRPr="00701AD1">
        <w:t>2</w:t>
      </w:r>
      <w:r w:rsidR="00FD028B" w:rsidRPr="00701AD1">
        <w:t>.</w:t>
      </w:r>
      <w:r w:rsidR="00FD028B" w:rsidRPr="00701AD1">
        <w:tab/>
        <w:t>[</w:t>
      </w:r>
      <w:r w:rsidR="00FD028B" w:rsidRPr="00701AD1">
        <w:rPr>
          <w:i/>
          <w:iCs/>
        </w:rPr>
        <w:t>Invites</w:t>
      </w:r>
      <w:r w:rsidR="00FD028B" w:rsidRPr="00701AD1">
        <w:t>][</w:t>
      </w:r>
      <w:r w:rsidR="00C136D0" w:rsidRPr="00701AD1">
        <w:rPr>
          <w:i/>
          <w:iCs/>
        </w:rPr>
        <w:t xml:space="preserve">Also </w:t>
      </w:r>
      <w:r w:rsidR="00FD028B" w:rsidRPr="00701AD1">
        <w:rPr>
          <w:i/>
          <w:iCs/>
        </w:rPr>
        <w:t>encourages</w:t>
      </w:r>
      <w:r w:rsidR="00FD028B" w:rsidRPr="00701AD1">
        <w:t>][</w:t>
      </w:r>
      <w:r w:rsidR="00FD028B" w:rsidRPr="00701AD1">
        <w:rPr>
          <w:i/>
          <w:iCs/>
        </w:rPr>
        <w:t>Welcomes</w:t>
      </w:r>
      <w:r w:rsidR="00FD028B" w:rsidRPr="00701AD1">
        <w:t>] Parties [that wish to do so], [on a voluntary</w:t>
      </w:r>
      <w:r w:rsidR="00FD028B">
        <w:t xml:space="preserve"> basis and] in accordance with national circumstances, priorities and capabilities, to strengthen their commitments and the scope and coverage [of their targets][of the targets of the Framework], [including] through their national biodiversity strategy and action plan and/or national targets, as appropriate and where relevant, [noting that the gaps are described in paragraph</w:t>
      </w:r>
      <w:r w:rsidR="00471572">
        <w:t> </w:t>
      </w:r>
      <w:r w:rsidR="00FD028B">
        <w:t xml:space="preserve">5][in particular </w:t>
      </w:r>
      <w:r w:rsidR="00FD028B" w:rsidRPr="004970DF">
        <w:t>on Targets 1, 14, 15, 16, 18, 19, 20, 22 and 23, the consideration of marine, coastal and inland water ecosystems, and issues related to the drivers of biodiversity loss and issues related to [section C of the Framework, in particular] [whole-of-government and whole-of-society approaches, including participation, the engagement of actors other than national Governments, gender responsiveness, equitable governance and mainstreaming], as these are noted as gaps in paragraph</w:t>
      </w:r>
      <w:r w:rsidR="00471572">
        <w:t> </w:t>
      </w:r>
      <w:r w:rsidR="00FD028B" w:rsidRPr="004970DF">
        <w:t>5]</w:t>
      </w:r>
      <w:r w:rsidR="00FD028B">
        <w:t xml:space="preserve">,[while recognizing that the extent and pace at which developing country Parties are able to do so depends[, in part,] on the availability of adequate, predictable, timely and easily accessible means of implementation, and] while ensuring that </w:t>
      </w:r>
      <w:r w:rsidR="00FD028B">
        <w:lastRenderedPageBreak/>
        <w:t>such development or revision does not divert attention or resources away from actions to implement the Framework;]</w:t>
      </w:r>
    </w:p>
    <w:p w14:paraId="4E02B3E4" w14:textId="74745DE6" w:rsidR="00FD028B" w:rsidRPr="00FD028B" w:rsidRDefault="00FD028B" w:rsidP="0068260B">
      <w:pPr>
        <w:shd w:val="clear" w:color="auto" w:fill="FFFFFF" w:themeFill="background1"/>
        <w:tabs>
          <w:tab w:val="clear" w:pos="567"/>
        </w:tabs>
        <w:spacing w:after="120"/>
        <w:ind w:left="1134" w:firstLine="567"/>
      </w:pPr>
      <w:r w:rsidRPr="00FD028B">
        <w:t>[2</w:t>
      </w:r>
      <w:r w:rsidR="00595DFE">
        <w:t>2</w:t>
      </w:r>
      <w:r w:rsidR="001D3423">
        <w:t> A</w:t>
      </w:r>
      <w:r w:rsidRPr="00FD028B">
        <w:t>lt.</w:t>
      </w:r>
      <w:r w:rsidR="001D3423">
        <w:tab/>
      </w:r>
      <w:r w:rsidRPr="0068260B">
        <w:rPr>
          <w:i/>
          <w:iCs/>
        </w:rPr>
        <w:t>Recognizes</w:t>
      </w:r>
      <w:r w:rsidRPr="00FD028B">
        <w:t xml:space="preserve"> that </w:t>
      </w:r>
      <w:r w:rsidR="00554BE1">
        <w:t>P</w:t>
      </w:r>
      <w:r w:rsidRPr="00FD028B">
        <w:t>arties that wish to do so</w:t>
      </w:r>
      <w:r w:rsidR="00554BE1">
        <w:t>,</w:t>
      </w:r>
      <w:r w:rsidRPr="00FD028B">
        <w:t xml:space="preserve"> and in accordance with national circumstances, priorities and capabilities, may further strengthen their commitments towards implementation of the Framework through national instruments as appropriate and where relevant, noting the gaps described in paragraph</w:t>
      </w:r>
      <w:r w:rsidR="00471572">
        <w:t> </w:t>
      </w:r>
      <w:r w:rsidRPr="00FD028B">
        <w:t>5 above, while further recognizing that the extent and pace at which developing country Parties are able to do so depends on the availability of adequate, predictable, timely and easily accessible means of implementation, and while ensuring that such development or revision does not divert attention or resources away from actions to implement the Framework</w:t>
      </w:r>
      <w:r w:rsidR="00BF593E">
        <w:t>;</w:t>
      </w:r>
      <w:r w:rsidRPr="00FD028B">
        <w:t>]</w:t>
      </w:r>
    </w:p>
    <w:p w14:paraId="58BBFFD4" w14:textId="77777777" w:rsidR="00FD028B" w:rsidRPr="0068260B" w:rsidRDefault="00FD028B" w:rsidP="00FD028B">
      <w:pPr>
        <w:pStyle w:val="CBDNormalNoNumber"/>
        <w:tabs>
          <w:tab w:val="clear" w:pos="567"/>
        </w:tabs>
        <w:rPr>
          <w:b/>
          <w:bCs/>
        </w:rPr>
      </w:pPr>
      <w:r w:rsidRPr="0068260B">
        <w:rPr>
          <w:b/>
          <w:bCs/>
        </w:rPr>
        <w:t>Strengthening means of implementation</w:t>
      </w:r>
    </w:p>
    <w:p w14:paraId="3F52453A" w14:textId="34B18C7B" w:rsidR="00FD028B" w:rsidRDefault="00EA4953" w:rsidP="0068260B">
      <w:pPr>
        <w:shd w:val="clear" w:color="auto" w:fill="FFFFFF" w:themeFill="background1"/>
        <w:tabs>
          <w:tab w:val="clear" w:pos="567"/>
        </w:tabs>
        <w:spacing w:after="120"/>
        <w:ind w:left="1134" w:firstLine="567"/>
        <w:rPr>
          <w:rFonts w:eastAsia="Times New Roman"/>
          <w:color w:val="000000" w:themeColor="text1"/>
        </w:rPr>
      </w:pPr>
      <w:r w:rsidRPr="00701AD1">
        <w:rPr>
          <w:rFonts w:eastAsia="Times New Roman"/>
          <w:color w:val="000000" w:themeColor="text1"/>
        </w:rPr>
        <w:t>[</w:t>
      </w:r>
      <w:r w:rsidR="00FD028B" w:rsidRPr="00701AD1">
        <w:rPr>
          <w:color w:val="000000" w:themeColor="text1"/>
        </w:rPr>
        <w:t>2</w:t>
      </w:r>
      <w:r w:rsidR="00595DFE">
        <w:rPr>
          <w:color w:val="000000" w:themeColor="text1"/>
        </w:rPr>
        <w:t>3</w:t>
      </w:r>
      <w:r w:rsidR="00FD028B" w:rsidRPr="00554B8E">
        <w:rPr>
          <w:color w:val="000000" w:themeColor="text1"/>
        </w:rPr>
        <w:t>.</w:t>
      </w:r>
      <w:r w:rsidR="00FD028B" w:rsidRPr="00554B8E">
        <w:rPr>
          <w:color w:val="000000" w:themeColor="text1"/>
        </w:rPr>
        <w:tab/>
      </w:r>
      <w:r w:rsidR="00FD028B">
        <w:rPr>
          <w:color w:val="000000" w:themeColor="text1"/>
        </w:rPr>
        <w:t>[</w:t>
      </w:r>
      <w:r w:rsidR="00FD028B" w:rsidRPr="00554B8E">
        <w:rPr>
          <w:i/>
          <w:color w:val="000000" w:themeColor="text1"/>
        </w:rPr>
        <w:t>Recognizes</w:t>
      </w:r>
      <w:r w:rsidR="00FD028B" w:rsidRPr="0068260B">
        <w:rPr>
          <w:iCs/>
          <w:color w:val="000000" w:themeColor="text1"/>
        </w:rPr>
        <w:t>][</w:t>
      </w:r>
      <w:r w:rsidR="00554BE1">
        <w:rPr>
          <w:i/>
          <w:color w:val="000000" w:themeColor="text1"/>
        </w:rPr>
        <w:t>R</w:t>
      </w:r>
      <w:r w:rsidR="00FD028B">
        <w:rPr>
          <w:i/>
          <w:color w:val="000000" w:themeColor="text1"/>
        </w:rPr>
        <w:t>ecalls</w:t>
      </w:r>
      <w:r w:rsidR="00FD028B" w:rsidRPr="0068260B">
        <w:rPr>
          <w:iCs/>
          <w:color w:val="000000" w:themeColor="text1"/>
        </w:rPr>
        <w:t>]</w:t>
      </w:r>
      <w:r w:rsidR="00FD028B" w:rsidRPr="00554B8E">
        <w:rPr>
          <w:color w:val="000000" w:themeColor="text1"/>
        </w:rPr>
        <w:t xml:space="preserve"> that the full and effective implementation of the Framework relies </w:t>
      </w:r>
      <w:r w:rsidR="00FD028B">
        <w:rPr>
          <w:color w:val="000000" w:themeColor="text1"/>
        </w:rPr>
        <w:t>[</w:t>
      </w:r>
      <w:r w:rsidR="00FD028B" w:rsidRPr="0068260B">
        <w:rPr>
          <w:color w:val="000000" w:themeColor="text1"/>
        </w:rPr>
        <w:t>inter alia</w:t>
      </w:r>
      <w:r w:rsidR="00FD028B">
        <w:rPr>
          <w:color w:val="000000" w:themeColor="text1"/>
        </w:rPr>
        <w:t xml:space="preserve">] </w:t>
      </w:r>
      <w:r w:rsidR="00FD028B" w:rsidRPr="00554B8E">
        <w:rPr>
          <w:color w:val="000000" w:themeColor="text1"/>
        </w:rPr>
        <w:t xml:space="preserve">on </w:t>
      </w:r>
      <w:r w:rsidR="00FD028B">
        <w:rPr>
          <w:color w:val="000000" w:themeColor="text1"/>
        </w:rPr>
        <w:t>[</w:t>
      </w:r>
      <w:r w:rsidR="00FD028B" w:rsidRPr="00554B8E">
        <w:rPr>
          <w:color w:val="000000" w:themeColor="text1"/>
        </w:rPr>
        <w:t>having</w:t>
      </w:r>
      <w:r w:rsidR="00FD028B">
        <w:rPr>
          <w:color w:val="000000" w:themeColor="text1"/>
        </w:rPr>
        <w:t>]</w:t>
      </w:r>
      <w:r w:rsidR="00FD028B" w:rsidRPr="00554B8E">
        <w:rPr>
          <w:color w:val="000000" w:themeColor="text1"/>
        </w:rPr>
        <w:t xml:space="preserve"> the </w:t>
      </w:r>
      <w:r w:rsidR="00FD028B">
        <w:rPr>
          <w:color w:val="000000" w:themeColor="text1"/>
        </w:rPr>
        <w:t>[</w:t>
      </w:r>
      <w:r w:rsidR="00FD028B" w:rsidRPr="00554B8E">
        <w:rPr>
          <w:color w:val="000000" w:themeColor="text1"/>
        </w:rPr>
        <w:t>necessary</w:t>
      </w:r>
      <w:r w:rsidR="00FD028B">
        <w:rPr>
          <w:color w:val="000000" w:themeColor="text1"/>
        </w:rPr>
        <w:t>][provision of][adequate]</w:t>
      </w:r>
      <w:r w:rsidR="00FD028B" w:rsidRPr="00554B8E">
        <w:rPr>
          <w:color w:val="000000" w:themeColor="text1"/>
        </w:rPr>
        <w:t xml:space="preserve"> means of implementation, including </w:t>
      </w:r>
      <w:r w:rsidR="00FD028B">
        <w:rPr>
          <w:color w:val="000000" w:themeColor="text1"/>
        </w:rPr>
        <w:t xml:space="preserve">[adequate, predicable and easily accessible] </w:t>
      </w:r>
      <w:r w:rsidR="00FD028B" w:rsidRPr="00554B8E">
        <w:rPr>
          <w:color w:val="000000" w:themeColor="text1"/>
        </w:rPr>
        <w:t>financial resources, capacity, technology and technical and scientific</w:t>
      </w:r>
      <w:r w:rsidR="00FD028B">
        <w:rPr>
          <w:color w:val="000000" w:themeColor="text1"/>
        </w:rPr>
        <w:t xml:space="preserve"> </w:t>
      </w:r>
      <w:r w:rsidR="00FD028B" w:rsidRPr="00554B8E">
        <w:rPr>
          <w:color w:val="000000" w:themeColor="text1"/>
        </w:rPr>
        <w:t xml:space="preserve">resources and that </w:t>
      </w:r>
      <w:r w:rsidR="00FD028B">
        <w:rPr>
          <w:rFonts w:eastAsia="Times New Roman"/>
          <w:color w:val="000000" w:themeColor="text1"/>
        </w:rPr>
        <w:t xml:space="preserve">gaps </w:t>
      </w:r>
      <w:r w:rsidR="00FD028B" w:rsidRPr="00554B8E">
        <w:rPr>
          <w:rFonts w:eastAsia="Times New Roman"/>
          <w:color w:val="000000" w:themeColor="text1"/>
        </w:rPr>
        <w:t>in means of implementation</w:t>
      </w:r>
      <w:r w:rsidR="00FD028B">
        <w:rPr>
          <w:rFonts w:eastAsia="Times New Roman"/>
          <w:color w:val="000000" w:themeColor="text1"/>
        </w:rPr>
        <w:t xml:space="preserve"> </w:t>
      </w:r>
      <w:r w:rsidR="00FD028B" w:rsidRPr="00554B8E">
        <w:rPr>
          <w:color w:val="000000" w:themeColor="text1"/>
        </w:rPr>
        <w:t xml:space="preserve">are the most </w:t>
      </w:r>
      <w:r w:rsidR="00FD028B">
        <w:rPr>
          <w:rFonts w:eastAsia="Times New Roman"/>
          <w:color w:val="000000" w:themeColor="text1"/>
        </w:rPr>
        <w:t>common</w:t>
      </w:r>
      <w:r w:rsidR="00FD028B" w:rsidRPr="00554B8E">
        <w:rPr>
          <w:color w:val="000000" w:themeColor="text1"/>
        </w:rPr>
        <w:t xml:space="preserve"> barriers for the </w:t>
      </w:r>
      <w:r w:rsidR="00FD028B">
        <w:rPr>
          <w:color w:val="000000" w:themeColor="text1"/>
        </w:rPr>
        <w:t xml:space="preserve">full and </w:t>
      </w:r>
      <w:r w:rsidR="00FD028B" w:rsidRPr="00554B8E">
        <w:rPr>
          <w:color w:val="000000" w:themeColor="text1"/>
        </w:rPr>
        <w:t xml:space="preserve">effective implementation of the Framework, especially for </w:t>
      </w:r>
      <w:r w:rsidR="00FD028B" w:rsidRPr="00554B8E">
        <w:t>developing country Parties, in particular least developed countries and small island developing States,</w:t>
      </w:r>
      <w:r w:rsidR="00FD028B">
        <w:t xml:space="preserve"> [and countries with economies in transition]</w:t>
      </w:r>
      <w:r w:rsidR="00FD028B" w:rsidRPr="00554B8E">
        <w:t xml:space="preserve"> as noted in paragraph</w:t>
      </w:r>
      <w:r w:rsidR="00572268">
        <w:t> </w:t>
      </w:r>
      <w:r w:rsidR="00FD028B" w:rsidRPr="00554B8E">
        <w:t>5;</w:t>
      </w:r>
      <w:r w:rsidR="00FD028B">
        <w:t>]</w:t>
      </w:r>
    </w:p>
    <w:p w14:paraId="52369A69" w14:textId="001F4F4E" w:rsidR="00FD028B" w:rsidRDefault="00FD028B" w:rsidP="0068260B">
      <w:pPr>
        <w:shd w:val="clear" w:color="auto" w:fill="FFFFFF" w:themeFill="background1"/>
        <w:tabs>
          <w:tab w:val="clear" w:pos="567"/>
        </w:tabs>
        <w:spacing w:after="120"/>
        <w:ind w:left="1134" w:firstLine="567"/>
      </w:pPr>
      <w:r w:rsidRPr="00CB40BE">
        <w:t>[2</w:t>
      </w:r>
      <w:r w:rsidR="00595DFE" w:rsidRPr="00CB40BE">
        <w:t>4</w:t>
      </w:r>
      <w:r>
        <w:rPr>
          <w:i/>
          <w:iCs/>
        </w:rPr>
        <w:t>.</w:t>
      </w:r>
      <w:r>
        <w:rPr>
          <w:i/>
          <w:iCs/>
        </w:rPr>
        <w:tab/>
        <w:t xml:space="preserve">Invites </w:t>
      </w:r>
      <w:r>
        <w:t xml:space="preserve">Parties, on a voluntary basis and as </w:t>
      </w:r>
      <w:r w:rsidRPr="0068260B">
        <w:rPr>
          <w:color w:val="000000" w:themeColor="text1"/>
        </w:rPr>
        <w:t>appropriate</w:t>
      </w:r>
      <w:r>
        <w:t>, to identify specific priorities to implement their national biodiversity strategies and action plans and corresponding means of implementation necessary, and, to reflect these needs in relevant plans and policies and to share th</w:t>
      </w:r>
      <w:r w:rsidR="00BA3056">
        <w:t>at</w:t>
      </w:r>
      <w:r>
        <w:t xml:space="preserve"> information, where relevant and appropriate;] </w:t>
      </w:r>
    </w:p>
    <w:p w14:paraId="79C909DA" w14:textId="2DBE2E0F" w:rsidR="00FD028B" w:rsidRDefault="00FD028B" w:rsidP="0068260B">
      <w:pPr>
        <w:shd w:val="clear" w:color="auto" w:fill="FFFFFF" w:themeFill="background1"/>
        <w:tabs>
          <w:tab w:val="clear" w:pos="567"/>
        </w:tabs>
        <w:spacing w:after="120"/>
        <w:ind w:left="1134" w:firstLine="567"/>
      </w:pPr>
      <w:r w:rsidRPr="00CB40BE">
        <w:t>2</w:t>
      </w:r>
      <w:r w:rsidR="00595DFE" w:rsidRPr="00CB40BE">
        <w:t>5</w:t>
      </w:r>
      <w:r>
        <w:rPr>
          <w:i/>
          <w:iCs/>
        </w:rPr>
        <w:t>.</w:t>
      </w:r>
      <w:r>
        <w:rPr>
          <w:i/>
          <w:iCs/>
        </w:rPr>
        <w:tab/>
        <w:t xml:space="preserve">Encourages </w:t>
      </w:r>
      <w:r>
        <w:t xml:space="preserve">Parties, </w:t>
      </w:r>
      <w:r>
        <w:rPr>
          <w:lang w:val="en-US"/>
        </w:rPr>
        <w:t>in accordance with national circumstances, priorities and capabilities,</w:t>
      </w:r>
      <w:r>
        <w:t xml:space="preserve"> to mobilize domestic and international public and private finance for biodiversity in alignment with the needs and priorities identified in paragraph</w:t>
      </w:r>
      <w:r w:rsidR="00572268">
        <w:t> </w:t>
      </w:r>
      <w:r>
        <w:t xml:space="preserve">5, [including through reducing </w:t>
      </w:r>
      <w:r w:rsidR="008B1EA8">
        <w:t xml:space="preserve">perverse </w:t>
      </w:r>
      <w:r>
        <w:t>incentives, including subsidies harmful to biodiversity];</w:t>
      </w:r>
    </w:p>
    <w:p w14:paraId="7CB3838A" w14:textId="2333F058" w:rsidR="00FD028B" w:rsidRDefault="00DF6D1A" w:rsidP="0068260B">
      <w:pPr>
        <w:shd w:val="clear" w:color="auto" w:fill="FFFFFF" w:themeFill="background1"/>
        <w:tabs>
          <w:tab w:val="clear" w:pos="567"/>
        </w:tabs>
        <w:spacing w:after="120"/>
        <w:ind w:left="1134" w:firstLine="567"/>
        <w:rPr>
          <w:lang w:val="en-US"/>
        </w:rPr>
      </w:pPr>
      <w:r>
        <w:rPr>
          <w:color w:val="000000" w:themeColor="text1"/>
          <w:lang w:val="en-US"/>
        </w:rPr>
        <w:t>26</w:t>
      </w:r>
      <w:r w:rsidR="00FD028B" w:rsidRPr="00FD028B">
        <w:rPr>
          <w:color w:val="000000" w:themeColor="text1"/>
          <w:lang w:val="en-US"/>
        </w:rPr>
        <w:t>.</w:t>
      </w:r>
      <w:r w:rsidR="005B5796">
        <w:rPr>
          <w:color w:val="000000" w:themeColor="text1"/>
          <w:lang w:val="en-US"/>
        </w:rPr>
        <w:tab/>
      </w:r>
      <w:r w:rsidR="00192A8A">
        <w:rPr>
          <w:color w:val="000000" w:themeColor="text1"/>
          <w:lang w:val="en-US"/>
        </w:rPr>
        <w:t>[</w:t>
      </w:r>
      <w:r w:rsidR="00FD028B" w:rsidRPr="00D23656">
        <w:rPr>
          <w:i/>
          <w:iCs/>
          <w:lang w:val="en-US"/>
        </w:rPr>
        <w:t>Urges</w:t>
      </w:r>
      <w:r w:rsidR="00192A8A" w:rsidRPr="0068260B">
        <w:rPr>
          <w:lang w:val="en-US"/>
        </w:rPr>
        <w:t>][</w:t>
      </w:r>
      <w:r w:rsidR="00192A8A">
        <w:rPr>
          <w:i/>
          <w:iCs/>
          <w:lang w:val="en-US"/>
        </w:rPr>
        <w:t>Encourages</w:t>
      </w:r>
      <w:r w:rsidR="00192A8A" w:rsidRPr="0068260B">
        <w:rPr>
          <w:lang w:val="en-US"/>
        </w:rPr>
        <w:t>][</w:t>
      </w:r>
      <w:r w:rsidR="00554BE1">
        <w:rPr>
          <w:i/>
          <w:iCs/>
          <w:lang w:val="en-US"/>
        </w:rPr>
        <w:t>I</w:t>
      </w:r>
      <w:r w:rsidR="00192A8A">
        <w:rPr>
          <w:i/>
          <w:iCs/>
          <w:lang w:val="en-US"/>
        </w:rPr>
        <w:t>nvites</w:t>
      </w:r>
      <w:r w:rsidR="00192A8A" w:rsidRPr="0068260B">
        <w:rPr>
          <w:lang w:val="en-US"/>
        </w:rPr>
        <w:t>]</w:t>
      </w:r>
      <w:r w:rsidR="00FD028B">
        <w:rPr>
          <w:lang w:val="en-US"/>
        </w:rPr>
        <w:t xml:space="preserve"> developed country Parties</w:t>
      </w:r>
      <w:r w:rsidR="00AB0ED9">
        <w:rPr>
          <w:lang w:val="en-US"/>
        </w:rPr>
        <w:t>,</w:t>
      </w:r>
      <w:r w:rsidR="00FD028B">
        <w:rPr>
          <w:lang w:val="en-US"/>
        </w:rPr>
        <w:t xml:space="preserve"> and </w:t>
      </w:r>
      <w:r w:rsidRPr="0068260B">
        <w:rPr>
          <w:lang w:val="en-US"/>
        </w:rPr>
        <w:t>invites</w:t>
      </w:r>
      <w:r w:rsidRPr="0068260B">
        <w:rPr>
          <w:i/>
          <w:iCs/>
          <w:lang w:val="en-US"/>
        </w:rPr>
        <w:t xml:space="preserve"> </w:t>
      </w:r>
      <w:r w:rsidR="00FD028B" w:rsidRPr="00DF6D1A">
        <w:rPr>
          <w:lang w:val="en-US"/>
        </w:rPr>
        <w:t>other</w:t>
      </w:r>
      <w:r w:rsidR="00FD028B">
        <w:rPr>
          <w:lang w:val="en-US"/>
        </w:rPr>
        <w:t xml:space="preserve"> Parties in a position to do so</w:t>
      </w:r>
      <w:r w:rsidR="00192A8A">
        <w:rPr>
          <w:lang w:val="en-US"/>
        </w:rPr>
        <w:t>,</w:t>
      </w:r>
      <w:r w:rsidR="00FD028B">
        <w:rPr>
          <w:lang w:val="en-US"/>
        </w:rPr>
        <w:t xml:space="preserve"> on a voluntary basis</w:t>
      </w:r>
      <w:r w:rsidR="00192A8A">
        <w:rPr>
          <w:lang w:val="en-US"/>
        </w:rPr>
        <w:t>,</w:t>
      </w:r>
      <w:r w:rsidR="00FD028B">
        <w:rPr>
          <w:lang w:val="en-US"/>
        </w:rPr>
        <w:t xml:space="preserve"> </w:t>
      </w:r>
      <w:r>
        <w:rPr>
          <w:i/>
          <w:iCs/>
          <w:lang w:val="en-US"/>
        </w:rPr>
        <w:t xml:space="preserve"> </w:t>
      </w:r>
      <w:r>
        <w:rPr>
          <w:lang w:val="en-US"/>
        </w:rPr>
        <w:t>as well as</w:t>
      </w:r>
      <w:r w:rsidR="00FD028B">
        <w:rPr>
          <w:lang w:val="en-US"/>
        </w:rPr>
        <w:t xml:space="preserve"> other Governments, multilateral and bilateral agencies and funds and other relevant organization to increase their support, including through </w:t>
      </w:r>
      <w:r w:rsidR="00192A8A">
        <w:rPr>
          <w:lang w:val="en-US"/>
        </w:rPr>
        <w:t>[</w:t>
      </w:r>
      <w:r w:rsidR="00FD028B">
        <w:rPr>
          <w:lang w:val="en-US"/>
        </w:rPr>
        <w:t>the provision of</w:t>
      </w:r>
      <w:r>
        <w:rPr>
          <w:lang w:val="en-US"/>
        </w:rPr>
        <w:t>]</w:t>
      </w:r>
      <w:r w:rsidR="00FD028B">
        <w:rPr>
          <w:lang w:val="en-US"/>
        </w:rPr>
        <w:t xml:space="preserve"> [new,] adequate, </w:t>
      </w:r>
      <w:r w:rsidR="00FD028B" w:rsidRPr="0068260B">
        <w:t>predictable</w:t>
      </w:r>
      <w:r w:rsidR="00C65E69">
        <w:rPr>
          <w:lang w:val="en-US"/>
        </w:rPr>
        <w:t xml:space="preserve"> and</w:t>
      </w:r>
      <w:r w:rsidR="00FD028B">
        <w:rPr>
          <w:lang w:val="en-US"/>
        </w:rPr>
        <w:t xml:space="preserve"> timely means of implementation</w:t>
      </w:r>
      <w:r w:rsidR="00C65E69">
        <w:rPr>
          <w:lang w:val="en-US"/>
        </w:rPr>
        <w:t xml:space="preserve"> in an easily accessible manner</w:t>
      </w:r>
      <w:r w:rsidR="00FD028B">
        <w:rPr>
          <w:lang w:val="en-US"/>
        </w:rPr>
        <w:t xml:space="preserve">, including by simplifying access procedures and strengthening country ownership of supported actives and </w:t>
      </w:r>
      <w:r w:rsidR="00CB40BE">
        <w:rPr>
          <w:lang w:val="en-US"/>
        </w:rPr>
        <w:t>to</w:t>
      </w:r>
      <w:r w:rsidR="00FD028B">
        <w:rPr>
          <w:lang w:val="en-US"/>
        </w:rPr>
        <w:t xml:space="preserve"> continue to provide transparent information on the resources provide</w:t>
      </w:r>
      <w:r w:rsidR="00C65E69">
        <w:rPr>
          <w:lang w:val="en-US"/>
        </w:rPr>
        <w:t>d</w:t>
      </w:r>
      <w:r w:rsidR="00FD028B">
        <w:rPr>
          <w:lang w:val="en-US"/>
        </w:rPr>
        <w:t xml:space="preserve"> </w:t>
      </w:r>
      <w:r w:rsidR="00C65E69">
        <w:rPr>
          <w:lang w:val="en-US"/>
        </w:rPr>
        <w:t>[</w:t>
      </w:r>
      <w:r w:rsidR="00FD028B">
        <w:rPr>
          <w:lang w:val="en-US"/>
        </w:rPr>
        <w:t>and on the extent to which they have address</w:t>
      </w:r>
      <w:r w:rsidR="00C65E69">
        <w:rPr>
          <w:lang w:val="en-US"/>
        </w:rPr>
        <w:t>ed</w:t>
      </w:r>
      <w:r w:rsidR="00FD028B">
        <w:rPr>
          <w:lang w:val="en-US"/>
        </w:rPr>
        <w:t xml:space="preserve"> the needs and priorities identified by</w:t>
      </w:r>
      <w:r w:rsidR="004F2642">
        <w:rPr>
          <w:lang w:val="en-US"/>
        </w:rPr>
        <w:t>]</w:t>
      </w:r>
      <w:r w:rsidR="00FD028B">
        <w:rPr>
          <w:lang w:val="en-US"/>
        </w:rPr>
        <w:t xml:space="preserve"> </w:t>
      </w:r>
      <w:r w:rsidR="00C65E69">
        <w:rPr>
          <w:lang w:val="en-US"/>
        </w:rPr>
        <w:t>[</w:t>
      </w:r>
      <w:r w:rsidR="00FD028B">
        <w:rPr>
          <w:lang w:val="en-US"/>
        </w:rPr>
        <w:t>Parties, especially for</w:t>
      </w:r>
      <w:r w:rsidR="00C65E69">
        <w:rPr>
          <w:lang w:val="en-US"/>
        </w:rPr>
        <w:t>]</w:t>
      </w:r>
      <w:r w:rsidR="004F2642">
        <w:rPr>
          <w:lang w:val="en-US"/>
        </w:rPr>
        <w:t>[to]</w:t>
      </w:r>
      <w:r w:rsidR="00FD028B">
        <w:rPr>
          <w:lang w:val="en-US"/>
        </w:rPr>
        <w:t xml:space="preserve"> developing country Parties, in particular least developed countries and small island developing states</w:t>
      </w:r>
      <w:r w:rsidR="00C65E69">
        <w:rPr>
          <w:lang w:val="en-US"/>
        </w:rPr>
        <w:t>,</w:t>
      </w:r>
      <w:r w:rsidR="00FD028B">
        <w:rPr>
          <w:lang w:val="en-US"/>
        </w:rPr>
        <w:t xml:space="preserve"> [and countries with economies in transition]</w:t>
      </w:r>
      <w:r w:rsidR="00CB40BE">
        <w:rPr>
          <w:lang w:val="en-US"/>
        </w:rPr>
        <w:t>;</w:t>
      </w:r>
    </w:p>
    <w:p w14:paraId="6DA74F84" w14:textId="5822F223" w:rsidR="004B7BD4" w:rsidRDefault="00DF6D1A" w:rsidP="0068260B">
      <w:pPr>
        <w:shd w:val="clear" w:color="auto" w:fill="FFFFFF" w:themeFill="background1"/>
        <w:tabs>
          <w:tab w:val="clear" w:pos="567"/>
        </w:tabs>
        <w:spacing w:after="120"/>
        <w:ind w:left="1134" w:firstLine="567"/>
        <w:rPr>
          <w:lang w:val="en-US"/>
        </w:rPr>
      </w:pPr>
      <w:r>
        <w:rPr>
          <w:lang w:val="en-US"/>
        </w:rPr>
        <w:t>27.</w:t>
      </w:r>
      <w:r w:rsidR="002F004F">
        <w:rPr>
          <w:lang w:val="en-US"/>
        </w:rPr>
        <w:tab/>
      </w:r>
      <w:r w:rsidR="004B7BD4">
        <w:rPr>
          <w:i/>
          <w:iCs/>
          <w:lang w:val="en-US"/>
        </w:rPr>
        <w:t>Request</w:t>
      </w:r>
      <w:r w:rsidR="004B7BD4">
        <w:rPr>
          <w:lang w:val="en-US"/>
        </w:rPr>
        <w:t xml:space="preserve">s the </w:t>
      </w:r>
      <w:r w:rsidR="00595DFE">
        <w:rPr>
          <w:lang w:val="en-US"/>
        </w:rPr>
        <w:t xml:space="preserve">Global Environment Facility </w:t>
      </w:r>
      <w:r w:rsidR="004B7BD4">
        <w:rPr>
          <w:lang w:val="en-US"/>
        </w:rPr>
        <w:t>to enhance the provisioning of  adequate, predictable, timely</w:t>
      </w:r>
      <w:r w:rsidR="004F2642">
        <w:rPr>
          <w:lang w:val="en-US"/>
        </w:rPr>
        <w:t xml:space="preserve"> and</w:t>
      </w:r>
      <w:r w:rsidR="004B7BD4">
        <w:rPr>
          <w:lang w:val="en-US"/>
        </w:rPr>
        <w:t xml:space="preserve"> transparent means of implementation</w:t>
      </w:r>
      <w:r w:rsidR="004F2642">
        <w:rPr>
          <w:lang w:val="en-US"/>
        </w:rPr>
        <w:t xml:space="preserve"> in an easily accessible manner</w:t>
      </w:r>
      <w:r w:rsidR="004B7BD4">
        <w:rPr>
          <w:lang w:val="en-US"/>
        </w:rPr>
        <w:t xml:space="preserve"> to developing country Parties, in particular least developed countries and small island developing </w:t>
      </w:r>
      <w:r w:rsidR="001E5446">
        <w:rPr>
          <w:lang w:val="en-US"/>
        </w:rPr>
        <w:t>S</w:t>
      </w:r>
      <w:r w:rsidR="004B7BD4">
        <w:rPr>
          <w:lang w:val="en-US"/>
        </w:rPr>
        <w:t>tates</w:t>
      </w:r>
      <w:r>
        <w:rPr>
          <w:lang w:val="en-US"/>
        </w:rPr>
        <w:t>,</w:t>
      </w:r>
      <w:r w:rsidR="004B7BD4">
        <w:rPr>
          <w:lang w:val="en-US"/>
        </w:rPr>
        <w:t xml:space="preserve"> and countries with economies in transition including by simplifying access procedures and strengthening country ownership of activities to support the Framework in accordance with </w:t>
      </w:r>
      <w:r w:rsidR="00595DFE">
        <w:rPr>
          <w:lang w:val="en-US"/>
        </w:rPr>
        <w:t xml:space="preserve">national biodiversity strategies and action plans </w:t>
      </w:r>
      <w:r w:rsidR="004B7BD4">
        <w:rPr>
          <w:lang w:val="en-US"/>
        </w:rPr>
        <w:t xml:space="preserve">and to share through existing reporting arrangements and without creating additional burdens, detailed </w:t>
      </w:r>
      <w:r w:rsidR="004F2642">
        <w:rPr>
          <w:lang w:val="en-US"/>
        </w:rPr>
        <w:t xml:space="preserve">[and disaggregated] </w:t>
      </w:r>
      <w:r w:rsidR="004B7BD4">
        <w:rPr>
          <w:lang w:val="en-US"/>
        </w:rPr>
        <w:t xml:space="preserve">information </w:t>
      </w:r>
      <w:r w:rsidR="00595DFE">
        <w:rPr>
          <w:lang w:val="en-US"/>
        </w:rPr>
        <w:t>o</w:t>
      </w:r>
      <w:r w:rsidR="004B7BD4">
        <w:rPr>
          <w:lang w:val="en-US"/>
        </w:rPr>
        <w:t>n the resources provided and how they address the needs and priorities identified</w:t>
      </w:r>
      <w:r w:rsidR="00EC586C">
        <w:rPr>
          <w:lang w:val="en-US"/>
        </w:rPr>
        <w:t xml:space="preserve"> by Parties</w:t>
      </w:r>
      <w:r w:rsidR="004B7BD4">
        <w:rPr>
          <w:lang w:val="en-US"/>
        </w:rPr>
        <w:t xml:space="preserve"> </w:t>
      </w:r>
      <w:r w:rsidR="00EC586C">
        <w:rPr>
          <w:lang w:val="en-US"/>
        </w:rPr>
        <w:t>through their projects</w:t>
      </w:r>
      <w:r w:rsidR="004B7BD4">
        <w:rPr>
          <w:lang w:val="en-US"/>
        </w:rPr>
        <w:t>, without prejudice to the process established under decision</w:t>
      </w:r>
      <w:r w:rsidR="00672190">
        <w:rPr>
          <w:lang w:val="en-US"/>
        </w:rPr>
        <w:t>[s]</w:t>
      </w:r>
      <w:r w:rsidR="004B7BD4">
        <w:rPr>
          <w:lang w:val="en-US"/>
        </w:rPr>
        <w:t xml:space="preserve"> 16/34 </w:t>
      </w:r>
      <w:r w:rsidR="00EC586C">
        <w:rPr>
          <w:lang w:val="en-US"/>
        </w:rPr>
        <w:t>[</w:t>
      </w:r>
      <w:r w:rsidR="004B7BD4">
        <w:rPr>
          <w:lang w:val="en-US"/>
        </w:rPr>
        <w:t>and 17/--</w:t>
      </w:r>
      <w:r w:rsidR="00EC586C">
        <w:rPr>
          <w:lang w:val="en-US"/>
        </w:rPr>
        <w:t>]</w:t>
      </w:r>
      <w:r w:rsidR="004B7BD4">
        <w:rPr>
          <w:lang w:val="en-US"/>
        </w:rPr>
        <w:t>;</w:t>
      </w:r>
    </w:p>
    <w:p w14:paraId="5AD41BCC" w14:textId="04BE8E3D" w:rsidR="00FD028B" w:rsidRDefault="00595DFE" w:rsidP="0068260B">
      <w:pPr>
        <w:shd w:val="clear" w:color="auto" w:fill="FFFFFF" w:themeFill="background1"/>
        <w:tabs>
          <w:tab w:val="clear" w:pos="567"/>
        </w:tabs>
        <w:spacing w:after="120"/>
        <w:ind w:left="1134" w:firstLine="567"/>
      </w:pPr>
      <w:r>
        <w:rPr>
          <w:lang w:val="en-US"/>
        </w:rPr>
        <w:t>2</w:t>
      </w:r>
      <w:r w:rsidR="00E93399">
        <w:rPr>
          <w:lang w:val="en-US"/>
        </w:rPr>
        <w:t>8</w:t>
      </w:r>
      <w:r w:rsidR="00FD028B">
        <w:rPr>
          <w:lang w:val="en-US"/>
        </w:rPr>
        <w:t>.</w:t>
      </w:r>
      <w:r w:rsidR="001E5446">
        <w:rPr>
          <w:lang w:val="en-US"/>
        </w:rPr>
        <w:tab/>
      </w:r>
      <w:r w:rsidR="00554BE1">
        <w:rPr>
          <w:i/>
          <w:iCs/>
          <w:lang w:val="en-US"/>
        </w:rPr>
        <w:t>Also</w:t>
      </w:r>
      <w:r w:rsidR="00FD028B">
        <w:rPr>
          <w:i/>
          <w:iCs/>
          <w:lang w:val="en-US"/>
        </w:rPr>
        <w:t xml:space="preserve"> requests </w:t>
      </w:r>
      <w:r w:rsidR="00FD028B">
        <w:rPr>
          <w:lang w:val="en-US"/>
        </w:rPr>
        <w:t xml:space="preserve">the Global Environment Facility and its implementing agencies, including the United Nations Development Programme in the context of </w:t>
      </w:r>
      <w:proofErr w:type="spellStart"/>
      <w:r w:rsidR="00FD028B">
        <w:rPr>
          <w:lang w:val="en-US"/>
        </w:rPr>
        <w:t>BioFin</w:t>
      </w:r>
      <w:proofErr w:type="spellEnd"/>
      <w:r w:rsidR="00FD028B">
        <w:rPr>
          <w:lang w:val="en-US"/>
        </w:rPr>
        <w:t xml:space="preserve">, to expedite </w:t>
      </w:r>
      <w:r w:rsidR="00FD028B">
        <w:rPr>
          <w:lang w:val="en-US"/>
        </w:rPr>
        <w:lastRenderedPageBreak/>
        <w:t xml:space="preserve">the support to all eligible Parties on their enabling support activities for the development of biodiversity finance plans, in order to unlock financial resources for the implementation of national biodiversity strategies and action plans as described in decision </w:t>
      </w:r>
      <w:hyperlink r:id="rId20" w:history="1">
        <w:r w:rsidR="00FD028B" w:rsidRPr="001044DE">
          <w:rPr>
            <w:rStyle w:val="Hyperlink"/>
            <w:lang w:val="en-US"/>
          </w:rPr>
          <w:t>15/7</w:t>
        </w:r>
      </w:hyperlink>
      <w:r w:rsidR="00FD028B">
        <w:rPr>
          <w:lang w:val="en-US"/>
        </w:rPr>
        <w:t>;</w:t>
      </w:r>
    </w:p>
    <w:p w14:paraId="163B49C9" w14:textId="4D0C7A0E" w:rsidR="00FD028B" w:rsidRPr="00893B3F" w:rsidRDefault="00FD028B" w:rsidP="0068260B">
      <w:pPr>
        <w:shd w:val="clear" w:color="auto" w:fill="FFFFFF" w:themeFill="background1"/>
        <w:tabs>
          <w:tab w:val="clear" w:pos="567"/>
        </w:tabs>
        <w:spacing w:after="120"/>
        <w:ind w:left="1134" w:firstLine="567"/>
      </w:pPr>
      <w:r>
        <w:t>[</w:t>
      </w:r>
      <w:r w:rsidR="00F15DD1">
        <w:t>29</w:t>
      </w:r>
      <w:r>
        <w:t>.</w:t>
      </w:r>
      <w:r w:rsidR="00F15DD1">
        <w:tab/>
      </w:r>
      <w:r w:rsidRPr="00893B3F">
        <w:rPr>
          <w:i/>
          <w:iCs/>
        </w:rPr>
        <w:t>Encourages</w:t>
      </w:r>
      <w:r w:rsidRPr="00893B3F">
        <w:t xml:space="preserve"> Parties</w:t>
      </w:r>
      <w:r w:rsidR="00F15DD1">
        <w:t>,</w:t>
      </w:r>
      <w:r w:rsidRPr="00893B3F">
        <w:t xml:space="preserve"> and </w:t>
      </w:r>
      <w:r w:rsidRPr="0068260B">
        <w:t>invites</w:t>
      </w:r>
      <w:r w:rsidRPr="00893B3F">
        <w:t xml:space="preserve"> other </w:t>
      </w:r>
      <w:r w:rsidR="00F15DD1">
        <w:t>G</w:t>
      </w:r>
      <w:r w:rsidRPr="00893B3F">
        <w:t>overnments</w:t>
      </w:r>
      <w:r w:rsidR="008B1EA8">
        <w:t>,</w:t>
      </w:r>
      <w:r w:rsidRPr="00893B3F">
        <w:t xml:space="preserve"> multilateral and bilateral agencies and funds and other organizations to address </w:t>
      </w:r>
      <w:r w:rsidR="008B1EA8">
        <w:t>[</w:t>
      </w:r>
      <w:r w:rsidRPr="0068260B">
        <w:rPr>
          <w:lang w:val="en-US"/>
        </w:rPr>
        <w:t>persistent</w:t>
      </w:r>
      <w:r w:rsidRPr="00893B3F">
        <w:t xml:space="preserve"> gaps in equity, inclusion and</w:t>
      </w:r>
      <w:r w:rsidR="008B1EA8">
        <w:t>]</w:t>
      </w:r>
      <w:r w:rsidRPr="00893B3F">
        <w:t xml:space="preserve"> access to means of implementation, </w:t>
      </w:r>
      <w:r w:rsidR="008B1EA8">
        <w:t>[</w:t>
      </w:r>
      <w:r w:rsidRPr="00893B3F">
        <w:t xml:space="preserve">including </w:t>
      </w:r>
      <w:r w:rsidR="008B1EA8">
        <w:t xml:space="preserve">[improving access to and increasing financial resources for indigenous peoples and local communities, women and </w:t>
      </w:r>
      <w:proofErr w:type="gramStart"/>
      <w:r w:rsidR="008B1EA8">
        <w:t>youth][</w:t>
      </w:r>
      <w:proofErr w:type="gramEnd"/>
      <w:r w:rsidRPr="00893B3F">
        <w:t>direct access to financial resources</w:t>
      </w:r>
      <w:r w:rsidR="008B1EA8">
        <w:t>]</w:t>
      </w:r>
      <w:proofErr w:type="gramStart"/>
      <w:r w:rsidRPr="00893B3F">
        <w:t>,</w:t>
      </w:r>
      <w:r w:rsidR="008B1EA8">
        <w:t>][</w:t>
      </w:r>
      <w:proofErr w:type="gramEnd"/>
      <w:r w:rsidRPr="00893B3F">
        <w:t xml:space="preserve"> in particular, for indigenous peoples and local communities, women and youth</w:t>
      </w:r>
      <w:r w:rsidR="008B1EA8">
        <w:t>]</w:t>
      </w:r>
      <w:r w:rsidRPr="00893B3F">
        <w:t>;</w:t>
      </w:r>
      <w:r>
        <w:t>]</w:t>
      </w:r>
    </w:p>
    <w:p w14:paraId="7B8A7457" w14:textId="0F64346B" w:rsidR="00FD028B" w:rsidRPr="00813805" w:rsidRDefault="00595DFE" w:rsidP="0068260B">
      <w:pPr>
        <w:shd w:val="clear" w:color="auto" w:fill="FFFFFF" w:themeFill="background1"/>
        <w:tabs>
          <w:tab w:val="clear" w:pos="567"/>
        </w:tabs>
        <w:spacing w:after="120"/>
        <w:ind w:left="1134" w:firstLine="567"/>
        <w:rPr>
          <w:lang w:val="en-US"/>
        </w:rPr>
      </w:pPr>
      <w:r w:rsidRPr="0068260B">
        <w:rPr>
          <w:rFonts w:eastAsia="Times New Roman"/>
          <w:color w:val="000000" w:themeColor="text1"/>
        </w:rPr>
        <w:t>3</w:t>
      </w:r>
      <w:r w:rsidR="00EB43AC">
        <w:rPr>
          <w:rFonts w:eastAsia="Times New Roman"/>
          <w:color w:val="000000" w:themeColor="text1"/>
        </w:rPr>
        <w:t>0</w:t>
      </w:r>
      <w:r w:rsidR="00FD028B">
        <w:rPr>
          <w:rFonts w:eastAsia="Times New Roman"/>
          <w:i/>
          <w:iCs/>
          <w:color w:val="000000" w:themeColor="text1"/>
        </w:rPr>
        <w:t>.</w:t>
      </w:r>
      <w:r w:rsidR="00FD028B">
        <w:rPr>
          <w:rFonts w:eastAsia="Times New Roman"/>
          <w:i/>
          <w:iCs/>
          <w:color w:val="000000" w:themeColor="text1"/>
        </w:rPr>
        <w:tab/>
      </w:r>
      <w:r w:rsidR="00554BE1">
        <w:rPr>
          <w:rFonts w:eastAsia="Times New Roman"/>
          <w:i/>
          <w:iCs/>
          <w:color w:val="000000" w:themeColor="text1"/>
        </w:rPr>
        <w:t>I</w:t>
      </w:r>
      <w:r w:rsidR="00FD028B">
        <w:rPr>
          <w:rFonts w:eastAsia="Times New Roman"/>
          <w:i/>
          <w:iCs/>
          <w:color w:val="000000" w:themeColor="text1"/>
        </w:rPr>
        <w:t>nvites</w:t>
      </w:r>
      <w:r w:rsidR="00FD028B">
        <w:rPr>
          <w:rFonts w:eastAsia="Times New Roman"/>
          <w:color w:val="000000" w:themeColor="text1"/>
        </w:rPr>
        <w:t xml:space="preserve"> relevant organizations, including the regional and subregional technical and scientific cooperation </w:t>
      </w:r>
      <w:r w:rsidR="00FD028B" w:rsidRPr="0068260B">
        <w:t>support</w:t>
      </w:r>
      <w:r w:rsidR="00FD028B">
        <w:rPr>
          <w:rFonts w:eastAsia="Times New Roman"/>
          <w:color w:val="000000" w:themeColor="text1"/>
        </w:rPr>
        <w:t xml:space="preserve"> </w:t>
      </w:r>
      <w:r w:rsidR="00FD028B" w:rsidRPr="0068260B">
        <w:t>centres</w:t>
      </w:r>
      <w:r w:rsidR="00FD028B">
        <w:rPr>
          <w:rFonts w:eastAsia="Times New Roman"/>
          <w:color w:val="000000" w:themeColor="text1"/>
        </w:rPr>
        <w:t>, to continue to provide support for strengthening of capacity-building and development initiatives and addressing gaps and challenges at the national and subnational levels;</w:t>
      </w:r>
    </w:p>
    <w:p w14:paraId="099E2306" w14:textId="77777777" w:rsidR="00FD028B" w:rsidRPr="0068260B" w:rsidRDefault="00FD028B" w:rsidP="00FD028B">
      <w:pPr>
        <w:pStyle w:val="CBDNormalNoNumber"/>
        <w:tabs>
          <w:tab w:val="clear" w:pos="567"/>
        </w:tabs>
        <w:rPr>
          <w:b/>
          <w:bCs/>
        </w:rPr>
      </w:pPr>
      <w:r w:rsidRPr="0068260B">
        <w:rPr>
          <w:b/>
          <w:bCs/>
        </w:rPr>
        <w:t>Engaging whole of Government</w:t>
      </w:r>
    </w:p>
    <w:p w14:paraId="12B24292" w14:textId="1657D2ED" w:rsidR="00FD028B" w:rsidRDefault="00595DFE" w:rsidP="0068260B">
      <w:pPr>
        <w:shd w:val="clear" w:color="auto" w:fill="FFFFFF" w:themeFill="background1"/>
        <w:tabs>
          <w:tab w:val="clear" w:pos="567"/>
        </w:tabs>
        <w:spacing w:after="120"/>
        <w:ind w:left="1134" w:firstLine="567"/>
      </w:pPr>
      <w:r>
        <w:t>3</w:t>
      </w:r>
      <w:r w:rsidR="00EB43AC">
        <w:t>1</w:t>
      </w:r>
      <w:r w:rsidR="00FD028B">
        <w:t>.</w:t>
      </w:r>
      <w:r w:rsidR="00FD028B">
        <w:tab/>
      </w:r>
      <w:r w:rsidR="00FD028B">
        <w:rPr>
          <w:i/>
          <w:iCs/>
        </w:rPr>
        <w:t xml:space="preserve">Invites </w:t>
      </w:r>
      <w:r w:rsidR="00FD028B">
        <w:t xml:space="preserve">Parties, subject to their national circumstances and priorities, to strengthen the whole-of-government-approach to </w:t>
      </w:r>
      <w:r w:rsidR="00FD028B" w:rsidRPr="0068260B">
        <w:rPr>
          <w:rFonts w:eastAsia="Times New Roman"/>
          <w:color w:val="000000" w:themeColor="text1"/>
        </w:rPr>
        <w:t>implementation</w:t>
      </w:r>
      <w:r w:rsidR="00FD028B">
        <w:t xml:space="preserve"> including by strengthening institutional, [interministerial,] policy, legal, fiscal, budgetary and regulatory coordination mechanisms, integrated planning, monitoring and reporting processes, and mainstreaming biodiversity and its multiple values across and within sectors;</w:t>
      </w:r>
    </w:p>
    <w:p w14:paraId="5BB0A704" w14:textId="488F2781" w:rsidR="00FD028B" w:rsidRDefault="00595DFE" w:rsidP="0068260B">
      <w:pPr>
        <w:shd w:val="clear" w:color="auto" w:fill="FFFFFF" w:themeFill="background1"/>
        <w:tabs>
          <w:tab w:val="clear" w:pos="567"/>
        </w:tabs>
        <w:spacing w:after="120"/>
        <w:ind w:left="1134" w:firstLine="567"/>
      </w:pPr>
      <w:r>
        <w:t>3</w:t>
      </w:r>
      <w:r w:rsidR="00EB43AC">
        <w:t>2</w:t>
      </w:r>
      <w:r w:rsidR="00FD028B">
        <w:t>.</w:t>
      </w:r>
      <w:r w:rsidR="00FD028B">
        <w:tab/>
      </w:r>
      <w:r w:rsidR="00FD028B">
        <w:rPr>
          <w:i/>
          <w:iCs/>
        </w:rPr>
        <w:t>Encourages</w:t>
      </w:r>
      <w:r w:rsidR="00FD028B">
        <w:t xml:space="preserve"> Parties, subject to their national circumstances and priorities, to promote policy coherence across biodiversity and other areas, including but not limited to, climate, food, water, health, land-use and sustainable development, including in the implementation of national strategies and policies developed under the Rio conventions and other biodiversity-related multilateral environment agreements; </w:t>
      </w:r>
    </w:p>
    <w:p w14:paraId="23042556" w14:textId="7E615A1C" w:rsidR="00FD028B" w:rsidRPr="0003472C" w:rsidRDefault="00595DFE" w:rsidP="0068260B">
      <w:pPr>
        <w:shd w:val="clear" w:color="auto" w:fill="FFFFFF" w:themeFill="background1"/>
        <w:tabs>
          <w:tab w:val="clear" w:pos="567"/>
        </w:tabs>
        <w:spacing w:after="120"/>
        <w:ind w:left="1134" w:firstLine="567"/>
      </w:pPr>
      <w:r>
        <w:t>3</w:t>
      </w:r>
      <w:r w:rsidR="00EB43AC">
        <w:t>3</w:t>
      </w:r>
      <w:r w:rsidR="00FD028B">
        <w:t>.</w:t>
      </w:r>
      <w:r w:rsidR="00FD028B">
        <w:tab/>
      </w:r>
      <w:r w:rsidR="00FD028B">
        <w:rPr>
          <w:i/>
          <w:iCs/>
        </w:rPr>
        <w:t>Invites</w:t>
      </w:r>
      <w:r w:rsidR="00FD028B">
        <w:t xml:space="preserve"> Parties to integrate commitments and actions in support of the implementation of the Framework from subnational and local Governments and different sectors of Government in their national biodiversity strategies and action plans and/or national targets and national reports, as appropriate and where relevant;</w:t>
      </w:r>
    </w:p>
    <w:p w14:paraId="711928C2" w14:textId="77777777" w:rsidR="00FD028B" w:rsidRPr="0068260B" w:rsidRDefault="00FD028B" w:rsidP="00FD028B">
      <w:pPr>
        <w:pStyle w:val="CBDNormalNoNumber"/>
        <w:tabs>
          <w:tab w:val="clear" w:pos="567"/>
        </w:tabs>
        <w:rPr>
          <w:b/>
          <w:bCs/>
        </w:rPr>
      </w:pPr>
      <w:r w:rsidRPr="0068260B">
        <w:rPr>
          <w:b/>
          <w:bCs/>
        </w:rPr>
        <w:t>Engaging whole of society</w:t>
      </w:r>
    </w:p>
    <w:p w14:paraId="6D3D967B" w14:textId="3DED0585" w:rsidR="00FD028B" w:rsidRDefault="00595DFE" w:rsidP="0068260B">
      <w:pPr>
        <w:shd w:val="clear" w:color="auto" w:fill="FFFFFF" w:themeFill="background1"/>
        <w:tabs>
          <w:tab w:val="clear" w:pos="567"/>
        </w:tabs>
        <w:spacing w:after="120"/>
        <w:ind w:left="1134" w:firstLine="567"/>
      </w:pPr>
      <w:r w:rsidRPr="00CB40BE">
        <w:t>3</w:t>
      </w:r>
      <w:r w:rsidR="00EB43AC">
        <w:t>4</w:t>
      </w:r>
      <w:r w:rsidR="00FD028B">
        <w:rPr>
          <w:i/>
          <w:iCs/>
        </w:rPr>
        <w:t>.</w:t>
      </w:r>
      <w:r w:rsidR="00FD028B">
        <w:rPr>
          <w:i/>
          <w:iCs/>
        </w:rPr>
        <w:tab/>
        <w:t>Emphasizes</w:t>
      </w:r>
      <w:r w:rsidR="00FD028B">
        <w:t xml:space="preserve"> that action from [actors other than national Governments], [in accordance with national biodiversity strategies and action plans] [in addition to][complements] the actions of Parties, [may] contribute[s] to the implementation of the Framework and that more effective use of the contributions, knowledge, expertise and initiatives of [actors other than national Governments], [where applicable][may]represent[s] a significant opportunity to accelerate the implementation of the Kunming-Montreal Global Biodiversity Framework;</w:t>
      </w:r>
    </w:p>
    <w:p w14:paraId="44D32B8F" w14:textId="5B824C05" w:rsidR="00FD028B" w:rsidRDefault="00595DFE" w:rsidP="0068260B">
      <w:pPr>
        <w:shd w:val="clear" w:color="auto" w:fill="FFFFFF" w:themeFill="background1"/>
        <w:tabs>
          <w:tab w:val="clear" w:pos="567"/>
        </w:tabs>
        <w:spacing w:after="120"/>
        <w:ind w:left="1134" w:firstLine="567"/>
      </w:pPr>
      <w:r w:rsidRPr="00CB40BE">
        <w:t>3</w:t>
      </w:r>
      <w:r w:rsidR="00EB43AC">
        <w:t>5</w:t>
      </w:r>
      <w:r w:rsidR="00FD028B">
        <w:rPr>
          <w:i/>
          <w:iCs/>
        </w:rPr>
        <w:t>.</w:t>
      </w:r>
      <w:r w:rsidR="00FD028B">
        <w:rPr>
          <w:i/>
          <w:iCs/>
        </w:rPr>
        <w:tab/>
      </w:r>
      <w:r w:rsidR="00FD028B" w:rsidRPr="00CB40BE">
        <w:t>[</w:t>
      </w:r>
      <w:r w:rsidR="00FD028B">
        <w:rPr>
          <w:i/>
          <w:iCs/>
        </w:rPr>
        <w:t>Urges</w:t>
      </w:r>
      <w:r w:rsidR="00FD028B" w:rsidRPr="00CB40BE">
        <w:t>][</w:t>
      </w:r>
      <w:r w:rsidR="00FD028B">
        <w:rPr>
          <w:i/>
          <w:iCs/>
        </w:rPr>
        <w:t>Encourages</w:t>
      </w:r>
      <w:r w:rsidR="00FD028B" w:rsidRPr="00CB40BE">
        <w:t>]</w:t>
      </w:r>
      <w:r w:rsidR="00FD028B">
        <w:rPr>
          <w:i/>
          <w:iCs/>
        </w:rPr>
        <w:t xml:space="preserve"> </w:t>
      </w:r>
      <w:r w:rsidR="00FD028B">
        <w:t>Parties to strengthen the engagement of all [actors other than national Government</w:t>
      </w:r>
      <w:r w:rsidR="009C359A">
        <w:t>s</w:t>
      </w:r>
      <w:r w:rsidR="00FD028B">
        <w:t xml:space="preserve">] [in particular by, enabling the full and effective, equitable, inclusive and gender-responsive participation and engagement of indigenous peoples and local communities, women and youth,] in order to ensure that these actors are involved in consultation processes, planning and implementation [in line with </w:t>
      </w:r>
      <w:r w:rsidR="00EB43AC">
        <w:t>T</w:t>
      </w:r>
      <w:r w:rsidR="00FD028B">
        <w:t>arget</w:t>
      </w:r>
      <w:r w:rsidR="00B86A95">
        <w:t>s</w:t>
      </w:r>
      <w:r w:rsidR="00FD028B">
        <w:t xml:space="preserve"> 22 and 23 of the </w:t>
      </w:r>
      <w:proofErr w:type="gramStart"/>
      <w:r w:rsidR="00FD028B">
        <w:t>Framework][</w:t>
      </w:r>
      <w:proofErr w:type="gramEnd"/>
      <w:r w:rsidR="00FD028B">
        <w:t>in accordance with national legislation];</w:t>
      </w:r>
    </w:p>
    <w:p w14:paraId="743AEF7A" w14:textId="2701C280" w:rsidR="00FD028B" w:rsidRDefault="00595DFE" w:rsidP="0068260B">
      <w:pPr>
        <w:shd w:val="clear" w:color="auto" w:fill="FFFFFF" w:themeFill="background1"/>
        <w:tabs>
          <w:tab w:val="clear" w:pos="567"/>
        </w:tabs>
        <w:spacing w:after="120"/>
        <w:ind w:left="1134" w:firstLine="567"/>
        <w:rPr>
          <w:lang w:val="en-US"/>
        </w:rPr>
      </w:pPr>
      <w:r w:rsidRPr="0068260B">
        <w:t>3</w:t>
      </w:r>
      <w:r w:rsidR="00EB43AC">
        <w:t>6</w:t>
      </w:r>
      <w:r w:rsidR="00FD028B">
        <w:rPr>
          <w:i/>
          <w:iCs/>
        </w:rPr>
        <w:t>.</w:t>
      </w:r>
      <w:r w:rsidR="00FD028B">
        <w:rPr>
          <w:i/>
          <w:iCs/>
        </w:rPr>
        <w:tab/>
      </w:r>
      <w:r w:rsidR="00FD028B" w:rsidRPr="00554B8E">
        <w:rPr>
          <w:i/>
        </w:rPr>
        <w:t>Invites</w:t>
      </w:r>
      <w:r w:rsidR="00FD028B">
        <w:rPr>
          <w:i/>
          <w:iCs/>
        </w:rPr>
        <w:t xml:space="preserve"> </w:t>
      </w:r>
      <w:r w:rsidR="00FD028B" w:rsidRPr="00CB40BE">
        <w:rPr>
          <w:iCs/>
        </w:rPr>
        <w:t>[</w:t>
      </w:r>
      <w:r w:rsidR="00FD028B" w:rsidRPr="00554B8E">
        <w:t xml:space="preserve">actors other than national </w:t>
      </w:r>
      <w:proofErr w:type="gramStart"/>
      <w:r w:rsidR="00FD028B" w:rsidRPr="00554B8E">
        <w:t>Government</w:t>
      </w:r>
      <w:r w:rsidR="009C359A">
        <w:t>s</w:t>
      </w:r>
      <w:r w:rsidR="00FD028B">
        <w:t>][</w:t>
      </w:r>
      <w:proofErr w:type="gramEnd"/>
      <w:r w:rsidR="00FD028B" w:rsidRPr="00554B8E">
        <w:t>indigenous peoples and local communities</w:t>
      </w:r>
      <w:r w:rsidR="00FD028B">
        <w:t xml:space="preserve">, </w:t>
      </w:r>
      <w:r w:rsidR="00FD028B" w:rsidRPr="00554B8E">
        <w:t>women and youth</w:t>
      </w:r>
      <w:r w:rsidR="00FD028B">
        <w:t>]</w:t>
      </w:r>
      <w:r w:rsidR="00FD028B" w:rsidRPr="00554B8E">
        <w:t xml:space="preserve"> to share information with Parties on their actions</w:t>
      </w:r>
      <w:r w:rsidR="00FD028B">
        <w:t xml:space="preserve"> </w:t>
      </w:r>
      <w:r w:rsidR="00FD028B" w:rsidRPr="00554B8E">
        <w:t xml:space="preserve">in </w:t>
      </w:r>
      <w:r w:rsidR="00FD028B" w:rsidRPr="00962023">
        <w:t>relation</w:t>
      </w:r>
      <w:r w:rsidR="00FD028B" w:rsidRPr="00554B8E">
        <w:t xml:space="preserve"> to the implementation of the Framework</w:t>
      </w:r>
      <w:r w:rsidR="00FD028B">
        <w:t xml:space="preserve"> [including traditional knowledge of </w:t>
      </w:r>
      <w:r w:rsidR="00FD028B" w:rsidRPr="00554B8E">
        <w:t xml:space="preserve">indigenous </w:t>
      </w:r>
      <w:r w:rsidR="00FD028B" w:rsidRPr="00554B8E">
        <w:lastRenderedPageBreak/>
        <w:t>peoples and local communities</w:t>
      </w:r>
      <w:r w:rsidR="00FD028B">
        <w:t xml:space="preserve"> with [their] free prior and informed consent</w:t>
      </w:r>
      <w:r>
        <w:rPr>
          <w:rStyle w:val="FootnoteReference"/>
        </w:rPr>
        <w:footnoteReference w:id="10"/>
      </w:r>
      <w:r w:rsidR="00FD028B">
        <w:t xml:space="preserve"> [in line with national legislation [and [relevant] international obligations]];</w:t>
      </w:r>
    </w:p>
    <w:p w14:paraId="1402160E" w14:textId="5BF095AE" w:rsidR="00FD028B" w:rsidRDefault="004B7BD4" w:rsidP="0068260B">
      <w:pPr>
        <w:shd w:val="clear" w:color="auto" w:fill="FFFFFF" w:themeFill="background1"/>
        <w:tabs>
          <w:tab w:val="clear" w:pos="567"/>
        </w:tabs>
        <w:spacing w:after="120"/>
        <w:ind w:left="1134" w:firstLine="567"/>
      </w:pPr>
      <w:r w:rsidRPr="0068260B">
        <w:t>3</w:t>
      </w:r>
      <w:r w:rsidR="00EB43AC" w:rsidRPr="0068260B">
        <w:t>7</w:t>
      </w:r>
      <w:r w:rsidR="00FD028B" w:rsidRPr="0068260B">
        <w:t>.</w:t>
      </w:r>
      <w:r w:rsidR="00FD028B">
        <w:rPr>
          <w:i/>
          <w:iCs/>
        </w:rPr>
        <w:tab/>
        <w:t>Invites</w:t>
      </w:r>
      <w:r w:rsidR="00FD028B">
        <w:t xml:space="preserve"> Parties, [in line with their national circumstances and priorities,] to reflect commitments and actions in support of the implementation of the Framework by [actors other than national Governments</w:t>
      </w:r>
      <w:proofErr w:type="gramStart"/>
      <w:r w:rsidR="00FD028B">
        <w:t>,][</w:t>
      </w:r>
      <w:proofErr w:type="gramEnd"/>
      <w:r w:rsidR="00FD028B">
        <w:t>including indigenous peoples and local communities, women, [and] youth] [and other stakeholders] in their national biodiversity strategies and action plans and/or national targets and national reports, as appropriate and where relevant;</w:t>
      </w:r>
    </w:p>
    <w:p w14:paraId="79B507F1" w14:textId="77777777" w:rsidR="004B7BD4" w:rsidRPr="0068260B" w:rsidRDefault="004B7BD4" w:rsidP="0068260B">
      <w:pPr>
        <w:pStyle w:val="CBDNormalNoNumber"/>
        <w:keepNext/>
        <w:tabs>
          <w:tab w:val="clear" w:pos="567"/>
        </w:tabs>
        <w:rPr>
          <w:b/>
          <w:bCs/>
        </w:rPr>
      </w:pPr>
      <w:r w:rsidRPr="0068260B">
        <w:rPr>
          <w:b/>
          <w:bCs/>
        </w:rPr>
        <w:t>Enhancing monitoring and knowledge</w:t>
      </w:r>
    </w:p>
    <w:p w14:paraId="4047F06B" w14:textId="656BC2F7" w:rsidR="004B7BD4" w:rsidRDefault="00B27A2A" w:rsidP="0068260B">
      <w:pPr>
        <w:pStyle w:val="CBDNormalNoNumber"/>
        <w:shd w:val="clear" w:color="auto" w:fill="A6A6A6" w:themeFill="background1" w:themeFillShade="A6"/>
        <w:tabs>
          <w:tab w:val="clear" w:pos="567"/>
          <w:tab w:val="clear" w:pos="2268"/>
          <w:tab w:val="clear" w:pos="2835"/>
          <w:tab w:val="clear" w:pos="3402"/>
        </w:tabs>
        <w:ind w:left="1134" w:firstLine="567"/>
      </w:pPr>
      <w:r>
        <w:t>3</w:t>
      </w:r>
      <w:r w:rsidR="000D1548">
        <w:t>8</w:t>
      </w:r>
      <w:r w:rsidR="004B7BD4">
        <w:t>.</w:t>
      </w:r>
      <w:r w:rsidR="00B367AF">
        <w:tab/>
      </w:r>
      <w:r w:rsidR="004B7BD4" w:rsidRPr="0068260B">
        <w:rPr>
          <w:i/>
          <w:iCs/>
        </w:rPr>
        <w:t>Urges</w:t>
      </w:r>
      <w:r w:rsidR="004B7BD4" w:rsidRPr="004B7BD4">
        <w:t xml:space="preserve"> Parties to further develop and/or strengthen national monitoring and knowledge management systems to address the gaps in data and knowledge mentioned above and to improve evidenced-based decision-making and the tracking of national progress in the implementation of the Framework;</w:t>
      </w:r>
    </w:p>
    <w:p w14:paraId="395B9952" w14:textId="01F053EB" w:rsidR="004B7BD4" w:rsidRDefault="004B7BD4" w:rsidP="0068260B">
      <w:pPr>
        <w:pStyle w:val="CBDNormalNoNumber"/>
        <w:shd w:val="clear" w:color="auto" w:fill="A6A6A6" w:themeFill="background1" w:themeFillShade="A6"/>
        <w:tabs>
          <w:tab w:val="clear" w:pos="567"/>
          <w:tab w:val="clear" w:pos="2268"/>
          <w:tab w:val="clear" w:pos="2835"/>
          <w:tab w:val="clear" w:pos="3402"/>
        </w:tabs>
        <w:ind w:left="1134" w:firstLine="567"/>
      </w:pPr>
      <w:r w:rsidRPr="00355323">
        <w:rPr>
          <w:rFonts w:eastAsia="Times New Roman"/>
        </w:rPr>
        <w:t>[</w:t>
      </w:r>
      <w:r w:rsidR="000D1548">
        <w:rPr>
          <w:rFonts w:eastAsia="Times New Roman"/>
        </w:rPr>
        <w:t>39</w:t>
      </w:r>
      <w:r w:rsidRPr="00355323">
        <w:rPr>
          <w:rFonts w:eastAsia="Times New Roman"/>
        </w:rPr>
        <w:t>.</w:t>
      </w:r>
      <w:r w:rsidR="00B367AF">
        <w:rPr>
          <w:rFonts w:eastAsia="Times New Roman"/>
        </w:rPr>
        <w:tab/>
      </w:r>
      <w:r w:rsidRPr="00355323">
        <w:rPr>
          <w:rFonts w:eastAsia="Times New Roman"/>
          <w:i/>
          <w:iCs/>
        </w:rPr>
        <w:t>Encourages</w:t>
      </w:r>
      <w:r w:rsidRPr="00355323">
        <w:rPr>
          <w:rFonts w:eastAsia="Times New Roman"/>
        </w:rPr>
        <w:t xml:space="preserve"> Parties to ensure that the foundational data needed for implementing the monitoring framework, in particular national ecosystem maps, are in place to support the operationalization of the ecosystem-based headline indicators;]</w:t>
      </w:r>
    </w:p>
    <w:p w14:paraId="035FA192" w14:textId="53EC2135" w:rsidR="004B7BD4" w:rsidRPr="004B7BD4" w:rsidRDefault="00697736" w:rsidP="0068260B">
      <w:pPr>
        <w:pStyle w:val="CBDNormalNoNumber"/>
        <w:shd w:val="clear" w:color="auto" w:fill="A6A6A6" w:themeFill="background1" w:themeFillShade="A6"/>
        <w:tabs>
          <w:tab w:val="clear" w:pos="567"/>
          <w:tab w:val="clear" w:pos="2268"/>
          <w:tab w:val="clear" w:pos="2835"/>
          <w:tab w:val="clear" w:pos="3402"/>
        </w:tabs>
        <w:ind w:left="1134" w:firstLine="567"/>
      </w:pPr>
      <w:r>
        <w:t>[</w:t>
      </w:r>
      <w:r w:rsidR="00B27A2A">
        <w:rPr>
          <w:rFonts w:eastAsia="Times New Roman"/>
        </w:rPr>
        <w:t>4</w:t>
      </w:r>
      <w:r w:rsidR="00464610">
        <w:rPr>
          <w:rFonts w:eastAsia="Times New Roman"/>
        </w:rPr>
        <w:t>0</w:t>
      </w:r>
      <w:r w:rsidR="004B7BD4" w:rsidRPr="00355323">
        <w:rPr>
          <w:rFonts w:eastAsia="Times New Roman"/>
        </w:rPr>
        <w:t>.</w:t>
      </w:r>
      <w:r w:rsidR="004B7BD4" w:rsidRPr="002E56A4">
        <w:tab/>
      </w:r>
      <w:r w:rsidR="00D01F12">
        <w:rPr>
          <w:rFonts w:eastAsia="Times New Roman"/>
          <w:i/>
          <w:iCs/>
        </w:rPr>
        <w:t>E</w:t>
      </w:r>
      <w:r w:rsidR="004B7BD4" w:rsidRPr="00355323">
        <w:rPr>
          <w:rFonts w:eastAsia="Times New Roman"/>
          <w:i/>
          <w:iCs/>
        </w:rPr>
        <w:t>ncourages</w:t>
      </w:r>
      <w:r w:rsidR="004B7BD4" w:rsidRPr="00355323">
        <w:rPr>
          <w:rFonts w:eastAsia="Times New Roman"/>
        </w:rPr>
        <w:t xml:space="preserve"> Parties, </w:t>
      </w:r>
      <w:r w:rsidR="004B7BD4" w:rsidRPr="00A17A71">
        <w:rPr>
          <w:rFonts w:eastAsia="Times New Roman"/>
        </w:rPr>
        <w:t>and [requests][invites] the Global Environment Facility and</w:t>
      </w:r>
      <w:r w:rsidR="004B7BD4" w:rsidRPr="00355323">
        <w:rPr>
          <w:rFonts w:eastAsia="Times New Roman"/>
        </w:rPr>
        <w:t xml:space="preserve"> invites other Governments and other organizations, to provide support for addressing the technical and financial challenges faced by Parties, especially developing country Parties, in particular the least developed countries and small island developing States, in improving their national monitoring and knowledge management systems [and foundational data needed for implementing and monitoring the Framework], including by enhancing the provision of adequate, predictable, accessible and timely financial resources, technology transfer [on favourable terms, including on concessional and preferential terms, as mutually agreed][on mutually agreed terms], technical assistance and capacity-building and development to developing country Parties in order to enable the effective implementation of the monitoring framework and the Kunming-Montreal Global Biodiversity Framework;</w:t>
      </w:r>
      <w:r w:rsidR="004B7BD4" w:rsidRPr="00355323">
        <w:rPr>
          <w:rStyle w:val="FootnoteReference"/>
          <w:rFonts w:eastAsia="Times New Roman"/>
        </w:rPr>
        <w:footnoteReference w:id="11"/>
      </w:r>
      <w:r w:rsidR="004B7BD4" w:rsidRPr="00355323">
        <w:rPr>
          <w:rFonts w:eastAsia="Times New Roman"/>
        </w:rPr>
        <w:t>]</w:t>
      </w:r>
    </w:p>
    <w:p w14:paraId="20277B23" w14:textId="1F11509C" w:rsidR="00BE30BF" w:rsidRDefault="00B27A2A" w:rsidP="0068260B">
      <w:pPr>
        <w:pStyle w:val="CBDNormalNoNumber"/>
        <w:shd w:val="clear" w:color="auto" w:fill="A6A6A6" w:themeFill="background1" w:themeFillShade="A6"/>
        <w:tabs>
          <w:tab w:val="clear" w:pos="567"/>
          <w:tab w:val="clear" w:pos="2268"/>
          <w:tab w:val="clear" w:pos="2835"/>
          <w:tab w:val="clear" w:pos="3402"/>
        </w:tabs>
        <w:ind w:left="1134" w:firstLine="567"/>
        <w:rPr>
          <w:rFonts w:eastAsia="Times New Roman"/>
        </w:rPr>
      </w:pPr>
      <w:r>
        <w:rPr>
          <w:rFonts w:eastAsia="Times New Roman"/>
        </w:rPr>
        <w:t>4</w:t>
      </w:r>
      <w:r w:rsidR="00464610">
        <w:rPr>
          <w:rFonts w:eastAsia="Times New Roman"/>
        </w:rPr>
        <w:t>1</w:t>
      </w:r>
      <w:r w:rsidR="004B7BD4">
        <w:rPr>
          <w:rFonts w:eastAsia="Times New Roman"/>
        </w:rPr>
        <w:t>.</w:t>
      </w:r>
      <w:r w:rsidR="00D21328">
        <w:rPr>
          <w:rFonts w:eastAsia="Times New Roman"/>
        </w:rPr>
        <w:tab/>
      </w:r>
      <w:r w:rsidR="004B7BD4" w:rsidRPr="00355323">
        <w:rPr>
          <w:rFonts w:eastAsia="Times New Roman"/>
          <w:i/>
          <w:iCs/>
        </w:rPr>
        <w:t xml:space="preserve">Invites </w:t>
      </w:r>
      <w:r w:rsidR="004B7BD4" w:rsidRPr="00355323">
        <w:rPr>
          <w:rFonts w:eastAsia="Times New Roman"/>
        </w:rPr>
        <w:t xml:space="preserve">actors other than national Governments, the </w:t>
      </w:r>
      <w:r w:rsidR="004B7BD4">
        <w:rPr>
          <w:rFonts w:eastAsia="Times New Roman"/>
        </w:rPr>
        <w:t>subregional and regional scientific and technical</w:t>
      </w:r>
      <w:r w:rsidR="004B7BD4" w:rsidRPr="00355323">
        <w:rPr>
          <w:rFonts w:eastAsia="Times New Roman"/>
        </w:rPr>
        <w:t xml:space="preserve"> cooperation support centres, the secretariats of biodiversity-related conventions and other relevant multilateral environmental agreements, United Nations entities and intergovernmental organizations to support the efforts of Parties to improve national monitoring and knowledge management systems;</w:t>
      </w:r>
      <w:r w:rsidR="004B7BD4" w:rsidRPr="002E56A4">
        <w:rPr>
          <w:rFonts w:eastAsia="Times New Roman"/>
        </w:rPr>
        <w:t xml:space="preserve"> </w:t>
      </w:r>
    </w:p>
    <w:p w14:paraId="35DEB8E5" w14:textId="2F46520C" w:rsidR="004B7BD4" w:rsidRDefault="003F391D" w:rsidP="0068260B">
      <w:pPr>
        <w:pStyle w:val="CBDNormalNoNumber"/>
        <w:shd w:val="clear" w:color="auto" w:fill="A6A6A6" w:themeFill="background1" w:themeFillShade="A6"/>
        <w:tabs>
          <w:tab w:val="clear" w:pos="567"/>
          <w:tab w:val="clear" w:pos="2268"/>
          <w:tab w:val="clear" w:pos="2835"/>
          <w:tab w:val="clear" w:pos="3402"/>
        </w:tabs>
        <w:ind w:left="1134" w:firstLine="567"/>
        <w:rPr>
          <w:rFonts w:eastAsia="Times New Roman"/>
          <w:u w:val="single"/>
        </w:rPr>
      </w:pPr>
      <w:r>
        <w:rPr>
          <w:rFonts w:eastAsia="Times New Roman"/>
        </w:rPr>
        <w:t>4</w:t>
      </w:r>
      <w:r w:rsidR="00464610">
        <w:rPr>
          <w:rFonts w:eastAsia="Times New Roman"/>
        </w:rPr>
        <w:t>2.</w:t>
      </w:r>
      <w:r w:rsidR="004B7BD4" w:rsidRPr="002E56A4">
        <w:tab/>
      </w:r>
      <w:r w:rsidR="004B7BD4" w:rsidRPr="00355323">
        <w:rPr>
          <w:rFonts w:eastAsia="Times New Roman"/>
          <w:i/>
          <w:iCs/>
        </w:rPr>
        <w:t xml:space="preserve">Encourages </w:t>
      </w:r>
      <w:r w:rsidR="004B7BD4" w:rsidRPr="00355323">
        <w:rPr>
          <w:rFonts w:eastAsia="Times New Roman"/>
        </w:rPr>
        <w:t>Parties to make full use of existing mechanisms, tools</w:t>
      </w:r>
      <w:r w:rsidR="004B7BD4">
        <w:rPr>
          <w:rFonts w:eastAsia="Times New Roman"/>
        </w:rPr>
        <w:t>,</w:t>
      </w:r>
      <w:r w:rsidR="004B7BD4" w:rsidRPr="00355323">
        <w:rPr>
          <w:rFonts w:eastAsia="Times New Roman"/>
        </w:rPr>
        <w:t xml:space="preserve"> the </w:t>
      </w:r>
      <w:r w:rsidR="004B7BD4">
        <w:rPr>
          <w:rFonts w:eastAsia="Times New Roman"/>
        </w:rPr>
        <w:t>subregional and regional scientific and technical</w:t>
      </w:r>
      <w:r w:rsidR="004B7BD4" w:rsidRPr="00355323">
        <w:rPr>
          <w:rFonts w:eastAsia="Times New Roman"/>
        </w:rPr>
        <w:t xml:space="preserve"> cooperation support centres, capacity-building and development initiatives and plans, and enhanced regional cooperation to strengthen monitoring and knowledge management systems;</w:t>
      </w:r>
      <w:r w:rsidR="004B7BD4" w:rsidRPr="002E56A4">
        <w:rPr>
          <w:rFonts w:eastAsia="Times New Roman"/>
          <w:u w:val="single"/>
        </w:rPr>
        <w:t xml:space="preserve"> </w:t>
      </w:r>
    </w:p>
    <w:p w14:paraId="5CBAF30D" w14:textId="77F8F671" w:rsidR="00A27951" w:rsidRPr="004B7BD4" w:rsidRDefault="00DA1C69" w:rsidP="0068260B">
      <w:pPr>
        <w:pStyle w:val="CBDNormalNoNumber"/>
        <w:shd w:val="clear" w:color="auto" w:fill="A6A6A6" w:themeFill="background1" w:themeFillShade="A6"/>
        <w:tabs>
          <w:tab w:val="clear" w:pos="567"/>
          <w:tab w:val="clear" w:pos="2268"/>
          <w:tab w:val="clear" w:pos="2835"/>
          <w:tab w:val="clear" w:pos="3402"/>
        </w:tabs>
        <w:ind w:left="1134" w:firstLine="567"/>
      </w:pPr>
      <w:r>
        <w:rPr>
          <w:rFonts w:eastAsia="Times New Roman"/>
        </w:rPr>
        <w:t>4</w:t>
      </w:r>
      <w:r w:rsidR="00464610">
        <w:rPr>
          <w:rFonts w:eastAsia="Times New Roman"/>
        </w:rPr>
        <w:t>3</w:t>
      </w:r>
      <w:r w:rsidR="00706C0B" w:rsidRPr="00355323">
        <w:rPr>
          <w:rFonts w:eastAsia="Times New Roman"/>
        </w:rPr>
        <w:t>.</w:t>
      </w:r>
      <w:r w:rsidR="00706C0B" w:rsidRPr="00DA1C69">
        <w:rPr>
          <w:rFonts w:eastAsia="Times New Roman"/>
        </w:rPr>
        <w:tab/>
      </w:r>
      <w:r w:rsidR="00706C0B" w:rsidRPr="0068260B">
        <w:rPr>
          <w:rFonts w:eastAsia="Times New Roman"/>
          <w:i/>
          <w:iCs/>
        </w:rPr>
        <w:t>Invites</w:t>
      </w:r>
      <w:r w:rsidR="00706C0B" w:rsidRPr="00DA1C69">
        <w:rPr>
          <w:rFonts w:eastAsia="Times New Roman"/>
        </w:rPr>
        <w:t xml:space="preserve"> Parties, other Governments, actors other than national Governments and the regional and subregional technical and scientific cooperation support centres supporting the implementation of the Framework to make use of the information that is contained in the global report and the national biodiversity strategies and action plans, national targets and national reports, when executing their respective mandates, and that is within their area of competence, where relevant;</w:t>
      </w:r>
    </w:p>
    <w:p w14:paraId="4A44F87B" w14:textId="59F3D6F0" w:rsidR="004B7BD4" w:rsidRDefault="004B7BD4" w:rsidP="0068260B">
      <w:pPr>
        <w:tabs>
          <w:tab w:val="clear" w:pos="567"/>
        </w:tabs>
        <w:spacing w:after="120"/>
        <w:ind w:left="1134" w:firstLine="567"/>
        <w:rPr>
          <w:rFonts w:eastAsia="Times New Roman"/>
          <w:color w:val="000000" w:themeColor="text1"/>
        </w:rPr>
      </w:pPr>
      <w:r>
        <w:rPr>
          <w:rFonts w:eastAsia="Times New Roman"/>
          <w:color w:val="000000" w:themeColor="text1"/>
          <w:lang w:val="en-US"/>
        </w:rPr>
        <w:t>4</w:t>
      </w:r>
      <w:r w:rsidR="00464610">
        <w:rPr>
          <w:rFonts w:eastAsia="Times New Roman"/>
          <w:color w:val="000000" w:themeColor="text1"/>
          <w:lang w:val="en-US"/>
        </w:rPr>
        <w:t>4</w:t>
      </w:r>
      <w:r>
        <w:rPr>
          <w:rFonts w:eastAsia="Times New Roman"/>
          <w:color w:val="000000" w:themeColor="text1"/>
          <w:lang w:val="en-US"/>
        </w:rPr>
        <w:t>.</w:t>
      </w:r>
      <w:r>
        <w:rPr>
          <w:rFonts w:eastAsia="Times New Roman"/>
          <w:color w:val="000000" w:themeColor="text1"/>
          <w:lang w:val="en-US"/>
        </w:rPr>
        <w:tab/>
      </w:r>
      <w:r w:rsidRPr="00D23656">
        <w:rPr>
          <w:rFonts w:eastAsia="Times New Roman"/>
          <w:i/>
          <w:iCs/>
          <w:color w:val="000000" w:themeColor="text1"/>
          <w:lang w:val="en-US"/>
        </w:rPr>
        <w:t>Encourages</w:t>
      </w:r>
      <w:r>
        <w:rPr>
          <w:rFonts w:eastAsia="Times New Roman"/>
          <w:color w:val="000000" w:themeColor="text1"/>
          <w:lang w:val="en-US"/>
        </w:rPr>
        <w:t xml:space="preserve"> Parties and [actors other than national Government</w:t>
      </w:r>
      <w:r w:rsidR="009C359A">
        <w:rPr>
          <w:rFonts w:eastAsia="Times New Roman"/>
          <w:color w:val="000000" w:themeColor="text1"/>
          <w:lang w:val="en-US"/>
        </w:rPr>
        <w:t>s</w:t>
      </w:r>
      <w:r>
        <w:rPr>
          <w:rFonts w:eastAsia="Times New Roman"/>
          <w:color w:val="000000" w:themeColor="text1"/>
          <w:lang w:val="en-US"/>
        </w:rPr>
        <w:t xml:space="preserve">] to share experiences, lessons learned and best practices in the implementation of the Framework, </w:t>
      </w:r>
      <w:r>
        <w:rPr>
          <w:rFonts w:eastAsia="Times New Roman"/>
          <w:color w:val="000000" w:themeColor="text1"/>
          <w:lang w:val="en-US"/>
        </w:rPr>
        <w:lastRenderedPageBreak/>
        <w:t>including by uploading them to the v</w:t>
      </w:r>
      <w:proofErr w:type="spellStart"/>
      <w:r>
        <w:rPr>
          <w:rFonts w:eastAsia="Times New Roman"/>
          <w:color w:val="000000" w:themeColor="text1"/>
        </w:rPr>
        <w:t>irtual</w:t>
      </w:r>
      <w:proofErr w:type="spellEnd"/>
      <w:r>
        <w:rPr>
          <w:rFonts w:eastAsia="Times New Roman"/>
          <w:color w:val="000000" w:themeColor="text1"/>
        </w:rPr>
        <w:t xml:space="preserve"> library of the clearing-house mechanism</w:t>
      </w:r>
      <w:r w:rsidR="005C0C62">
        <w:rPr>
          <w:rFonts w:eastAsia="Times New Roman"/>
          <w:color w:val="000000" w:themeColor="text1"/>
        </w:rPr>
        <w:t>,</w:t>
      </w:r>
      <w:r>
        <w:rPr>
          <w:rFonts w:eastAsia="Times New Roman"/>
          <w:color w:val="000000" w:themeColor="text1"/>
        </w:rPr>
        <w:t xml:space="preserve"> and </w:t>
      </w:r>
      <w:r w:rsidRPr="0068260B">
        <w:rPr>
          <w:color w:val="000000" w:themeColor="text1"/>
        </w:rPr>
        <w:t>invites</w:t>
      </w:r>
      <w:r>
        <w:rPr>
          <w:rFonts w:eastAsia="Times New Roman"/>
          <w:color w:val="000000" w:themeColor="text1"/>
        </w:rPr>
        <w:t xml:space="preserve"> Parties to make use of th</w:t>
      </w:r>
      <w:r w:rsidR="005C0C62">
        <w:rPr>
          <w:rFonts w:eastAsia="Times New Roman"/>
          <w:color w:val="000000" w:themeColor="text1"/>
        </w:rPr>
        <w:t>at</w:t>
      </w:r>
      <w:r>
        <w:rPr>
          <w:rFonts w:eastAsia="Times New Roman"/>
          <w:color w:val="000000" w:themeColor="text1"/>
        </w:rPr>
        <w:t xml:space="preserve"> information, where relevant;</w:t>
      </w:r>
    </w:p>
    <w:p w14:paraId="58CE069A" w14:textId="7B565691" w:rsidR="00744F4F" w:rsidRDefault="00744F4F" w:rsidP="0068260B">
      <w:pPr>
        <w:tabs>
          <w:tab w:val="clear" w:pos="567"/>
        </w:tabs>
        <w:spacing w:after="120"/>
        <w:ind w:left="1134" w:firstLine="567"/>
        <w:rPr>
          <w:rFonts w:eastAsia="Times New Roman"/>
          <w:color w:val="000000" w:themeColor="text1"/>
        </w:rPr>
      </w:pPr>
      <w:r>
        <w:rPr>
          <w:rFonts w:eastAsia="Times New Roman"/>
          <w:color w:val="000000" w:themeColor="text1"/>
        </w:rPr>
        <w:t>[</w:t>
      </w:r>
      <w:r w:rsidRPr="00744F4F">
        <w:rPr>
          <w:rFonts w:eastAsia="Times New Roman"/>
          <w:color w:val="000000" w:themeColor="text1"/>
        </w:rPr>
        <w:t>4</w:t>
      </w:r>
      <w:r w:rsidR="00060B69">
        <w:rPr>
          <w:rFonts w:eastAsia="Times New Roman"/>
          <w:color w:val="000000" w:themeColor="text1"/>
        </w:rPr>
        <w:t>5</w:t>
      </w:r>
      <w:r w:rsidRPr="00744F4F">
        <w:rPr>
          <w:rFonts w:eastAsia="Times New Roman"/>
          <w:color w:val="000000" w:themeColor="text1"/>
        </w:rPr>
        <w:t>.</w:t>
      </w:r>
      <w:r>
        <w:rPr>
          <w:rFonts w:eastAsia="Times New Roman"/>
          <w:color w:val="000000" w:themeColor="text1"/>
        </w:rPr>
        <w:tab/>
      </w:r>
      <w:r w:rsidRPr="0068260B">
        <w:rPr>
          <w:rFonts w:eastAsia="Times New Roman"/>
          <w:i/>
          <w:color w:val="000000" w:themeColor="text1"/>
        </w:rPr>
        <w:t>Invites</w:t>
      </w:r>
      <w:r w:rsidRPr="00744F4F">
        <w:rPr>
          <w:rFonts w:eastAsia="Times New Roman"/>
          <w:color w:val="000000" w:themeColor="text1"/>
        </w:rPr>
        <w:t xml:space="preserve"> Parties to engage in regional and subregional dialogues on the global review and the Yerevan Pathway for accelerating implementation of the </w:t>
      </w:r>
      <w:proofErr w:type="gramStart"/>
      <w:r>
        <w:rPr>
          <w:rFonts w:eastAsia="Times New Roman"/>
          <w:color w:val="000000" w:themeColor="text1"/>
        </w:rPr>
        <w:t>Framework[</w:t>
      </w:r>
      <w:proofErr w:type="gramEnd"/>
      <w:r w:rsidRPr="00744F4F">
        <w:rPr>
          <w:rFonts w:eastAsia="Times New Roman"/>
          <w:color w:val="000000" w:themeColor="text1"/>
        </w:rPr>
        <w:t>[</w:t>
      </w:r>
      <w:r w:rsidR="001C0D6F">
        <w:rPr>
          <w:rFonts w:eastAsia="Times New Roman"/>
          <w:color w:val="000000" w:themeColor="text1"/>
        </w:rPr>
        <w:t xml:space="preserve">, </w:t>
      </w:r>
      <w:r w:rsidRPr="00744F4F">
        <w:rPr>
          <w:rFonts w:eastAsia="Times New Roman"/>
          <w:color w:val="000000" w:themeColor="text1"/>
        </w:rPr>
        <w:t>in line with para</w:t>
      </w:r>
      <w:r w:rsidR="0020334C">
        <w:rPr>
          <w:rFonts w:eastAsia="Times New Roman"/>
          <w:color w:val="000000" w:themeColor="text1"/>
        </w:rPr>
        <w:t>graph</w:t>
      </w:r>
      <w:r w:rsidR="00471572">
        <w:rPr>
          <w:rFonts w:eastAsia="Times New Roman"/>
          <w:color w:val="000000" w:themeColor="text1"/>
        </w:rPr>
        <w:t> </w:t>
      </w:r>
      <w:r w:rsidRPr="00744F4F">
        <w:rPr>
          <w:rFonts w:eastAsia="Times New Roman"/>
          <w:color w:val="000000" w:themeColor="text1"/>
        </w:rPr>
        <w:t xml:space="preserve">20 of </w:t>
      </w:r>
      <w:r w:rsidR="00471572">
        <w:rPr>
          <w:rFonts w:eastAsia="Times New Roman"/>
          <w:color w:val="000000" w:themeColor="text1"/>
        </w:rPr>
        <w:t xml:space="preserve">decision </w:t>
      </w:r>
      <w:hyperlink r:id="rId21" w:history="1">
        <w:r w:rsidRPr="001044DE">
          <w:rPr>
            <w:rStyle w:val="Hyperlink"/>
            <w:rFonts w:eastAsia="Times New Roman"/>
          </w:rPr>
          <w:t>15/6</w:t>
        </w:r>
      </w:hyperlink>
      <w:r w:rsidRPr="00744F4F">
        <w:rPr>
          <w:rFonts w:eastAsia="Times New Roman"/>
          <w:color w:val="000000" w:themeColor="text1"/>
        </w:rPr>
        <w:t xml:space="preserve">] [with </w:t>
      </w:r>
      <w:r w:rsidR="001C0D6F">
        <w:rPr>
          <w:rFonts w:eastAsia="Times New Roman"/>
          <w:color w:val="000000" w:themeColor="text1"/>
        </w:rPr>
        <w:t>a</w:t>
      </w:r>
      <w:r w:rsidRPr="00744F4F">
        <w:rPr>
          <w:rFonts w:eastAsia="Times New Roman"/>
          <w:color w:val="000000" w:themeColor="text1"/>
        </w:rPr>
        <w:t xml:space="preserve"> view to shar</w:t>
      </w:r>
      <w:r w:rsidR="00F45274">
        <w:rPr>
          <w:rFonts w:eastAsia="Times New Roman"/>
          <w:color w:val="000000" w:themeColor="text1"/>
        </w:rPr>
        <w:t>ing</w:t>
      </w:r>
      <w:r w:rsidRPr="00744F4F">
        <w:rPr>
          <w:rFonts w:eastAsia="Times New Roman"/>
          <w:color w:val="000000" w:themeColor="text1"/>
        </w:rPr>
        <w:t xml:space="preserve"> actions and efforts</w:t>
      </w:r>
      <w:r w:rsidR="001C0D6F">
        <w:rPr>
          <w:rFonts w:eastAsia="Times New Roman"/>
          <w:color w:val="000000" w:themeColor="text1"/>
        </w:rPr>
        <w:t>,</w:t>
      </w:r>
      <w:r w:rsidRPr="00744F4F">
        <w:rPr>
          <w:rFonts w:eastAsia="Times New Roman"/>
          <w:color w:val="000000" w:themeColor="text1"/>
        </w:rPr>
        <w:t xml:space="preserve"> as </w:t>
      </w:r>
      <w:proofErr w:type="gramStart"/>
      <w:r w:rsidRPr="00744F4F">
        <w:rPr>
          <w:rFonts w:eastAsia="Times New Roman"/>
          <w:color w:val="000000" w:themeColor="text1"/>
        </w:rPr>
        <w:t>appropriate][</w:t>
      </w:r>
      <w:proofErr w:type="gramEnd"/>
      <w:r w:rsidRPr="00744F4F">
        <w:rPr>
          <w:rFonts w:eastAsia="Times New Roman"/>
          <w:color w:val="000000" w:themeColor="text1"/>
        </w:rPr>
        <w:t>and share [any][their] respective actions and efforts</w:t>
      </w:r>
      <w:r w:rsidR="00F25597">
        <w:rPr>
          <w:rFonts w:eastAsia="Times New Roman"/>
          <w:color w:val="000000" w:themeColor="text1"/>
        </w:rPr>
        <w:t>,</w:t>
      </w:r>
      <w:r w:rsidRPr="00744F4F">
        <w:rPr>
          <w:rFonts w:eastAsia="Times New Roman"/>
          <w:color w:val="000000" w:themeColor="text1"/>
        </w:rPr>
        <w:t xml:space="preserve"> as </w:t>
      </w:r>
      <w:r w:rsidRPr="0068260B">
        <w:t>appropriate</w:t>
      </w:r>
      <w:r w:rsidR="002541EB">
        <w:rPr>
          <w:rFonts w:eastAsia="Times New Roman"/>
          <w:color w:val="000000" w:themeColor="text1"/>
        </w:rPr>
        <w:t>;</w:t>
      </w:r>
      <w:r w:rsidRPr="00744F4F">
        <w:rPr>
          <w:rFonts w:eastAsia="Times New Roman"/>
          <w:color w:val="000000" w:themeColor="text1"/>
        </w:rPr>
        <w:t>]</w:t>
      </w:r>
      <w:r>
        <w:rPr>
          <w:rFonts w:eastAsia="Times New Roman"/>
          <w:color w:val="000000" w:themeColor="text1"/>
        </w:rPr>
        <w:t>]]</w:t>
      </w:r>
    </w:p>
    <w:p w14:paraId="604F9C1E" w14:textId="396BC887" w:rsidR="004B7BD4" w:rsidRDefault="004B7BD4" w:rsidP="0068260B">
      <w:pPr>
        <w:tabs>
          <w:tab w:val="clear" w:pos="567"/>
        </w:tabs>
        <w:spacing w:after="120"/>
        <w:ind w:left="1134" w:firstLine="567"/>
      </w:pPr>
      <w:r w:rsidRPr="00CB40BE">
        <w:t>4</w:t>
      </w:r>
      <w:r w:rsidR="00060B69">
        <w:t>6</w:t>
      </w:r>
      <w:r>
        <w:rPr>
          <w:i/>
          <w:iCs/>
        </w:rPr>
        <w:t>.</w:t>
      </w:r>
      <w:r>
        <w:rPr>
          <w:i/>
          <w:iCs/>
        </w:rPr>
        <w:tab/>
        <w:t xml:space="preserve">Invites </w:t>
      </w:r>
      <w:r>
        <w:t>relevant partner organizations, in particular, the regional and subregional technical and scientific cooperation support centres, in coordination with the Secretariat, to conduct workshops and/or dialogues, building on existing processes as appropriate, on the findings of the first global review with a view to promoting peer-to-peer learning and sharing of experiences and best practices;</w:t>
      </w:r>
    </w:p>
    <w:p w14:paraId="69250A48" w14:textId="333ECDEA" w:rsidR="004B7BD4" w:rsidRDefault="004B7BD4" w:rsidP="0068260B">
      <w:pPr>
        <w:pStyle w:val="CBDNormalNoNumber"/>
        <w:tabs>
          <w:tab w:val="clear" w:pos="567"/>
        </w:tabs>
        <w:ind w:left="1134" w:firstLine="567"/>
      </w:pPr>
      <w:r>
        <w:t>4</w:t>
      </w:r>
      <w:r w:rsidR="00060B69">
        <w:t>7</w:t>
      </w:r>
      <w:r w:rsidR="00DA1C69">
        <w:t>.</w:t>
      </w:r>
      <w:r>
        <w:tab/>
      </w:r>
      <w:r w:rsidRPr="0068260B">
        <w:rPr>
          <w:i/>
        </w:rPr>
        <w:t>Invites</w:t>
      </w:r>
      <w:r>
        <w:t xml:space="preserve"> the United Nations Environment Programme to organize a fourth Bern Conference on cooperation among multilateral environmental agreements with a view to enhancing the implementation of the Framework by multilateral environmental agreements, based on the findings of the global report and global review and to providing options to better align planning, monitoring and reporting obligations under the Convention and those under other relevant processes;</w:t>
      </w:r>
    </w:p>
    <w:p w14:paraId="4D084EC3" w14:textId="28BE8A2D" w:rsidR="004B7BD4" w:rsidRPr="00C5405D" w:rsidRDefault="00B27A2A" w:rsidP="0068260B">
      <w:pPr>
        <w:pStyle w:val="CBDNormalNoNumber"/>
        <w:tabs>
          <w:tab w:val="clear" w:pos="567"/>
        </w:tabs>
        <w:ind w:left="1134" w:firstLine="567"/>
      </w:pPr>
      <w:r>
        <w:t>4</w:t>
      </w:r>
      <w:r w:rsidR="00060B69">
        <w:t>8</w:t>
      </w:r>
      <w:r w:rsidR="004B7BD4">
        <w:t>.</w:t>
      </w:r>
      <w:r>
        <w:tab/>
      </w:r>
      <w:r w:rsidR="004B7BD4">
        <w:rPr>
          <w:i/>
          <w:iCs/>
        </w:rPr>
        <w:t>Encourages</w:t>
      </w:r>
      <w:r w:rsidR="004B7BD4">
        <w:t xml:space="preserve"> Parties</w:t>
      </w:r>
      <w:r w:rsidR="00341E4E">
        <w:t>,</w:t>
      </w:r>
      <w:r w:rsidR="004B7BD4">
        <w:t xml:space="preserve"> and </w:t>
      </w:r>
      <w:r w:rsidR="004B7BD4" w:rsidRPr="0068260B">
        <w:t>invites</w:t>
      </w:r>
      <w:r w:rsidR="004B7BD4">
        <w:t xml:space="preserve"> other Governments and relevant organizations to support the reporting by indigenous peoples and local communities on the implementation of the Framework including by continuing to support community-based monitoring and information systems and initiatives such as the </w:t>
      </w:r>
      <w:r w:rsidR="004B7BD4" w:rsidRPr="0068260B">
        <w:rPr>
          <w:i/>
          <w:iCs/>
        </w:rPr>
        <w:t>Local Biodiversity Outlook</w:t>
      </w:r>
      <w:r w:rsidR="004B7BD4">
        <w:t>;</w:t>
      </w:r>
    </w:p>
    <w:p w14:paraId="2BE400F5" w14:textId="74FA4640" w:rsidR="00C86752" w:rsidRDefault="00060B69" w:rsidP="0068260B">
      <w:pPr>
        <w:tabs>
          <w:tab w:val="clear" w:pos="567"/>
          <w:tab w:val="center" w:pos="5247"/>
        </w:tabs>
        <w:spacing w:after="120"/>
        <w:ind w:left="1134" w:firstLine="567"/>
        <w:rPr>
          <w:rFonts w:eastAsia="Times New Roman"/>
          <w:highlight w:val="darkGray"/>
        </w:rPr>
      </w:pPr>
      <w:r>
        <w:rPr>
          <w:rFonts w:eastAsia="Times New Roman"/>
          <w:highlight w:val="darkGray"/>
        </w:rPr>
        <w:t>49</w:t>
      </w:r>
      <w:r w:rsidR="00C86752">
        <w:rPr>
          <w:rFonts w:eastAsia="Times New Roman"/>
          <w:highlight w:val="darkGray"/>
        </w:rPr>
        <w:t>.</w:t>
      </w:r>
      <w:r w:rsidR="00C86752">
        <w:rPr>
          <w:highlight w:val="darkGray"/>
        </w:rPr>
        <w:tab/>
      </w:r>
      <w:r w:rsidR="00C86752">
        <w:rPr>
          <w:rFonts w:eastAsia="Times New Roman"/>
          <w:i/>
          <w:iCs/>
          <w:highlight w:val="darkGray"/>
        </w:rPr>
        <w:t>Requests</w:t>
      </w:r>
      <w:r w:rsidR="00C86752">
        <w:rPr>
          <w:rFonts w:eastAsia="Times New Roman"/>
          <w:highlight w:val="darkGray"/>
        </w:rPr>
        <w:t xml:space="preserve"> the Executive Secretary:</w:t>
      </w:r>
    </w:p>
    <w:p w14:paraId="59C3C2E5" w14:textId="568FCF89" w:rsidR="00C86752" w:rsidRDefault="00C86752" w:rsidP="0068260B">
      <w:pPr>
        <w:pStyle w:val="CBDNormalNoNumber"/>
        <w:tabs>
          <w:tab w:val="clear" w:pos="567"/>
          <w:tab w:val="clear" w:pos="1134"/>
        </w:tabs>
        <w:ind w:left="1134" w:firstLine="567"/>
      </w:pPr>
      <w:r w:rsidRPr="00C86752">
        <w:t>(a)</w:t>
      </w:r>
      <w:r w:rsidRPr="00C86752">
        <w:tab/>
        <w:t xml:space="preserve">To </w:t>
      </w:r>
      <w:proofErr w:type="gramStart"/>
      <w:r w:rsidRPr="00C86752">
        <w:t>take into account</w:t>
      </w:r>
      <w:proofErr w:type="gramEnd"/>
      <w:r w:rsidRPr="00C86752">
        <w:t xml:space="preserve"> the present decision and the gaps, challenges, barriers and opportunities identified in the global report [and its key messages] to inform [the Secretariat’s future work over the period 2026</w:t>
      </w:r>
      <w:r w:rsidR="009928D2">
        <w:t>–</w:t>
      </w:r>
      <w:r w:rsidRPr="00C86752">
        <w:t>2030, including] the review of programmes of work;</w:t>
      </w:r>
    </w:p>
    <w:p w14:paraId="1CC7175D" w14:textId="020A4C72" w:rsidR="00C86752" w:rsidRPr="00C86752" w:rsidRDefault="00C86752" w:rsidP="0068260B">
      <w:pPr>
        <w:pStyle w:val="CBDNormalNoNumber"/>
        <w:tabs>
          <w:tab w:val="clear" w:pos="567"/>
          <w:tab w:val="clear" w:pos="1134"/>
        </w:tabs>
        <w:ind w:left="1134" w:firstLine="567"/>
      </w:pPr>
      <w:r>
        <w:t>(b)</w:t>
      </w:r>
      <w:r>
        <w:tab/>
      </w:r>
      <w:r w:rsidRPr="00C86752">
        <w:t xml:space="preserve">To facilitate efforts of Parties and [actors other than national </w:t>
      </w:r>
      <w:r w:rsidR="00611255">
        <w:t>G</w:t>
      </w:r>
      <w:r w:rsidRPr="00C86752">
        <w:t>overnments] to share experiences, lessons learned and best practices in the implementation of the Framework, including on actions taken in follow-up of the global review, including through the virtual library of the clearing-house mechanism, while promoting North-South, South-South and triangular cooperation</w:t>
      </w:r>
      <w:r w:rsidR="002541EB">
        <w:t>;</w:t>
      </w:r>
    </w:p>
    <w:p w14:paraId="1CD81F28" w14:textId="1035F764" w:rsidR="00C86752" w:rsidRPr="00C86752" w:rsidRDefault="00C86752" w:rsidP="0068260B">
      <w:pPr>
        <w:pStyle w:val="CBDNormalNoNumber"/>
        <w:tabs>
          <w:tab w:val="clear" w:pos="567"/>
          <w:tab w:val="clear" w:pos="1134"/>
        </w:tabs>
        <w:ind w:left="1134" w:firstLine="567"/>
      </w:pPr>
      <w:r w:rsidRPr="00056811">
        <w:t>(c)</w:t>
      </w:r>
      <w:r w:rsidRPr="00056811">
        <w:tab/>
        <w:t xml:space="preserve">To provide a summary of the information </w:t>
      </w:r>
      <w:r w:rsidR="00056811">
        <w:t>submitted</w:t>
      </w:r>
      <w:r w:rsidR="00056811" w:rsidRPr="00056811">
        <w:t xml:space="preserve"> pursuant to subparagraph</w:t>
      </w:r>
      <w:r w:rsidRPr="00056811">
        <w:t xml:space="preserve"> </w:t>
      </w:r>
      <w:r w:rsidR="00056811" w:rsidRPr="0068260B">
        <w:t>49 </w:t>
      </w:r>
      <w:r w:rsidRPr="00056811">
        <w:t>(</w:t>
      </w:r>
      <w:r w:rsidR="00B27A2A" w:rsidRPr="00056811">
        <w:t>b</w:t>
      </w:r>
      <w:r w:rsidRPr="00056811">
        <w:t xml:space="preserve">) </w:t>
      </w:r>
      <w:r w:rsidR="00056811" w:rsidRPr="00056811">
        <w:t>above at</w:t>
      </w:r>
      <w:r w:rsidRPr="00056811">
        <w:t xml:space="preserve"> a meeting of the Subsidiary Body on Implementation </w:t>
      </w:r>
      <w:r w:rsidR="00056811" w:rsidRPr="00056811">
        <w:t xml:space="preserve">held before </w:t>
      </w:r>
      <w:r w:rsidRPr="00056811">
        <w:t>the eighteenth</w:t>
      </w:r>
      <w:r w:rsidRPr="00C86752">
        <w:t xml:space="preserve"> meeting of the conference of the Parties, subject to the availability of resources</w:t>
      </w:r>
      <w:r w:rsidR="002541EB">
        <w:t>;</w:t>
      </w:r>
    </w:p>
    <w:p w14:paraId="2A30093D" w14:textId="19E7BC4B" w:rsidR="00C86752" w:rsidRPr="00C86752" w:rsidRDefault="00C86752" w:rsidP="0068260B">
      <w:pPr>
        <w:pStyle w:val="CBDNormalNoNumber"/>
        <w:tabs>
          <w:tab w:val="clear" w:pos="567"/>
          <w:tab w:val="clear" w:pos="1134"/>
        </w:tabs>
        <w:ind w:left="1134" w:firstLine="567"/>
      </w:pPr>
      <w:r>
        <w:t>(d)</w:t>
      </w:r>
      <w:r>
        <w:tab/>
      </w:r>
      <w:r w:rsidRPr="00C86752">
        <w:t>To continue to coordinate with partner organizations, including the regional and subregional technical and scientific cooperation support centres, to facilitate peer-to-peer learning and capacity-building activities, [subject to the availability of resources]</w:t>
      </w:r>
      <w:r w:rsidR="002541EB">
        <w:t>;</w:t>
      </w:r>
    </w:p>
    <w:p w14:paraId="6C754D6F" w14:textId="7D63BCE1" w:rsidR="00FD2C67" w:rsidRPr="00A27951" w:rsidRDefault="00C86752" w:rsidP="0068260B">
      <w:pPr>
        <w:pStyle w:val="CBDNormalNoNumber"/>
        <w:tabs>
          <w:tab w:val="clear" w:pos="567"/>
          <w:tab w:val="clear" w:pos="1134"/>
        </w:tabs>
        <w:ind w:left="1134" w:firstLine="567"/>
        <w:rPr>
          <w:lang w:val="en-US"/>
        </w:rPr>
      </w:pPr>
      <w:r>
        <w:t>[(</w:t>
      </w:r>
      <w:r w:rsidR="00692F6F">
        <w:t>e</w:t>
      </w:r>
      <w:r>
        <w:t>)</w:t>
      </w:r>
      <w:r w:rsidR="00582EFE">
        <w:tab/>
      </w:r>
      <w:r>
        <w:t xml:space="preserve">To facilitate in coordination with Parties, the </w:t>
      </w:r>
      <w:r w:rsidRPr="00C86752">
        <w:t xml:space="preserve">regional and subregional technical and scientific cooperation support centres and relevant stakeholders, the organization of subregional and regional dialogues </w:t>
      </w:r>
      <w:r w:rsidR="00FD2C67" w:rsidRPr="00A27951">
        <w:rPr>
          <w:lang w:val="en-US"/>
        </w:rPr>
        <w:t xml:space="preserve">on the global review and the Yerevan Pathway for accelerating </w:t>
      </w:r>
      <w:r w:rsidR="00FD2C67" w:rsidRPr="0068260B">
        <w:t>implementation</w:t>
      </w:r>
      <w:r w:rsidR="00FD2C67" w:rsidRPr="00A27951">
        <w:rPr>
          <w:lang w:val="en-US"/>
        </w:rPr>
        <w:t xml:space="preserve"> of the </w:t>
      </w:r>
      <w:r w:rsidR="00FD2C67">
        <w:rPr>
          <w:lang w:val="en-US"/>
        </w:rPr>
        <w:t>Framework</w:t>
      </w:r>
      <w:r w:rsidR="00FD2C67" w:rsidRPr="00A27951">
        <w:rPr>
          <w:lang w:val="en-US"/>
        </w:rPr>
        <w:t xml:space="preserve"> and to compile views from Parties and stakeholders for the preparation of th</w:t>
      </w:r>
      <w:r w:rsidR="00FD2C67">
        <w:rPr>
          <w:lang w:val="en-US"/>
        </w:rPr>
        <w:t>ese</w:t>
      </w:r>
      <w:r w:rsidR="00FD2C67" w:rsidRPr="00A27951">
        <w:rPr>
          <w:lang w:val="en-US"/>
        </w:rPr>
        <w:t xml:space="preserve"> dialogues, subject to the availability of resources</w:t>
      </w:r>
      <w:r w:rsidR="00FD2C67">
        <w:rPr>
          <w:lang w:val="en-US"/>
        </w:rPr>
        <w:t>;]</w:t>
      </w:r>
    </w:p>
    <w:p w14:paraId="5534A6B9" w14:textId="0636CA19" w:rsidR="00C86752" w:rsidRPr="00355323" w:rsidRDefault="00C86752" w:rsidP="0068260B">
      <w:pPr>
        <w:shd w:val="clear" w:color="auto" w:fill="A6A6A6" w:themeFill="background1" w:themeFillShade="A6"/>
        <w:tabs>
          <w:tab w:val="clear" w:pos="567"/>
          <w:tab w:val="clear" w:pos="1134"/>
          <w:tab w:val="left" w:pos="2835"/>
          <w:tab w:val="left" w:pos="3402"/>
        </w:tabs>
        <w:spacing w:after="120"/>
        <w:ind w:left="1134" w:firstLine="564"/>
        <w:rPr>
          <w:rFonts w:eastAsia="Times New Roman"/>
        </w:rPr>
      </w:pPr>
      <w:r w:rsidRPr="00355323">
        <w:rPr>
          <w:rFonts w:eastAsia="Times New Roman"/>
        </w:rPr>
        <w:t>(</w:t>
      </w:r>
      <w:r w:rsidR="0022096F">
        <w:rPr>
          <w:rFonts w:eastAsia="Times New Roman"/>
        </w:rPr>
        <w:t>f</w:t>
      </w:r>
      <w:r w:rsidRPr="00355323">
        <w:rPr>
          <w:rFonts w:eastAsia="Times New Roman"/>
        </w:rPr>
        <w:t>)</w:t>
      </w:r>
      <w:r w:rsidRPr="002E56A4">
        <w:tab/>
      </w:r>
      <w:r w:rsidRPr="00355323">
        <w:rPr>
          <w:rFonts w:eastAsia="Times New Roman"/>
        </w:rPr>
        <w:t>To make the information contained in the submitted national biodiversity strategies and action plans, national targets, national reports and commitments from actors other than national Governments more easily accessible;</w:t>
      </w:r>
      <w:r w:rsidRPr="002E56A4">
        <w:rPr>
          <w:rFonts w:eastAsia="Times New Roman"/>
        </w:rPr>
        <w:t xml:space="preserve"> </w:t>
      </w:r>
    </w:p>
    <w:p w14:paraId="5FECDEDF" w14:textId="6945999B" w:rsidR="00C86752" w:rsidRPr="00355323" w:rsidRDefault="00C86752" w:rsidP="0068260B">
      <w:pPr>
        <w:shd w:val="clear" w:color="auto" w:fill="A6A6A6" w:themeFill="background1" w:themeFillShade="A6"/>
        <w:tabs>
          <w:tab w:val="clear" w:pos="567"/>
          <w:tab w:val="clear" w:pos="1134"/>
          <w:tab w:val="left" w:pos="2835"/>
          <w:tab w:val="left" w:pos="3402"/>
        </w:tabs>
        <w:spacing w:after="120"/>
        <w:ind w:left="1134" w:firstLine="564"/>
        <w:rPr>
          <w:rFonts w:eastAsia="Times New Roman"/>
        </w:rPr>
      </w:pPr>
      <w:r w:rsidRPr="00355323">
        <w:rPr>
          <w:rFonts w:eastAsia="Times New Roman"/>
        </w:rPr>
        <w:lastRenderedPageBreak/>
        <w:t>(</w:t>
      </w:r>
      <w:r w:rsidR="0022096F">
        <w:rPr>
          <w:rFonts w:eastAsia="Times New Roman"/>
        </w:rPr>
        <w:t>g</w:t>
      </w:r>
      <w:r w:rsidRPr="00355323">
        <w:rPr>
          <w:rFonts w:eastAsia="Times New Roman"/>
        </w:rPr>
        <w:t>)</w:t>
      </w:r>
      <w:r w:rsidRPr="002E56A4">
        <w:tab/>
      </w:r>
      <w:r w:rsidRPr="00355323">
        <w:rPr>
          <w:rFonts w:eastAsia="Times New Roman"/>
        </w:rPr>
        <w:t>To make the findings from the global report easily accessible, including through the development of information dashboards on the clearing-house mechanism of the Convention on Biological Diversity;</w:t>
      </w:r>
      <w:r w:rsidRPr="00355323">
        <w:rPr>
          <w:rStyle w:val="FootnoteReference"/>
          <w:rFonts w:eastAsia="Times New Roman"/>
        </w:rPr>
        <w:footnoteReference w:id="12"/>
      </w:r>
      <w:r w:rsidRPr="002E56A4">
        <w:rPr>
          <w:rFonts w:eastAsia="Times New Roman"/>
        </w:rPr>
        <w:t xml:space="preserve"> </w:t>
      </w:r>
    </w:p>
    <w:p w14:paraId="1D2EFEC9" w14:textId="042FD7ED" w:rsidR="00C86752" w:rsidRPr="002E56A4" w:rsidRDefault="00C86752" w:rsidP="0068260B">
      <w:pPr>
        <w:shd w:val="clear" w:color="auto" w:fill="A6A6A6" w:themeFill="background1" w:themeFillShade="A6"/>
        <w:tabs>
          <w:tab w:val="clear" w:pos="567"/>
          <w:tab w:val="clear" w:pos="1134"/>
          <w:tab w:val="left" w:pos="2835"/>
          <w:tab w:val="left" w:pos="3402"/>
        </w:tabs>
        <w:spacing w:after="120"/>
        <w:ind w:left="1134" w:firstLine="564"/>
      </w:pPr>
      <w:r w:rsidRPr="00355323">
        <w:rPr>
          <w:rFonts w:eastAsia="Times New Roman"/>
        </w:rPr>
        <w:t>(</w:t>
      </w:r>
      <w:r w:rsidR="0022096F">
        <w:rPr>
          <w:rFonts w:eastAsia="Times New Roman"/>
        </w:rPr>
        <w:t>h</w:t>
      </w:r>
      <w:r w:rsidRPr="00355323">
        <w:rPr>
          <w:rFonts w:eastAsia="Times New Roman"/>
        </w:rPr>
        <w:t>)</w:t>
      </w:r>
      <w:r w:rsidRPr="002E56A4">
        <w:tab/>
      </w:r>
      <w:r w:rsidRPr="00355323">
        <w:rPr>
          <w:rFonts w:eastAsia="Times New Roman"/>
        </w:rPr>
        <w:t xml:space="preserve">To continue to coordinate and collaborate with relevant partners to provide capacity-building and development </w:t>
      </w:r>
      <w:r>
        <w:rPr>
          <w:rFonts w:eastAsia="Times New Roman"/>
        </w:rPr>
        <w:t xml:space="preserve">support </w:t>
      </w:r>
      <w:r w:rsidRPr="00355323">
        <w:rPr>
          <w:rFonts w:eastAsia="Times New Roman"/>
        </w:rPr>
        <w:t>to Parties and actors other than national Governments aimed at improving national monitoring and knowledge management systems.</w:t>
      </w:r>
    </w:p>
    <w:p w14:paraId="247DF393" w14:textId="3A7B5BB7" w:rsidR="008D797A" w:rsidRPr="002E56A4" w:rsidRDefault="00DA1C69" w:rsidP="0068260B">
      <w:pPr>
        <w:pStyle w:val="CBDH2"/>
        <w:tabs>
          <w:tab w:val="clear" w:pos="567"/>
        </w:tabs>
        <w:spacing w:after="240"/>
        <w:ind w:left="1134"/>
        <w:jc w:val="left"/>
      </w:pPr>
      <w:r>
        <w:t>B</w:t>
      </w:r>
      <w:r w:rsidR="008D797A" w:rsidRPr="002E56A4">
        <w:rPr>
          <w:szCs w:val="24"/>
        </w:rPr>
        <w:t>.</w:t>
      </w:r>
      <w:r w:rsidR="008D797A" w:rsidRPr="002E56A4">
        <w:rPr>
          <w:szCs w:val="24"/>
        </w:rPr>
        <w:tab/>
      </w:r>
      <w:r w:rsidRPr="00DA1C69">
        <w:rPr>
          <w:szCs w:val="24"/>
        </w:rPr>
        <w:t>Further enhancing planning, monitoring, reporting and review mechanisms, including the monitoring framework for the Kunming-Montreal Global Biodiversity Framework</w:t>
      </w:r>
    </w:p>
    <w:p w14:paraId="0EF62373" w14:textId="77777777" w:rsidR="008D797A" w:rsidRPr="002E56A4" w:rsidRDefault="008D797A" w:rsidP="008D797A">
      <w:pPr>
        <w:pStyle w:val="CBDNormalNoNumber"/>
        <w:keepNext/>
        <w:keepLines/>
        <w:shd w:val="clear" w:color="auto" w:fill="A6A6A6" w:themeFill="background1" w:themeFillShade="A6"/>
        <w:tabs>
          <w:tab w:val="clear" w:pos="567"/>
        </w:tabs>
        <w:ind w:left="1134" w:firstLine="567"/>
        <w:rPr>
          <w:kern w:val="22"/>
          <w:lang w:val="en-CA"/>
        </w:rPr>
      </w:pPr>
      <w:r w:rsidRPr="002E56A4">
        <w:rPr>
          <w:i/>
          <w:iCs/>
        </w:rPr>
        <w:t>The Conference of the Parties</w:t>
      </w:r>
      <w:r w:rsidRPr="002E56A4">
        <w:t>,</w:t>
      </w:r>
    </w:p>
    <w:p w14:paraId="13BAAC7A" w14:textId="297A534C" w:rsidR="008D797A" w:rsidRPr="002E56A4" w:rsidRDefault="008D797A" w:rsidP="0068260B">
      <w:pPr>
        <w:pStyle w:val="CBDNormalNoNumber"/>
        <w:shd w:val="clear" w:color="auto" w:fill="A6A6A6" w:themeFill="background1" w:themeFillShade="A6"/>
        <w:tabs>
          <w:tab w:val="clear" w:pos="567"/>
          <w:tab w:val="clear" w:pos="1134"/>
        </w:tabs>
        <w:ind w:left="1134" w:firstLine="567"/>
        <w:rPr>
          <w:iCs/>
          <w:kern w:val="22"/>
        </w:rPr>
      </w:pPr>
      <w:r w:rsidRPr="002E56A4">
        <w:rPr>
          <w:i/>
          <w:kern w:val="22"/>
        </w:rPr>
        <w:t xml:space="preserve">Recalling </w:t>
      </w:r>
      <w:r w:rsidRPr="002E56A4">
        <w:rPr>
          <w:iCs/>
          <w:kern w:val="22"/>
        </w:rPr>
        <w:t xml:space="preserve">its decisions </w:t>
      </w:r>
      <w:hyperlink r:id="rId22" w:history="1">
        <w:r w:rsidRPr="005D597B">
          <w:rPr>
            <w:rStyle w:val="Hyperlink"/>
            <w:iCs/>
            <w:kern w:val="22"/>
          </w:rPr>
          <w:t>15/4</w:t>
        </w:r>
      </w:hyperlink>
      <w:r w:rsidRPr="002E56A4">
        <w:rPr>
          <w:iCs/>
          <w:kern w:val="22"/>
        </w:rPr>
        <w:t xml:space="preserve">, </w:t>
      </w:r>
      <w:hyperlink r:id="rId23" w:history="1">
        <w:r w:rsidRPr="005D597B">
          <w:rPr>
            <w:rStyle w:val="Hyperlink"/>
            <w:iCs/>
            <w:kern w:val="22"/>
          </w:rPr>
          <w:t>15/5</w:t>
        </w:r>
      </w:hyperlink>
      <w:r w:rsidRPr="002E56A4">
        <w:rPr>
          <w:iCs/>
          <w:kern w:val="22"/>
        </w:rPr>
        <w:t xml:space="preserve">, </w:t>
      </w:r>
      <w:hyperlink r:id="rId24" w:history="1">
        <w:r w:rsidRPr="005D597B">
          <w:rPr>
            <w:rStyle w:val="Hyperlink"/>
            <w:iCs/>
            <w:kern w:val="22"/>
          </w:rPr>
          <w:t>15/6</w:t>
        </w:r>
      </w:hyperlink>
      <w:r w:rsidRPr="002E56A4">
        <w:rPr>
          <w:iCs/>
          <w:kern w:val="22"/>
        </w:rPr>
        <w:t xml:space="preserve"> of 19 December 2022, </w:t>
      </w:r>
      <w:hyperlink r:id="rId25" w:history="1">
        <w:r w:rsidRPr="009F5A1A">
          <w:rPr>
            <w:rStyle w:val="Hyperlink"/>
            <w:iCs/>
            <w:kern w:val="22"/>
          </w:rPr>
          <w:t>16/4</w:t>
        </w:r>
      </w:hyperlink>
      <w:r w:rsidRPr="002E56A4">
        <w:rPr>
          <w:iCs/>
          <w:kern w:val="22"/>
        </w:rPr>
        <w:t xml:space="preserve"> of 30 October</w:t>
      </w:r>
      <w:r>
        <w:rPr>
          <w:iCs/>
          <w:kern w:val="22"/>
        </w:rPr>
        <w:t> </w:t>
      </w:r>
      <w:r w:rsidRPr="002E56A4">
        <w:rPr>
          <w:iCs/>
          <w:kern w:val="22"/>
        </w:rPr>
        <w:t xml:space="preserve">2024 and </w:t>
      </w:r>
      <w:hyperlink r:id="rId26" w:history="1">
        <w:r w:rsidRPr="009F5A1A">
          <w:rPr>
            <w:rStyle w:val="Hyperlink"/>
            <w:iCs/>
            <w:kern w:val="22"/>
          </w:rPr>
          <w:t>16/31</w:t>
        </w:r>
      </w:hyperlink>
      <w:r w:rsidRPr="002E56A4">
        <w:rPr>
          <w:iCs/>
          <w:kern w:val="22"/>
        </w:rPr>
        <w:t xml:space="preserve"> and </w:t>
      </w:r>
      <w:hyperlink r:id="rId27" w:history="1">
        <w:r w:rsidRPr="009F5A1A">
          <w:rPr>
            <w:rStyle w:val="Hyperlink"/>
            <w:iCs/>
            <w:kern w:val="22"/>
          </w:rPr>
          <w:t>16/32</w:t>
        </w:r>
      </w:hyperlink>
      <w:r w:rsidRPr="002E56A4">
        <w:rPr>
          <w:iCs/>
          <w:kern w:val="22"/>
        </w:rPr>
        <w:t xml:space="preserve"> of 27 February 2025, </w:t>
      </w:r>
    </w:p>
    <w:p w14:paraId="2C184B3E" w14:textId="54DA5FF4" w:rsidR="00F16D98" w:rsidRDefault="008D797A" w:rsidP="0068260B">
      <w:pPr>
        <w:pStyle w:val="CBDNormalNoNumber"/>
        <w:shd w:val="clear" w:color="auto" w:fill="A6A6A6" w:themeFill="background1" w:themeFillShade="A6"/>
        <w:tabs>
          <w:tab w:val="clear" w:pos="567"/>
          <w:tab w:val="clear" w:pos="1134"/>
        </w:tabs>
        <w:ind w:left="1134" w:firstLine="567"/>
      </w:pPr>
      <w:r w:rsidRPr="002E56A4">
        <w:rPr>
          <w:i/>
          <w:iCs/>
        </w:rPr>
        <w:t>Noting</w:t>
      </w:r>
      <w:r w:rsidRPr="002E56A4">
        <w:t xml:space="preserve"> that there are still gaps related to the coverage, methodologies and metadata for existing indicators and the operationalization of the monitoring framework for the Kunming-Montreal Global Biodiversity Framework,</w:t>
      </w:r>
      <w:r w:rsidRPr="002E56A4">
        <w:rPr>
          <w:rStyle w:val="FootnoteReference"/>
        </w:rPr>
        <w:footnoteReference w:id="13"/>
      </w:r>
      <w:r w:rsidRPr="002E56A4">
        <w:t xml:space="preserve"> </w:t>
      </w:r>
    </w:p>
    <w:p w14:paraId="0ECBDB02" w14:textId="09C280BB" w:rsidR="00E27101" w:rsidRDefault="00E27101" w:rsidP="0068260B">
      <w:pPr>
        <w:pStyle w:val="CBDNormalNoNumber"/>
        <w:tabs>
          <w:tab w:val="clear" w:pos="567"/>
        </w:tabs>
        <w:ind w:left="1134" w:firstLine="567"/>
      </w:pPr>
      <w:r w:rsidRPr="0068260B">
        <w:rPr>
          <w:i/>
        </w:rPr>
        <w:t>Noting with appreciation</w:t>
      </w:r>
      <w:r w:rsidRPr="00F16D98">
        <w:t xml:space="preserve"> the support provided to Parties for developing national biodiversity strategies and actions plans and national reports</w:t>
      </w:r>
      <w:r w:rsidR="00921479">
        <w:t>,</w:t>
      </w:r>
    </w:p>
    <w:p w14:paraId="13963D69" w14:textId="47381B72" w:rsidR="00F16D98" w:rsidRPr="00F16D98" w:rsidRDefault="00072D00" w:rsidP="0068260B">
      <w:pPr>
        <w:pStyle w:val="CBDNormalNoNumber"/>
        <w:tabs>
          <w:tab w:val="clear" w:pos="567"/>
          <w:tab w:val="clear" w:pos="1134"/>
        </w:tabs>
        <w:ind w:left="1134" w:firstLine="567"/>
      </w:pPr>
      <w:r>
        <w:t>1.</w:t>
      </w:r>
      <w:r w:rsidR="00E25F26">
        <w:tab/>
      </w:r>
      <w:r w:rsidR="00F16D98" w:rsidRPr="00072D00">
        <w:rPr>
          <w:i/>
          <w:iCs/>
        </w:rPr>
        <w:t>Welcomes</w:t>
      </w:r>
      <w:r w:rsidR="00F16D98" w:rsidRPr="00F16D98">
        <w:t xml:space="preserve"> with appreciation the efforts made by Parties to develop national biodiversity strategies and action plans and national </w:t>
      </w:r>
      <w:r w:rsidR="00F16D98">
        <w:t>targets</w:t>
      </w:r>
      <w:r w:rsidR="00F16D98" w:rsidRPr="00F16D98">
        <w:t xml:space="preserve"> aligned with the Framework and to develop and submit their seventh national reports on time;</w:t>
      </w:r>
    </w:p>
    <w:p w14:paraId="0C45F3A8" w14:textId="61A63E35" w:rsidR="00072D00" w:rsidRDefault="00F16D98" w:rsidP="0068260B">
      <w:pPr>
        <w:pStyle w:val="CBDNormalNoNumber"/>
        <w:tabs>
          <w:tab w:val="clear" w:pos="567"/>
          <w:tab w:val="clear" w:pos="1134"/>
        </w:tabs>
        <w:ind w:left="1134" w:firstLine="567"/>
      </w:pPr>
      <w:r>
        <w:rPr>
          <w:iCs/>
        </w:rPr>
        <w:t>2.</w:t>
      </w:r>
      <w:r w:rsidR="00E25F26">
        <w:rPr>
          <w:iCs/>
        </w:rPr>
        <w:tab/>
      </w:r>
      <w:r>
        <w:rPr>
          <w:i/>
        </w:rPr>
        <w:t>Notes with concern</w:t>
      </w:r>
      <w:r w:rsidRPr="00761E1C">
        <w:rPr>
          <w:iCs/>
        </w:rPr>
        <w:t xml:space="preserve"> </w:t>
      </w:r>
      <w:r>
        <w:rPr>
          <w:iCs/>
        </w:rPr>
        <w:t>that all Parties, especially developing country Parties, in particular least developed countries, small island developing States, faced institutional, technical, capacity and resource challenges in preparing national biodiversity strategies and action plans, national targets and national reports, including challenges related to delays in the  initiation of the Global Environment Facility and its implementing agencies support for preparing these policy documents, and that some Parties were not able to provide complete national reports, in particular related to the use of indicators and that some Parties were not able to develop and submit national biodiversity strategies and action plans aligned with national targets and/or national reports in time for them to be considered in the preparation of the global report on collective progress in the implementation of the Framework;</w:t>
      </w:r>
    </w:p>
    <w:p w14:paraId="21269CF2" w14:textId="335A1CE1" w:rsidR="00E25F26" w:rsidRDefault="00072D00" w:rsidP="0068260B">
      <w:pPr>
        <w:pStyle w:val="CBDNormalNoNumber"/>
        <w:tabs>
          <w:tab w:val="clear" w:pos="567"/>
          <w:tab w:val="clear" w:pos="1134"/>
        </w:tabs>
        <w:ind w:left="1134" w:firstLine="567"/>
      </w:pPr>
      <w:r>
        <w:t>3.</w:t>
      </w:r>
      <w:r w:rsidR="00E25F26">
        <w:tab/>
      </w:r>
      <w:r w:rsidR="00F16D98">
        <w:rPr>
          <w:i/>
        </w:rPr>
        <w:t xml:space="preserve">Urges </w:t>
      </w:r>
      <w:r w:rsidR="00F16D98">
        <w:rPr>
          <w:iCs/>
        </w:rPr>
        <w:t xml:space="preserve">Parties to ensure their most recent national biodiversity strategies and action plans and national targets is the version available in the online reporting tool, </w:t>
      </w:r>
      <w:proofErr w:type="gramStart"/>
      <w:r w:rsidR="00F16D98">
        <w:rPr>
          <w:iCs/>
        </w:rPr>
        <w:t>in particular before</w:t>
      </w:r>
      <w:proofErr w:type="gramEnd"/>
      <w:r w:rsidR="00F16D98">
        <w:rPr>
          <w:iCs/>
        </w:rPr>
        <w:t xml:space="preserve"> preparing their eighth national reports; </w:t>
      </w:r>
    </w:p>
    <w:p w14:paraId="453836F1" w14:textId="3840A1F0" w:rsidR="00E25F26" w:rsidRDefault="00F16D98" w:rsidP="0068260B">
      <w:pPr>
        <w:pStyle w:val="CBDNormalNoNumber"/>
        <w:tabs>
          <w:tab w:val="clear" w:pos="567"/>
          <w:tab w:val="clear" w:pos="1134"/>
        </w:tabs>
        <w:ind w:left="1134" w:firstLine="567"/>
      </w:pPr>
      <w:r>
        <w:rPr>
          <w:iCs/>
        </w:rPr>
        <w:t>[4.</w:t>
      </w:r>
      <w:r>
        <w:rPr>
          <w:iCs/>
        </w:rPr>
        <w:tab/>
      </w:r>
      <w:r>
        <w:rPr>
          <w:i/>
        </w:rPr>
        <w:t>Invites</w:t>
      </w:r>
      <w:r>
        <w:rPr>
          <w:iCs/>
        </w:rPr>
        <w:t xml:space="preserve"> Parties, where relevant, to provide [more detailed] information on the national targets in the online reporting tool in order to provide further information, which is relevant for the second global report, in particular, to provide [more] details or optional information in the template [on the scope and coverage of national targets, including of the biomes, drivers, and global target elements addressed by each national target][ [which would allow the [assessment of the implementation of [consistent with] </w:t>
      </w:r>
      <w:r w:rsidR="00FA1068">
        <w:rPr>
          <w:iCs/>
        </w:rPr>
        <w:t>s</w:t>
      </w:r>
      <w:r>
        <w:rPr>
          <w:iCs/>
        </w:rPr>
        <w:t xml:space="preserve">ection C of the Framework or]] to capture the actions </w:t>
      </w:r>
      <w:r w:rsidRPr="00401696">
        <w:rPr>
          <w:iCs/>
        </w:rPr>
        <w:t>o</w:t>
      </w:r>
      <w:r>
        <w:rPr>
          <w:iCs/>
        </w:rPr>
        <w:t>r efforts from across Government;]] [ and society in particular contributions of indigenous peoples and local communities, women and youth</w:t>
      </w:r>
      <w:r w:rsidR="007523EB">
        <w:rPr>
          <w:iCs/>
        </w:rPr>
        <w:t>;</w:t>
      </w:r>
      <w:r>
        <w:rPr>
          <w:iCs/>
        </w:rPr>
        <w:t>]]</w:t>
      </w:r>
    </w:p>
    <w:p w14:paraId="3647B097" w14:textId="04EFEADC" w:rsidR="00F16D98" w:rsidRPr="00E25F26" w:rsidRDefault="00F16D98" w:rsidP="0068260B">
      <w:pPr>
        <w:pStyle w:val="CBDNormalNoNumber"/>
        <w:tabs>
          <w:tab w:val="clear" w:pos="567"/>
          <w:tab w:val="clear" w:pos="1134"/>
        </w:tabs>
        <w:ind w:left="1134" w:firstLine="567"/>
      </w:pPr>
      <w:r w:rsidRPr="00CB40BE">
        <w:rPr>
          <w:iCs/>
        </w:rPr>
        <w:t>[4</w:t>
      </w:r>
      <w:r w:rsidR="00376898">
        <w:rPr>
          <w:iCs/>
        </w:rPr>
        <w:t>.</w:t>
      </w:r>
      <w:r w:rsidRPr="00CB40BE">
        <w:rPr>
          <w:iCs/>
        </w:rPr>
        <w:t xml:space="preserve"> </w:t>
      </w:r>
      <w:r w:rsidR="00376898">
        <w:rPr>
          <w:iCs/>
        </w:rPr>
        <w:t>A</w:t>
      </w:r>
      <w:r w:rsidRPr="00CB40BE">
        <w:rPr>
          <w:iCs/>
        </w:rPr>
        <w:t>lt</w:t>
      </w:r>
      <w:r w:rsidR="00E25F26" w:rsidRPr="00CB40BE">
        <w:rPr>
          <w:iCs/>
        </w:rPr>
        <w:t>.</w:t>
      </w:r>
      <w:r w:rsidR="007523EB">
        <w:rPr>
          <w:i/>
        </w:rPr>
        <w:tab/>
      </w:r>
      <w:r w:rsidRPr="00D23656">
        <w:rPr>
          <w:i/>
        </w:rPr>
        <w:t>Invites</w:t>
      </w:r>
      <w:r>
        <w:rPr>
          <w:iCs/>
        </w:rPr>
        <w:t xml:space="preserve"> Parties, where relevant, and that wish to do so, to further complete the optional fields in the reporting template for national targets, in particular, the optional information in the template on the application of considerations of section C of the Framework </w:t>
      </w:r>
      <w:r>
        <w:rPr>
          <w:iCs/>
        </w:rPr>
        <w:lastRenderedPageBreak/>
        <w:t xml:space="preserve">or actions or efforts of the actors other than the national </w:t>
      </w:r>
      <w:r w:rsidR="00FA1068">
        <w:rPr>
          <w:iCs/>
        </w:rPr>
        <w:t>G</w:t>
      </w:r>
      <w:r>
        <w:rPr>
          <w:iCs/>
        </w:rPr>
        <w:t>overnments [and information on the scope and coverage of national targets, including of the biomes, drivers, and global target elements addressed by each national target</w:t>
      </w:r>
      <w:r w:rsidR="007523EB">
        <w:rPr>
          <w:iCs/>
        </w:rPr>
        <w:t>;</w:t>
      </w:r>
      <w:r>
        <w:rPr>
          <w:iCs/>
        </w:rPr>
        <w:t>]</w:t>
      </w:r>
    </w:p>
    <w:p w14:paraId="5568A8C0" w14:textId="4ABD9F70" w:rsidR="00E25F26" w:rsidRDefault="00F16D98" w:rsidP="0068260B">
      <w:pPr>
        <w:pStyle w:val="CBDNormalNoNumber"/>
        <w:tabs>
          <w:tab w:val="clear" w:pos="567"/>
          <w:tab w:val="clear" w:pos="1134"/>
        </w:tabs>
        <w:ind w:left="1134" w:firstLine="567"/>
        <w:rPr>
          <w:iCs/>
        </w:rPr>
      </w:pPr>
      <w:r>
        <w:rPr>
          <w:iCs/>
        </w:rPr>
        <w:t>5.</w:t>
      </w:r>
      <w:r>
        <w:rPr>
          <w:iCs/>
        </w:rPr>
        <w:tab/>
      </w:r>
      <w:r>
        <w:rPr>
          <w:i/>
        </w:rPr>
        <w:t xml:space="preserve">Invites </w:t>
      </w:r>
      <w:r>
        <w:rPr>
          <w:iCs/>
        </w:rPr>
        <w:t>actors other than national Governments to continue to share information on their commitments to the Framework, including on progress made towards meeting those commitments, through the online reporting tool and to do so well ahead of the deadline for the eighth national reports of 30 June 2029;</w:t>
      </w:r>
    </w:p>
    <w:p w14:paraId="08D5B358" w14:textId="4AC27BAB" w:rsidR="00E25F26" w:rsidRDefault="00F16D98" w:rsidP="0068260B">
      <w:pPr>
        <w:pStyle w:val="CBDNormalNoNumber"/>
        <w:tabs>
          <w:tab w:val="clear" w:pos="567"/>
          <w:tab w:val="clear" w:pos="1134"/>
        </w:tabs>
        <w:ind w:left="1134" w:firstLine="567"/>
        <w:rPr>
          <w:iCs/>
        </w:rPr>
      </w:pPr>
      <w:r>
        <w:rPr>
          <w:iCs/>
        </w:rPr>
        <w:t>6.</w:t>
      </w:r>
      <w:r>
        <w:rPr>
          <w:iCs/>
        </w:rPr>
        <w:tab/>
      </w:r>
      <w:r>
        <w:rPr>
          <w:i/>
        </w:rPr>
        <w:t>Recognizes</w:t>
      </w:r>
      <w:r>
        <w:rPr>
          <w:iCs/>
        </w:rPr>
        <w:t xml:space="preserve"> that there were information and data gaps in the global report due to the fact that not all Parties provided national biodiversity strategies and action plans and a national report and that the national reports provided contained information gaps, particularly related to the use of indicators, as described in decision 17/-- on the global review;</w:t>
      </w:r>
    </w:p>
    <w:p w14:paraId="6ECCB209" w14:textId="596BE421" w:rsidR="00E25F26" w:rsidRDefault="00F16D98" w:rsidP="0068260B">
      <w:pPr>
        <w:pStyle w:val="CBDNormalNoNumber"/>
        <w:tabs>
          <w:tab w:val="clear" w:pos="567"/>
          <w:tab w:val="clear" w:pos="1134"/>
        </w:tabs>
        <w:ind w:left="1134" w:firstLine="567"/>
        <w:rPr>
          <w:iCs/>
        </w:rPr>
      </w:pPr>
      <w:r>
        <w:rPr>
          <w:iCs/>
        </w:rPr>
        <w:t>7.</w:t>
      </w:r>
      <w:r>
        <w:rPr>
          <w:iCs/>
        </w:rPr>
        <w:tab/>
      </w:r>
      <w:r>
        <w:rPr>
          <w:i/>
        </w:rPr>
        <w:t xml:space="preserve">Emphasizes </w:t>
      </w:r>
      <w:r>
        <w:rPr>
          <w:iCs/>
        </w:rPr>
        <w:t xml:space="preserve">that future global review and global report of collective implementation should continue to strengthen their scientific robustness, inclusiveness, transparency and ability to assess implementation outcomes and effectiveness; [[and make use of the] [including based on the] full list of agreed sources [contained in decision </w:t>
      </w:r>
      <w:hyperlink r:id="rId28" w:history="1">
        <w:r w:rsidRPr="00882B58">
          <w:rPr>
            <w:rStyle w:val="Hyperlink"/>
            <w:iCs/>
          </w:rPr>
          <w:t>16/32</w:t>
        </w:r>
      </w:hyperlink>
      <w:r w:rsidR="00882B58">
        <w:rPr>
          <w:iCs/>
        </w:rPr>
        <w:t>,</w:t>
      </w:r>
      <w:r>
        <w:rPr>
          <w:iCs/>
        </w:rPr>
        <w:t xml:space="preserve"> paragraph</w:t>
      </w:r>
      <w:r w:rsidR="00921479">
        <w:rPr>
          <w:iCs/>
        </w:rPr>
        <w:t> </w:t>
      </w:r>
      <w:r>
        <w:rPr>
          <w:iCs/>
        </w:rPr>
        <w:t>18]] [, recognizing national reports as their primary source]</w:t>
      </w:r>
      <w:r w:rsidR="00921479">
        <w:rPr>
          <w:iCs/>
        </w:rPr>
        <w:t>;</w:t>
      </w:r>
    </w:p>
    <w:p w14:paraId="4B2B96E5" w14:textId="0C48D8D4" w:rsidR="00E25F26" w:rsidRDefault="00F16D98" w:rsidP="0068260B">
      <w:pPr>
        <w:pStyle w:val="CBDNormalNoNumber"/>
        <w:tabs>
          <w:tab w:val="clear" w:pos="567"/>
          <w:tab w:val="clear" w:pos="1134"/>
        </w:tabs>
        <w:ind w:left="1134" w:firstLine="567"/>
        <w:rPr>
          <w:iCs/>
        </w:rPr>
      </w:pPr>
      <w:r>
        <w:rPr>
          <w:iCs/>
        </w:rPr>
        <w:t>8.</w:t>
      </w:r>
      <w:r w:rsidR="00E25F26">
        <w:rPr>
          <w:iCs/>
        </w:rPr>
        <w:tab/>
      </w:r>
      <w:r>
        <w:rPr>
          <w:i/>
        </w:rPr>
        <w:t>Stresses</w:t>
      </w:r>
      <w:r>
        <w:rPr>
          <w:iCs/>
        </w:rPr>
        <w:t xml:space="preserve"> that improving the second global review of collective implementation will require strengthening of national reporting, including the use of indicators and the further improvement of national monitoring systems, and strengthening the process for preparing the second global report</w:t>
      </w:r>
      <w:r w:rsidR="00150AC2">
        <w:rPr>
          <w:iCs/>
        </w:rPr>
        <w:t xml:space="preserve"> </w:t>
      </w:r>
      <w:r>
        <w:rPr>
          <w:iCs/>
        </w:rPr>
        <w:t>on collective progress in implementation;</w:t>
      </w:r>
    </w:p>
    <w:p w14:paraId="52D64DF4" w14:textId="51A5DD2E" w:rsidR="00F16D98" w:rsidRPr="00401696" w:rsidRDefault="00F16D98" w:rsidP="0068260B">
      <w:pPr>
        <w:pStyle w:val="CBDNormalNoNumber"/>
        <w:tabs>
          <w:tab w:val="clear" w:pos="567"/>
          <w:tab w:val="clear" w:pos="1134"/>
        </w:tabs>
        <w:ind w:left="1134" w:firstLine="567"/>
        <w:rPr>
          <w:iCs/>
        </w:rPr>
      </w:pPr>
      <w:r>
        <w:rPr>
          <w:iCs/>
        </w:rPr>
        <w:t>9.</w:t>
      </w:r>
      <w:r>
        <w:rPr>
          <w:iCs/>
        </w:rPr>
        <w:tab/>
      </w:r>
      <w:r>
        <w:rPr>
          <w:i/>
        </w:rPr>
        <w:t>Requests</w:t>
      </w:r>
      <w:r>
        <w:rPr>
          <w:iCs/>
        </w:rPr>
        <w:t xml:space="preserve"> the Global Environment Facility, and </w:t>
      </w:r>
      <w:r w:rsidRPr="0068260B">
        <w:rPr>
          <w:iCs/>
        </w:rPr>
        <w:t>invites</w:t>
      </w:r>
      <w:r>
        <w:rPr>
          <w:iCs/>
        </w:rPr>
        <w:t xml:space="preserve"> its implementing agencies</w:t>
      </w:r>
      <w:r w:rsidR="00555B4F">
        <w:rPr>
          <w:iCs/>
        </w:rPr>
        <w:t>,</w:t>
      </w:r>
      <w:r>
        <w:rPr>
          <w:iCs/>
        </w:rPr>
        <w:t xml:space="preserve"> </w:t>
      </w:r>
      <w:r w:rsidR="00555B4F">
        <w:rPr>
          <w:iCs/>
        </w:rPr>
        <w:t>before</w:t>
      </w:r>
      <w:r>
        <w:rPr>
          <w:iCs/>
        </w:rPr>
        <w:t xml:space="preserve"> the eighteenth meeting of the Conference of the Parties,</w:t>
      </w:r>
      <w:r w:rsidR="00150AC2">
        <w:rPr>
          <w:iCs/>
        </w:rPr>
        <w:t xml:space="preserve"> </w:t>
      </w:r>
      <w:r>
        <w:rPr>
          <w:iCs/>
        </w:rPr>
        <w:t xml:space="preserve">to ensure </w:t>
      </w:r>
      <w:r w:rsidR="00DB164A">
        <w:rPr>
          <w:iCs/>
        </w:rPr>
        <w:t xml:space="preserve">that </w:t>
      </w:r>
      <w:r>
        <w:rPr>
          <w:iCs/>
        </w:rPr>
        <w:t xml:space="preserve">timely, adequate and accessible resources [and required organizational measures] are provided for the eighth round of national reporting, including support for making use of the headline indicators in the monitoring framework, and to initiate </w:t>
      </w:r>
      <w:r w:rsidR="00DB164A">
        <w:rPr>
          <w:iCs/>
        </w:rPr>
        <w:t xml:space="preserve">such </w:t>
      </w:r>
      <w:r>
        <w:rPr>
          <w:iCs/>
        </w:rPr>
        <w:t>support in a timely [and accelerated] manner and in a way that supports country ownership and the early engagement of relevant national authorities;</w:t>
      </w:r>
    </w:p>
    <w:p w14:paraId="027977A4" w14:textId="5073C4C3" w:rsidR="00F16D98" w:rsidRPr="00401696" w:rsidRDefault="00F16D98" w:rsidP="0068260B">
      <w:pPr>
        <w:pStyle w:val="CBDNormalNoNumber"/>
        <w:tabs>
          <w:tab w:val="clear" w:pos="567"/>
          <w:tab w:val="clear" w:pos="1134"/>
        </w:tabs>
        <w:ind w:left="1134" w:firstLine="567"/>
        <w:rPr>
          <w:iCs/>
        </w:rPr>
      </w:pPr>
      <w:r>
        <w:rPr>
          <w:iCs/>
        </w:rPr>
        <w:t>10.</w:t>
      </w:r>
      <w:r>
        <w:rPr>
          <w:iCs/>
        </w:rPr>
        <w:tab/>
      </w:r>
      <w:r>
        <w:rPr>
          <w:i/>
        </w:rPr>
        <w:t xml:space="preserve">Requests </w:t>
      </w:r>
      <w:r>
        <w:rPr>
          <w:iCs/>
        </w:rPr>
        <w:t xml:space="preserve">the Subsidiary Body on Implementation, at a meeting </w:t>
      </w:r>
      <w:r w:rsidR="00555B4F">
        <w:rPr>
          <w:iCs/>
        </w:rPr>
        <w:t xml:space="preserve">held before </w:t>
      </w:r>
      <w:r>
        <w:rPr>
          <w:iCs/>
        </w:rPr>
        <w:t xml:space="preserve">the eighteenth meeting of the Conference of the Parties, </w:t>
      </w:r>
      <w:r w:rsidR="00555B4F">
        <w:rPr>
          <w:iCs/>
        </w:rPr>
        <w:t xml:space="preserve">on the </w:t>
      </w:r>
      <w:r>
        <w:rPr>
          <w:iCs/>
        </w:rPr>
        <w:t>bas</w:t>
      </w:r>
      <w:r w:rsidR="00555B4F">
        <w:rPr>
          <w:iCs/>
        </w:rPr>
        <w:t>is</w:t>
      </w:r>
      <w:r>
        <w:rPr>
          <w:iCs/>
        </w:rPr>
        <w:t xml:space="preserve"> o</w:t>
      </w:r>
      <w:r w:rsidR="00555B4F">
        <w:rPr>
          <w:iCs/>
        </w:rPr>
        <w:t>f</w:t>
      </w:r>
      <w:r>
        <w:rPr>
          <w:iCs/>
        </w:rPr>
        <w:t xml:space="preserve"> the experience gained in the preparation of the seventh national reports and </w:t>
      </w:r>
      <w:r w:rsidR="00555B4F">
        <w:rPr>
          <w:iCs/>
        </w:rPr>
        <w:t xml:space="preserve">the </w:t>
      </w:r>
      <w:r>
        <w:rPr>
          <w:iCs/>
        </w:rPr>
        <w:t xml:space="preserve">first global review, to review [and undertake a technical] [and] update, [based [noting the] [on] decision </w:t>
      </w:r>
      <w:hyperlink r:id="rId29" w:history="1">
        <w:r w:rsidRPr="0083778C">
          <w:rPr>
            <w:rStyle w:val="Hyperlink"/>
            <w:iCs/>
          </w:rPr>
          <w:t>16/32</w:t>
        </w:r>
      </w:hyperlink>
      <w:r>
        <w:rPr>
          <w:iCs/>
        </w:rPr>
        <w:t xml:space="preserve">] if needed, the concrete procedures for the second global review and the template for the eighth national reports, with a view to enhancing their robustness, transparency, and effectiveness, and to consider opportunities for enhancing engagement of actors other than national Governments, [in particular indigenous peoples and local communities, women and youth] in these processes, while stressing the need to ensure consistency between the seventh and eighth national reports and the first and second global report and preserving the Party-driven, collective, facilitative, non-intrusive and non-punitive nature of the global review process; </w:t>
      </w:r>
    </w:p>
    <w:p w14:paraId="058ECBF7" w14:textId="099C9C45" w:rsidR="00E25F26" w:rsidRDefault="00F16D98" w:rsidP="0068260B">
      <w:pPr>
        <w:pStyle w:val="CBDNormalNoNumber"/>
        <w:tabs>
          <w:tab w:val="clear" w:pos="567"/>
        </w:tabs>
        <w:ind w:left="1134" w:firstLine="567"/>
        <w:rPr>
          <w:iCs/>
        </w:rPr>
      </w:pPr>
      <w:r>
        <w:rPr>
          <w:iCs/>
        </w:rPr>
        <w:t>[11.</w:t>
      </w:r>
      <w:r>
        <w:rPr>
          <w:iCs/>
        </w:rPr>
        <w:tab/>
      </w:r>
      <w:r w:rsidR="00FE4ADC">
        <w:rPr>
          <w:i/>
        </w:rPr>
        <w:t xml:space="preserve">Also </w:t>
      </w:r>
      <w:r>
        <w:rPr>
          <w:i/>
        </w:rPr>
        <w:t>requests</w:t>
      </w:r>
      <w:r>
        <w:rPr>
          <w:iCs/>
        </w:rPr>
        <w:t xml:space="preserve"> the Subsidiary Body on Implementation to consider how the global review to be undertaken by the nineteenth meeting of the Conference of the Parties will inform the development of a post-2030 strategic plan for the Convention and to provide </w:t>
      </w:r>
      <w:r w:rsidRPr="00401696">
        <w:rPr>
          <w:iCs/>
        </w:rPr>
        <w:t xml:space="preserve">a </w:t>
      </w:r>
      <w:r>
        <w:rPr>
          <w:iCs/>
        </w:rPr>
        <w:t xml:space="preserve">concrete </w:t>
      </w:r>
      <w:r w:rsidRPr="00D23656">
        <w:rPr>
          <w:iCs/>
        </w:rPr>
        <w:t>proposal</w:t>
      </w:r>
      <w:r>
        <w:rPr>
          <w:iCs/>
        </w:rPr>
        <w:t xml:space="preserve"> for how </w:t>
      </w:r>
      <w:r w:rsidR="0094086A">
        <w:rPr>
          <w:iCs/>
        </w:rPr>
        <w:t xml:space="preserve">such a </w:t>
      </w:r>
      <w:r>
        <w:rPr>
          <w:iCs/>
        </w:rPr>
        <w:t xml:space="preserve">plan could be developed between the eighteenth and nineteenth meetings of the Conference of the Parties, including the role of the global review in informing </w:t>
      </w:r>
      <w:r w:rsidR="0094086A">
        <w:rPr>
          <w:iCs/>
        </w:rPr>
        <w:t xml:space="preserve">that </w:t>
      </w:r>
      <w:r>
        <w:rPr>
          <w:iCs/>
        </w:rPr>
        <w:t>process;]</w:t>
      </w:r>
    </w:p>
    <w:p w14:paraId="6557BC09" w14:textId="2D238D02" w:rsidR="00F16D98" w:rsidRDefault="00F16D98" w:rsidP="0068260B">
      <w:pPr>
        <w:pStyle w:val="CBDNormalNoNumber"/>
        <w:tabs>
          <w:tab w:val="clear" w:pos="567"/>
        </w:tabs>
        <w:ind w:left="1134" w:firstLine="567"/>
        <w:rPr>
          <w:iCs/>
        </w:rPr>
      </w:pPr>
      <w:r>
        <w:rPr>
          <w:iCs/>
        </w:rPr>
        <w:t>12.</w:t>
      </w:r>
      <w:r>
        <w:rPr>
          <w:iCs/>
        </w:rPr>
        <w:tab/>
      </w:r>
      <w:r>
        <w:rPr>
          <w:i/>
        </w:rPr>
        <w:t>Further requests</w:t>
      </w:r>
      <w:r>
        <w:rPr>
          <w:iCs/>
        </w:rPr>
        <w:t xml:space="preserve"> the Subsidiary Body on Implementation to consider, at a meeting held before the eighteenth meeting of the Conference of the Parties, options for reducing the reporting burden on Parties and, as appropriate, improving coherence and interoperability among relevant planning, monitoring and, reporting and review processes, including those under the Rio Conventions and other biodiversity-related multilateral </w:t>
      </w:r>
      <w:r>
        <w:rPr>
          <w:iCs/>
        </w:rPr>
        <w:lastRenderedPageBreak/>
        <w:t>environment agreements, while respecting their respective legal mandates, authority, and decisions of their governing bodies, and avoiding duplication and additional reporting requirements, for further consideration by the Conference of the Parties at its eighteenth meeting;</w:t>
      </w:r>
    </w:p>
    <w:p w14:paraId="55BF7006" w14:textId="08A12293" w:rsidR="000E2688" w:rsidRPr="002E56A4" w:rsidRDefault="009D0C05" w:rsidP="000E2688">
      <w:pPr>
        <w:pStyle w:val="CBDNormalNoNumber"/>
        <w:shd w:val="clear" w:color="auto" w:fill="A6A6A6" w:themeFill="background1" w:themeFillShade="A6"/>
        <w:tabs>
          <w:tab w:val="clear" w:pos="567"/>
        </w:tabs>
        <w:ind w:left="1134" w:firstLine="567"/>
      </w:pPr>
      <w:r>
        <w:t>13</w:t>
      </w:r>
      <w:r w:rsidR="000E2688" w:rsidRPr="002E56A4">
        <w:t>.</w:t>
      </w:r>
      <w:r w:rsidR="000E2688" w:rsidRPr="002E56A4">
        <w:tab/>
      </w:r>
      <w:r w:rsidR="000E2688" w:rsidRPr="002E56A4">
        <w:rPr>
          <w:i/>
          <w:iCs/>
        </w:rPr>
        <w:t>Requests</w:t>
      </w:r>
      <w:r w:rsidR="000E2688" w:rsidRPr="002E56A4">
        <w:t xml:space="preserve"> the Subsidiary Body on Scientific, Technical and Technological Advice to consider, at a meeting held before the eighteenth meeting of the Conference of the Parties, scientific and technical inputs relevant to the second global review of collective progress in the implementation of the Framework, specifically </w:t>
      </w:r>
      <w:r w:rsidR="000E2688" w:rsidRPr="00355323">
        <w:t>taking into account</w:t>
      </w:r>
      <w:r w:rsidR="000E2688" w:rsidRPr="002E56A4">
        <w:t xml:space="preserve"> the need to address methodological, scientific, technical and data limitations </w:t>
      </w:r>
      <w:r w:rsidR="000E2688">
        <w:t>of</w:t>
      </w:r>
      <w:r w:rsidR="000E2688" w:rsidRPr="002E56A4">
        <w:t xml:space="preserve"> the first global review, including </w:t>
      </w:r>
      <w:r w:rsidR="000E2688" w:rsidRPr="00355323">
        <w:t>[further methodological development of headline indicators that remain at a low level of development and methodological readiness,]</w:t>
      </w:r>
      <w:r w:rsidR="000E2688" w:rsidRPr="002E56A4">
        <w:t xml:space="preserve"> ways to reflect, among other inputs, the relevant deliverables of the Intergovernmental Science-Policy Platform on Biodiversity and Ecosystem Services, in particular its second global assessment of biodiversity and ecosystem services, while recognizing that </w:t>
      </w:r>
      <w:r w:rsidR="000E2688" w:rsidRPr="00355323">
        <w:t xml:space="preserve">[the sources of information were agreed in paragraph 18 decision </w:t>
      </w:r>
      <w:hyperlink r:id="rId30" w:history="1">
        <w:r w:rsidR="000E2688" w:rsidRPr="00355323">
          <w:rPr>
            <w:rStyle w:val="Hyperlink"/>
          </w:rPr>
          <w:t>16/32</w:t>
        </w:r>
      </w:hyperlink>
      <w:r w:rsidR="000E2688" w:rsidRPr="00355323">
        <w:t xml:space="preserve"> and that</w:t>
      </w:r>
      <w:r w:rsidR="000E2688">
        <w:t>]</w:t>
      </w:r>
      <w:r w:rsidR="000E2688" w:rsidRPr="00355323">
        <w:t xml:space="preserve"> the eighth</w:t>
      </w:r>
      <w:r w:rsidR="000E2688" w:rsidRPr="002E56A4">
        <w:t xml:space="preserve"> national reports remain the primary source of information for the </w:t>
      </w:r>
      <w:r w:rsidR="000E2688" w:rsidRPr="00355323">
        <w:t>second</w:t>
      </w:r>
      <w:r w:rsidR="000E2688" w:rsidRPr="002E56A4">
        <w:t xml:space="preserve"> global review, and respecting the respective mandates of the Convention and the Platform;</w:t>
      </w:r>
    </w:p>
    <w:p w14:paraId="2C396C80" w14:textId="0EA35320" w:rsidR="000E2688" w:rsidRPr="002E56A4" w:rsidRDefault="009D0C05" w:rsidP="000E2688">
      <w:pPr>
        <w:pStyle w:val="CBDNormalNoNumber"/>
        <w:shd w:val="clear" w:color="auto" w:fill="A6A6A6" w:themeFill="background1" w:themeFillShade="A6"/>
        <w:ind w:left="1134" w:firstLine="567"/>
        <w:rPr>
          <w:i/>
          <w:iCs/>
          <w:lang w:val="en-CA"/>
        </w:rPr>
      </w:pPr>
      <w:r>
        <w:rPr>
          <w:kern w:val="22"/>
        </w:rPr>
        <w:t>14</w:t>
      </w:r>
      <w:r w:rsidR="000E2688" w:rsidRPr="002E56A4">
        <w:rPr>
          <w:kern w:val="22"/>
        </w:rPr>
        <w:t>.</w:t>
      </w:r>
      <w:r w:rsidR="000E2688" w:rsidRPr="002E56A4">
        <w:rPr>
          <w:i/>
          <w:kern w:val="22"/>
        </w:rPr>
        <w:tab/>
      </w:r>
      <w:r w:rsidR="000E2688" w:rsidRPr="002E56A4">
        <w:rPr>
          <w:i/>
          <w:iCs/>
          <w:kern w:val="22"/>
        </w:rPr>
        <w:t>Emphasi</w:t>
      </w:r>
      <w:r w:rsidR="000E2688" w:rsidRPr="002E56A4">
        <w:rPr>
          <w:i/>
          <w:iCs/>
        </w:rPr>
        <w:t>z</w:t>
      </w:r>
      <w:r w:rsidR="000E2688" w:rsidRPr="002E56A4">
        <w:rPr>
          <w:i/>
          <w:iCs/>
          <w:kern w:val="22"/>
        </w:rPr>
        <w:t>es</w:t>
      </w:r>
      <w:r w:rsidR="000E2688" w:rsidRPr="002E56A4">
        <w:rPr>
          <w:kern w:val="22"/>
        </w:rPr>
        <w:t xml:space="preserve"> the scientific and technical importance of maintaining comparability between the seventh and eighth national report</w:t>
      </w:r>
      <w:r w:rsidR="000E2688" w:rsidRPr="002E56A4">
        <w:t>s</w:t>
      </w:r>
      <w:r w:rsidR="000E2688" w:rsidRPr="002E56A4">
        <w:rPr>
          <w:kern w:val="22"/>
        </w:rPr>
        <w:t xml:space="preserve"> and the first and second global report</w:t>
      </w:r>
      <w:r w:rsidR="000E2688" w:rsidRPr="002E56A4">
        <w:t>s,</w:t>
      </w:r>
      <w:r w:rsidR="000E2688" w:rsidRPr="002E56A4">
        <w:rPr>
          <w:iCs/>
          <w:kern w:val="22"/>
        </w:rPr>
        <w:t xml:space="preserve"> </w:t>
      </w:r>
      <w:r w:rsidR="000E2688" w:rsidRPr="002E56A4">
        <w:t xml:space="preserve">as well as </w:t>
      </w:r>
      <w:r w:rsidR="000E2688" w:rsidRPr="002E56A4">
        <w:rPr>
          <w:kern w:val="22"/>
        </w:rPr>
        <w:t>the need to ensure that any changes to the planning, monitoring, reporting and review mechanism provide continuity, do not disrupt the existing efforts of Parties to establish</w:t>
      </w:r>
      <w:r w:rsidR="000E2688" w:rsidRPr="00355323">
        <w:rPr>
          <w:kern w:val="22"/>
        </w:rPr>
        <w:t xml:space="preserve"> </w:t>
      </w:r>
      <w:r w:rsidR="000E2688" w:rsidRPr="00355323">
        <w:t>national</w:t>
      </w:r>
      <w:r w:rsidR="000E2688" w:rsidRPr="002E56A4">
        <w:t xml:space="preserve"> </w:t>
      </w:r>
      <w:r w:rsidR="000E2688" w:rsidRPr="002E56A4">
        <w:rPr>
          <w:kern w:val="22"/>
        </w:rPr>
        <w:t>monitoring</w:t>
      </w:r>
      <w:r w:rsidR="000E2688" w:rsidRPr="002E56A4">
        <w:rPr>
          <w:iCs/>
          <w:kern w:val="22"/>
        </w:rPr>
        <w:t xml:space="preserve"> </w:t>
      </w:r>
      <w:r w:rsidR="000E2688" w:rsidRPr="00355323">
        <w:t>[</w:t>
      </w:r>
      <w:r w:rsidR="000E2688" w:rsidRPr="002E56A4">
        <w:rPr>
          <w:kern w:val="22"/>
        </w:rPr>
        <w:t>systems</w:t>
      </w:r>
      <w:r w:rsidR="000E2688" w:rsidRPr="00355323">
        <w:t>][mechanisms]</w:t>
      </w:r>
      <w:r w:rsidR="000E2688" w:rsidRPr="002E56A4">
        <w:rPr>
          <w:kern w:val="22"/>
        </w:rPr>
        <w:t xml:space="preserve"> and do not increase the reporting burden related to the indicators</w:t>
      </w:r>
      <w:r w:rsidR="000E2688" w:rsidRPr="002E56A4">
        <w:t xml:space="preserve"> [</w:t>
      </w:r>
      <w:r w:rsidR="000E2688" w:rsidRPr="00355323">
        <w:t>for the eighth national report, while allowing for development in national monitoring [systems][mechanisms]]</w:t>
      </w:r>
      <w:r w:rsidR="000E2688" w:rsidRPr="00355323">
        <w:rPr>
          <w:kern w:val="22"/>
        </w:rPr>
        <w:t>;</w:t>
      </w:r>
    </w:p>
    <w:p w14:paraId="307267D6" w14:textId="247ED324" w:rsidR="008D797A" w:rsidRPr="002E56A4" w:rsidRDefault="009D0C05" w:rsidP="008D797A">
      <w:pPr>
        <w:pStyle w:val="CBDNormalNoNumber"/>
        <w:shd w:val="clear" w:color="auto" w:fill="A6A6A6" w:themeFill="background1" w:themeFillShade="A6"/>
        <w:tabs>
          <w:tab w:val="clear" w:pos="567"/>
        </w:tabs>
        <w:ind w:left="1134" w:firstLine="567"/>
      </w:pPr>
      <w:r>
        <w:t>15</w:t>
      </w:r>
      <w:r w:rsidR="008D797A" w:rsidRPr="002E56A4">
        <w:t>.</w:t>
      </w:r>
      <w:r w:rsidR="008D797A" w:rsidRPr="002E56A4">
        <w:tab/>
      </w:r>
      <w:r w:rsidR="008D797A" w:rsidRPr="002E56A4">
        <w:rPr>
          <w:i/>
          <w:iCs/>
        </w:rPr>
        <w:t>Notes</w:t>
      </w:r>
      <w:r w:rsidR="008D797A" w:rsidRPr="002E56A4">
        <w:t xml:space="preserve"> </w:t>
      </w:r>
      <w:r w:rsidR="008D797A" w:rsidRPr="0068260B">
        <w:rPr>
          <w:i/>
        </w:rPr>
        <w:t>with concern</w:t>
      </w:r>
      <w:r w:rsidR="008D797A" w:rsidRPr="002E56A4">
        <w:t xml:space="preserve"> that the methodological readiness of headline indicators l</w:t>
      </w:r>
      <w:r w:rsidR="008D797A" w:rsidRPr="00355323">
        <w:t>isted in methodological statuses</w:t>
      </w:r>
      <w:r w:rsidR="008D797A">
        <w:t> </w:t>
      </w:r>
      <w:r w:rsidR="008D797A" w:rsidRPr="00355323">
        <w:t xml:space="preserve">1, 2 and 3 in document </w:t>
      </w:r>
      <w:hyperlink r:id="rId31" w:history="1">
        <w:r w:rsidR="008D797A" w:rsidRPr="00355323">
          <w:rPr>
            <w:rStyle w:val="Hyperlink"/>
          </w:rPr>
          <w:t>CBD/SBSTTA/28/INF/4</w:t>
        </w:r>
      </w:hyperlink>
      <w:r w:rsidR="008D797A" w:rsidRPr="002E56A4">
        <w:rPr>
          <w:rStyle w:val="FootnoteReference"/>
        </w:rPr>
        <w:footnoteReference w:id="14"/>
      </w:r>
      <w:r w:rsidR="008D797A" w:rsidRPr="00355323">
        <w:t xml:space="preserve"> </w:t>
      </w:r>
      <w:r w:rsidR="008D797A" w:rsidRPr="002E56A4">
        <w:t>remains low, which impedes national reporting;</w:t>
      </w:r>
    </w:p>
    <w:p w14:paraId="300643B3" w14:textId="7644358B" w:rsidR="008D797A" w:rsidRPr="002E56A4" w:rsidRDefault="009D0C05" w:rsidP="008D797A">
      <w:pPr>
        <w:pStyle w:val="CBDNormalNoNumber"/>
        <w:shd w:val="clear" w:color="auto" w:fill="A6A6A6" w:themeFill="background1" w:themeFillShade="A6"/>
        <w:tabs>
          <w:tab w:val="clear" w:pos="567"/>
        </w:tabs>
        <w:ind w:left="1134" w:firstLine="567"/>
      </w:pPr>
      <w:r>
        <w:t>16</w:t>
      </w:r>
      <w:r w:rsidR="008D797A" w:rsidRPr="002E56A4">
        <w:t>.</w:t>
      </w:r>
      <w:r w:rsidR="008D797A" w:rsidRPr="002E56A4">
        <w:rPr>
          <w:i/>
        </w:rPr>
        <w:tab/>
      </w:r>
      <w:r w:rsidR="008D797A" w:rsidRPr="002E56A4">
        <w:rPr>
          <w:i/>
          <w:iCs/>
        </w:rPr>
        <w:t>Notes</w:t>
      </w:r>
      <w:r w:rsidR="008D797A" w:rsidRPr="002E56A4">
        <w:rPr>
          <w:iCs/>
        </w:rPr>
        <w:t xml:space="preserve"> </w:t>
      </w:r>
      <w:r w:rsidR="008D797A" w:rsidRPr="002E56A4">
        <w:rPr>
          <w:i/>
          <w:iCs/>
        </w:rPr>
        <w:t>with appreciation</w:t>
      </w:r>
      <w:r w:rsidR="008D797A" w:rsidRPr="002E56A4">
        <w:t xml:space="preserve"> the technical updates to the metadata for the headline indicators, as contained in document </w:t>
      </w:r>
      <w:hyperlink r:id="rId32" w:history="1">
        <w:r w:rsidR="008D797A" w:rsidRPr="002E56A4">
          <w:rPr>
            <w:rStyle w:val="Hyperlink"/>
          </w:rPr>
          <w:t>CBD/SBSTTA/28/INF/4</w:t>
        </w:r>
      </w:hyperlink>
      <w:r w:rsidR="008D797A">
        <w:t>,</w:t>
      </w:r>
      <w:r w:rsidR="008D797A" w:rsidRPr="002E56A4">
        <w:t xml:space="preserve"> and the support provided by the Food and Agriculture Organization of the United Nations and its partners to the further development and operationalization of some headline indicators, as described in document </w:t>
      </w:r>
      <w:hyperlink r:id="rId33" w:history="1">
        <w:r w:rsidR="008D797A" w:rsidRPr="002E56A4">
          <w:rPr>
            <w:rStyle w:val="Hyperlink"/>
          </w:rPr>
          <w:t>CBD/SBSTTA/28/INF/8/Rev.1</w:t>
        </w:r>
      </w:hyperlink>
      <w:r w:rsidR="008D797A" w:rsidRPr="002E56A4">
        <w:rPr>
          <w:iCs/>
        </w:rPr>
        <w:t>;</w:t>
      </w:r>
    </w:p>
    <w:p w14:paraId="7B600463" w14:textId="499B0D16" w:rsidR="008D797A" w:rsidRPr="002E56A4" w:rsidRDefault="008D797A" w:rsidP="008D797A">
      <w:pPr>
        <w:pStyle w:val="CBDNormalNoNumber"/>
        <w:shd w:val="clear" w:color="auto" w:fill="A6A6A6" w:themeFill="background1" w:themeFillShade="A6"/>
        <w:tabs>
          <w:tab w:val="clear" w:pos="567"/>
        </w:tabs>
        <w:ind w:left="1134" w:firstLine="567"/>
        <w:rPr>
          <w:bCs/>
          <w:iCs/>
        </w:rPr>
      </w:pPr>
      <w:r w:rsidRPr="002E56A4">
        <w:rPr>
          <w:bCs/>
        </w:rPr>
        <w:t>[</w:t>
      </w:r>
      <w:r w:rsidR="009D0C05">
        <w:rPr>
          <w:bCs/>
        </w:rPr>
        <w:t>17</w:t>
      </w:r>
      <w:r w:rsidRPr="002E56A4">
        <w:rPr>
          <w:bCs/>
        </w:rPr>
        <w:t>.</w:t>
      </w:r>
      <w:r w:rsidRPr="002E56A4">
        <w:rPr>
          <w:bCs/>
          <w:i/>
          <w:iCs/>
        </w:rPr>
        <w:tab/>
        <w:t>Agrees</w:t>
      </w:r>
      <w:r w:rsidRPr="002E56A4">
        <w:rPr>
          <w:bCs/>
          <w:iCs/>
        </w:rPr>
        <w:t xml:space="preserve"> to the inclusion of the additional component and complementary indicators contained in annex I to the present decision in the monitoring framework</w:t>
      </w:r>
      <w:r w:rsidRPr="002E56A4">
        <w:t xml:space="preserve"> for the Kunming-Montreal Global Biodiversity Framework</w:t>
      </w:r>
      <w:r w:rsidRPr="002E56A4">
        <w:rPr>
          <w:bCs/>
          <w:iCs/>
        </w:rPr>
        <w:t xml:space="preserve">, noting that their use in national reporting is optional and subject to national circumstances;] </w:t>
      </w:r>
    </w:p>
    <w:p w14:paraId="2D954C6B" w14:textId="19EF166B" w:rsidR="008D797A" w:rsidRPr="002E56A4" w:rsidRDefault="008D797A" w:rsidP="008D797A">
      <w:pPr>
        <w:pStyle w:val="CBDNormalNoNumber"/>
        <w:shd w:val="clear" w:color="auto" w:fill="A6A6A6" w:themeFill="background1" w:themeFillShade="A6"/>
        <w:tabs>
          <w:tab w:val="clear" w:pos="567"/>
        </w:tabs>
        <w:ind w:left="1134" w:firstLine="567"/>
        <w:rPr>
          <w:bCs/>
          <w:iCs/>
        </w:rPr>
      </w:pPr>
      <w:r w:rsidRPr="002E56A4">
        <w:rPr>
          <w:bCs/>
        </w:rPr>
        <w:t>[</w:t>
      </w:r>
      <w:r w:rsidR="009D0C05">
        <w:rPr>
          <w:bCs/>
        </w:rPr>
        <w:t>17</w:t>
      </w:r>
      <w:r w:rsidRPr="002E56A4">
        <w:rPr>
          <w:bCs/>
        </w:rPr>
        <w:t>.</w:t>
      </w:r>
      <w:r w:rsidR="00CD0DDE">
        <w:rPr>
          <w:bCs/>
        </w:rPr>
        <w:t xml:space="preserve"> </w:t>
      </w:r>
      <w:r w:rsidRPr="002E56A4">
        <w:rPr>
          <w:bCs/>
        </w:rPr>
        <w:t>Alt.</w:t>
      </w:r>
      <w:r w:rsidRPr="002E56A4">
        <w:rPr>
          <w:bCs/>
          <w:i/>
          <w:iCs/>
        </w:rPr>
        <w:tab/>
        <w:t xml:space="preserve">Notes </w:t>
      </w:r>
      <w:r w:rsidRPr="002E56A4">
        <w:rPr>
          <w:bCs/>
        </w:rPr>
        <w:t>the additional component and complementary indicators proposed in annex I to the present decision, noting that Parties may use them in national reporting and that their use is optional and subject to national circumstances;]</w:t>
      </w:r>
    </w:p>
    <w:p w14:paraId="52B2166A" w14:textId="15C82055" w:rsidR="008D797A" w:rsidRPr="002E56A4" w:rsidRDefault="009D0C05" w:rsidP="008D797A">
      <w:pPr>
        <w:pStyle w:val="CBDNormalNoNumber"/>
        <w:shd w:val="clear" w:color="auto" w:fill="A6A6A6" w:themeFill="background1" w:themeFillShade="A6"/>
        <w:tabs>
          <w:tab w:val="clear" w:pos="567"/>
        </w:tabs>
        <w:ind w:left="1134" w:firstLine="567"/>
      </w:pPr>
      <w:r>
        <w:rPr>
          <w:lang w:val="en-CA"/>
        </w:rPr>
        <w:t>18</w:t>
      </w:r>
      <w:r w:rsidR="008D797A" w:rsidRPr="002E56A4">
        <w:rPr>
          <w:lang w:val="en-CA"/>
        </w:rPr>
        <w:t>.</w:t>
      </w:r>
      <w:r w:rsidR="008D797A" w:rsidRPr="002E56A4">
        <w:rPr>
          <w:i/>
          <w:iCs/>
        </w:rPr>
        <w:tab/>
        <w:t>Decides</w:t>
      </w:r>
      <w:r w:rsidR="008D797A" w:rsidRPr="002E56A4">
        <w:t xml:space="preserve"> to establish an ad hoc technical expert group, with a mandate until the eighteenth meeting of the Conference of the Parties, to advise on the further operationalization of the monitoring framework, and in particular to support the eighth round of national reporting in accordance with the terms of reference contained in annex II to the present decision;</w:t>
      </w:r>
    </w:p>
    <w:p w14:paraId="1512B627" w14:textId="1BAEC7AF" w:rsidR="008D797A" w:rsidRPr="002E56A4" w:rsidRDefault="009D0C05" w:rsidP="008D797A">
      <w:pPr>
        <w:pStyle w:val="CBDNormalNoNumber"/>
        <w:shd w:val="clear" w:color="auto" w:fill="A6A6A6" w:themeFill="background1" w:themeFillShade="A6"/>
        <w:tabs>
          <w:tab w:val="clear" w:pos="567"/>
        </w:tabs>
        <w:ind w:left="1134" w:firstLine="567"/>
      </w:pPr>
      <w:r>
        <w:t>19</w:t>
      </w:r>
      <w:r w:rsidR="008D797A" w:rsidRPr="002E56A4">
        <w:t>.</w:t>
      </w:r>
      <w:r w:rsidR="008D797A" w:rsidRPr="002E56A4">
        <w:rPr>
          <w:i/>
          <w:iCs/>
        </w:rPr>
        <w:tab/>
        <w:t xml:space="preserve">Requests </w:t>
      </w:r>
      <w:r w:rsidR="008D797A" w:rsidRPr="002E56A4">
        <w:t xml:space="preserve">the Subsidiary Body on Scientific, Technical and Technological Advice to consider the outcomes of the work of the </w:t>
      </w:r>
      <w:r w:rsidR="008D797A" w:rsidRPr="002E56A4">
        <w:rPr>
          <w:lang w:bidi="ar-SY"/>
        </w:rPr>
        <w:t>Ad Hoc Technical Expert Group on the Further Operationalization of the Monitoring Framework for the Kunming-Montreal Global Biodiversity Framework</w:t>
      </w:r>
      <w:r w:rsidR="008D797A" w:rsidRPr="002E56A4">
        <w:t xml:space="preserve"> established pursuant to paragraph 6 above, for subsequent consideration by the Conference of the Parties at its eighteenth meeting;</w:t>
      </w:r>
    </w:p>
    <w:p w14:paraId="09E2C140" w14:textId="33CED8D9" w:rsidR="008D797A" w:rsidRDefault="009D0C05" w:rsidP="008D797A">
      <w:pPr>
        <w:pStyle w:val="CBDNormalNoNumber"/>
        <w:shd w:val="clear" w:color="auto" w:fill="A6A6A6" w:themeFill="background1" w:themeFillShade="A6"/>
        <w:tabs>
          <w:tab w:val="clear" w:pos="567"/>
        </w:tabs>
        <w:ind w:left="1134" w:firstLine="567"/>
      </w:pPr>
      <w:r>
        <w:lastRenderedPageBreak/>
        <w:t>20</w:t>
      </w:r>
      <w:r w:rsidR="008D797A" w:rsidRPr="002E56A4">
        <w:t>.</w:t>
      </w:r>
      <w:r w:rsidR="008D797A" w:rsidRPr="002E56A4">
        <w:rPr>
          <w:i/>
          <w:iCs/>
        </w:rPr>
        <w:tab/>
        <w:t>Requests</w:t>
      </w:r>
      <w:r w:rsidR="008D797A" w:rsidRPr="002E56A4">
        <w:t xml:space="preserve"> the Subsidiary Body on Article 8(j) and Other Provisions of the Convention on Biological Diversity Related to Indigenous Peoples and Local Communities, building on its recommendation </w:t>
      </w:r>
      <w:hyperlink r:id="rId34" w:history="1">
        <w:r w:rsidR="008D797A" w:rsidRPr="002E56A4">
          <w:rPr>
            <w:rStyle w:val="Hyperlink"/>
          </w:rPr>
          <w:t>1/3</w:t>
        </w:r>
      </w:hyperlink>
      <w:r w:rsidR="008D797A" w:rsidRPr="002E56A4">
        <w:t xml:space="preserve"> and </w:t>
      </w:r>
      <w:hyperlink r:id="rId35" w:history="1">
        <w:r w:rsidR="008D797A" w:rsidRPr="002E56A4">
          <w:rPr>
            <w:rStyle w:val="Hyperlink"/>
          </w:rPr>
          <w:t>1/5</w:t>
        </w:r>
      </w:hyperlink>
      <w:r w:rsidR="008D797A" w:rsidRPr="002E56A4">
        <w:t xml:space="preserve"> of 30 October 2025, to provide advice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guidance for consideration by the Conference of the Parties at its eighteenth meeting;</w:t>
      </w:r>
    </w:p>
    <w:p w14:paraId="79CF4B42" w14:textId="47E54A70" w:rsidR="008A3BF3" w:rsidRPr="002E56A4" w:rsidRDefault="008A3BF3" w:rsidP="0068260B">
      <w:pPr>
        <w:pStyle w:val="CBDNormalNoNumber"/>
        <w:shd w:val="clear" w:color="auto" w:fill="FFFFFF" w:themeFill="background1"/>
        <w:tabs>
          <w:tab w:val="clear" w:pos="567"/>
        </w:tabs>
        <w:ind w:left="1134" w:firstLine="567"/>
      </w:pPr>
      <w:r>
        <w:t>21.</w:t>
      </w:r>
      <w:r>
        <w:tab/>
      </w:r>
      <w:r>
        <w:rPr>
          <w:i/>
          <w:iCs/>
        </w:rPr>
        <w:t>Invites</w:t>
      </w:r>
      <w:r>
        <w:t xml:space="preserve"> Parties upon their request and on a facilitative, non-intrusive and non-punitive basis,</w:t>
      </w:r>
      <w:r w:rsidRPr="00B648AF">
        <w:t xml:space="preserve"> </w:t>
      </w:r>
      <w:r>
        <w:t>to undertake a voluntary peer review of their national biodiversity strategies and action plans;</w:t>
      </w:r>
      <w:r>
        <w:rPr>
          <w:rStyle w:val="FootnoteReference"/>
        </w:rPr>
        <w:footnoteReference w:id="15"/>
      </w:r>
    </w:p>
    <w:p w14:paraId="5B1C67E0" w14:textId="05DBD53B" w:rsidR="008D797A" w:rsidRPr="002E56A4" w:rsidRDefault="008A3BF3" w:rsidP="008D797A">
      <w:pPr>
        <w:pStyle w:val="CBDNormalNoNumber"/>
        <w:shd w:val="clear" w:color="auto" w:fill="A6A6A6" w:themeFill="background1" w:themeFillShade="A6"/>
        <w:tabs>
          <w:tab w:val="clear" w:pos="567"/>
        </w:tabs>
        <w:ind w:left="1134" w:firstLine="567"/>
      </w:pPr>
      <w:r>
        <w:t>22</w:t>
      </w:r>
      <w:r w:rsidR="008D797A" w:rsidRPr="002E56A4">
        <w:t>.</w:t>
      </w:r>
      <w:r w:rsidR="008D797A" w:rsidRPr="002E56A4">
        <w:tab/>
      </w:r>
      <w:r w:rsidR="008D797A" w:rsidRPr="002E56A4">
        <w:rPr>
          <w:i/>
          <w:iCs/>
        </w:rPr>
        <w:t>Requests</w:t>
      </w:r>
      <w:r w:rsidR="008D797A" w:rsidRPr="002E56A4">
        <w:t xml:space="preserve"> the Executive Secretary: </w:t>
      </w:r>
    </w:p>
    <w:p w14:paraId="6BC9DBFB" w14:textId="77777777" w:rsidR="008D797A" w:rsidRPr="002E56A4"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pPr>
      <w:r w:rsidRPr="002E56A4">
        <w:t>(a)</w:t>
      </w:r>
      <w:r w:rsidRPr="002E56A4">
        <w:tab/>
        <w:t xml:space="preserve">When further developing the functionality of the online reporting tool, to improve its functionality for indicator reporting and data entry [and extraction], ensuring that existing global data are available through the tool, and to identify </w:t>
      </w:r>
      <w:r>
        <w:t xml:space="preserve">possible </w:t>
      </w:r>
      <w:r w:rsidRPr="002E56A4">
        <w:t>improvements to the tool and make</w:t>
      </w:r>
      <w:r>
        <w:t xml:space="preserve"> them</w:t>
      </w:r>
      <w:r w:rsidRPr="002E56A4">
        <w:t>, as needed;</w:t>
      </w:r>
    </w:p>
    <w:p w14:paraId="3A0923B2" w14:textId="77777777" w:rsidR="008D797A" w:rsidRPr="002E56A4"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2E56A4">
        <w:rPr>
          <w:bCs/>
        </w:rPr>
        <w:t>(b)</w:t>
      </w:r>
      <w:r w:rsidRPr="002E56A4">
        <w:rPr>
          <w:bCs/>
        </w:rPr>
        <w:tab/>
      </w:r>
      <w:r w:rsidRPr="002E56A4">
        <w:rPr>
          <w:kern w:val="22"/>
        </w:rPr>
        <w:t>To</w:t>
      </w:r>
      <w:r w:rsidRPr="002E56A4">
        <w:rPr>
          <w:i/>
          <w:iCs/>
          <w:kern w:val="22"/>
        </w:rPr>
        <w:t xml:space="preserve"> </w:t>
      </w:r>
      <w:r w:rsidRPr="002E56A4">
        <w:rPr>
          <w:kern w:val="22"/>
        </w:rPr>
        <w:t>collaborate with</w:t>
      </w:r>
      <w:r w:rsidRPr="002E56A4">
        <w:rPr>
          <w:i/>
          <w:iCs/>
          <w:kern w:val="22"/>
        </w:rPr>
        <w:t xml:space="preserve"> </w:t>
      </w:r>
      <w:r w:rsidRPr="002E56A4">
        <w:rPr>
          <w:kern w:val="22"/>
        </w:rPr>
        <w:t xml:space="preserve">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w:t>
      </w:r>
      <w:r>
        <w:rPr>
          <w:kern w:val="22"/>
        </w:rPr>
        <w:t>organizations</w:t>
      </w:r>
      <w:r w:rsidRPr="002E56A4">
        <w:rPr>
          <w:kern w:val="22"/>
        </w:rPr>
        <w:t xml:space="preserve">, including those addressing issues related to indigenous peoples and local communities, women, youth and the private sector, to support the further operationalization of the monitoring framework, including by supporting </w:t>
      </w:r>
      <w:r w:rsidRPr="002E56A4">
        <w:t xml:space="preserve">technical and scientific cooperation and </w:t>
      </w:r>
      <w:r w:rsidRPr="002E56A4">
        <w:rPr>
          <w:kern w:val="22"/>
        </w:rPr>
        <w:t xml:space="preserve">capacity-building and development related to </w:t>
      </w:r>
      <w:r w:rsidRPr="002E56A4">
        <w:rPr>
          <w:iCs/>
        </w:rPr>
        <w:t xml:space="preserve">the use of the monitoring framework and the development of national biodiversity monitoring systems; </w:t>
      </w:r>
    </w:p>
    <w:p w14:paraId="0BAB32B8" w14:textId="77777777" w:rsidR="008D797A" w:rsidRPr="002E56A4"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2E56A4">
        <w:rPr>
          <w:bCs/>
        </w:rPr>
        <w:t>(c)</w:t>
      </w:r>
      <w:r w:rsidRPr="002E56A4">
        <w:rPr>
          <w:bCs/>
        </w:rPr>
        <w:tab/>
      </w:r>
      <w:r w:rsidRPr="002E56A4">
        <w:rPr>
          <w:kern w:val="22"/>
        </w:rPr>
        <w:t>To support the further development of metadata for indicators</w:t>
      </w:r>
      <w:r>
        <w:rPr>
          <w:kern w:val="22"/>
        </w:rPr>
        <w:t>,</w:t>
      </w:r>
      <w:r w:rsidRPr="002E56A4">
        <w:rPr>
          <w:kern w:val="22"/>
        </w:rPr>
        <w:t xml:space="preserve"> under the guidance of the Ad Hoc Technical Expert Group on the Further Operationalization of the Monitoring Framework;</w:t>
      </w:r>
    </w:p>
    <w:p w14:paraId="41C56229" w14:textId="77777777" w:rsidR="008D797A" w:rsidRPr="002E56A4"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2E56A4">
        <w:rPr>
          <w:bCs/>
        </w:rPr>
        <w:t>(d)</w:t>
      </w:r>
      <w:r w:rsidRPr="002E56A4">
        <w:rPr>
          <w:bCs/>
        </w:rPr>
        <w:tab/>
      </w:r>
      <w:r w:rsidRPr="002E56A4">
        <w:rPr>
          <w:kern w:val="22"/>
        </w:rPr>
        <w:t xml:space="preserve">To keep the metadata for all headline and binary indicators under review, as necessary, </w:t>
      </w:r>
      <w:proofErr w:type="gramStart"/>
      <w:r w:rsidRPr="002E56A4">
        <w:rPr>
          <w:kern w:val="22"/>
        </w:rPr>
        <w:t>in order to</w:t>
      </w:r>
      <w:proofErr w:type="gramEnd"/>
      <w:r w:rsidRPr="002E56A4">
        <w:rPr>
          <w:kern w:val="22"/>
        </w:rPr>
        <w:t xml:space="preserve"> reflect methodological improvements, but without introducing substantive changes to methodology;</w:t>
      </w:r>
    </w:p>
    <w:p w14:paraId="4C5383E7" w14:textId="426573D1" w:rsidR="008D797A" w:rsidRPr="002E56A4"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2E56A4">
        <w:rPr>
          <w:bCs/>
        </w:rPr>
        <w:t>(e)</w:t>
      </w:r>
      <w:r w:rsidRPr="002E56A4">
        <w:rPr>
          <w:bCs/>
        </w:rPr>
        <w:tab/>
      </w:r>
      <w:r w:rsidRPr="002E56A4">
        <w:rPr>
          <w:kern w:val="22"/>
        </w:rPr>
        <w:t xml:space="preserve">To collect information from Parties related to subparagraphs 2 (a), (d) and (e) of annex II </w:t>
      </w:r>
      <w:r w:rsidR="00506287">
        <w:rPr>
          <w:kern w:val="22"/>
        </w:rPr>
        <w:t xml:space="preserve">to the present decision </w:t>
      </w:r>
      <w:r w:rsidRPr="002E56A4">
        <w:rPr>
          <w:kern w:val="22"/>
        </w:rPr>
        <w:t>and make th</w:t>
      </w:r>
      <w:r w:rsidR="0094086A">
        <w:rPr>
          <w:kern w:val="22"/>
        </w:rPr>
        <w:t>at</w:t>
      </w:r>
      <w:r w:rsidRPr="002E56A4">
        <w:rPr>
          <w:kern w:val="22"/>
        </w:rPr>
        <w:t xml:space="preserve"> information available to the Ad Hoc Technical Expert Group on the Further Operationalization of the Monitoring Framework for its consideration when undertaking its work;</w:t>
      </w:r>
    </w:p>
    <w:p w14:paraId="3AF819EC" w14:textId="77777777" w:rsidR="008D797A" w:rsidRPr="002E56A4"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2E56A4">
        <w:rPr>
          <w:bCs/>
        </w:rPr>
        <w:t>(f)</w:t>
      </w:r>
      <w:r w:rsidRPr="002E56A4">
        <w:rPr>
          <w:bCs/>
        </w:rPr>
        <w:tab/>
      </w:r>
      <w:r w:rsidRPr="002E56A4">
        <w:rPr>
          <w:kern w:val="22"/>
        </w:rPr>
        <w:t>To identify potential collaborators for the development of headline indicators 1.1</w:t>
      </w:r>
      <w:r>
        <w:rPr>
          <w:kern w:val="22"/>
        </w:rPr>
        <w:t>[</w:t>
      </w:r>
      <w:r w:rsidRPr="002E56A4">
        <w:rPr>
          <w:kern w:val="22"/>
        </w:rPr>
        <w:t>, 7.2 (pesticide environment concentration)] and 9.1;</w:t>
      </w:r>
    </w:p>
    <w:p w14:paraId="5B0746E1" w14:textId="4918FD8E" w:rsidR="008D797A"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kern w:val="22"/>
        </w:rPr>
      </w:pPr>
      <w:r w:rsidRPr="002E56A4">
        <w:rPr>
          <w:kern w:val="22"/>
        </w:rPr>
        <w:t>(g)</w:t>
      </w:r>
      <w:r w:rsidRPr="002E56A4">
        <w:rPr>
          <w:kern w:val="22"/>
        </w:rPr>
        <w:tab/>
        <w:t>To</w:t>
      </w:r>
      <w:r w:rsidRPr="002E56A4">
        <w:rPr>
          <w:i/>
          <w:iCs/>
          <w:kern w:val="22"/>
        </w:rPr>
        <w:t xml:space="preserve"> </w:t>
      </w:r>
      <w:r w:rsidRPr="002E56A4">
        <w:rPr>
          <w:kern w:val="22"/>
        </w:rPr>
        <w:t>encourage the partner organization</w:t>
      </w:r>
      <w:r>
        <w:rPr>
          <w:kern w:val="22"/>
        </w:rPr>
        <w:t>s</w:t>
      </w:r>
      <w:r w:rsidRPr="002E56A4">
        <w:rPr>
          <w:kern w:val="22"/>
        </w:rPr>
        <w:t xml:space="preserve"> providing global data to ensure the timely update and validation of those data</w:t>
      </w:r>
      <w:r w:rsidR="00AF616D">
        <w:rPr>
          <w:kern w:val="22"/>
        </w:rPr>
        <w:t>;</w:t>
      </w:r>
    </w:p>
    <w:p w14:paraId="29C591EE" w14:textId="5A7A46FC" w:rsidR="00502A4D" w:rsidRPr="00D23055" w:rsidRDefault="00502A4D" w:rsidP="0068260B">
      <w:pPr>
        <w:pStyle w:val="CBDNormalNoNumber"/>
        <w:tabs>
          <w:tab w:val="clear" w:pos="567"/>
        </w:tabs>
        <w:ind w:left="1134" w:firstLine="567"/>
        <w:rPr>
          <w:rFonts w:eastAsia="Times New Roman"/>
          <w:color w:val="000000" w:themeColor="text1"/>
        </w:rPr>
      </w:pPr>
      <w:r w:rsidRPr="00D23055">
        <w:rPr>
          <w:rFonts w:eastAsia="Times New Roman"/>
          <w:color w:val="000000" w:themeColor="text1"/>
        </w:rPr>
        <w:t>(h)</w:t>
      </w:r>
      <w:r w:rsidR="00D82334">
        <w:rPr>
          <w:rFonts w:eastAsia="Times New Roman"/>
          <w:color w:val="000000" w:themeColor="text1"/>
        </w:rPr>
        <w:tab/>
      </w:r>
      <w:r w:rsidRPr="00D23055">
        <w:rPr>
          <w:rFonts w:eastAsia="Times New Roman"/>
          <w:color w:val="000000" w:themeColor="text1"/>
        </w:rPr>
        <w:t>To undertake</w:t>
      </w:r>
      <w:r>
        <w:rPr>
          <w:rFonts w:eastAsia="Times New Roman"/>
          <w:color w:val="000000" w:themeColor="text1"/>
        </w:rPr>
        <w:t>, subject to the availability of resources,</w:t>
      </w:r>
      <w:r w:rsidRPr="00D23055">
        <w:rPr>
          <w:rFonts w:eastAsia="Times New Roman"/>
          <w:color w:val="000000" w:themeColor="text1"/>
        </w:rPr>
        <w:t xml:space="preserve"> an analysis of the lessons learned and challenges identified from undertaking the global review process, including on experiences with the use of the online reporting tool </w:t>
      </w:r>
      <w:r>
        <w:rPr>
          <w:rFonts w:eastAsia="Times New Roman"/>
          <w:color w:val="000000" w:themeColor="text1"/>
        </w:rPr>
        <w:t>[</w:t>
      </w:r>
      <w:r w:rsidRPr="00D23055">
        <w:rPr>
          <w:rFonts w:eastAsia="Times New Roman"/>
          <w:color w:val="000000" w:themeColor="text1"/>
        </w:rPr>
        <w:t>and in accessing financial resources from the Global Environment Facility</w:t>
      </w:r>
      <w:r>
        <w:rPr>
          <w:rFonts w:eastAsia="Times New Roman"/>
          <w:color w:val="000000" w:themeColor="text1"/>
        </w:rPr>
        <w:t>, including their timely allocation and disbursement to recipient countries]</w:t>
      </w:r>
      <w:r w:rsidRPr="00D23055">
        <w:rPr>
          <w:rFonts w:eastAsia="Times New Roman"/>
          <w:color w:val="000000" w:themeColor="text1"/>
        </w:rPr>
        <w:t xml:space="preserve"> for national reporting and to make th</w:t>
      </w:r>
      <w:r w:rsidR="00F9008A">
        <w:rPr>
          <w:rFonts w:eastAsia="Times New Roman"/>
          <w:color w:val="000000" w:themeColor="text1"/>
        </w:rPr>
        <w:t>e</w:t>
      </w:r>
      <w:r w:rsidRPr="00D23055">
        <w:rPr>
          <w:rFonts w:eastAsia="Times New Roman"/>
          <w:color w:val="000000" w:themeColor="text1"/>
        </w:rPr>
        <w:t xml:space="preserve"> analysis available </w:t>
      </w:r>
      <w:r w:rsidR="0086310B">
        <w:rPr>
          <w:rFonts w:eastAsia="Times New Roman"/>
          <w:color w:val="000000" w:themeColor="text1"/>
        </w:rPr>
        <w:t>a</w:t>
      </w:r>
      <w:r w:rsidRPr="00D23055">
        <w:rPr>
          <w:rFonts w:eastAsia="Times New Roman"/>
          <w:color w:val="000000" w:themeColor="text1"/>
        </w:rPr>
        <w:t xml:space="preserve">t a meeting of the Subsidiary Body on Implementation </w:t>
      </w:r>
      <w:r w:rsidR="00C320FF">
        <w:rPr>
          <w:rFonts w:eastAsia="Times New Roman"/>
          <w:color w:val="000000" w:themeColor="text1"/>
        </w:rPr>
        <w:t xml:space="preserve">held before </w:t>
      </w:r>
      <w:r w:rsidRPr="00D23055">
        <w:rPr>
          <w:rFonts w:eastAsia="Times New Roman"/>
          <w:color w:val="000000" w:themeColor="text1"/>
        </w:rPr>
        <w:t xml:space="preserve">the eighteenth meeting of the Conference of the Parties; </w:t>
      </w:r>
    </w:p>
    <w:p w14:paraId="1B7C191A" w14:textId="5390FA1C" w:rsidR="00502A4D" w:rsidRPr="004C4234" w:rsidRDefault="00502A4D" w:rsidP="0068260B">
      <w:pPr>
        <w:pStyle w:val="CBDNormalNoNumber"/>
        <w:tabs>
          <w:tab w:val="clear" w:pos="567"/>
        </w:tabs>
        <w:ind w:left="1134" w:firstLine="567"/>
        <w:rPr>
          <w:kern w:val="22"/>
        </w:rPr>
      </w:pPr>
      <w:r>
        <w:rPr>
          <w:kern w:val="22"/>
        </w:rPr>
        <w:lastRenderedPageBreak/>
        <w:t>(i)</w:t>
      </w:r>
      <w:r w:rsidR="00D82334">
        <w:rPr>
          <w:kern w:val="22"/>
        </w:rPr>
        <w:tab/>
      </w:r>
      <w:r>
        <w:rPr>
          <w:kern w:val="22"/>
        </w:rPr>
        <w:t>To [</w:t>
      </w:r>
      <w:r w:rsidRPr="0068260B">
        <w:rPr>
          <w:rFonts w:eastAsia="Times New Roman"/>
          <w:color w:val="000000" w:themeColor="text1"/>
        </w:rPr>
        <w:t>prepare</w:t>
      </w:r>
      <w:r>
        <w:rPr>
          <w:kern w:val="22"/>
        </w:rPr>
        <w:t xml:space="preserve"> options for possible] [technical] updates to the reporting template for the eighth national report taking into account the analysis[and requests] mentioned in the previous paragraph[s] [and also taking into account the need [to keep changes to the reporting template [to a minimum] and as necessary,  to ensure comparability between the seventh and eight national reports [and to make th</w:t>
      </w:r>
      <w:r w:rsidR="000E1D9A">
        <w:rPr>
          <w:kern w:val="22"/>
        </w:rPr>
        <w:t>at</w:t>
      </w:r>
      <w:r>
        <w:rPr>
          <w:kern w:val="22"/>
        </w:rPr>
        <w:t xml:space="preserve"> information available </w:t>
      </w:r>
      <w:r w:rsidR="0086310B">
        <w:rPr>
          <w:kern w:val="22"/>
        </w:rPr>
        <w:t>a</w:t>
      </w:r>
      <w:r>
        <w:rPr>
          <w:kern w:val="22"/>
        </w:rPr>
        <w:t xml:space="preserve">t a meeting of the Subsidiary Body on Implementation [for consideration] </w:t>
      </w:r>
      <w:r w:rsidR="00C320FF">
        <w:rPr>
          <w:kern w:val="22"/>
        </w:rPr>
        <w:t xml:space="preserve">held before </w:t>
      </w:r>
      <w:r>
        <w:rPr>
          <w:kern w:val="22"/>
        </w:rPr>
        <w:t>the eighteenth meeting of the Conference of the Parties;]</w:t>
      </w:r>
    </w:p>
    <w:p w14:paraId="02DBB26C" w14:textId="1B5A7CB9" w:rsidR="00502A4D" w:rsidRDefault="00502A4D" w:rsidP="0068260B">
      <w:pPr>
        <w:pStyle w:val="CBDNormalNoNumber"/>
        <w:tabs>
          <w:tab w:val="clear" w:pos="567"/>
        </w:tabs>
        <w:ind w:left="1134" w:firstLine="567"/>
        <w:rPr>
          <w:kern w:val="22"/>
        </w:rPr>
      </w:pPr>
      <w:r>
        <w:rPr>
          <w:kern w:val="22"/>
        </w:rPr>
        <w:t>(j)</w:t>
      </w:r>
      <w:r w:rsidR="00D82334">
        <w:rPr>
          <w:kern w:val="22"/>
        </w:rPr>
        <w:tab/>
      </w:r>
      <w:r>
        <w:rPr>
          <w:kern w:val="22"/>
        </w:rPr>
        <w:t xml:space="preserve">To prepare draft [options to enhance the] procedures [based on decision </w:t>
      </w:r>
      <w:hyperlink r:id="rId36" w:history="1">
        <w:r w:rsidRPr="0083778C">
          <w:rPr>
            <w:rStyle w:val="Hyperlink"/>
            <w:kern w:val="22"/>
          </w:rPr>
          <w:t>16/32</w:t>
        </w:r>
      </w:hyperlink>
      <w:r>
        <w:rPr>
          <w:kern w:val="22"/>
        </w:rPr>
        <w:t xml:space="preserve">] for the second global review of collective progress, taking into account the analysis undertaken in response to the request in </w:t>
      </w:r>
      <w:r w:rsidR="00471572" w:rsidRPr="00387623">
        <w:rPr>
          <w:kern w:val="22"/>
        </w:rPr>
        <w:t>sub</w:t>
      </w:r>
      <w:r w:rsidRPr="00387623">
        <w:rPr>
          <w:kern w:val="22"/>
        </w:rPr>
        <w:t>paragraph</w:t>
      </w:r>
      <w:r w:rsidR="00471572" w:rsidRPr="00387623">
        <w:rPr>
          <w:kern w:val="22"/>
        </w:rPr>
        <w:t> </w:t>
      </w:r>
      <w:r w:rsidRPr="00387623">
        <w:rPr>
          <w:kern w:val="22"/>
        </w:rPr>
        <w:t>22</w:t>
      </w:r>
      <w:r w:rsidR="00471572" w:rsidRPr="00387623">
        <w:rPr>
          <w:kern w:val="22"/>
        </w:rPr>
        <w:t> </w:t>
      </w:r>
      <w:r w:rsidRPr="00387623">
        <w:rPr>
          <w:kern w:val="22"/>
        </w:rPr>
        <w:t>(h)</w:t>
      </w:r>
      <w:r w:rsidR="00387623">
        <w:rPr>
          <w:kern w:val="22"/>
        </w:rPr>
        <w:t xml:space="preserve"> above</w:t>
      </w:r>
      <w:r w:rsidRPr="00387623">
        <w:rPr>
          <w:kern w:val="22"/>
        </w:rPr>
        <w:t>, [based</w:t>
      </w:r>
      <w:r>
        <w:rPr>
          <w:kern w:val="22"/>
        </w:rPr>
        <w:t xml:space="preserve"> on decision </w:t>
      </w:r>
      <w:hyperlink r:id="rId37" w:history="1">
        <w:r w:rsidRPr="0083778C">
          <w:rPr>
            <w:rStyle w:val="Hyperlink"/>
            <w:kern w:val="22"/>
          </w:rPr>
          <w:t>16/32</w:t>
        </w:r>
      </w:hyperlink>
      <w:r>
        <w:rPr>
          <w:kern w:val="22"/>
        </w:rPr>
        <w:t xml:space="preserve">][and prepare a draft process for developing [any post-2030 strategic instrument][the post-2030 strategic plan][the post-2030 Framework]] for consideration by the Subsidiary Body on Implementation at a meeting held before the eighteenth meeting of the Conference of the Parties; </w:t>
      </w:r>
    </w:p>
    <w:p w14:paraId="415880A6" w14:textId="4441E593" w:rsidR="00502A4D" w:rsidRPr="004C4234" w:rsidRDefault="00502A4D" w:rsidP="0068260B">
      <w:pPr>
        <w:pStyle w:val="CBDNormalNoNumber"/>
        <w:tabs>
          <w:tab w:val="clear" w:pos="567"/>
        </w:tabs>
        <w:ind w:left="1134" w:firstLine="567"/>
        <w:rPr>
          <w:kern w:val="22"/>
        </w:rPr>
      </w:pPr>
      <w:r>
        <w:rPr>
          <w:kern w:val="22"/>
        </w:rPr>
        <w:t>(k)</w:t>
      </w:r>
      <w:r w:rsidR="00D82334">
        <w:rPr>
          <w:kern w:val="22"/>
        </w:rPr>
        <w:tab/>
      </w:r>
      <w:r>
        <w:rPr>
          <w:kern w:val="22"/>
        </w:rPr>
        <w:t>To collaborate with the United Nations Environment Programme, the Joint Liaison Group, the Liaison Group of Biodiversity-related Conventions and the Bern process, and in consultation with Parties, on options to reduce the reporting burden and, as appropriate, improve coherence and interoperability among planning, monitoring, reporting and review processes under the Convention and those under other relevant processes, while respecting their respective legal mandates and the authority and decisions of their governing bodies subject to the availability of resources;</w:t>
      </w:r>
    </w:p>
    <w:p w14:paraId="2144A689" w14:textId="4D84C991" w:rsidR="00502A4D" w:rsidRDefault="00502A4D" w:rsidP="0068260B">
      <w:pPr>
        <w:pStyle w:val="CBDNormalNoNumber"/>
        <w:tabs>
          <w:tab w:val="clear" w:pos="567"/>
        </w:tabs>
        <w:ind w:left="1134" w:firstLine="567"/>
        <w:rPr>
          <w:kern w:val="22"/>
        </w:rPr>
      </w:pPr>
      <w:r>
        <w:rPr>
          <w:kern w:val="22"/>
        </w:rPr>
        <w:t>(l)</w:t>
      </w:r>
      <w:r w:rsidR="00D82334">
        <w:rPr>
          <w:kern w:val="22"/>
        </w:rPr>
        <w:tab/>
      </w:r>
      <w:r>
        <w:rPr>
          <w:kern w:val="22"/>
        </w:rPr>
        <w:t xml:space="preserve">To enhance the functionality of the online reporting tool, including its ease of use, based on the analysis undertaken </w:t>
      </w:r>
      <w:r w:rsidRPr="00387623">
        <w:rPr>
          <w:kern w:val="22"/>
        </w:rPr>
        <w:t xml:space="preserve">under </w:t>
      </w:r>
      <w:r w:rsidR="00471572" w:rsidRPr="00387623">
        <w:rPr>
          <w:kern w:val="22"/>
        </w:rPr>
        <w:t>sub</w:t>
      </w:r>
      <w:r w:rsidRPr="00387623">
        <w:rPr>
          <w:kern w:val="22"/>
        </w:rPr>
        <w:t>paragraph</w:t>
      </w:r>
      <w:r w:rsidR="00471572" w:rsidRPr="00387623">
        <w:rPr>
          <w:kern w:val="22"/>
        </w:rPr>
        <w:t> </w:t>
      </w:r>
      <w:r w:rsidRPr="00387623">
        <w:rPr>
          <w:kern w:val="22"/>
        </w:rPr>
        <w:t>22</w:t>
      </w:r>
      <w:r w:rsidR="00471572" w:rsidRPr="00387623">
        <w:rPr>
          <w:kern w:val="22"/>
        </w:rPr>
        <w:t> </w:t>
      </w:r>
      <w:r w:rsidRPr="00387623">
        <w:rPr>
          <w:kern w:val="22"/>
        </w:rPr>
        <w:t xml:space="preserve">(h) </w:t>
      </w:r>
      <w:r w:rsidR="00387623">
        <w:rPr>
          <w:kern w:val="22"/>
        </w:rPr>
        <w:t xml:space="preserve">above </w:t>
      </w:r>
      <w:r w:rsidRPr="00387623">
        <w:rPr>
          <w:kern w:val="22"/>
        </w:rPr>
        <w:t>an</w:t>
      </w:r>
      <w:r>
        <w:rPr>
          <w:kern w:val="22"/>
        </w:rPr>
        <w:t xml:space="preserve">d to enable actors other than national </w:t>
      </w:r>
      <w:r w:rsidR="00831F72">
        <w:rPr>
          <w:kern w:val="22"/>
        </w:rPr>
        <w:t>G</w:t>
      </w:r>
      <w:r>
        <w:rPr>
          <w:kern w:val="22"/>
        </w:rPr>
        <w:t>overnments to report voluntarily on progress made in meeting the commitments that they have submitted through the tool; [and to enable indigenous peoples and local communities, women and youth, to submit best practices and contributions to implementation through the virtual library of the clearing-house mechanism]</w:t>
      </w:r>
      <w:r w:rsidR="00D82334">
        <w:rPr>
          <w:kern w:val="22"/>
        </w:rPr>
        <w:t>.</w:t>
      </w:r>
    </w:p>
    <w:p w14:paraId="4136FEE7" w14:textId="77777777" w:rsidR="008D797A" w:rsidRPr="002E56A4" w:rsidRDefault="008D797A" w:rsidP="008D797A">
      <w:pPr>
        <w:pStyle w:val="CBDDesicionAnnex"/>
        <w:shd w:val="clear" w:color="auto" w:fill="A6A6A6" w:themeFill="background1" w:themeFillShade="A6"/>
        <w:ind w:left="1134"/>
        <w:rPr>
          <w:lang w:bidi="ar-SY"/>
        </w:rPr>
      </w:pPr>
      <w:r w:rsidRPr="002E56A4">
        <w:rPr>
          <w:lang w:bidi="ar-SY"/>
        </w:rPr>
        <w:t>Annex I</w:t>
      </w:r>
    </w:p>
    <w:p w14:paraId="75DDC399" w14:textId="77777777" w:rsidR="008D797A" w:rsidRPr="002E56A4" w:rsidRDefault="008D797A" w:rsidP="008D797A">
      <w:pPr>
        <w:pStyle w:val="CBDDesicionAnnex"/>
        <w:shd w:val="clear" w:color="auto" w:fill="A6A6A6" w:themeFill="background1" w:themeFillShade="A6"/>
        <w:spacing w:before="120" w:after="240"/>
        <w:ind w:left="1134"/>
        <w:rPr>
          <w:lang w:bidi="ar-SY"/>
        </w:rPr>
      </w:pPr>
      <w:r w:rsidRPr="002E56A4">
        <w:rPr>
          <w:lang w:bidi="ar-SY"/>
        </w:rPr>
        <w:t>Optional component and complementary indicators to be added to the monitoring framework for the Kunming-Montreal Global Biodiversity Framework</w:t>
      </w:r>
    </w:p>
    <w:tbl>
      <w:tblPr>
        <w:tblStyle w:val="TableGrid"/>
        <w:tblW w:w="4846" w:type="pct"/>
        <w:tblInd w:w="993"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417"/>
        <w:gridCol w:w="2415"/>
        <w:gridCol w:w="5240"/>
      </w:tblGrid>
      <w:tr w:rsidR="008D797A" w:rsidRPr="002E56A4" w14:paraId="5FF6E6DC" w14:textId="77777777">
        <w:trPr>
          <w:trHeight w:val="220"/>
          <w:tblHeader/>
        </w:trPr>
        <w:tc>
          <w:tcPr>
            <w:tcW w:w="1417" w:type="dxa"/>
            <w:tcBorders>
              <w:top w:val="single" w:sz="4" w:space="0" w:color="auto"/>
              <w:bottom w:val="single" w:sz="4" w:space="0" w:color="auto"/>
            </w:tcBorders>
            <w:shd w:val="clear" w:color="auto" w:fill="FFFFFF" w:themeFill="background1"/>
            <w:vAlign w:val="center"/>
          </w:tcPr>
          <w:p w14:paraId="57A5C30F"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i/>
                <w:sz w:val="20"/>
                <w:szCs w:val="20"/>
              </w:rPr>
            </w:pPr>
            <w:r w:rsidRPr="002E56A4">
              <w:rPr>
                <w:rFonts w:asciiTheme="majorBidi" w:hAnsiTheme="majorBidi" w:cstheme="majorBidi"/>
                <w:i/>
                <w:sz w:val="20"/>
                <w:szCs w:val="20"/>
              </w:rPr>
              <w:t>Most relevant goal or target</w:t>
            </w:r>
          </w:p>
        </w:tc>
        <w:tc>
          <w:tcPr>
            <w:tcW w:w="2415" w:type="dxa"/>
            <w:tcBorders>
              <w:top w:val="single" w:sz="4" w:space="0" w:color="auto"/>
              <w:bottom w:val="single" w:sz="4" w:space="0" w:color="auto"/>
            </w:tcBorders>
            <w:shd w:val="clear" w:color="auto" w:fill="FFFFFF" w:themeFill="background1"/>
            <w:vAlign w:val="bottom"/>
          </w:tcPr>
          <w:p w14:paraId="0D3907AB"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i/>
                <w:sz w:val="20"/>
                <w:szCs w:val="20"/>
              </w:rPr>
            </w:pPr>
            <w:r w:rsidRPr="002E56A4">
              <w:rPr>
                <w:rFonts w:asciiTheme="majorBidi" w:hAnsiTheme="majorBidi" w:cstheme="majorBidi"/>
                <w:i/>
                <w:sz w:val="20"/>
                <w:szCs w:val="20"/>
              </w:rPr>
              <w:t>Indicator type</w:t>
            </w:r>
          </w:p>
        </w:tc>
        <w:tc>
          <w:tcPr>
            <w:tcW w:w="5240" w:type="dxa"/>
            <w:tcBorders>
              <w:top w:val="single" w:sz="4" w:space="0" w:color="auto"/>
              <w:bottom w:val="single" w:sz="4" w:space="0" w:color="auto"/>
            </w:tcBorders>
            <w:shd w:val="clear" w:color="auto" w:fill="FFFFFF" w:themeFill="background1"/>
            <w:vAlign w:val="bottom"/>
          </w:tcPr>
          <w:p w14:paraId="5FE7F034"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i/>
                <w:sz w:val="20"/>
                <w:szCs w:val="20"/>
              </w:rPr>
            </w:pPr>
            <w:r w:rsidRPr="002E56A4">
              <w:rPr>
                <w:rFonts w:asciiTheme="majorBidi" w:hAnsiTheme="majorBidi" w:cstheme="majorBidi"/>
                <w:i/>
                <w:sz w:val="20"/>
                <w:szCs w:val="20"/>
              </w:rPr>
              <w:t>Indicator</w:t>
            </w:r>
          </w:p>
        </w:tc>
      </w:tr>
      <w:tr w:rsidR="008D797A" w:rsidRPr="002E56A4" w14:paraId="095ACFAB" w14:textId="77777777">
        <w:tc>
          <w:tcPr>
            <w:tcW w:w="1417" w:type="dxa"/>
            <w:tcBorders>
              <w:top w:val="single" w:sz="4" w:space="0" w:color="auto"/>
            </w:tcBorders>
            <w:shd w:val="clear" w:color="auto" w:fill="FFFFFF" w:themeFill="background1"/>
            <w:vAlign w:val="center"/>
          </w:tcPr>
          <w:p w14:paraId="1E037C50"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A</w:t>
            </w:r>
          </w:p>
        </w:tc>
        <w:tc>
          <w:tcPr>
            <w:tcW w:w="2415" w:type="dxa"/>
            <w:tcBorders>
              <w:top w:val="single" w:sz="4" w:space="0" w:color="auto"/>
            </w:tcBorders>
            <w:shd w:val="clear" w:color="auto" w:fill="FFFFFF" w:themeFill="background1"/>
          </w:tcPr>
          <w:p w14:paraId="06C4BC3E"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tcBorders>
              <w:top w:val="single" w:sz="4" w:space="0" w:color="auto"/>
            </w:tcBorders>
            <w:shd w:val="clear" w:color="auto" w:fill="FFFFFF" w:themeFill="background1"/>
          </w:tcPr>
          <w:p w14:paraId="44764C52"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 xml:space="preserve">Scorecard of genetic diversity in wild species </w:t>
            </w:r>
          </w:p>
        </w:tc>
      </w:tr>
      <w:tr w:rsidR="008D797A" w:rsidRPr="002E56A4" w14:paraId="2D9B710D" w14:textId="77777777">
        <w:tc>
          <w:tcPr>
            <w:tcW w:w="1417" w:type="dxa"/>
            <w:shd w:val="clear" w:color="auto" w:fill="FFFFFF" w:themeFill="background1"/>
            <w:vAlign w:val="center"/>
          </w:tcPr>
          <w:p w14:paraId="7BDD797B"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A</w:t>
            </w:r>
          </w:p>
        </w:tc>
        <w:tc>
          <w:tcPr>
            <w:tcW w:w="2415" w:type="dxa"/>
            <w:shd w:val="clear" w:color="auto" w:fill="FFFFFF" w:themeFill="background1"/>
          </w:tcPr>
          <w:p w14:paraId="7A8A63E2"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2A26CD37" w14:textId="77777777" w:rsidR="008D797A" w:rsidRPr="002E56A4" w:rsidRDefault="008D797A" w:rsidP="008D797A">
            <w:pPr>
              <w:keepLines/>
              <w:shd w:val="clear" w:color="auto" w:fill="A6A6A6" w:themeFill="background1" w:themeFillShade="A6"/>
              <w:spacing w:before="40" w:after="40"/>
              <w:ind w:right="-57"/>
              <w:jc w:val="left"/>
              <w:rPr>
                <w:sz w:val="20"/>
                <w:szCs w:val="20"/>
              </w:rPr>
            </w:pPr>
            <w:r w:rsidRPr="002E56A4">
              <w:rPr>
                <w:sz w:val="20"/>
                <w:szCs w:val="20"/>
              </w:rPr>
              <w:t>Dendritic connectivity index</w:t>
            </w:r>
          </w:p>
        </w:tc>
      </w:tr>
      <w:tr w:rsidR="008D797A" w:rsidRPr="002E56A4" w14:paraId="2C7553B1" w14:textId="77777777">
        <w:tc>
          <w:tcPr>
            <w:tcW w:w="1417" w:type="dxa"/>
            <w:shd w:val="clear" w:color="auto" w:fill="FFFFFF" w:themeFill="background1"/>
            <w:vAlign w:val="center"/>
          </w:tcPr>
          <w:p w14:paraId="3F4CD0CC"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00F2EA1F"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240" w:type="dxa"/>
            <w:shd w:val="clear" w:color="auto" w:fill="FFFFFF" w:themeFill="background1"/>
          </w:tcPr>
          <w:p w14:paraId="020C49BC"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Number and list of tree and other woody plant species that have been included in in situ conservation programmes of forest genetic resources</w:t>
            </w:r>
          </w:p>
        </w:tc>
      </w:tr>
      <w:tr w:rsidR="008D797A" w:rsidRPr="002E56A4" w14:paraId="480888F2" w14:textId="77777777">
        <w:tc>
          <w:tcPr>
            <w:tcW w:w="1417" w:type="dxa"/>
            <w:shd w:val="clear" w:color="auto" w:fill="FFFFFF" w:themeFill="background1"/>
            <w:vAlign w:val="center"/>
          </w:tcPr>
          <w:p w14:paraId="2C187A97"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4223B069"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6E337B27"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Extent of lost farmed types of aquaculture species</w:t>
            </w:r>
          </w:p>
        </w:tc>
      </w:tr>
      <w:tr w:rsidR="008D797A" w:rsidRPr="002E56A4" w14:paraId="6C53B701" w14:textId="77777777">
        <w:tc>
          <w:tcPr>
            <w:tcW w:w="1417" w:type="dxa"/>
            <w:shd w:val="clear" w:color="auto" w:fill="FFFFFF" w:themeFill="background1"/>
            <w:vAlign w:val="center"/>
          </w:tcPr>
          <w:p w14:paraId="0A7A7679"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171FA92C"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i/>
                <w:sz w:val="20"/>
                <w:szCs w:val="20"/>
                <w:vertAlign w:val="superscript"/>
                <w:lang w:val="en-CA"/>
              </w:rPr>
            </w:pPr>
            <w:r w:rsidRPr="002E56A4">
              <w:rPr>
                <w:rFonts w:asciiTheme="majorBidi" w:hAnsiTheme="majorBidi" w:cstheme="majorBidi"/>
                <w:sz w:val="20"/>
                <w:szCs w:val="20"/>
              </w:rPr>
              <w:t>Complementary</w:t>
            </w:r>
          </w:p>
        </w:tc>
        <w:tc>
          <w:tcPr>
            <w:tcW w:w="5240" w:type="dxa"/>
            <w:shd w:val="clear" w:color="auto" w:fill="FFFFFF" w:themeFill="background1"/>
          </w:tcPr>
          <w:p w14:paraId="34A9ACB7"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Extent of populations of wild relatives of aquaculture species subject to conservation measures</w:t>
            </w:r>
          </w:p>
        </w:tc>
      </w:tr>
      <w:tr w:rsidR="008D797A" w:rsidRPr="002E56A4" w14:paraId="6C8C52D0" w14:textId="77777777">
        <w:trPr>
          <w:trHeight w:val="88"/>
        </w:trPr>
        <w:tc>
          <w:tcPr>
            <w:tcW w:w="1417" w:type="dxa"/>
            <w:shd w:val="clear" w:color="auto" w:fill="FFFFFF" w:themeFill="background1"/>
            <w:vAlign w:val="center"/>
          </w:tcPr>
          <w:p w14:paraId="62A088FD"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43B433D7"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240" w:type="dxa"/>
            <w:shd w:val="clear" w:color="auto" w:fill="FFFFFF" w:themeFill="background1"/>
          </w:tcPr>
          <w:p w14:paraId="7335A874"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 xml:space="preserve">Extent of ex situ conservation for </w:t>
            </w:r>
            <w:proofErr w:type="gramStart"/>
            <w:r w:rsidRPr="002E56A4">
              <w:rPr>
                <w:rFonts w:asciiTheme="majorBidi" w:hAnsiTheme="majorBidi" w:cstheme="majorBidi"/>
                <w:color w:val="000000"/>
                <w:sz w:val="20"/>
                <w:szCs w:val="20"/>
              </w:rPr>
              <w:t>important farmed</w:t>
            </w:r>
            <w:proofErr w:type="gramEnd"/>
            <w:r w:rsidRPr="002E56A4">
              <w:rPr>
                <w:rFonts w:asciiTheme="majorBidi" w:hAnsiTheme="majorBidi" w:cstheme="majorBidi"/>
                <w:color w:val="000000"/>
                <w:sz w:val="20"/>
                <w:szCs w:val="20"/>
              </w:rPr>
              <w:t xml:space="preserve"> types of aquatic genetic resources</w:t>
            </w:r>
          </w:p>
        </w:tc>
      </w:tr>
      <w:tr w:rsidR="008D797A" w:rsidRPr="002E56A4" w14:paraId="450B18C5" w14:textId="77777777">
        <w:tc>
          <w:tcPr>
            <w:tcW w:w="1417" w:type="dxa"/>
            <w:shd w:val="clear" w:color="auto" w:fill="FFFFFF" w:themeFill="background1"/>
            <w:vAlign w:val="center"/>
          </w:tcPr>
          <w:p w14:paraId="5E51EC53"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07E40240"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240" w:type="dxa"/>
            <w:shd w:val="clear" w:color="auto" w:fill="FFFFFF" w:themeFill="background1"/>
          </w:tcPr>
          <w:p w14:paraId="5136F969"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Extent of non-native species used in aquaculture posing a risk for native biodiversity</w:t>
            </w:r>
          </w:p>
        </w:tc>
      </w:tr>
      <w:tr w:rsidR="008D797A" w:rsidRPr="002E56A4" w14:paraId="30DE7654" w14:textId="77777777">
        <w:trPr>
          <w:trHeight w:val="45"/>
        </w:trPr>
        <w:tc>
          <w:tcPr>
            <w:tcW w:w="1417" w:type="dxa"/>
            <w:shd w:val="clear" w:color="auto" w:fill="FFFFFF" w:themeFill="background1"/>
            <w:vAlign w:val="center"/>
          </w:tcPr>
          <w:p w14:paraId="55C21F6C"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7</w:t>
            </w:r>
          </w:p>
        </w:tc>
        <w:tc>
          <w:tcPr>
            <w:tcW w:w="2415" w:type="dxa"/>
            <w:shd w:val="clear" w:color="auto" w:fill="FFFFFF" w:themeFill="background1"/>
          </w:tcPr>
          <w:p w14:paraId="133C549E"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vertAlign w:val="superscript"/>
              </w:rPr>
            </w:pPr>
            <w:r w:rsidRPr="002E56A4">
              <w:rPr>
                <w:rFonts w:asciiTheme="majorBidi" w:hAnsiTheme="majorBidi" w:cstheme="majorBidi"/>
                <w:sz w:val="20"/>
                <w:szCs w:val="20"/>
              </w:rPr>
              <w:t>Complementary</w:t>
            </w:r>
          </w:p>
        </w:tc>
        <w:tc>
          <w:tcPr>
            <w:tcW w:w="5240" w:type="dxa"/>
            <w:shd w:val="clear" w:color="auto" w:fill="FFFFFF" w:themeFill="background1"/>
          </w:tcPr>
          <w:p w14:paraId="0C86F7D6"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Levels and trends of mercury and mercury compounds in the environment and in human</w:t>
            </w:r>
            <w:r>
              <w:rPr>
                <w:rFonts w:asciiTheme="majorBidi" w:hAnsiTheme="majorBidi" w:cstheme="majorBidi"/>
                <w:color w:val="000000"/>
                <w:sz w:val="20"/>
                <w:szCs w:val="20"/>
              </w:rPr>
              <w:t xml:space="preserve"> being</w:t>
            </w:r>
            <w:r w:rsidRPr="002E56A4">
              <w:rPr>
                <w:rFonts w:asciiTheme="majorBidi" w:hAnsiTheme="majorBidi" w:cstheme="majorBidi"/>
                <w:color w:val="000000"/>
                <w:sz w:val="20"/>
                <w:szCs w:val="20"/>
              </w:rPr>
              <w:t>s due to anthropogenic emissions and releases</w:t>
            </w:r>
          </w:p>
        </w:tc>
      </w:tr>
      <w:tr w:rsidR="008D797A" w:rsidRPr="002E56A4" w14:paraId="03A277B7" w14:textId="77777777">
        <w:trPr>
          <w:trHeight w:val="186"/>
        </w:trPr>
        <w:tc>
          <w:tcPr>
            <w:tcW w:w="1417" w:type="dxa"/>
            <w:shd w:val="clear" w:color="auto" w:fill="FFFFFF" w:themeFill="background1"/>
            <w:vAlign w:val="center"/>
          </w:tcPr>
          <w:p w14:paraId="616E4716"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lastRenderedPageBreak/>
              <w:t>7</w:t>
            </w:r>
          </w:p>
        </w:tc>
        <w:tc>
          <w:tcPr>
            <w:tcW w:w="2415" w:type="dxa"/>
            <w:shd w:val="clear" w:color="auto" w:fill="FFFFFF" w:themeFill="background1"/>
          </w:tcPr>
          <w:p w14:paraId="5EA9F746"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398021EE"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 xml:space="preserve">Freshwater eutrophication index </w:t>
            </w:r>
          </w:p>
        </w:tc>
      </w:tr>
      <w:tr w:rsidR="008D797A" w:rsidRPr="002E56A4" w14:paraId="31BA2A55" w14:textId="77777777">
        <w:trPr>
          <w:trHeight w:val="186"/>
        </w:trPr>
        <w:tc>
          <w:tcPr>
            <w:tcW w:w="1417" w:type="dxa"/>
            <w:shd w:val="clear" w:color="auto" w:fill="FFFFFF" w:themeFill="background1"/>
            <w:vAlign w:val="center"/>
          </w:tcPr>
          <w:p w14:paraId="0AD74934"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11</w:t>
            </w:r>
          </w:p>
        </w:tc>
        <w:tc>
          <w:tcPr>
            <w:tcW w:w="2415" w:type="dxa"/>
            <w:shd w:val="clear" w:color="auto" w:fill="FFFFFF" w:themeFill="background1"/>
          </w:tcPr>
          <w:p w14:paraId="001FF955"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65ACD026" w14:textId="77777777" w:rsidR="008D797A" w:rsidRPr="002E56A4"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sz w:val="20"/>
                <w:szCs w:val="20"/>
              </w:rPr>
            </w:pPr>
            <w:r w:rsidRPr="002E56A4">
              <w:rPr>
                <w:sz w:val="20"/>
                <w:szCs w:val="20"/>
              </w:rPr>
              <w:t>Mortality rate attributed to household and ambient air pollution</w:t>
            </w:r>
          </w:p>
        </w:tc>
      </w:tr>
      <w:tr w:rsidR="008D797A" w:rsidRPr="002E56A4" w14:paraId="65E54EA8" w14:textId="77777777">
        <w:tc>
          <w:tcPr>
            <w:tcW w:w="1417" w:type="dxa"/>
            <w:shd w:val="clear" w:color="auto" w:fill="FFFFFF" w:themeFill="background1"/>
            <w:vAlign w:val="center"/>
          </w:tcPr>
          <w:p w14:paraId="4DF6CFA7"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16</w:t>
            </w:r>
          </w:p>
        </w:tc>
        <w:tc>
          <w:tcPr>
            <w:tcW w:w="2415" w:type="dxa"/>
            <w:shd w:val="clear" w:color="auto" w:fill="FFFFFF" w:themeFill="background1"/>
          </w:tcPr>
          <w:p w14:paraId="10890C2B"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74A48092"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 xml:space="preserve">Global environmental impacts of consumption indicator </w:t>
            </w:r>
          </w:p>
        </w:tc>
      </w:tr>
      <w:tr w:rsidR="008D797A" w:rsidRPr="002E56A4" w14:paraId="48F45102" w14:textId="77777777">
        <w:tc>
          <w:tcPr>
            <w:tcW w:w="1417" w:type="dxa"/>
            <w:shd w:val="clear" w:color="auto" w:fill="FFFFFF" w:themeFill="background1"/>
            <w:vAlign w:val="center"/>
          </w:tcPr>
          <w:p w14:paraId="29077958"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1EC6F78B"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240" w:type="dxa"/>
            <w:shd w:val="clear" w:color="auto" w:fill="FFFFFF" w:themeFill="background1"/>
          </w:tcPr>
          <w:p w14:paraId="5213496A"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2E56A4">
              <w:rPr>
                <w:rFonts w:asciiTheme="majorBidi" w:hAnsiTheme="majorBidi" w:cstheme="majorBidi"/>
                <w:sz w:val="20"/>
                <w:szCs w:val="20"/>
              </w:rPr>
              <w:t>Monetary value of agriculture-related market price support</w:t>
            </w:r>
          </w:p>
        </w:tc>
      </w:tr>
      <w:tr w:rsidR="008D797A" w:rsidRPr="002E56A4" w14:paraId="0EF84B8E" w14:textId="77777777">
        <w:tc>
          <w:tcPr>
            <w:tcW w:w="1417" w:type="dxa"/>
            <w:shd w:val="clear" w:color="auto" w:fill="FFFFFF" w:themeFill="background1"/>
            <w:vAlign w:val="center"/>
          </w:tcPr>
          <w:p w14:paraId="5FD489F9"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77BE03E6"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240" w:type="dxa"/>
            <w:shd w:val="clear" w:color="auto" w:fill="FFFFFF" w:themeFill="background1"/>
          </w:tcPr>
          <w:p w14:paraId="4FA884B7"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2E56A4">
              <w:rPr>
                <w:rFonts w:asciiTheme="majorBidi" w:hAnsiTheme="majorBidi" w:cstheme="majorBidi"/>
                <w:sz w:val="20"/>
                <w:szCs w:val="20"/>
              </w:rPr>
              <w:t xml:space="preserve">Monetary value of agriculture-related non-exempt direct payments </w:t>
            </w:r>
          </w:p>
        </w:tc>
      </w:tr>
      <w:tr w:rsidR="008D797A" w:rsidRPr="002E56A4" w14:paraId="50346883" w14:textId="77777777">
        <w:tc>
          <w:tcPr>
            <w:tcW w:w="1417" w:type="dxa"/>
            <w:shd w:val="clear" w:color="auto" w:fill="FFFFFF" w:themeFill="background1"/>
            <w:vAlign w:val="center"/>
          </w:tcPr>
          <w:p w14:paraId="66774FB7"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0A3A041D"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240" w:type="dxa"/>
            <w:shd w:val="clear" w:color="auto" w:fill="FFFFFF" w:themeFill="background1"/>
          </w:tcPr>
          <w:p w14:paraId="6EBC7DD6"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lang w:val="en-CA"/>
              </w:rPr>
            </w:pPr>
            <w:r w:rsidRPr="002E56A4">
              <w:rPr>
                <w:rFonts w:asciiTheme="majorBidi" w:hAnsiTheme="majorBidi" w:cstheme="majorBidi"/>
                <w:sz w:val="20"/>
                <w:szCs w:val="20"/>
                <w:lang w:val="en-CA"/>
              </w:rPr>
              <w:t xml:space="preserve">Monetary value of </w:t>
            </w:r>
            <w:r w:rsidRPr="002E56A4">
              <w:rPr>
                <w:rFonts w:asciiTheme="majorBidi" w:hAnsiTheme="majorBidi" w:cstheme="majorBidi"/>
                <w:sz w:val="20"/>
                <w:szCs w:val="20"/>
              </w:rPr>
              <w:t xml:space="preserve">agriculture-related </w:t>
            </w:r>
            <w:r w:rsidRPr="002E56A4">
              <w:rPr>
                <w:rFonts w:asciiTheme="majorBidi" w:hAnsiTheme="majorBidi" w:cstheme="majorBidi"/>
                <w:sz w:val="20"/>
                <w:szCs w:val="20"/>
                <w:lang w:val="en-CA"/>
              </w:rPr>
              <w:t>other product-specific support</w:t>
            </w:r>
          </w:p>
        </w:tc>
      </w:tr>
      <w:tr w:rsidR="008D797A" w:rsidRPr="002E56A4" w14:paraId="64A167B2" w14:textId="77777777">
        <w:tc>
          <w:tcPr>
            <w:tcW w:w="1417" w:type="dxa"/>
            <w:shd w:val="clear" w:color="auto" w:fill="FFFFFF" w:themeFill="background1"/>
            <w:vAlign w:val="center"/>
          </w:tcPr>
          <w:p w14:paraId="059A477B"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0AB4DDA7"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i/>
                <w:sz w:val="20"/>
                <w:szCs w:val="20"/>
                <w:vertAlign w:val="superscript"/>
              </w:rPr>
            </w:pPr>
            <w:r w:rsidRPr="002E56A4">
              <w:rPr>
                <w:rFonts w:asciiTheme="majorBidi" w:hAnsiTheme="majorBidi" w:cstheme="majorBidi"/>
                <w:sz w:val="20"/>
                <w:szCs w:val="20"/>
              </w:rPr>
              <w:t>Component</w:t>
            </w:r>
          </w:p>
        </w:tc>
        <w:tc>
          <w:tcPr>
            <w:tcW w:w="5240" w:type="dxa"/>
            <w:shd w:val="clear" w:color="auto" w:fill="FFFFFF" w:themeFill="background1"/>
          </w:tcPr>
          <w:p w14:paraId="57A80A56"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2E56A4">
              <w:rPr>
                <w:rFonts w:asciiTheme="majorBidi" w:hAnsiTheme="majorBidi" w:cstheme="majorBidi"/>
                <w:sz w:val="20"/>
                <w:szCs w:val="20"/>
              </w:rPr>
              <w:t>Monetary value of agriculture-related product-specific equivalent measurement of support</w:t>
            </w:r>
          </w:p>
        </w:tc>
      </w:tr>
      <w:tr w:rsidR="008D797A" w:rsidRPr="002E56A4" w14:paraId="14B52148" w14:textId="77777777">
        <w:tc>
          <w:tcPr>
            <w:tcW w:w="1417" w:type="dxa"/>
            <w:shd w:val="clear" w:color="auto" w:fill="FFFFFF" w:themeFill="background1"/>
            <w:vAlign w:val="center"/>
          </w:tcPr>
          <w:p w14:paraId="1F140B6E"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5F0746C9"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240" w:type="dxa"/>
            <w:shd w:val="clear" w:color="auto" w:fill="FFFFFF" w:themeFill="background1"/>
          </w:tcPr>
          <w:p w14:paraId="35338654" w14:textId="77777777" w:rsidR="008D797A" w:rsidRPr="002E56A4"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2E56A4">
              <w:rPr>
                <w:rFonts w:asciiTheme="majorBidi" w:hAnsiTheme="majorBidi" w:cstheme="majorBidi"/>
                <w:sz w:val="20"/>
                <w:szCs w:val="20"/>
              </w:rPr>
              <w:t xml:space="preserve">Monetary value of agriculture-related non-product-specific aggregated measurement of support </w:t>
            </w:r>
          </w:p>
        </w:tc>
      </w:tr>
      <w:tr w:rsidR="008D797A" w:rsidRPr="002E56A4" w14:paraId="6AC98361" w14:textId="77777777">
        <w:tc>
          <w:tcPr>
            <w:tcW w:w="1417" w:type="dxa"/>
            <w:shd w:val="clear" w:color="auto" w:fill="FFFFFF" w:themeFill="background1"/>
            <w:vAlign w:val="center"/>
          </w:tcPr>
          <w:p w14:paraId="03CA75B1" w14:textId="77777777" w:rsidR="008D797A" w:rsidRPr="002E56A4"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19</w:t>
            </w:r>
          </w:p>
        </w:tc>
        <w:tc>
          <w:tcPr>
            <w:tcW w:w="2415" w:type="dxa"/>
            <w:shd w:val="clear" w:color="auto" w:fill="FFFFFF" w:themeFill="background1"/>
          </w:tcPr>
          <w:p w14:paraId="0911B310" w14:textId="77777777" w:rsidR="008D797A" w:rsidRPr="002E56A4" w:rsidRDefault="008D797A" w:rsidP="008D797A">
            <w:pPr>
              <w:pStyle w:val="CBDNormalNumber"/>
              <w:keepLines/>
              <w:numPr>
                <w:ilvl w:val="0"/>
                <w:numId w:val="0"/>
              </w:numPr>
              <w:shd w:val="clear" w:color="auto" w:fill="A6A6A6" w:themeFill="background1" w:themeFillShade="A6"/>
              <w:spacing w:before="40" w:after="40"/>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070F234A" w14:textId="77777777" w:rsidR="008D797A" w:rsidRPr="002E56A4" w:rsidRDefault="008D797A" w:rsidP="008D797A">
            <w:pPr>
              <w:pStyle w:val="CBDNormalNumber"/>
              <w:keepLines/>
              <w:numPr>
                <w:ilvl w:val="0"/>
                <w:numId w:val="0"/>
              </w:numPr>
              <w:shd w:val="clear" w:color="auto" w:fill="A6A6A6" w:themeFill="background1" w:themeFillShade="A6"/>
              <w:spacing w:before="40"/>
              <w:jc w:val="left"/>
              <w:rPr>
                <w:rFonts w:asciiTheme="majorBidi" w:hAnsiTheme="majorBidi" w:cstheme="majorBidi"/>
                <w:sz w:val="20"/>
                <w:szCs w:val="20"/>
              </w:rPr>
            </w:pPr>
            <w:r w:rsidRPr="002E56A4">
              <w:rPr>
                <w:rFonts w:asciiTheme="majorBidi" w:hAnsiTheme="majorBidi" w:cstheme="majorBidi"/>
                <w:sz w:val="20"/>
                <w:szCs w:val="20"/>
              </w:rPr>
              <w:t>Biodiversity investment ratio</w:t>
            </w:r>
          </w:p>
        </w:tc>
      </w:tr>
    </w:tbl>
    <w:p w14:paraId="4FC2149A" w14:textId="77777777" w:rsidR="008D797A" w:rsidRPr="002E56A4" w:rsidRDefault="008D797A" w:rsidP="008D797A">
      <w:pPr>
        <w:pStyle w:val="CBDDesicionAnnex"/>
        <w:shd w:val="clear" w:color="auto" w:fill="A6A6A6" w:themeFill="background1" w:themeFillShade="A6"/>
        <w:ind w:left="1134"/>
        <w:rPr>
          <w:lang w:bidi="ar-SY"/>
        </w:rPr>
      </w:pPr>
      <w:r w:rsidRPr="002E56A4">
        <w:rPr>
          <w:lang w:bidi="ar-SY"/>
        </w:rPr>
        <w:t>Annex II</w:t>
      </w:r>
    </w:p>
    <w:p w14:paraId="639D353B" w14:textId="77777777" w:rsidR="008D797A" w:rsidRPr="002E56A4" w:rsidRDefault="008D797A" w:rsidP="008D797A">
      <w:pPr>
        <w:pStyle w:val="CBDDesicionAnnex"/>
        <w:shd w:val="clear" w:color="auto" w:fill="A6A6A6" w:themeFill="background1" w:themeFillShade="A6"/>
        <w:spacing w:before="0"/>
        <w:ind w:left="1134"/>
        <w:rPr>
          <w:lang w:bidi="ar-SY"/>
        </w:rPr>
      </w:pPr>
      <w:r w:rsidRPr="002E56A4">
        <w:rPr>
          <w:lang w:bidi="ar-SY"/>
        </w:rPr>
        <w:t>Terms of reference for the Ad Hoc Technical Expert Group on the Further Operationalization of the Monitoring Framework for the Kunming-Montreal Global Biodiversity Framework</w:t>
      </w:r>
    </w:p>
    <w:p w14:paraId="210FF7BF"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t>1.</w:t>
      </w:r>
      <w:r w:rsidRPr="002E56A4">
        <w:tab/>
        <w:t xml:space="preserve">The Ad Hoc Technical Expert Group on </w:t>
      </w:r>
      <w:r w:rsidRPr="002E56A4">
        <w:rPr>
          <w:lang w:bidi="ar-SY"/>
        </w:rPr>
        <w:t>the Further Operationalization of the Monitoring Framework for the Kunming-Montreal Global Biodiversity Framework</w:t>
      </w:r>
      <w:r w:rsidRPr="002E56A4">
        <w:t xml:space="preserve"> shall develop:</w:t>
      </w:r>
    </w:p>
    <w:p w14:paraId="7CA00FA8" w14:textId="77777777" w:rsidR="008D797A" w:rsidRPr="002E56A4" w:rsidRDefault="008D797A" w:rsidP="008D797A">
      <w:pPr>
        <w:pStyle w:val="CBDH3"/>
        <w:shd w:val="clear" w:color="auto" w:fill="A6A6A6" w:themeFill="background1" w:themeFillShade="A6"/>
        <w:tabs>
          <w:tab w:val="clear" w:pos="567"/>
        </w:tabs>
        <w:spacing w:before="0"/>
        <w:ind w:left="1134" w:firstLine="0"/>
        <w:jc w:val="both"/>
        <w:rPr>
          <w:b w:val="0"/>
        </w:rPr>
      </w:pPr>
      <w:r w:rsidRPr="002E56A4">
        <w:rPr>
          <w:b w:val="0"/>
          <w:bCs/>
        </w:rPr>
        <w:tab/>
      </w:r>
      <w:r w:rsidRPr="002E56A4">
        <w:rPr>
          <w:b w:val="0"/>
        </w:rPr>
        <w:t>(a)</w:t>
      </w:r>
      <w:r w:rsidRPr="002E56A4">
        <w:tab/>
      </w:r>
      <w:r w:rsidRPr="002E56A4">
        <w:rPr>
          <w:b w:val="0"/>
        </w:rPr>
        <w:t xml:space="preserve">Technical advice on the further development of the </w:t>
      </w:r>
      <w:r>
        <w:rPr>
          <w:b w:val="0"/>
        </w:rPr>
        <w:t xml:space="preserve">methodology and </w:t>
      </w:r>
      <w:r w:rsidRPr="002E56A4">
        <w:rPr>
          <w:b w:val="0"/>
        </w:rPr>
        <w:t>metadata of the headline indicators listed in methodological statuses</w:t>
      </w:r>
      <w:r>
        <w:rPr>
          <w:b w:val="0"/>
        </w:rPr>
        <w:t> </w:t>
      </w:r>
      <w:r w:rsidRPr="002E56A4">
        <w:rPr>
          <w:b w:val="0"/>
        </w:rPr>
        <w:t xml:space="preserve">1, 2 and 3 in document </w:t>
      </w:r>
      <w:hyperlink r:id="rId38" w:history="1">
        <w:r w:rsidRPr="002E56A4">
          <w:rPr>
            <w:rStyle w:val="Hyperlink"/>
            <w:b w:val="0"/>
          </w:rPr>
          <w:t>CBD/SBSTTA/28/INF/4</w:t>
        </w:r>
      </w:hyperlink>
      <w:r w:rsidRPr="002E56A4">
        <w:rPr>
          <w:b w:val="0"/>
        </w:rPr>
        <w:t>, as appropriate;</w:t>
      </w:r>
    </w:p>
    <w:p w14:paraId="2385A5DB" w14:textId="77777777" w:rsidR="008D797A" w:rsidRPr="002E56A4" w:rsidRDefault="008D797A" w:rsidP="008D797A">
      <w:pPr>
        <w:pStyle w:val="CBDNormalNumber"/>
        <w:keepNext/>
        <w:numPr>
          <w:ilvl w:val="0"/>
          <w:numId w:val="0"/>
        </w:numPr>
        <w:shd w:val="clear" w:color="auto" w:fill="A6A6A6" w:themeFill="background1" w:themeFillShade="A6"/>
        <w:tabs>
          <w:tab w:val="clear" w:pos="567"/>
        </w:tabs>
        <w:spacing w:before="0"/>
        <w:ind w:left="1134"/>
      </w:pPr>
      <w:r w:rsidRPr="002E56A4">
        <w:tab/>
        <w:t>(b)</w:t>
      </w:r>
      <w:r w:rsidRPr="002E56A4">
        <w:tab/>
        <w:t>Practical advice on the use and operationalization of the metadata for headline indicators in national monitoring and reporting processes, including on the use of disaggregation options</w:t>
      </w:r>
      <w:r>
        <w:t>.</w:t>
      </w:r>
    </w:p>
    <w:p w14:paraId="593885EB"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t>2.</w:t>
      </w:r>
      <w:r w:rsidRPr="002E56A4">
        <w:tab/>
        <w:t>The Ad Hoc Technical Expert Group shall work on the basis of decisions </w:t>
      </w:r>
      <w:hyperlink r:id="rId39" w:history="1">
        <w:r w:rsidRPr="00661FE4">
          <w:rPr>
            <w:rStyle w:val="Hyperlink"/>
          </w:rPr>
          <w:t>15/4</w:t>
        </w:r>
        <w:r w:rsidRPr="002E56A4">
          <w:t xml:space="preserve">, </w:t>
        </w:r>
        <w:r w:rsidRPr="00661FE4">
          <w:rPr>
            <w:rStyle w:val="Hyperlink"/>
          </w:rPr>
          <w:t>15/5</w:t>
        </w:r>
      </w:hyperlink>
      <w:r w:rsidRPr="002E56A4">
        <w:t xml:space="preserve">, </w:t>
      </w:r>
      <w:hyperlink r:id="rId40" w:history="1">
        <w:r w:rsidRPr="00661FE4">
          <w:rPr>
            <w:rStyle w:val="Hyperlink"/>
          </w:rPr>
          <w:t>15/6</w:t>
        </w:r>
      </w:hyperlink>
      <w:r w:rsidRPr="002E56A4">
        <w:t xml:space="preserve"> of 19 December 2022, </w:t>
      </w:r>
      <w:hyperlink r:id="rId41" w:history="1">
        <w:r w:rsidRPr="002E56A4">
          <w:rPr>
            <w:rStyle w:val="Hyperlink"/>
          </w:rPr>
          <w:t>16/4</w:t>
        </w:r>
      </w:hyperlink>
      <w:r w:rsidRPr="002E56A4">
        <w:t xml:space="preserve"> of 30 October 2024, </w:t>
      </w:r>
      <w:hyperlink r:id="rId42" w:history="1">
        <w:r w:rsidRPr="00661FE4">
          <w:rPr>
            <w:rStyle w:val="Hyperlink"/>
          </w:rPr>
          <w:t>16/31</w:t>
        </w:r>
      </w:hyperlink>
      <w:r w:rsidRPr="002E56A4">
        <w:t xml:space="preserve">, </w:t>
      </w:r>
      <w:hyperlink r:id="rId43" w:history="1">
        <w:r w:rsidRPr="00661FE4">
          <w:rPr>
            <w:rStyle w:val="Hyperlink"/>
          </w:rPr>
          <w:t>16/32</w:t>
        </w:r>
      </w:hyperlink>
      <w:r w:rsidRPr="002E56A4">
        <w:t xml:space="preserve"> of </w:t>
      </w:r>
      <w:r w:rsidRPr="003F4CE2">
        <w:t>27</w:t>
      </w:r>
      <w:r>
        <w:t> </w:t>
      </w:r>
      <w:r w:rsidRPr="003F4CE2">
        <w:t>February 2025</w:t>
      </w:r>
      <w:r w:rsidRPr="002E56A4">
        <w:t xml:space="preserve"> and 17/--</w:t>
      </w:r>
      <w:r>
        <w:t xml:space="preserve"> of XX</w:t>
      </w:r>
      <w:r w:rsidRPr="002E56A4">
        <w:rPr>
          <w:vertAlign w:val="superscript"/>
        </w:rPr>
        <w:footnoteReference w:id="16"/>
      </w:r>
      <w:r w:rsidRPr="002E56A4">
        <w:t xml:space="preserve"> and the metadata for the headline indicators</w:t>
      </w:r>
      <w:r w:rsidRPr="002E56A4">
        <w:rPr>
          <w:rStyle w:val="FootnoteReference"/>
        </w:rPr>
        <w:footnoteReference w:id="17"/>
      </w:r>
      <w:r w:rsidRPr="002E56A4">
        <w:t xml:space="preserve"> and take into account:</w:t>
      </w:r>
    </w:p>
    <w:p w14:paraId="68766D86" w14:textId="77777777" w:rsidR="008D797A" w:rsidRPr="002E56A4"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2E56A4">
        <w:t>(a)</w:t>
      </w:r>
      <w:r w:rsidRPr="002E56A4">
        <w:tab/>
        <w:t xml:space="preserve">The experience of Parties in preparing their seventh national reports, including the </w:t>
      </w:r>
      <w:r w:rsidRPr="002E56A4">
        <w:rPr>
          <w:iCs/>
        </w:rPr>
        <w:t>technical, capacity and resource gaps that they faced in using the monitoring framework</w:t>
      </w:r>
      <w:r w:rsidRPr="00FB06A0">
        <w:rPr>
          <w:lang w:bidi="ar-SY"/>
        </w:rPr>
        <w:t xml:space="preserve"> </w:t>
      </w:r>
      <w:r w:rsidRPr="002E56A4">
        <w:rPr>
          <w:lang w:bidi="ar-SY"/>
        </w:rPr>
        <w:t>for the Kunming-Montreal Global Biodiversity Framework</w:t>
      </w:r>
      <w:r w:rsidRPr="002E56A4">
        <w:rPr>
          <w:iCs/>
        </w:rPr>
        <w:t>;</w:t>
      </w:r>
      <w:r>
        <w:rPr>
          <w:rStyle w:val="FootnoteReference"/>
          <w:iCs/>
        </w:rPr>
        <w:footnoteReference w:id="18"/>
      </w:r>
    </w:p>
    <w:p w14:paraId="22548FC3" w14:textId="77777777" w:rsidR="008D797A" w:rsidRPr="002E56A4" w:rsidRDefault="008D797A" w:rsidP="008D797A">
      <w:pPr>
        <w:pStyle w:val="CBDNormalNumber"/>
        <w:numPr>
          <w:ilvl w:val="0"/>
          <w:numId w:val="0"/>
        </w:numPr>
        <w:shd w:val="clear" w:color="auto" w:fill="A6A6A6" w:themeFill="background1" w:themeFillShade="A6"/>
        <w:tabs>
          <w:tab w:val="clear" w:pos="567"/>
        </w:tabs>
        <w:spacing w:before="0"/>
        <w:ind w:left="1134" w:firstLine="567"/>
        <w:rPr>
          <w:lang w:val="en-CA"/>
        </w:rPr>
      </w:pPr>
      <w:r w:rsidRPr="002E56A4">
        <w:t>(b)</w:t>
      </w:r>
      <w:r w:rsidRPr="002E56A4">
        <w:tab/>
      </w:r>
      <w:r w:rsidRPr="002E56A4">
        <w:rPr>
          <w:lang w:val="en-CA"/>
        </w:rPr>
        <w:t xml:space="preserve">The </w:t>
      </w:r>
      <w:r w:rsidRPr="002E56A4">
        <w:t>review of the use of indicators in the seventh national reports;</w:t>
      </w:r>
      <w:r w:rsidRPr="002E56A4">
        <w:rPr>
          <w:rStyle w:val="FootnoteReference"/>
        </w:rPr>
        <w:footnoteReference w:id="19"/>
      </w:r>
      <w:r w:rsidRPr="002E56A4">
        <w:rPr>
          <w:lang w:val="en-CA"/>
        </w:rPr>
        <w:t xml:space="preserve"> </w:t>
      </w:r>
    </w:p>
    <w:p w14:paraId="211BFCC4" w14:textId="77777777" w:rsidR="008D797A" w:rsidRPr="002E56A4"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2E56A4">
        <w:rPr>
          <w:lang w:val="en-CA"/>
        </w:rPr>
        <w:t>(c)</w:t>
      </w:r>
      <w:r w:rsidRPr="002E56A4">
        <w:rPr>
          <w:lang w:val="en-CA"/>
        </w:rPr>
        <w:tab/>
      </w:r>
      <w:r w:rsidRPr="002E56A4">
        <w:t>Relevant findings from the global report of collective progress in the implementation of the Framework and lessons learned from its preparation;</w:t>
      </w:r>
    </w:p>
    <w:p w14:paraId="49BCA546" w14:textId="77777777" w:rsidR="008D797A" w:rsidRPr="002E56A4"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2E56A4">
        <w:t>(d)</w:t>
      </w:r>
      <w:r w:rsidRPr="002E56A4">
        <w:tab/>
        <w:t>The reporting burden on Parties;</w:t>
      </w:r>
    </w:p>
    <w:p w14:paraId="651D3F80" w14:textId="77777777" w:rsidR="008D797A" w:rsidRPr="002E56A4"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2E56A4">
        <w:lastRenderedPageBreak/>
        <w:t>(e)</w:t>
      </w:r>
      <w:r w:rsidRPr="002E56A4">
        <w:tab/>
        <w:t>The capacity, technical, institutional and financial needs of Parties and the specific challenges faced by developing country Parties, in particular the least developed countries and small island developing States;</w:t>
      </w:r>
    </w:p>
    <w:p w14:paraId="2E19FFDF" w14:textId="77777777" w:rsidR="008D797A" w:rsidRPr="002E56A4"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2E56A4">
        <w:t>(f)</w:t>
      </w:r>
      <w:r w:rsidRPr="002E56A4">
        <w:tab/>
        <w:t>Relevant findings of the methodological assessments on monitoring biodiversity and nature’s contributions to people and on spatial planning and ecological connectivity being prepared by the Intergovernmental Science-Policy Platform on Biodiversity and Ecosystem Services;</w:t>
      </w:r>
    </w:p>
    <w:p w14:paraId="3679D6D8" w14:textId="77777777" w:rsidR="008D797A" w:rsidRPr="002E56A4"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2E56A4">
        <w:t>(g)</w:t>
      </w:r>
      <w:r w:rsidRPr="002E56A4">
        <w:tab/>
        <w:t xml:space="preserve">The revised guidance on using the indicators of the monitoring framework developed by the </w:t>
      </w:r>
      <w:r w:rsidRPr="002E56A4">
        <w:rPr>
          <w:kern w:val="22"/>
        </w:rPr>
        <w:t xml:space="preserve">Ad Hoc Technical Expert Group </w:t>
      </w:r>
      <w:r w:rsidRPr="002E56A4">
        <w:t>on Indicators for the Kunming-Montreal Global Biodiversity Framework.</w:t>
      </w:r>
      <w:r w:rsidRPr="002E56A4">
        <w:rPr>
          <w:rStyle w:val="FootnoteReference"/>
        </w:rPr>
        <w:footnoteReference w:id="20"/>
      </w:r>
    </w:p>
    <w:p w14:paraId="7B33E539"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t>3.</w:t>
      </w:r>
      <w:r w:rsidRPr="002E56A4">
        <w:tab/>
      </w:r>
      <w:r w:rsidRPr="00355323">
        <w:t>The Ad Hoc Technical Expert Group shall</w:t>
      </w:r>
      <w:r w:rsidRPr="002E56A4">
        <w:t xml:space="preserve"> work with relevant organizations</w:t>
      </w:r>
      <w:r>
        <w:t xml:space="preserve"> and entities</w:t>
      </w:r>
      <w:r w:rsidRPr="002E56A4">
        <w:t>, including the regional and subregion</w:t>
      </w:r>
      <w:r>
        <w:t>al</w:t>
      </w:r>
      <w:r w:rsidRPr="002E56A4">
        <w:t xml:space="preserve"> technical and scientific </w:t>
      </w:r>
      <w:r>
        <w:t xml:space="preserve">cooperation </w:t>
      </w:r>
      <w:r w:rsidRPr="002E56A4">
        <w:t xml:space="preserve">support centres and </w:t>
      </w:r>
      <w:r>
        <w:t xml:space="preserve">the </w:t>
      </w:r>
      <w:r w:rsidRPr="002E56A4">
        <w:t xml:space="preserve">organizations </w:t>
      </w:r>
      <w:r>
        <w:t xml:space="preserve">and entities </w:t>
      </w:r>
      <w:r w:rsidRPr="002E56A4">
        <w:t xml:space="preserve">identified in table 1 of annex II to document </w:t>
      </w:r>
      <w:hyperlink r:id="rId44" w:history="1">
        <w:r w:rsidRPr="001A055E">
          <w:rPr>
            <w:rStyle w:val="Hyperlink"/>
          </w:rPr>
          <w:t>CBD/SBSTTA/26/2</w:t>
        </w:r>
      </w:hyperlink>
      <w:r w:rsidRPr="002E56A4">
        <w:rPr>
          <w:rStyle w:val="Hyperlink"/>
        </w:rPr>
        <w:t>,</w:t>
      </w:r>
      <w:r w:rsidRPr="002E56A4">
        <w:t xml:space="preserve"> as appropriate</w:t>
      </w:r>
      <w:r>
        <w:t>.</w:t>
      </w:r>
    </w:p>
    <w:p w14:paraId="10EDA3DC"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t>4.</w:t>
      </w:r>
      <w:r w:rsidRPr="002E56A4">
        <w:tab/>
        <w:t>The Ad Hoc Technical Expert Group shall be composed of 30 technical experts nominated by Parties, including experts on statistics, biodiversity monitoring, national statistical and biodiversity information systems, data management and governance, capacity-building and development, regional cooperation, biodiversity finance, national reporting processes and relevant social and natural sciences, and up to 15</w:t>
      </w:r>
      <w:r>
        <w:t> </w:t>
      </w:r>
      <w:r w:rsidRPr="002E56A4">
        <w:t>technical experts nominated by observer organizations and other relevant organizations. The Executive Secretary, in consultation with the Bureau of the Subsidiary Body on Scientific, Technical and Technological Advice, shall select experts from the nominations submitted by Parties and organizations with due regard to representation of various areas of technical expertise; ensuring balance in expertise on all aspects of the goals and targets of the Kunming-Montreal Global Biodiversity Framework;</w:t>
      </w:r>
      <w:r w:rsidRPr="002E56A4">
        <w:rPr>
          <w:rStyle w:val="FootnoteReference"/>
        </w:rPr>
        <w:footnoteReference w:id="21"/>
      </w:r>
      <w:r w:rsidRPr="002E56A4">
        <w:t xml:space="preserve"> also taking into account geographical representation; the representation of indigenous peoples and local communities, women’s and youth groups and major stakeholders; gender balance; the special conditions of developing countries, in particular the least developed countries and small island developing States, and countries with economies in transition; and the special situation of developing countries that are most environmentally vulnerable, such as those with arid and semi-arid zones, coastal and mountainous areas. </w:t>
      </w:r>
    </w:p>
    <w:p w14:paraId="07B3F4FC"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t>5.</w:t>
      </w:r>
      <w:r w:rsidRPr="002E56A4">
        <w:tab/>
        <w:t>The Ad Hoc Technical Expert Group shall nominate two co-chairs from among the selected experts, one from a developed country and one from a developing country</w:t>
      </w:r>
      <w:r>
        <w:t>.</w:t>
      </w:r>
    </w:p>
    <w:p w14:paraId="1DCA14A8"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t>6.</w:t>
      </w:r>
      <w:r w:rsidRPr="002E56A4">
        <w:tab/>
        <w:t>The Chair of the Subsidiary Body on Scientific, Technical and Technological Advice, the Chair of the Subsidiary Body on Implementation and the Co-Chairs</w:t>
      </w:r>
      <w:r w:rsidRPr="002E56A4" w:rsidDel="00707998">
        <w:t xml:space="preserve"> </w:t>
      </w:r>
      <w:r w:rsidRPr="002E56A4">
        <w:t>of the Subsidiary Body on Article 8(j) and Other Provisions of the Convention on Biological Diversity Related to Indigenous Peoples and Local Communities</w:t>
      </w:r>
      <w:r w:rsidRPr="002E56A4" w:rsidDel="00707998">
        <w:t xml:space="preserve"> </w:t>
      </w:r>
      <w:r w:rsidRPr="002E56A4">
        <w:t>shall be invited to participate, ex officio, in the meetings of the Ad Hoc Technical Expert Group</w:t>
      </w:r>
      <w:r>
        <w:t>.</w:t>
      </w:r>
    </w:p>
    <w:p w14:paraId="6C8731D8"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t>7.</w:t>
      </w:r>
      <w:r w:rsidRPr="002E56A4">
        <w:tab/>
        <w:t xml:space="preserve">The Ad Hoc Technical Expert Group shall also seek cooperation with and may also invite, as appropriate, other experts, including representatives of the regional and subregional technical and scientific cooperation support centres and the organizations </w:t>
      </w:r>
      <w:r>
        <w:t xml:space="preserve">and entities </w:t>
      </w:r>
      <w:r w:rsidRPr="002E56A4">
        <w:t xml:space="preserve">identified in table 1 of annex II to document </w:t>
      </w:r>
      <w:hyperlink r:id="rId45" w:history="1">
        <w:r w:rsidRPr="002E56A4">
          <w:rPr>
            <w:rStyle w:val="Hyperlink"/>
          </w:rPr>
          <w:t>CBD/SBSTTA/26/2</w:t>
        </w:r>
      </w:hyperlink>
      <w:r w:rsidRPr="002E56A4">
        <w:t xml:space="preserve">, to contribute their expertise and experiences on specific issues related to the terms of reference of the Expert Group </w:t>
      </w:r>
      <w:r>
        <w:t xml:space="preserve">while </w:t>
      </w:r>
      <w:r w:rsidRPr="002E56A4">
        <w:t>avoid</w:t>
      </w:r>
      <w:r>
        <w:t>ing</w:t>
      </w:r>
      <w:r w:rsidRPr="002E56A4">
        <w:t xml:space="preserve"> duplication</w:t>
      </w:r>
      <w:r>
        <w:t>.</w:t>
      </w:r>
    </w:p>
    <w:p w14:paraId="199009E2"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t>8.</w:t>
      </w:r>
      <w:r w:rsidRPr="002E56A4">
        <w:tab/>
        <w:t>The Ad Hoc Technical Expert Group shall primarily conduct its work electronically and, subject to the availability of resources, also meet in person, if necessary.</w:t>
      </w:r>
    </w:p>
    <w:p w14:paraId="45D7D17B" w14:textId="77777777" w:rsidR="008D797A" w:rsidRPr="002E56A4" w:rsidRDefault="008D797A" w:rsidP="008D797A">
      <w:pPr>
        <w:pStyle w:val="CBDNormalNoNumber"/>
        <w:shd w:val="clear" w:color="auto" w:fill="A6A6A6" w:themeFill="background1" w:themeFillShade="A6"/>
        <w:tabs>
          <w:tab w:val="clear" w:pos="567"/>
        </w:tabs>
        <w:ind w:left="1134" w:firstLine="567"/>
      </w:pPr>
      <w:r w:rsidRPr="002E56A4">
        <w:lastRenderedPageBreak/>
        <w:t>9.</w:t>
      </w:r>
      <w:r w:rsidRPr="002E56A4">
        <w:tab/>
        <w:t>The Ad Hoc Technical Expert Group shall be established and start its work immediately following approval by the Conference of the Parties at its seventeenth meeting and report on its work to the Subsidiary Body on Scientific, Technical and Technological Advice at a meeting held before the eighteenth meeting of the Conference of the Parties.</w:t>
      </w:r>
    </w:p>
    <w:p w14:paraId="038C463C" w14:textId="77777777" w:rsidR="008D797A" w:rsidRPr="00617CF8" w:rsidRDefault="008D797A" w:rsidP="008D797A">
      <w:pPr>
        <w:pStyle w:val="Para1"/>
        <w:numPr>
          <w:ilvl w:val="0"/>
          <w:numId w:val="0"/>
        </w:numPr>
        <w:spacing w:before="0"/>
        <w:ind w:left="567"/>
        <w:jc w:val="center"/>
        <w:rPr>
          <w:iCs/>
        </w:rPr>
      </w:pPr>
      <w:r w:rsidRPr="002E56A4">
        <w:t>__________</w:t>
      </w:r>
    </w:p>
    <w:p w14:paraId="06A7CC49" w14:textId="77777777" w:rsidR="008D797A" w:rsidRDefault="008D797A" w:rsidP="008B30E1">
      <w:pPr>
        <w:pStyle w:val="CBDNormalNoNumber"/>
        <w:tabs>
          <w:tab w:val="clear" w:pos="567"/>
        </w:tabs>
        <w:ind w:left="1134" w:firstLine="567"/>
      </w:pPr>
    </w:p>
    <w:sectPr w:rsidR="008D797A" w:rsidSect="00C87F3A">
      <w:headerReference w:type="even" r:id="rId46"/>
      <w:headerReference w:type="default" r:id="rId47"/>
      <w:footerReference w:type="even" r:id="rId48"/>
      <w:footerReference w:type="default" r:id="rId49"/>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4E9D0" w14:textId="77777777" w:rsidR="00235F1F" w:rsidRPr="003F1A75" w:rsidRDefault="00235F1F" w:rsidP="00CF1848">
      <w:r w:rsidRPr="003F1A75">
        <w:separator/>
      </w:r>
    </w:p>
  </w:endnote>
  <w:endnote w:type="continuationSeparator" w:id="0">
    <w:p w14:paraId="3B9E2A68" w14:textId="77777777" w:rsidR="00235F1F" w:rsidRPr="003F1A75" w:rsidRDefault="00235F1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C982D" w14:textId="77777777" w:rsidR="00235F1F" w:rsidRPr="003F1A75" w:rsidRDefault="00235F1F" w:rsidP="00CF1848">
      <w:r w:rsidRPr="003F1A75">
        <w:separator/>
      </w:r>
    </w:p>
  </w:footnote>
  <w:footnote w:type="continuationSeparator" w:id="0">
    <w:p w14:paraId="2547D79F" w14:textId="77777777" w:rsidR="00235F1F" w:rsidRPr="003F1A75" w:rsidRDefault="00235F1F" w:rsidP="00CF1848">
      <w:r w:rsidRPr="003F1A75">
        <w:continuationSeparator/>
      </w:r>
    </w:p>
  </w:footnote>
  <w:footnote w:id="1">
    <w:p w14:paraId="0DB30A69" w14:textId="178F475C" w:rsidR="00B6720F" w:rsidRPr="00B6720F" w:rsidRDefault="00B6720F">
      <w:pPr>
        <w:pStyle w:val="FootnoteText"/>
      </w:pPr>
      <w:r>
        <w:rPr>
          <w:rStyle w:val="FootnoteReference"/>
        </w:rPr>
        <w:t>*</w:t>
      </w:r>
      <w:r>
        <w:t xml:space="preserve"> The </w:t>
      </w:r>
      <w:r w:rsidR="00501FD3">
        <w:t>present document is being issued without formal editing.</w:t>
      </w:r>
    </w:p>
  </w:footnote>
  <w:footnote w:id="2">
    <w:p w14:paraId="471BBC8F" w14:textId="77777777" w:rsidR="008D797A" w:rsidRPr="002E56A4" w:rsidRDefault="008D797A" w:rsidP="008D797A">
      <w:pPr>
        <w:rPr>
          <w:rFonts w:eastAsia="Times New Roman"/>
          <w:szCs w:val="18"/>
        </w:rPr>
      </w:pPr>
      <w:r w:rsidRPr="0068260B">
        <w:rPr>
          <w:rStyle w:val="FootnoteReference"/>
          <w:highlight w:val="darkGray"/>
        </w:rPr>
        <w:footnoteRef/>
      </w:r>
      <w:r w:rsidRPr="0068260B">
        <w:rPr>
          <w:highlight w:val="darkGray"/>
        </w:rPr>
        <w:t xml:space="preserve"> </w:t>
      </w:r>
      <w:r w:rsidRPr="0068260B">
        <w:rPr>
          <w:rFonts w:eastAsia="Times New Roman"/>
          <w:sz w:val="18"/>
          <w:szCs w:val="18"/>
          <w:highlight w:val="darkGray"/>
        </w:rPr>
        <w:t xml:space="preserve">The timing of disbursement and expenditure for the enabling activities projects funded by the Global Environment Facility is available in document </w:t>
      </w:r>
      <w:hyperlink r:id="rId1" w:history="1">
        <w:r w:rsidRPr="0068260B">
          <w:rPr>
            <w:rStyle w:val="Hyperlink"/>
            <w:rFonts w:eastAsia="Times New Roman"/>
            <w:sz w:val="18"/>
            <w:szCs w:val="18"/>
            <w:highlight w:val="darkGray"/>
          </w:rPr>
          <w:t>CBD/SBI/7/INF/17</w:t>
        </w:r>
      </w:hyperlink>
      <w:r w:rsidRPr="0068260B">
        <w:rPr>
          <w:rFonts w:eastAsia="Times New Roman"/>
          <w:sz w:val="18"/>
          <w:szCs w:val="18"/>
          <w:highlight w:val="darkGray"/>
        </w:rPr>
        <w:t xml:space="preserve"> and summarized in the global report.</w:t>
      </w:r>
    </w:p>
  </w:footnote>
  <w:footnote w:id="3">
    <w:p w14:paraId="0E1D948A" w14:textId="77777777" w:rsidR="008D797A" w:rsidRPr="002E56A4" w:rsidRDefault="008D797A" w:rsidP="008D797A">
      <w:pPr>
        <w:pStyle w:val="FootnoteText"/>
      </w:pPr>
      <w:r w:rsidRPr="0068260B">
        <w:rPr>
          <w:rStyle w:val="FootnoteReference"/>
          <w:highlight w:val="darkGray"/>
        </w:rPr>
        <w:footnoteRef/>
      </w:r>
      <w:r w:rsidRPr="0068260B">
        <w:rPr>
          <w:highlight w:val="darkGray"/>
        </w:rPr>
        <w:t xml:space="preserve"> Decision </w:t>
      </w:r>
      <w:hyperlink r:id="rId2" w:history="1">
        <w:r w:rsidRPr="0068260B">
          <w:rPr>
            <w:rStyle w:val="Hyperlink"/>
            <w:highlight w:val="darkGray"/>
          </w:rPr>
          <w:t>15/5</w:t>
        </w:r>
      </w:hyperlink>
      <w:r w:rsidRPr="0068260B">
        <w:rPr>
          <w:highlight w:val="darkGray"/>
        </w:rPr>
        <w:t>, annex I.</w:t>
      </w:r>
    </w:p>
  </w:footnote>
  <w:footnote w:id="4">
    <w:p w14:paraId="65441258" w14:textId="5F3D530A" w:rsidR="00C47977" w:rsidRPr="00C47977" w:rsidRDefault="00C47977">
      <w:pPr>
        <w:pStyle w:val="FootnoteText"/>
      </w:pPr>
      <w:r>
        <w:rPr>
          <w:rStyle w:val="FootnoteReference"/>
        </w:rPr>
        <w:footnoteRef/>
      </w:r>
      <w:r>
        <w:t xml:space="preserve"> Decision </w:t>
      </w:r>
      <w:hyperlink r:id="rId3" w:history="1">
        <w:r w:rsidRPr="003A6BEB">
          <w:rPr>
            <w:rStyle w:val="Hyperlink"/>
          </w:rPr>
          <w:t>15/4</w:t>
        </w:r>
      </w:hyperlink>
      <w:r>
        <w:t>, annex</w:t>
      </w:r>
      <w:r w:rsidR="003A6BEB">
        <w:t>.</w:t>
      </w:r>
    </w:p>
  </w:footnote>
  <w:footnote w:id="5">
    <w:p w14:paraId="1FA11818" w14:textId="5DE63FFE" w:rsidR="00842579" w:rsidRPr="001D2912" w:rsidRDefault="00842579">
      <w:pPr>
        <w:pStyle w:val="FootnoteText"/>
        <w:rPr>
          <w:lang w:val="en-US"/>
        </w:rPr>
      </w:pPr>
      <w:r>
        <w:rPr>
          <w:rStyle w:val="FootnoteReference"/>
        </w:rPr>
        <w:footnoteRef/>
      </w:r>
      <w:r>
        <w:t xml:space="preserve"> </w:t>
      </w:r>
      <w:r>
        <w:rPr>
          <w:lang w:val="en-US"/>
        </w:rPr>
        <w:t>Th</w:t>
      </w:r>
      <w:r w:rsidR="00AB7300">
        <w:rPr>
          <w:lang w:val="en-US"/>
        </w:rPr>
        <w:t>e</w:t>
      </w:r>
      <w:r>
        <w:rPr>
          <w:lang w:val="en-US"/>
        </w:rPr>
        <w:t xml:space="preserve"> list will be updated</w:t>
      </w:r>
      <w:r w:rsidR="0046165A">
        <w:rPr>
          <w:lang w:val="en-US"/>
        </w:rPr>
        <w:t>, as necessary,</w:t>
      </w:r>
      <w:r>
        <w:rPr>
          <w:lang w:val="en-US"/>
        </w:rPr>
        <w:t xml:space="preserve"> </w:t>
      </w:r>
      <w:r w:rsidR="0046165A">
        <w:rPr>
          <w:lang w:val="en-US"/>
        </w:rPr>
        <w:t xml:space="preserve">on the </w:t>
      </w:r>
      <w:r>
        <w:rPr>
          <w:lang w:val="en-US"/>
        </w:rPr>
        <w:t>bas</w:t>
      </w:r>
      <w:r w:rsidR="0046165A">
        <w:rPr>
          <w:lang w:val="en-US"/>
        </w:rPr>
        <w:t>is</w:t>
      </w:r>
      <w:r>
        <w:rPr>
          <w:lang w:val="en-US"/>
        </w:rPr>
        <w:t xml:space="preserve"> on the final list of </w:t>
      </w:r>
      <w:r w:rsidR="0030654B">
        <w:rPr>
          <w:lang w:val="en-US"/>
        </w:rPr>
        <w:t xml:space="preserve">Parties and </w:t>
      </w:r>
      <w:r>
        <w:rPr>
          <w:lang w:val="en-US"/>
        </w:rPr>
        <w:t xml:space="preserve">entities that </w:t>
      </w:r>
      <w:r w:rsidR="0030654B">
        <w:rPr>
          <w:lang w:val="en-US"/>
        </w:rPr>
        <w:t xml:space="preserve">will have </w:t>
      </w:r>
      <w:r>
        <w:rPr>
          <w:lang w:val="en-US"/>
        </w:rPr>
        <w:t xml:space="preserve">provided support. </w:t>
      </w:r>
    </w:p>
  </w:footnote>
  <w:footnote w:id="6">
    <w:p w14:paraId="6BE210C6" w14:textId="77777777" w:rsidR="008D797A" w:rsidRPr="002E56A4" w:rsidRDefault="008D797A" w:rsidP="008D797A">
      <w:pPr>
        <w:pStyle w:val="FootnoteText"/>
      </w:pPr>
      <w:r w:rsidRPr="0068260B">
        <w:rPr>
          <w:rStyle w:val="FootnoteReference"/>
          <w:highlight w:val="darkGray"/>
        </w:rPr>
        <w:footnoteRef/>
      </w:r>
      <w:r w:rsidRPr="0068260B">
        <w:rPr>
          <w:highlight w:val="darkGray"/>
        </w:rPr>
        <w:t xml:space="preserve"> All references to “</w:t>
      </w:r>
      <w:r w:rsidRPr="0068260B">
        <w:rPr>
          <w:rFonts w:eastAsia="Times New Roman"/>
          <w:highlight w:val="darkGray"/>
        </w:rPr>
        <w:t>actors other than national Governments</w:t>
      </w:r>
      <w:r w:rsidRPr="0068260B">
        <w:rPr>
          <w:highlight w:val="darkGray"/>
        </w:rPr>
        <w:t>” are to be understood as described in paragraph 4 (in line with decisions </w:t>
      </w:r>
      <w:hyperlink r:id="rId4" w:history="1">
        <w:r w:rsidRPr="0068260B">
          <w:rPr>
            <w:rStyle w:val="Hyperlink"/>
            <w:highlight w:val="darkGray"/>
          </w:rPr>
          <w:t>15/6</w:t>
        </w:r>
      </w:hyperlink>
      <w:r w:rsidRPr="0068260B">
        <w:rPr>
          <w:highlight w:val="darkGray"/>
        </w:rPr>
        <w:t xml:space="preserve"> and </w:t>
      </w:r>
      <w:hyperlink r:id="rId5" w:history="1">
        <w:r w:rsidRPr="0068260B">
          <w:rPr>
            <w:rStyle w:val="Hyperlink"/>
            <w:highlight w:val="darkGray"/>
          </w:rPr>
          <w:t>16/32</w:t>
        </w:r>
      </w:hyperlink>
      <w:r w:rsidRPr="0068260B">
        <w:rPr>
          <w:highlight w:val="darkGray"/>
        </w:rPr>
        <w:t>).</w:t>
      </w:r>
    </w:p>
  </w:footnote>
  <w:footnote w:id="7">
    <w:p w14:paraId="21ED5F8D" w14:textId="77777777" w:rsidR="008D797A" w:rsidRPr="008B30E1" w:rsidRDefault="008D797A" w:rsidP="008D797A">
      <w:pPr>
        <w:pStyle w:val="FootnoteText"/>
        <w:rPr>
          <w:lang w:val="es-ES"/>
        </w:rPr>
      </w:pPr>
      <w:r>
        <w:rPr>
          <w:rStyle w:val="FootnoteReference"/>
        </w:rPr>
        <w:footnoteRef/>
      </w:r>
      <w:r w:rsidRPr="008B30E1">
        <w:rPr>
          <w:lang w:val="es-ES"/>
        </w:rPr>
        <w:t xml:space="preserve"> Ibid., vol. 2226, No. 30619.</w:t>
      </w:r>
    </w:p>
  </w:footnote>
  <w:footnote w:id="8">
    <w:p w14:paraId="2A776FAD" w14:textId="77777777" w:rsidR="008D797A" w:rsidRPr="008B30E1" w:rsidRDefault="008D797A" w:rsidP="008D797A">
      <w:pPr>
        <w:pStyle w:val="FootnoteText"/>
        <w:rPr>
          <w:lang w:val="es-ES"/>
        </w:rPr>
      </w:pPr>
      <w:r>
        <w:rPr>
          <w:rStyle w:val="FootnoteReference"/>
        </w:rPr>
        <w:footnoteRef/>
      </w:r>
      <w:r w:rsidRPr="008B30E1">
        <w:rPr>
          <w:lang w:val="es-ES"/>
        </w:rPr>
        <w:t xml:space="preserve"> Ib</w:t>
      </w:r>
      <w:r w:rsidRPr="00876EE9">
        <w:rPr>
          <w:lang w:val="es-ES"/>
        </w:rPr>
        <w:t>id.</w:t>
      </w:r>
      <w:r w:rsidRPr="008B30E1">
        <w:rPr>
          <w:lang w:val="es-ES"/>
        </w:rPr>
        <w:t>, vol. 3008, No. 30619.</w:t>
      </w:r>
    </w:p>
  </w:footnote>
  <w:footnote w:id="9">
    <w:p w14:paraId="534D9949" w14:textId="79B1E568" w:rsidR="00FD028B" w:rsidRPr="00FD028B" w:rsidRDefault="00FD028B">
      <w:pPr>
        <w:pStyle w:val="FootnoteText"/>
      </w:pPr>
      <w:r>
        <w:rPr>
          <w:rStyle w:val="FootnoteReference"/>
        </w:rPr>
        <w:footnoteRef/>
      </w:r>
      <w:r>
        <w:t xml:space="preserve"> The non-prescriptive approaches are listed in section</w:t>
      </w:r>
      <w:r w:rsidR="00F01D42">
        <w:t> </w:t>
      </w:r>
      <w:r>
        <w:t>III of the global report (</w:t>
      </w:r>
      <w:hyperlink r:id="rId6" w:history="1">
        <w:r w:rsidR="00AC2F5C" w:rsidRPr="00690CC9">
          <w:rPr>
            <w:rStyle w:val="Hyperlink"/>
          </w:rPr>
          <w:t>CBD/</w:t>
        </w:r>
        <w:r w:rsidRPr="00690CC9">
          <w:rPr>
            <w:rStyle w:val="Hyperlink"/>
          </w:rPr>
          <w:t>SBSTTA/28/2/</w:t>
        </w:r>
        <w:r w:rsidR="00AC2F5C" w:rsidRPr="00690CC9">
          <w:rPr>
            <w:rStyle w:val="Hyperlink"/>
          </w:rPr>
          <w:t>A</w:t>
        </w:r>
        <w:r w:rsidRPr="00690CC9">
          <w:rPr>
            <w:rStyle w:val="Hyperlink"/>
          </w:rPr>
          <w:t>dd.3</w:t>
        </w:r>
      </w:hyperlink>
      <w:r w:rsidR="00F01D42" w:rsidRPr="00765A94">
        <w:t>)</w:t>
      </w:r>
      <w:r w:rsidR="00516B3C" w:rsidRPr="00765A94">
        <w:t>.</w:t>
      </w:r>
      <w:r w:rsidRPr="00765A94">
        <w:t xml:space="preserve"> </w:t>
      </w:r>
      <w:r w:rsidR="00F01D42">
        <w:t>T</w:t>
      </w:r>
      <w:r>
        <w:t xml:space="preserve">he reference will be updated to </w:t>
      </w:r>
      <w:r w:rsidR="00843339">
        <w:t xml:space="preserve">a </w:t>
      </w:r>
      <w:r w:rsidR="00F01D42">
        <w:t xml:space="preserve">decision </w:t>
      </w:r>
      <w:r w:rsidR="0083778C">
        <w:t>of</w:t>
      </w:r>
      <w:r w:rsidR="00843339">
        <w:t xml:space="preserve"> the seventeenth meeting of the Conference of the Parties</w:t>
      </w:r>
      <w:r w:rsidR="00F01D42">
        <w:t xml:space="preserve"> after adoption</w:t>
      </w:r>
      <w:r>
        <w:t>.</w:t>
      </w:r>
    </w:p>
  </w:footnote>
  <w:footnote w:id="10">
    <w:p w14:paraId="2AAFBFB8" w14:textId="18125256" w:rsidR="00595DFE" w:rsidRPr="00595DFE" w:rsidRDefault="00595DFE" w:rsidP="00B27A2A">
      <w:pPr>
        <w:pStyle w:val="FootnoteText"/>
      </w:pPr>
      <w:r>
        <w:rPr>
          <w:rStyle w:val="FootnoteReference"/>
        </w:rPr>
        <w:footnoteRef/>
      </w:r>
      <w:r>
        <w:t xml:space="preserve"> </w:t>
      </w:r>
      <w:r w:rsidR="00B27A2A" w:rsidRPr="00B27A2A">
        <w:t>Free, prior and informed consent refers to the tripartite terminology of “prior and informed consent” or “free, prior and informed consent” or “approval and involvement”.</w:t>
      </w:r>
    </w:p>
  </w:footnote>
  <w:footnote w:id="11">
    <w:p w14:paraId="3C67F120" w14:textId="38BABD18" w:rsidR="004B7BD4" w:rsidRPr="002E56A4" w:rsidRDefault="004B7BD4" w:rsidP="004B7BD4">
      <w:pPr>
        <w:pStyle w:val="FootnoteText"/>
        <w:rPr>
          <w:lang w:val="en-CA"/>
        </w:rPr>
      </w:pPr>
      <w:r w:rsidRPr="0068260B">
        <w:rPr>
          <w:rStyle w:val="FootnoteReference"/>
          <w:highlight w:val="darkGray"/>
        </w:rPr>
        <w:footnoteRef/>
      </w:r>
      <w:r w:rsidRPr="0068260B">
        <w:rPr>
          <w:highlight w:val="darkGray"/>
        </w:rPr>
        <w:t xml:space="preserve"> </w:t>
      </w:r>
      <w:r w:rsidRPr="0068260B">
        <w:rPr>
          <w:rFonts w:eastAsia="Times New Roman"/>
          <w:highlight w:val="darkGray"/>
        </w:rPr>
        <w:t>The section of paragraph </w:t>
      </w:r>
      <w:r w:rsidR="009C6B7A" w:rsidRPr="0068260B">
        <w:rPr>
          <w:rFonts w:eastAsia="Times New Roman"/>
          <w:highlight w:val="darkGray"/>
        </w:rPr>
        <w:t xml:space="preserve">41 </w:t>
      </w:r>
      <w:r w:rsidRPr="0068260B">
        <w:rPr>
          <w:rFonts w:eastAsia="Times New Roman"/>
          <w:highlight w:val="darkGray"/>
        </w:rPr>
        <w:t>related to the Global Environment Facility will be duplicated in the decision on the financial mechanism to be adopted at the seventeenth meeting of the Conference of the Parties.</w:t>
      </w:r>
    </w:p>
  </w:footnote>
  <w:footnote w:id="12">
    <w:p w14:paraId="2EF11C78" w14:textId="77777777" w:rsidR="00C86752" w:rsidRPr="002E56A4" w:rsidRDefault="00C86752" w:rsidP="00C86752">
      <w:pPr>
        <w:pStyle w:val="FootnoteText"/>
        <w:rPr>
          <w:lang w:val="en-CA"/>
        </w:rPr>
      </w:pPr>
      <w:r w:rsidRPr="0068260B">
        <w:rPr>
          <w:rStyle w:val="FootnoteReference"/>
          <w:highlight w:val="darkGray"/>
        </w:rPr>
        <w:footnoteRef/>
      </w:r>
      <w:r w:rsidRPr="0068260B">
        <w:rPr>
          <w:highlight w:val="darkGray"/>
        </w:rPr>
        <w:t xml:space="preserve"> United Nations, </w:t>
      </w:r>
      <w:r w:rsidRPr="0068260B">
        <w:rPr>
          <w:i/>
          <w:iCs/>
          <w:highlight w:val="darkGray"/>
        </w:rPr>
        <w:t>Treaty Series</w:t>
      </w:r>
      <w:r w:rsidRPr="0068260B">
        <w:rPr>
          <w:highlight w:val="darkGray"/>
        </w:rPr>
        <w:t>, vol. 1760, No. 30619.</w:t>
      </w:r>
    </w:p>
  </w:footnote>
  <w:footnote w:id="13">
    <w:p w14:paraId="3DB284C7" w14:textId="77777777" w:rsidR="008D797A" w:rsidRPr="002E56A4" w:rsidRDefault="008D797A" w:rsidP="008D797A">
      <w:pPr>
        <w:pStyle w:val="FootnoteText"/>
        <w:rPr>
          <w:lang w:val="en-CA"/>
        </w:rPr>
      </w:pPr>
      <w:r w:rsidRPr="0068260B">
        <w:rPr>
          <w:rStyle w:val="FootnoteReference"/>
          <w:highlight w:val="darkGray"/>
        </w:rPr>
        <w:footnoteRef/>
      </w:r>
      <w:r w:rsidRPr="0068260B">
        <w:rPr>
          <w:highlight w:val="darkGray"/>
        </w:rPr>
        <w:t xml:space="preserve"> </w:t>
      </w:r>
      <w:r w:rsidRPr="0068260B">
        <w:rPr>
          <w:highlight w:val="darkGray"/>
          <w:lang w:val="en-CA"/>
        </w:rPr>
        <w:t xml:space="preserve">Decision </w:t>
      </w:r>
      <w:hyperlink r:id="rId7" w:history="1">
        <w:r w:rsidRPr="0068260B">
          <w:rPr>
            <w:rStyle w:val="Hyperlink"/>
            <w:highlight w:val="darkGray"/>
            <w:lang w:val="en-CA"/>
          </w:rPr>
          <w:t>15/5</w:t>
        </w:r>
      </w:hyperlink>
      <w:r w:rsidRPr="0068260B">
        <w:rPr>
          <w:highlight w:val="darkGray"/>
          <w:lang w:val="en-CA"/>
        </w:rPr>
        <w:t>, annex I.</w:t>
      </w:r>
    </w:p>
  </w:footnote>
  <w:footnote w:id="14">
    <w:p w14:paraId="049C8D41" w14:textId="77777777" w:rsidR="008D797A" w:rsidRPr="002E56A4" w:rsidRDefault="008D797A" w:rsidP="008D797A">
      <w:pPr>
        <w:pStyle w:val="FootnoteText"/>
        <w:rPr>
          <w:lang w:val="en-CA"/>
        </w:rPr>
      </w:pPr>
      <w:r w:rsidRPr="0068260B">
        <w:rPr>
          <w:rStyle w:val="FootnoteReference"/>
          <w:highlight w:val="darkGray"/>
        </w:rPr>
        <w:footnoteRef/>
      </w:r>
      <w:r w:rsidRPr="0068260B">
        <w:rPr>
          <w:highlight w:val="darkGray"/>
          <w:lang w:val="en-CA"/>
        </w:rPr>
        <w:t xml:space="preserve"> I.e. indicators B.1, C.1, C.2, D.3, 1.1, 7.2 (pesticide environment concentration), 9.1, 9.2, 15.1, 18.2, 21.1 and 22.1.</w:t>
      </w:r>
    </w:p>
  </w:footnote>
  <w:footnote w:id="15">
    <w:p w14:paraId="2087201C" w14:textId="77777777" w:rsidR="008A3BF3" w:rsidRPr="00B648AF" w:rsidRDefault="008A3BF3" w:rsidP="008A3BF3">
      <w:pPr>
        <w:pStyle w:val="FootnoteText"/>
        <w:rPr>
          <w:lang w:val="en-US"/>
        </w:rPr>
      </w:pPr>
      <w:r>
        <w:rPr>
          <w:rStyle w:val="FootnoteReference"/>
        </w:rPr>
        <w:footnoteRef/>
      </w:r>
      <w:r>
        <w:t xml:space="preserve"> T</w:t>
      </w:r>
      <w:r w:rsidRPr="00B648AF">
        <w:t>he voluntary peer review methodology provided in document CBD/SBI/6/INF/14</w:t>
      </w:r>
      <w:r>
        <w:t>.</w:t>
      </w:r>
    </w:p>
  </w:footnote>
  <w:footnote w:id="16">
    <w:p w14:paraId="04E3AA9E" w14:textId="77777777" w:rsidR="008D797A" w:rsidRPr="0068260B" w:rsidRDefault="008D797A" w:rsidP="008D797A">
      <w:pPr>
        <w:pStyle w:val="FootnoteText"/>
        <w:rPr>
          <w:highlight w:val="darkGray"/>
          <w:lang w:val="en-CA"/>
        </w:rPr>
      </w:pPr>
      <w:r w:rsidRPr="0068260B">
        <w:rPr>
          <w:rStyle w:val="FootnoteReference"/>
          <w:highlight w:val="darkGray"/>
        </w:rPr>
        <w:footnoteRef/>
      </w:r>
      <w:r w:rsidRPr="0068260B">
        <w:rPr>
          <w:highlight w:val="darkGray"/>
        </w:rPr>
        <w:t xml:space="preserve"> </w:t>
      </w:r>
      <w:r w:rsidRPr="0068260B">
        <w:rPr>
          <w:highlight w:val="darkGray"/>
          <w:lang w:val="en-CA"/>
        </w:rPr>
        <w:t>Decision on the global review</w:t>
      </w:r>
      <w:r w:rsidRPr="0068260B">
        <w:rPr>
          <w:highlight w:val="darkGray"/>
        </w:rPr>
        <w:t xml:space="preserve"> </w:t>
      </w:r>
      <w:r w:rsidRPr="0068260B">
        <w:rPr>
          <w:highlight w:val="darkGray"/>
          <w:lang w:val="en-CA"/>
        </w:rPr>
        <w:t>of collective progress in the implementation of Framework to be adopted at the seventeenth meeting of the Conference of the Parties.</w:t>
      </w:r>
    </w:p>
  </w:footnote>
  <w:footnote w:id="17">
    <w:p w14:paraId="2D152520" w14:textId="77777777" w:rsidR="008D797A" w:rsidRPr="0068260B" w:rsidRDefault="008D797A" w:rsidP="008D797A">
      <w:pPr>
        <w:pStyle w:val="FootnoteText"/>
        <w:rPr>
          <w:highlight w:val="darkGray"/>
          <w:lang w:val="en-CA"/>
        </w:rPr>
      </w:pPr>
      <w:r w:rsidRPr="0068260B">
        <w:rPr>
          <w:rStyle w:val="FootnoteReference"/>
          <w:highlight w:val="darkGray"/>
        </w:rPr>
        <w:footnoteRef/>
      </w:r>
      <w:r w:rsidRPr="0068260B">
        <w:rPr>
          <w:highlight w:val="darkGray"/>
        </w:rPr>
        <w:t xml:space="preserve"> See </w:t>
      </w:r>
      <w:hyperlink r:id="rId8" w:history="1">
        <w:r w:rsidRPr="0068260B">
          <w:rPr>
            <w:rStyle w:val="Hyperlink"/>
            <w:highlight w:val="darkGray"/>
          </w:rPr>
          <w:t>CBD/COP/16/INF/4</w:t>
        </w:r>
      </w:hyperlink>
      <w:r w:rsidRPr="0068260B">
        <w:rPr>
          <w:highlight w:val="darkGray"/>
        </w:rPr>
        <w:t xml:space="preserve"> and </w:t>
      </w:r>
      <w:hyperlink r:id="rId9" w:history="1">
        <w:r w:rsidRPr="0068260B">
          <w:rPr>
            <w:rStyle w:val="Hyperlink"/>
            <w:highlight w:val="darkGray"/>
          </w:rPr>
          <w:t>CBD/SBSTTA/28/INF/4</w:t>
        </w:r>
      </w:hyperlink>
      <w:r w:rsidRPr="0068260B">
        <w:rPr>
          <w:highlight w:val="darkGray"/>
        </w:rPr>
        <w:t>.</w:t>
      </w:r>
    </w:p>
  </w:footnote>
  <w:footnote w:id="18">
    <w:p w14:paraId="1F3DF92B" w14:textId="77777777" w:rsidR="008D797A" w:rsidRPr="0068260B" w:rsidRDefault="008D797A" w:rsidP="008D797A">
      <w:pPr>
        <w:pStyle w:val="FootnoteText"/>
        <w:rPr>
          <w:highlight w:val="darkGray"/>
          <w:lang w:val="en-CA"/>
        </w:rPr>
      </w:pPr>
      <w:r w:rsidRPr="0068260B">
        <w:rPr>
          <w:rStyle w:val="FootnoteReference"/>
          <w:highlight w:val="darkGray"/>
        </w:rPr>
        <w:footnoteRef/>
      </w:r>
      <w:r w:rsidRPr="0068260B">
        <w:rPr>
          <w:highlight w:val="darkGray"/>
        </w:rPr>
        <w:t xml:space="preserve"> </w:t>
      </w:r>
      <w:r w:rsidRPr="0068260B">
        <w:rPr>
          <w:highlight w:val="darkGray"/>
          <w:lang w:val="en-CA"/>
        </w:rPr>
        <w:t xml:space="preserve">Decision </w:t>
      </w:r>
      <w:hyperlink r:id="rId10" w:history="1">
        <w:r w:rsidRPr="0068260B">
          <w:rPr>
            <w:rStyle w:val="Hyperlink"/>
            <w:highlight w:val="darkGray"/>
            <w:lang w:val="en-CA"/>
          </w:rPr>
          <w:t>15/5</w:t>
        </w:r>
      </w:hyperlink>
      <w:r w:rsidRPr="0068260B">
        <w:rPr>
          <w:highlight w:val="darkGray"/>
          <w:lang w:val="en-CA"/>
        </w:rPr>
        <w:t>, annex I.</w:t>
      </w:r>
    </w:p>
  </w:footnote>
  <w:footnote w:id="19">
    <w:p w14:paraId="278CB778" w14:textId="77777777" w:rsidR="008D797A" w:rsidRPr="0068260B" w:rsidRDefault="008D797A" w:rsidP="008D797A">
      <w:pPr>
        <w:pStyle w:val="FootnoteText"/>
        <w:rPr>
          <w:highlight w:val="darkGray"/>
          <w:lang w:val="en-CA"/>
        </w:rPr>
      </w:pPr>
      <w:r w:rsidRPr="0068260B">
        <w:rPr>
          <w:rStyle w:val="FootnoteReference"/>
          <w:highlight w:val="darkGray"/>
        </w:rPr>
        <w:footnoteRef/>
      </w:r>
      <w:r w:rsidRPr="0068260B">
        <w:rPr>
          <w:highlight w:val="darkGray"/>
        </w:rPr>
        <w:t xml:space="preserve"> </w:t>
      </w:r>
      <w:hyperlink r:id="rId11" w:history="1">
        <w:r w:rsidRPr="0068260B">
          <w:rPr>
            <w:rStyle w:val="Hyperlink"/>
            <w:highlight w:val="darkGray"/>
          </w:rPr>
          <w:t>CBD/SBSTTA/28/INF/11</w:t>
        </w:r>
      </w:hyperlink>
      <w:r w:rsidRPr="0068260B">
        <w:rPr>
          <w:highlight w:val="darkGray"/>
        </w:rPr>
        <w:t>.</w:t>
      </w:r>
    </w:p>
  </w:footnote>
  <w:footnote w:id="20">
    <w:p w14:paraId="5C67500F" w14:textId="77777777" w:rsidR="008D797A" w:rsidRPr="0068260B" w:rsidRDefault="008D797A" w:rsidP="008D797A">
      <w:pPr>
        <w:pStyle w:val="FootnoteText"/>
        <w:rPr>
          <w:highlight w:val="darkGray"/>
          <w:lang w:val="en-CA"/>
        </w:rPr>
      </w:pPr>
      <w:r w:rsidRPr="0068260B">
        <w:rPr>
          <w:rStyle w:val="FootnoteReference"/>
          <w:highlight w:val="darkGray"/>
        </w:rPr>
        <w:footnoteRef/>
      </w:r>
      <w:r w:rsidRPr="0068260B">
        <w:rPr>
          <w:highlight w:val="darkGray"/>
        </w:rPr>
        <w:t xml:space="preserve"> </w:t>
      </w:r>
      <w:hyperlink r:id="rId12" w:history="1">
        <w:r w:rsidRPr="0068260B">
          <w:rPr>
            <w:rStyle w:val="Hyperlink"/>
            <w:highlight w:val="darkGray"/>
          </w:rPr>
          <w:t>CBD/COP/16/INF/3/Rev.1</w:t>
        </w:r>
      </w:hyperlink>
      <w:r w:rsidRPr="0068260B">
        <w:rPr>
          <w:highlight w:val="darkGray"/>
        </w:rPr>
        <w:t>.</w:t>
      </w:r>
    </w:p>
  </w:footnote>
  <w:footnote w:id="21">
    <w:p w14:paraId="027724A6" w14:textId="77777777" w:rsidR="008D797A" w:rsidRPr="006E7F9C" w:rsidRDefault="008D797A" w:rsidP="008D797A">
      <w:pPr>
        <w:pStyle w:val="FootnoteText"/>
        <w:rPr>
          <w:lang w:val="en-CA"/>
        </w:rPr>
      </w:pPr>
      <w:r w:rsidRPr="0068260B">
        <w:rPr>
          <w:rStyle w:val="FootnoteReference"/>
          <w:highlight w:val="darkGray"/>
        </w:rPr>
        <w:footnoteRef/>
      </w:r>
      <w:r w:rsidRPr="0068260B">
        <w:rPr>
          <w:highlight w:val="darkGray"/>
        </w:rPr>
        <w:t xml:space="preserve"> </w:t>
      </w:r>
      <w:r w:rsidRPr="0068260B">
        <w:rPr>
          <w:highlight w:val="darkGray"/>
          <w:lang w:val="en-CA"/>
        </w:rPr>
        <w:t xml:space="preserve">Decision </w:t>
      </w:r>
      <w:hyperlink r:id="rId13" w:history="1">
        <w:r w:rsidRPr="0068260B">
          <w:rPr>
            <w:rStyle w:val="Hyperlink"/>
            <w:highlight w:val="darkGray"/>
            <w:lang w:val="en-CA"/>
          </w:rPr>
          <w:t>15/4</w:t>
        </w:r>
      </w:hyperlink>
      <w:r w:rsidRPr="0068260B">
        <w:rPr>
          <w:highlight w:val="darkGray"/>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21EF2CB7" w:rsidR="00534681" w:rsidRPr="003F1A75" w:rsidRDefault="00780689"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Pr>
            <w:szCs w:val="20"/>
          </w:rPr>
          <w:t>CBD/SBI/7/</w:t>
        </w:r>
        <w:r>
          <w:rPr>
            <w:szCs w:val="20"/>
          </w:rPr>
          <w:t>L.10</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7CDA72AF" w:rsidR="009505C9" w:rsidRPr="003F1A75" w:rsidRDefault="00780689" w:rsidP="007C4951">
        <w:pPr>
          <w:pStyle w:val="Header"/>
          <w:spacing w:after="240"/>
          <w:jc w:val="right"/>
        </w:pPr>
        <w:r>
          <w:t>CBD/SBI/7/L.10</w:t>
        </w:r>
      </w:p>
    </w:sdtContent>
  </w:sdt>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1F76F82"/>
    <w:multiLevelType w:val="hybridMultilevel"/>
    <w:tmpl w:val="EF5095EA"/>
    <w:lvl w:ilvl="0" w:tplc="0C5EE3C8">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5"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8"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9"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2"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3"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5"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6"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7"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9"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4"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5"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6"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7"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8" w15:restartNumberingAfterBreak="0">
    <w:nsid w:val="5D943BEE"/>
    <w:multiLevelType w:val="multilevel"/>
    <w:tmpl w:val="222A08B4"/>
    <w:numStyleLink w:val="ListCBD"/>
  </w:abstractNum>
  <w:abstractNum w:abstractNumId="29"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08739B"/>
    <w:multiLevelType w:val="hybridMultilevel"/>
    <w:tmpl w:val="6C461160"/>
    <w:lvl w:ilvl="0" w:tplc="A866D824">
      <w:start w:val="1"/>
      <w:numFmt w:val="decimal"/>
      <w:lvlText w:val="%1."/>
      <w:lvlJc w:val="left"/>
      <w:pPr>
        <w:ind w:left="2064" w:hanging="360"/>
      </w:pPr>
      <w:rPr>
        <w:rFonts w:hint="default"/>
        <w:i/>
      </w:rPr>
    </w:lvl>
    <w:lvl w:ilvl="1" w:tplc="10090019" w:tentative="1">
      <w:start w:val="1"/>
      <w:numFmt w:val="lowerLetter"/>
      <w:lvlText w:val="%2."/>
      <w:lvlJc w:val="left"/>
      <w:pPr>
        <w:ind w:left="2784" w:hanging="360"/>
      </w:pPr>
    </w:lvl>
    <w:lvl w:ilvl="2" w:tplc="1009001B" w:tentative="1">
      <w:start w:val="1"/>
      <w:numFmt w:val="lowerRoman"/>
      <w:lvlText w:val="%3."/>
      <w:lvlJc w:val="right"/>
      <w:pPr>
        <w:ind w:left="3504" w:hanging="180"/>
      </w:pPr>
    </w:lvl>
    <w:lvl w:ilvl="3" w:tplc="1009000F" w:tentative="1">
      <w:start w:val="1"/>
      <w:numFmt w:val="decimal"/>
      <w:lvlText w:val="%4."/>
      <w:lvlJc w:val="left"/>
      <w:pPr>
        <w:ind w:left="4224" w:hanging="360"/>
      </w:pPr>
    </w:lvl>
    <w:lvl w:ilvl="4" w:tplc="10090019" w:tentative="1">
      <w:start w:val="1"/>
      <w:numFmt w:val="lowerLetter"/>
      <w:lvlText w:val="%5."/>
      <w:lvlJc w:val="left"/>
      <w:pPr>
        <w:ind w:left="4944" w:hanging="360"/>
      </w:pPr>
    </w:lvl>
    <w:lvl w:ilvl="5" w:tplc="1009001B" w:tentative="1">
      <w:start w:val="1"/>
      <w:numFmt w:val="lowerRoman"/>
      <w:lvlText w:val="%6."/>
      <w:lvlJc w:val="right"/>
      <w:pPr>
        <w:ind w:left="5664" w:hanging="180"/>
      </w:pPr>
    </w:lvl>
    <w:lvl w:ilvl="6" w:tplc="1009000F" w:tentative="1">
      <w:start w:val="1"/>
      <w:numFmt w:val="decimal"/>
      <w:lvlText w:val="%7."/>
      <w:lvlJc w:val="left"/>
      <w:pPr>
        <w:ind w:left="6384" w:hanging="360"/>
      </w:pPr>
    </w:lvl>
    <w:lvl w:ilvl="7" w:tplc="10090019" w:tentative="1">
      <w:start w:val="1"/>
      <w:numFmt w:val="lowerLetter"/>
      <w:lvlText w:val="%8."/>
      <w:lvlJc w:val="left"/>
      <w:pPr>
        <w:ind w:left="7104" w:hanging="360"/>
      </w:pPr>
    </w:lvl>
    <w:lvl w:ilvl="8" w:tplc="1009001B" w:tentative="1">
      <w:start w:val="1"/>
      <w:numFmt w:val="lowerRoman"/>
      <w:lvlText w:val="%9."/>
      <w:lvlJc w:val="right"/>
      <w:pPr>
        <w:ind w:left="7824" w:hanging="180"/>
      </w:pPr>
    </w:lvl>
  </w:abstractNum>
  <w:abstractNum w:abstractNumId="31"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7"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2"/>
  </w:num>
  <w:num w:numId="2" w16cid:durableId="1858829">
    <w:abstractNumId w:val="20"/>
  </w:num>
  <w:num w:numId="3" w16cid:durableId="1333221471">
    <w:abstractNumId w:val="34"/>
  </w:num>
  <w:num w:numId="4" w16cid:durableId="1072390599">
    <w:abstractNumId w:val="35"/>
  </w:num>
  <w:num w:numId="5" w16cid:durableId="960385107">
    <w:abstractNumId w:val="21"/>
  </w:num>
  <w:num w:numId="6" w16cid:durableId="893932166">
    <w:abstractNumId w:val="33"/>
  </w:num>
  <w:num w:numId="7" w16cid:durableId="323945383">
    <w:abstractNumId w:val="28"/>
  </w:num>
  <w:num w:numId="8" w16cid:durableId="9342440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8"/>
  </w:num>
  <w:num w:numId="11" w16cid:durableId="2040036885">
    <w:abstractNumId w:val="1"/>
  </w:num>
  <w:num w:numId="12" w16cid:durableId="1656109279">
    <w:abstractNumId w:val="13"/>
  </w:num>
  <w:num w:numId="13" w16cid:durableId="2110277035">
    <w:abstractNumId w:val="29"/>
  </w:num>
  <w:num w:numId="14" w16cid:durableId="1796370358">
    <w:abstractNumId w:val="32"/>
  </w:num>
  <w:num w:numId="15" w16cid:durableId="1926836911">
    <w:abstractNumId w:val="5"/>
  </w:num>
  <w:num w:numId="16" w16cid:durableId="615984003">
    <w:abstractNumId w:val="3"/>
  </w:num>
  <w:num w:numId="17" w16cid:durableId="230890507">
    <w:abstractNumId w:val="10"/>
  </w:num>
  <w:num w:numId="18" w16cid:durableId="157040200">
    <w:abstractNumId w:val="9"/>
  </w:num>
  <w:num w:numId="19" w16cid:durableId="2014213967">
    <w:abstractNumId w:val="14"/>
  </w:num>
  <w:num w:numId="20" w16cid:durableId="1913391152">
    <w:abstractNumId w:val="27"/>
  </w:num>
  <w:num w:numId="21" w16cid:durableId="1117144764">
    <w:abstractNumId w:val="8"/>
  </w:num>
  <w:num w:numId="22" w16cid:durableId="1680963250">
    <w:abstractNumId w:val="23"/>
  </w:num>
  <w:num w:numId="23" w16cid:durableId="1505051685">
    <w:abstractNumId w:val="16"/>
  </w:num>
  <w:num w:numId="24" w16cid:durableId="213935218">
    <w:abstractNumId w:val="4"/>
  </w:num>
  <w:num w:numId="25" w16cid:durableId="1809930393">
    <w:abstractNumId w:val="6"/>
  </w:num>
  <w:num w:numId="26" w16cid:durableId="319298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7"/>
  </w:num>
  <w:num w:numId="28" w16cid:durableId="5353101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7"/>
  </w:num>
  <w:num w:numId="32" w16cid:durableId="7421421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5"/>
  </w:num>
  <w:num w:numId="34" w16cid:durableId="1546210416">
    <w:abstractNumId w:val="11"/>
  </w:num>
  <w:num w:numId="35" w16cid:durableId="2071420966">
    <w:abstractNumId w:val="26"/>
  </w:num>
  <w:num w:numId="36" w16cid:durableId="1789275923">
    <w:abstractNumId w:val="15"/>
  </w:num>
  <w:num w:numId="37" w16cid:durableId="88159009">
    <w:abstractNumId w:val="18"/>
  </w:num>
  <w:num w:numId="38" w16cid:durableId="189343280">
    <w:abstractNumId w:val="37"/>
  </w:num>
  <w:num w:numId="39" w16cid:durableId="1740178091">
    <w:abstractNumId w:val="0"/>
  </w:num>
  <w:num w:numId="40" w16cid:durableId="1550874067">
    <w:abstractNumId w:val="24"/>
  </w:num>
  <w:num w:numId="41" w16cid:durableId="658465241">
    <w:abstractNumId w:val="36"/>
  </w:num>
  <w:num w:numId="42" w16cid:durableId="945577433">
    <w:abstractNumId w:val="12"/>
  </w:num>
  <w:num w:numId="43" w16cid:durableId="21212976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8"/>
  </w:num>
  <w:num w:numId="46" w16cid:durableId="908808557">
    <w:abstractNumId w:val="28"/>
  </w:num>
  <w:num w:numId="47" w16cid:durableId="115391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8"/>
  </w:num>
  <w:num w:numId="49" w16cid:durableId="942346468">
    <w:abstractNumId w:val="22"/>
  </w:num>
  <w:num w:numId="50" w16cid:durableId="17557373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8"/>
  </w:num>
  <w:num w:numId="53" w16cid:durableId="1245072797">
    <w:abstractNumId w:val="19"/>
  </w:num>
  <w:num w:numId="54" w16cid:durableId="1493836264">
    <w:abstractNumId w:val="28"/>
  </w:num>
  <w:num w:numId="55" w16cid:durableId="266814630">
    <w:abstractNumId w:val="28"/>
  </w:num>
  <w:num w:numId="56" w16cid:durableId="1914661254">
    <w:abstractNumId w:val="28"/>
  </w:num>
  <w:num w:numId="57" w16cid:durableId="525027893">
    <w:abstractNumId w:val="28"/>
  </w:num>
  <w:num w:numId="58" w16cid:durableId="479611458">
    <w:abstractNumId w:val="28"/>
  </w:num>
  <w:num w:numId="59" w16cid:durableId="286664165">
    <w:abstractNumId w:val="28"/>
  </w:num>
  <w:num w:numId="60" w16cid:durableId="691036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8"/>
  </w:num>
  <w:num w:numId="62" w16cid:durableId="172963798">
    <w:abstractNumId w:val="28"/>
  </w:num>
  <w:num w:numId="63" w16cid:durableId="1441755278">
    <w:abstractNumId w:val="28"/>
  </w:num>
  <w:num w:numId="64" w16cid:durableId="1344938640">
    <w:abstractNumId w:val="28"/>
  </w:num>
  <w:num w:numId="65" w16cid:durableId="96409834">
    <w:abstractNumId w:val="28"/>
  </w:num>
  <w:num w:numId="66" w16cid:durableId="47580389">
    <w:abstractNumId w:val="28"/>
  </w:num>
  <w:num w:numId="67" w16cid:durableId="277309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8"/>
  </w:num>
  <w:num w:numId="69" w16cid:durableId="1183056410">
    <w:abstractNumId w:val="31"/>
  </w:num>
  <w:num w:numId="70" w16cid:durableId="1377118136">
    <w:abstractNumId w:val="2"/>
  </w:num>
  <w:num w:numId="71" w16cid:durableId="126821833">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E91"/>
    <w:rsid w:val="00004892"/>
    <w:rsid w:val="00006903"/>
    <w:rsid w:val="000075BB"/>
    <w:rsid w:val="00010339"/>
    <w:rsid w:val="000106A7"/>
    <w:rsid w:val="00010701"/>
    <w:rsid w:val="00011482"/>
    <w:rsid w:val="00011A7C"/>
    <w:rsid w:val="000128DF"/>
    <w:rsid w:val="0001295C"/>
    <w:rsid w:val="0001351D"/>
    <w:rsid w:val="0001363B"/>
    <w:rsid w:val="00013C7E"/>
    <w:rsid w:val="00013E34"/>
    <w:rsid w:val="00013EF1"/>
    <w:rsid w:val="00014640"/>
    <w:rsid w:val="00014E0C"/>
    <w:rsid w:val="00014F31"/>
    <w:rsid w:val="000152D3"/>
    <w:rsid w:val="00015904"/>
    <w:rsid w:val="00016FAE"/>
    <w:rsid w:val="000214B1"/>
    <w:rsid w:val="00023A60"/>
    <w:rsid w:val="00023FF5"/>
    <w:rsid w:val="00024204"/>
    <w:rsid w:val="000246FE"/>
    <w:rsid w:val="0002478C"/>
    <w:rsid w:val="00024801"/>
    <w:rsid w:val="00024813"/>
    <w:rsid w:val="0002495A"/>
    <w:rsid w:val="00024FAC"/>
    <w:rsid w:val="00025BF1"/>
    <w:rsid w:val="0002611D"/>
    <w:rsid w:val="00027586"/>
    <w:rsid w:val="00027D52"/>
    <w:rsid w:val="00027E53"/>
    <w:rsid w:val="000306FD"/>
    <w:rsid w:val="00030952"/>
    <w:rsid w:val="0003184D"/>
    <w:rsid w:val="00032BF7"/>
    <w:rsid w:val="00032C87"/>
    <w:rsid w:val="00032F2E"/>
    <w:rsid w:val="00033902"/>
    <w:rsid w:val="00033CB9"/>
    <w:rsid w:val="0003458C"/>
    <w:rsid w:val="00034837"/>
    <w:rsid w:val="00034DC8"/>
    <w:rsid w:val="000357A1"/>
    <w:rsid w:val="00035D5E"/>
    <w:rsid w:val="00035FAB"/>
    <w:rsid w:val="0003603B"/>
    <w:rsid w:val="00036539"/>
    <w:rsid w:val="000368BE"/>
    <w:rsid w:val="00036C34"/>
    <w:rsid w:val="00037370"/>
    <w:rsid w:val="000373CE"/>
    <w:rsid w:val="00037531"/>
    <w:rsid w:val="00041219"/>
    <w:rsid w:val="000416BF"/>
    <w:rsid w:val="00041928"/>
    <w:rsid w:val="000419DA"/>
    <w:rsid w:val="00042362"/>
    <w:rsid w:val="00044490"/>
    <w:rsid w:val="000449F3"/>
    <w:rsid w:val="00044AF3"/>
    <w:rsid w:val="00044D92"/>
    <w:rsid w:val="000450A9"/>
    <w:rsid w:val="0004545E"/>
    <w:rsid w:val="00045B2C"/>
    <w:rsid w:val="00046B15"/>
    <w:rsid w:val="000476C3"/>
    <w:rsid w:val="00050817"/>
    <w:rsid w:val="00050C1D"/>
    <w:rsid w:val="00051757"/>
    <w:rsid w:val="000519AF"/>
    <w:rsid w:val="00051B7A"/>
    <w:rsid w:val="00052C61"/>
    <w:rsid w:val="00053D71"/>
    <w:rsid w:val="0005424F"/>
    <w:rsid w:val="000543AE"/>
    <w:rsid w:val="00055497"/>
    <w:rsid w:val="00055619"/>
    <w:rsid w:val="00056645"/>
    <w:rsid w:val="00056811"/>
    <w:rsid w:val="00057912"/>
    <w:rsid w:val="00057D04"/>
    <w:rsid w:val="0006019B"/>
    <w:rsid w:val="00060B69"/>
    <w:rsid w:val="0006110F"/>
    <w:rsid w:val="0006163B"/>
    <w:rsid w:val="000617C6"/>
    <w:rsid w:val="0006232B"/>
    <w:rsid w:val="0006365E"/>
    <w:rsid w:val="000645AC"/>
    <w:rsid w:val="000655A1"/>
    <w:rsid w:val="00065AC4"/>
    <w:rsid w:val="00067163"/>
    <w:rsid w:val="00067184"/>
    <w:rsid w:val="00067302"/>
    <w:rsid w:val="00067C13"/>
    <w:rsid w:val="00067DA9"/>
    <w:rsid w:val="00067DD5"/>
    <w:rsid w:val="0007054B"/>
    <w:rsid w:val="00070ACC"/>
    <w:rsid w:val="000715AD"/>
    <w:rsid w:val="0007171B"/>
    <w:rsid w:val="00071EFD"/>
    <w:rsid w:val="00072D00"/>
    <w:rsid w:val="00074648"/>
    <w:rsid w:val="00074655"/>
    <w:rsid w:val="0007488B"/>
    <w:rsid w:val="000756DA"/>
    <w:rsid w:val="00075807"/>
    <w:rsid w:val="00075879"/>
    <w:rsid w:val="000759B1"/>
    <w:rsid w:val="00075BD4"/>
    <w:rsid w:val="00076F20"/>
    <w:rsid w:val="000777B4"/>
    <w:rsid w:val="0007780A"/>
    <w:rsid w:val="00077A25"/>
    <w:rsid w:val="000807EB"/>
    <w:rsid w:val="00081224"/>
    <w:rsid w:val="0008194A"/>
    <w:rsid w:val="00081AE0"/>
    <w:rsid w:val="00082580"/>
    <w:rsid w:val="00083CB0"/>
    <w:rsid w:val="00083F51"/>
    <w:rsid w:val="000840FC"/>
    <w:rsid w:val="0008415E"/>
    <w:rsid w:val="0008479B"/>
    <w:rsid w:val="00086BB9"/>
    <w:rsid w:val="00086DA7"/>
    <w:rsid w:val="00087066"/>
    <w:rsid w:val="0008741B"/>
    <w:rsid w:val="000879DB"/>
    <w:rsid w:val="00087A58"/>
    <w:rsid w:val="00087DE6"/>
    <w:rsid w:val="00087E10"/>
    <w:rsid w:val="00090454"/>
    <w:rsid w:val="0009112B"/>
    <w:rsid w:val="00092236"/>
    <w:rsid w:val="00092964"/>
    <w:rsid w:val="00092A62"/>
    <w:rsid w:val="0009386F"/>
    <w:rsid w:val="000948DE"/>
    <w:rsid w:val="00094F02"/>
    <w:rsid w:val="000954DC"/>
    <w:rsid w:val="00095C4E"/>
    <w:rsid w:val="00096F06"/>
    <w:rsid w:val="00097038"/>
    <w:rsid w:val="000979CD"/>
    <w:rsid w:val="00097A6F"/>
    <w:rsid w:val="00097DD0"/>
    <w:rsid w:val="00097F28"/>
    <w:rsid w:val="000A0A01"/>
    <w:rsid w:val="000A1702"/>
    <w:rsid w:val="000A1737"/>
    <w:rsid w:val="000A17E4"/>
    <w:rsid w:val="000A1BB7"/>
    <w:rsid w:val="000A1C08"/>
    <w:rsid w:val="000A3F86"/>
    <w:rsid w:val="000A48A7"/>
    <w:rsid w:val="000A6535"/>
    <w:rsid w:val="000A656F"/>
    <w:rsid w:val="000A6EC3"/>
    <w:rsid w:val="000B04A2"/>
    <w:rsid w:val="000B0642"/>
    <w:rsid w:val="000B10DD"/>
    <w:rsid w:val="000B1C58"/>
    <w:rsid w:val="000B28A4"/>
    <w:rsid w:val="000B33A9"/>
    <w:rsid w:val="000B4A0A"/>
    <w:rsid w:val="000B5167"/>
    <w:rsid w:val="000B5691"/>
    <w:rsid w:val="000B5EF7"/>
    <w:rsid w:val="000B6A94"/>
    <w:rsid w:val="000C03AB"/>
    <w:rsid w:val="000C195D"/>
    <w:rsid w:val="000C2206"/>
    <w:rsid w:val="000C25BB"/>
    <w:rsid w:val="000C3471"/>
    <w:rsid w:val="000C691C"/>
    <w:rsid w:val="000D04C0"/>
    <w:rsid w:val="000D070F"/>
    <w:rsid w:val="000D0F68"/>
    <w:rsid w:val="000D153F"/>
    <w:rsid w:val="000D1548"/>
    <w:rsid w:val="000D1705"/>
    <w:rsid w:val="000D1AAD"/>
    <w:rsid w:val="000D1CDD"/>
    <w:rsid w:val="000D1F46"/>
    <w:rsid w:val="000D22E8"/>
    <w:rsid w:val="000D310D"/>
    <w:rsid w:val="000D3559"/>
    <w:rsid w:val="000D40C8"/>
    <w:rsid w:val="000D4F4F"/>
    <w:rsid w:val="000D54A7"/>
    <w:rsid w:val="000D60BF"/>
    <w:rsid w:val="000D6215"/>
    <w:rsid w:val="000D66D9"/>
    <w:rsid w:val="000D68D5"/>
    <w:rsid w:val="000D6EAC"/>
    <w:rsid w:val="000D77C8"/>
    <w:rsid w:val="000D782F"/>
    <w:rsid w:val="000D7D21"/>
    <w:rsid w:val="000E06F5"/>
    <w:rsid w:val="000E0FD3"/>
    <w:rsid w:val="000E153E"/>
    <w:rsid w:val="000E1D9A"/>
    <w:rsid w:val="000E1F31"/>
    <w:rsid w:val="000E1FF7"/>
    <w:rsid w:val="000E2688"/>
    <w:rsid w:val="000E285C"/>
    <w:rsid w:val="000E2B4D"/>
    <w:rsid w:val="000E330B"/>
    <w:rsid w:val="000E3488"/>
    <w:rsid w:val="000E3563"/>
    <w:rsid w:val="000E3C4E"/>
    <w:rsid w:val="000E40CD"/>
    <w:rsid w:val="000E472C"/>
    <w:rsid w:val="000E4885"/>
    <w:rsid w:val="000E57A2"/>
    <w:rsid w:val="000E636B"/>
    <w:rsid w:val="000E673A"/>
    <w:rsid w:val="000E71C7"/>
    <w:rsid w:val="000E73B7"/>
    <w:rsid w:val="000E7675"/>
    <w:rsid w:val="000E7B42"/>
    <w:rsid w:val="000F0839"/>
    <w:rsid w:val="000F0D1B"/>
    <w:rsid w:val="000F2266"/>
    <w:rsid w:val="000F2ABF"/>
    <w:rsid w:val="000F3231"/>
    <w:rsid w:val="000F40DC"/>
    <w:rsid w:val="000F494F"/>
    <w:rsid w:val="000F4F38"/>
    <w:rsid w:val="000F5DFB"/>
    <w:rsid w:val="000F6945"/>
    <w:rsid w:val="000F6AF4"/>
    <w:rsid w:val="000F74F5"/>
    <w:rsid w:val="000F78FC"/>
    <w:rsid w:val="001001AB"/>
    <w:rsid w:val="0010053D"/>
    <w:rsid w:val="00102198"/>
    <w:rsid w:val="00102EAF"/>
    <w:rsid w:val="00103187"/>
    <w:rsid w:val="001031DF"/>
    <w:rsid w:val="00103F20"/>
    <w:rsid w:val="0010418D"/>
    <w:rsid w:val="001044DE"/>
    <w:rsid w:val="001046C2"/>
    <w:rsid w:val="00104743"/>
    <w:rsid w:val="001048DC"/>
    <w:rsid w:val="00104D89"/>
    <w:rsid w:val="00105372"/>
    <w:rsid w:val="001054A6"/>
    <w:rsid w:val="00105D57"/>
    <w:rsid w:val="00106232"/>
    <w:rsid w:val="00106C3A"/>
    <w:rsid w:val="001070D1"/>
    <w:rsid w:val="00107225"/>
    <w:rsid w:val="00107560"/>
    <w:rsid w:val="001078A1"/>
    <w:rsid w:val="00107C82"/>
    <w:rsid w:val="00110489"/>
    <w:rsid w:val="00110634"/>
    <w:rsid w:val="0011113D"/>
    <w:rsid w:val="001111C4"/>
    <w:rsid w:val="00111721"/>
    <w:rsid w:val="00111A94"/>
    <w:rsid w:val="0011262A"/>
    <w:rsid w:val="00112E91"/>
    <w:rsid w:val="00113AF4"/>
    <w:rsid w:val="00114C43"/>
    <w:rsid w:val="00115192"/>
    <w:rsid w:val="0011531E"/>
    <w:rsid w:val="0011560A"/>
    <w:rsid w:val="00116A88"/>
    <w:rsid w:val="00116FE0"/>
    <w:rsid w:val="00117720"/>
    <w:rsid w:val="0011776F"/>
    <w:rsid w:val="00117C44"/>
    <w:rsid w:val="00117E02"/>
    <w:rsid w:val="00120271"/>
    <w:rsid w:val="00120569"/>
    <w:rsid w:val="00120717"/>
    <w:rsid w:val="00120F89"/>
    <w:rsid w:val="00121146"/>
    <w:rsid w:val="00121172"/>
    <w:rsid w:val="001215A5"/>
    <w:rsid w:val="00122295"/>
    <w:rsid w:val="0012253E"/>
    <w:rsid w:val="00122CAE"/>
    <w:rsid w:val="00122EA3"/>
    <w:rsid w:val="00123933"/>
    <w:rsid w:val="001245C6"/>
    <w:rsid w:val="00124CD8"/>
    <w:rsid w:val="00124FF9"/>
    <w:rsid w:val="00125466"/>
    <w:rsid w:val="001258CE"/>
    <w:rsid w:val="00125DDF"/>
    <w:rsid w:val="00126658"/>
    <w:rsid w:val="001275B8"/>
    <w:rsid w:val="00127B5A"/>
    <w:rsid w:val="00131130"/>
    <w:rsid w:val="001312AD"/>
    <w:rsid w:val="00131E7A"/>
    <w:rsid w:val="00132C0C"/>
    <w:rsid w:val="00133889"/>
    <w:rsid w:val="00134604"/>
    <w:rsid w:val="00134846"/>
    <w:rsid w:val="001349A4"/>
    <w:rsid w:val="00134A76"/>
    <w:rsid w:val="001350E4"/>
    <w:rsid w:val="0013580D"/>
    <w:rsid w:val="00136683"/>
    <w:rsid w:val="001369B9"/>
    <w:rsid w:val="001374D9"/>
    <w:rsid w:val="0013783A"/>
    <w:rsid w:val="00137927"/>
    <w:rsid w:val="00140DF6"/>
    <w:rsid w:val="0014186F"/>
    <w:rsid w:val="00144385"/>
    <w:rsid w:val="00144843"/>
    <w:rsid w:val="00144BCE"/>
    <w:rsid w:val="00145146"/>
    <w:rsid w:val="001451CD"/>
    <w:rsid w:val="00146916"/>
    <w:rsid w:val="001475A4"/>
    <w:rsid w:val="00150AC2"/>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E75"/>
    <w:rsid w:val="00166EA0"/>
    <w:rsid w:val="001671B3"/>
    <w:rsid w:val="0016728D"/>
    <w:rsid w:val="0016733F"/>
    <w:rsid w:val="00170081"/>
    <w:rsid w:val="0017132B"/>
    <w:rsid w:val="001726E5"/>
    <w:rsid w:val="00172AC6"/>
    <w:rsid w:val="00172AF6"/>
    <w:rsid w:val="001732A1"/>
    <w:rsid w:val="00173893"/>
    <w:rsid w:val="001738F3"/>
    <w:rsid w:val="00173A37"/>
    <w:rsid w:val="001751CB"/>
    <w:rsid w:val="001755E5"/>
    <w:rsid w:val="0017567F"/>
    <w:rsid w:val="00176CEE"/>
    <w:rsid w:val="00176FA9"/>
    <w:rsid w:val="00181CC9"/>
    <w:rsid w:val="00182692"/>
    <w:rsid w:val="00182A7D"/>
    <w:rsid w:val="00183432"/>
    <w:rsid w:val="00183992"/>
    <w:rsid w:val="00184019"/>
    <w:rsid w:val="0018496B"/>
    <w:rsid w:val="0018519B"/>
    <w:rsid w:val="00185365"/>
    <w:rsid w:val="0018574A"/>
    <w:rsid w:val="0018574B"/>
    <w:rsid w:val="0018606C"/>
    <w:rsid w:val="00186DD8"/>
    <w:rsid w:val="00190440"/>
    <w:rsid w:val="0019170B"/>
    <w:rsid w:val="00191A10"/>
    <w:rsid w:val="001921A0"/>
    <w:rsid w:val="001921EB"/>
    <w:rsid w:val="00192A8A"/>
    <w:rsid w:val="00194AAD"/>
    <w:rsid w:val="001964E8"/>
    <w:rsid w:val="00197A93"/>
    <w:rsid w:val="00197DC1"/>
    <w:rsid w:val="001A0C02"/>
    <w:rsid w:val="001A0D6A"/>
    <w:rsid w:val="001A118A"/>
    <w:rsid w:val="001A1AF0"/>
    <w:rsid w:val="001A1B11"/>
    <w:rsid w:val="001A35EC"/>
    <w:rsid w:val="001A3996"/>
    <w:rsid w:val="001A3CBD"/>
    <w:rsid w:val="001A5A31"/>
    <w:rsid w:val="001A6F4B"/>
    <w:rsid w:val="001A729A"/>
    <w:rsid w:val="001A7374"/>
    <w:rsid w:val="001A7ABE"/>
    <w:rsid w:val="001B075C"/>
    <w:rsid w:val="001B0BEF"/>
    <w:rsid w:val="001B1152"/>
    <w:rsid w:val="001B13FE"/>
    <w:rsid w:val="001B1A81"/>
    <w:rsid w:val="001B2096"/>
    <w:rsid w:val="001B27F6"/>
    <w:rsid w:val="001B4CC2"/>
    <w:rsid w:val="001B53B0"/>
    <w:rsid w:val="001B685C"/>
    <w:rsid w:val="001B77EC"/>
    <w:rsid w:val="001B7E28"/>
    <w:rsid w:val="001C0D6F"/>
    <w:rsid w:val="001C1867"/>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423"/>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446"/>
    <w:rsid w:val="001E589D"/>
    <w:rsid w:val="001E6024"/>
    <w:rsid w:val="001E64E2"/>
    <w:rsid w:val="001E71DE"/>
    <w:rsid w:val="001E774D"/>
    <w:rsid w:val="001E77BE"/>
    <w:rsid w:val="001E7D5D"/>
    <w:rsid w:val="001F054E"/>
    <w:rsid w:val="001F1249"/>
    <w:rsid w:val="001F1306"/>
    <w:rsid w:val="001F2876"/>
    <w:rsid w:val="001F531D"/>
    <w:rsid w:val="001F59C8"/>
    <w:rsid w:val="001F6F27"/>
    <w:rsid w:val="001F75E6"/>
    <w:rsid w:val="001F7879"/>
    <w:rsid w:val="00201036"/>
    <w:rsid w:val="00201447"/>
    <w:rsid w:val="002016AB"/>
    <w:rsid w:val="0020334C"/>
    <w:rsid w:val="002035B6"/>
    <w:rsid w:val="00203B7C"/>
    <w:rsid w:val="00204889"/>
    <w:rsid w:val="0020540F"/>
    <w:rsid w:val="00205ACA"/>
    <w:rsid w:val="00205C33"/>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96F"/>
    <w:rsid w:val="00220FFA"/>
    <w:rsid w:val="0022117D"/>
    <w:rsid w:val="00221894"/>
    <w:rsid w:val="00221C03"/>
    <w:rsid w:val="00221FDF"/>
    <w:rsid w:val="002226C8"/>
    <w:rsid w:val="002238D9"/>
    <w:rsid w:val="00223AC2"/>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5433"/>
    <w:rsid w:val="00235F1F"/>
    <w:rsid w:val="00236377"/>
    <w:rsid w:val="00237A4A"/>
    <w:rsid w:val="00237E07"/>
    <w:rsid w:val="00237EF9"/>
    <w:rsid w:val="00240732"/>
    <w:rsid w:val="00241361"/>
    <w:rsid w:val="00241724"/>
    <w:rsid w:val="00241EE1"/>
    <w:rsid w:val="002424DB"/>
    <w:rsid w:val="0024313A"/>
    <w:rsid w:val="00243B0D"/>
    <w:rsid w:val="00244196"/>
    <w:rsid w:val="00244976"/>
    <w:rsid w:val="00244BCE"/>
    <w:rsid w:val="00244E82"/>
    <w:rsid w:val="002453C2"/>
    <w:rsid w:val="002457C6"/>
    <w:rsid w:val="00246D04"/>
    <w:rsid w:val="00250291"/>
    <w:rsid w:val="00250D80"/>
    <w:rsid w:val="0025234B"/>
    <w:rsid w:val="0025246D"/>
    <w:rsid w:val="0025253E"/>
    <w:rsid w:val="00252C36"/>
    <w:rsid w:val="002541EB"/>
    <w:rsid w:val="002544AB"/>
    <w:rsid w:val="00254A11"/>
    <w:rsid w:val="00256225"/>
    <w:rsid w:val="00257B38"/>
    <w:rsid w:val="00260AE2"/>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36B"/>
    <w:rsid w:val="00266BD8"/>
    <w:rsid w:val="00267137"/>
    <w:rsid w:val="00270326"/>
    <w:rsid w:val="00270D5B"/>
    <w:rsid w:val="00271AE7"/>
    <w:rsid w:val="00271EAC"/>
    <w:rsid w:val="00271EBF"/>
    <w:rsid w:val="00272AD0"/>
    <w:rsid w:val="00272AE8"/>
    <w:rsid w:val="0027473B"/>
    <w:rsid w:val="002754FC"/>
    <w:rsid w:val="0027570B"/>
    <w:rsid w:val="002761F7"/>
    <w:rsid w:val="002763CD"/>
    <w:rsid w:val="00276DFB"/>
    <w:rsid w:val="00277C2E"/>
    <w:rsid w:val="00280F19"/>
    <w:rsid w:val="0028125E"/>
    <w:rsid w:val="00281D8B"/>
    <w:rsid w:val="00282707"/>
    <w:rsid w:val="00282C26"/>
    <w:rsid w:val="0028335C"/>
    <w:rsid w:val="0028343F"/>
    <w:rsid w:val="00284B97"/>
    <w:rsid w:val="0028791E"/>
    <w:rsid w:val="00287EDF"/>
    <w:rsid w:val="00290F8F"/>
    <w:rsid w:val="00290FA3"/>
    <w:rsid w:val="0029254B"/>
    <w:rsid w:val="0029481A"/>
    <w:rsid w:val="00294B9C"/>
    <w:rsid w:val="00294BBA"/>
    <w:rsid w:val="00294DFF"/>
    <w:rsid w:val="00295406"/>
    <w:rsid w:val="002957B5"/>
    <w:rsid w:val="00295C9E"/>
    <w:rsid w:val="00297686"/>
    <w:rsid w:val="00297A3C"/>
    <w:rsid w:val="00297B6A"/>
    <w:rsid w:val="00297D11"/>
    <w:rsid w:val="00297DC0"/>
    <w:rsid w:val="002A01AF"/>
    <w:rsid w:val="002A182C"/>
    <w:rsid w:val="002A2C89"/>
    <w:rsid w:val="002A303D"/>
    <w:rsid w:val="002A35EA"/>
    <w:rsid w:val="002A47E5"/>
    <w:rsid w:val="002A4F92"/>
    <w:rsid w:val="002A55DF"/>
    <w:rsid w:val="002A5DD6"/>
    <w:rsid w:val="002A6215"/>
    <w:rsid w:val="002A6F19"/>
    <w:rsid w:val="002A6F45"/>
    <w:rsid w:val="002B0331"/>
    <w:rsid w:val="002B15B4"/>
    <w:rsid w:val="002B188A"/>
    <w:rsid w:val="002B287E"/>
    <w:rsid w:val="002B30BC"/>
    <w:rsid w:val="002B454B"/>
    <w:rsid w:val="002B5C8F"/>
    <w:rsid w:val="002B652F"/>
    <w:rsid w:val="002B6EED"/>
    <w:rsid w:val="002B6FA0"/>
    <w:rsid w:val="002B71E9"/>
    <w:rsid w:val="002B76A7"/>
    <w:rsid w:val="002B7A4C"/>
    <w:rsid w:val="002C03E2"/>
    <w:rsid w:val="002C14BA"/>
    <w:rsid w:val="002C1640"/>
    <w:rsid w:val="002C1C90"/>
    <w:rsid w:val="002C2921"/>
    <w:rsid w:val="002C33AF"/>
    <w:rsid w:val="002C3ECB"/>
    <w:rsid w:val="002C3F46"/>
    <w:rsid w:val="002C44C8"/>
    <w:rsid w:val="002C456C"/>
    <w:rsid w:val="002C64BF"/>
    <w:rsid w:val="002C6E1F"/>
    <w:rsid w:val="002D094B"/>
    <w:rsid w:val="002D09D2"/>
    <w:rsid w:val="002D0A3E"/>
    <w:rsid w:val="002D15F0"/>
    <w:rsid w:val="002D2806"/>
    <w:rsid w:val="002D2859"/>
    <w:rsid w:val="002D338E"/>
    <w:rsid w:val="002D4D98"/>
    <w:rsid w:val="002D6779"/>
    <w:rsid w:val="002D76F6"/>
    <w:rsid w:val="002D783D"/>
    <w:rsid w:val="002E0AB5"/>
    <w:rsid w:val="002E0FEF"/>
    <w:rsid w:val="002E13C2"/>
    <w:rsid w:val="002E13FC"/>
    <w:rsid w:val="002E19FD"/>
    <w:rsid w:val="002E2225"/>
    <w:rsid w:val="002E4A50"/>
    <w:rsid w:val="002E5569"/>
    <w:rsid w:val="002E56F1"/>
    <w:rsid w:val="002E6DE4"/>
    <w:rsid w:val="002E7739"/>
    <w:rsid w:val="002E7E1D"/>
    <w:rsid w:val="002F004F"/>
    <w:rsid w:val="002F07BA"/>
    <w:rsid w:val="002F11B3"/>
    <w:rsid w:val="002F2956"/>
    <w:rsid w:val="002F33DD"/>
    <w:rsid w:val="002F383C"/>
    <w:rsid w:val="002F3D74"/>
    <w:rsid w:val="002F43A1"/>
    <w:rsid w:val="002F4425"/>
    <w:rsid w:val="002F443F"/>
    <w:rsid w:val="002F4B87"/>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A83"/>
    <w:rsid w:val="00304DE9"/>
    <w:rsid w:val="00305270"/>
    <w:rsid w:val="003060EB"/>
    <w:rsid w:val="0030654B"/>
    <w:rsid w:val="00307988"/>
    <w:rsid w:val="003100FB"/>
    <w:rsid w:val="0031055F"/>
    <w:rsid w:val="00310B86"/>
    <w:rsid w:val="00311E56"/>
    <w:rsid w:val="003121F9"/>
    <w:rsid w:val="003122D8"/>
    <w:rsid w:val="003123EF"/>
    <w:rsid w:val="0031278B"/>
    <w:rsid w:val="003129DD"/>
    <w:rsid w:val="00313395"/>
    <w:rsid w:val="00314893"/>
    <w:rsid w:val="003153EB"/>
    <w:rsid w:val="003155E0"/>
    <w:rsid w:val="00315AB2"/>
    <w:rsid w:val="00316777"/>
    <w:rsid w:val="0031708E"/>
    <w:rsid w:val="003171EC"/>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5B12"/>
    <w:rsid w:val="0032658B"/>
    <w:rsid w:val="0032732E"/>
    <w:rsid w:val="00327698"/>
    <w:rsid w:val="00327A67"/>
    <w:rsid w:val="00330807"/>
    <w:rsid w:val="00331647"/>
    <w:rsid w:val="003318DF"/>
    <w:rsid w:val="00331FB7"/>
    <w:rsid w:val="00332769"/>
    <w:rsid w:val="0033397E"/>
    <w:rsid w:val="00334DF0"/>
    <w:rsid w:val="0033577D"/>
    <w:rsid w:val="00335CCF"/>
    <w:rsid w:val="00336752"/>
    <w:rsid w:val="00336DF8"/>
    <w:rsid w:val="003370C5"/>
    <w:rsid w:val="00337930"/>
    <w:rsid w:val="0034009F"/>
    <w:rsid w:val="00340879"/>
    <w:rsid w:val="00340AD8"/>
    <w:rsid w:val="00341E4E"/>
    <w:rsid w:val="0034213B"/>
    <w:rsid w:val="0034215D"/>
    <w:rsid w:val="00343718"/>
    <w:rsid w:val="00343CC9"/>
    <w:rsid w:val="00344490"/>
    <w:rsid w:val="003452BE"/>
    <w:rsid w:val="00345E79"/>
    <w:rsid w:val="00346C15"/>
    <w:rsid w:val="00347EC8"/>
    <w:rsid w:val="0035006B"/>
    <w:rsid w:val="003500C0"/>
    <w:rsid w:val="0035045E"/>
    <w:rsid w:val="0035089B"/>
    <w:rsid w:val="00351205"/>
    <w:rsid w:val="00351D26"/>
    <w:rsid w:val="00353522"/>
    <w:rsid w:val="003536A8"/>
    <w:rsid w:val="00353EB6"/>
    <w:rsid w:val="00355C10"/>
    <w:rsid w:val="00356F2E"/>
    <w:rsid w:val="0035737C"/>
    <w:rsid w:val="00357510"/>
    <w:rsid w:val="00357BD2"/>
    <w:rsid w:val="00360020"/>
    <w:rsid w:val="00360DAE"/>
    <w:rsid w:val="00361B2C"/>
    <w:rsid w:val="00361D22"/>
    <w:rsid w:val="00362010"/>
    <w:rsid w:val="003626F8"/>
    <w:rsid w:val="00362B05"/>
    <w:rsid w:val="00362C03"/>
    <w:rsid w:val="00363880"/>
    <w:rsid w:val="00363943"/>
    <w:rsid w:val="00363C6A"/>
    <w:rsid w:val="00364209"/>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6898"/>
    <w:rsid w:val="003773F2"/>
    <w:rsid w:val="00377ADE"/>
    <w:rsid w:val="00381AD0"/>
    <w:rsid w:val="00381F9C"/>
    <w:rsid w:val="003820A3"/>
    <w:rsid w:val="00382592"/>
    <w:rsid w:val="00383196"/>
    <w:rsid w:val="00383531"/>
    <w:rsid w:val="00383640"/>
    <w:rsid w:val="003836E9"/>
    <w:rsid w:val="003843D9"/>
    <w:rsid w:val="00384B7C"/>
    <w:rsid w:val="003870A5"/>
    <w:rsid w:val="00387556"/>
    <w:rsid w:val="00387623"/>
    <w:rsid w:val="00391334"/>
    <w:rsid w:val="00391737"/>
    <w:rsid w:val="00391BA0"/>
    <w:rsid w:val="00391FD9"/>
    <w:rsid w:val="00392E13"/>
    <w:rsid w:val="003941E7"/>
    <w:rsid w:val="003966C3"/>
    <w:rsid w:val="0039682C"/>
    <w:rsid w:val="00396BF3"/>
    <w:rsid w:val="00396F99"/>
    <w:rsid w:val="003974B0"/>
    <w:rsid w:val="00397DC5"/>
    <w:rsid w:val="003A0396"/>
    <w:rsid w:val="003A0DBC"/>
    <w:rsid w:val="003A14E1"/>
    <w:rsid w:val="003A2198"/>
    <w:rsid w:val="003A26EF"/>
    <w:rsid w:val="003A2CE3"/>
    <w:rsid w:val="003A2F24"/>
    <w:rsid w:val="003A33FC"/>
    <w:rsid w:val="003A3B74"/>
    <w:rsid w:val="003A5139"/>
    <w:rsid w:val="003A67A8"/>
    <w:rsid w:val="003A6BEB"/>
    <w:rsid w:val="003A71E0"/>
    <w:rsid w:val="003A72F0"/>
    <w:rsid w:val="003B0825"/>
    <w:rsid w:val="003B11CB"/>
    <w:rsid w:val="003B1239"/>
    <w:rsid w:val="003B1889"/>
    <w:rsid w:val="003B22BB"/>
    <w:rsid w:val="003B2974"/>
    <w:rsid w:val="003B3476"/>
    <w:rsid w:val="003B36B2"/>
    <w:rsid w:val="003B3C51"/>
    <w:rsid w:val="003B3C74"/>
    <w:rsid w:val="003B4D13"/>
    <w:rsid w:val="003B4DE2"/>
    <w:rsid w:val="003B600F"/>
    <w:rsid w:val="003B71E1"/>
    <w:rsid w:val="003B7275"/>
    <w:rsid w:val="003B72A8"/>
    <w:rsid w:val="003C1F58"/>
    <w:rsid w:val="003C350C"/>
    <w:rsid w:val="003C3CD8"/>
    <w:rsid w:val="003C4221"/>
    <w:rsid w:val="003C4DC4"/>
    <w:rsid w:val="003C5235"/>
    <w:rsid w:val="003C527A"/>
    <w:rsid w:val="003C5B03"/>
    <w:rsid w:val="003C759B"/>
    <w:rsid w:val="003D0DA8"/>
    <w:rsid w:val="003D144A"/>
    <w:rsid w:val="003D2AB2"/>
    <w:rsid w:val="003D2BE7"/>
    <w:rsid w:val="003D3236"/>
    <w:rsid w:val="003D383B"/>
    <w:rsid w:val="003D48CE"/>
    <w:rsid w:val="003D4D88"/>
    <w:rsid w:val="003D5A52"/>
    <w:rsid w:val="003D5EAA"/>
    <w:rsid w:val="003D6BF7"/>
    <w:rsid w:val="003E0250"/>
    <w:rsid w:val="003E03BB"/>
    <w:rsid w:val="003E059A"/>
    <w:rsid w:val="003E0715"/>
    <w:rsid w:val="003E0F15"/>
    <w:rsid w:val="003E115E"/>
    <w:rsid w:val="003E21F9"/>
    <w:rsid w:val="003E24AC"/>
    <w:rsid w:val="003E3D72"/>
    <w:rsid w:val="003E43C1"/>
    <w:rsid w:val="003E4AF5"/>
    <w:rsid w:val="003E4C52"/>
    <w:rsid w:val="003E4F4C"/>
    <w:rsid w:val="003E74E2"/>
    <w:rsid w:val="003E7946"/>
    <w:rsid w:val="003E79F3"/>
    <w:rsid w:val="003F0FDC"/>
    <w:rsid w:val="003F1522"/>
    <w:rsid w:val="003F1A6A"/>
    <w:rsid w:val="003F1A75"/>
    <w:rsid w:val="003F2E68"/>
    <w:rsid w:val="003F2EB9"/>
    <w:rsid w:val="003F3188"/>
    <w:rsid w:val="003F3649"/>
    <w:rsid w:val="003F391D"/>
    <w:rsid w:val="003F5211"/>
    <w:rsid w:val="003F591A"/>
    <w:rsid w:val="003F5DF8"/>
    <w:rsid w:val="003F5F31"/>
    <w:rsid w:val="003F63B1"/>
    <w:rsid w:val="003F7224"/>
    <w:rsid w:val="00400D45"/>
    <w:rsid w:val="00401306"/>
    <w:rsid w:val="00401578"/>
    <w:rsid w:val="004017F6"/>
    <w:rsid w:val="00402935"/>
    <w:rsid w:val="00403103"/>
    <w:rsid w:val="00403268"/>
    <w:rsid w:val="004048C5"/>
    <w:rsid w:val="00405509"/>
    <w:rsid w:val="00406084"/>
    <w:rsid w:val="004067B7"/>
    <w:rsid w:val="00407688"/>
    <w:rsid w:val="00410317"/>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1A9"/>
    <w:rsid w:val="00416A7D"/>
    <w:rsid w:val="00416E9F"/>
    <w:rsid w:val="004170A3"/>
    <w:rsid w:val="00417293"/>
    <w:rsid w:val="004210CD"/>
    <w:rsid w:val="00421796"/>
    <w:rsid w:val="004219A1"/>
    <w:rsid w:val="00421DB5"/>
    <w:rsid w:val="00422A0E"/>
    <w:rsid w:val="004235B0"/>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40461"/>
    <w:rsid w:val="004409FC"/>
    <w:rsid w:val="004413DE"/>
    <w:rsid w:val="00442297"/>
    <w:rsid w:val="004437EC"/>
    <w:rsid w:val="00443A4A"/>
    <w:rsid w:val="0044583C"/>
    <w:rsid w:val="00445B95"/>
    <w:rsid w:val="00445FCE"/>
    <w:rsid w:val="00446593"/>
    <w:rsid w:val="004475E1"/>
    <w:rsid w:val="00447670"/>
    <w:rsid w:val="00447C4E"/>
    <w:rsid w:val="00447F4A"/>
    <w:rsid w:val="00447FC6"/>
    <w:rsid w:val="0045086C"/>
    <w:rsid w:val="00450ABA"/>
    <w:rsid w:val="004512BC"/>
    <w:rsid w:val="00451FB8"/>
    <w:rsid w:val="00453715"/>
    <w:rsid w:val="004539CC"/>
    <w:rsid w:val="0045413F"/>
    <w:rsid w:val="00454858"/>
    <w:rsid w:val="00454EEB"/>
    <w:rsid w:val="00455EC7"/>
    <w:rsid w:val="00455FE0"/>
    <w:rsid w:val="00456F67"/>
    <w:rsid w:val="00457B9E"/>
    <w:rsid w:val="00460817"/>
    <w:rsid w:val="00460F67"/>
    <w:rsid w:val="004610A3"/>
    <w:rsid w:val="004615E3"/>
    <w:rsid w:val="0046165A"/>
    <w:rsid w:val="004629AA"/>
    <w:rsid w:val="004631E0"/>
    <w:rsid w:val="00463CC0"/>
    <w:rsid w:val="00463D29"/>
    <w:rsid w:val="0046437F"/>
    <w:rsid w:val="0046440A"/>
    <w:rsid w:val="004644C2"/>
    <w:rsid w:val="00464610"/>
    <w:rsid w:val="00466752"/>
    <w:rsid w:val="00466EFC"/>
    <w:rsid w:val="004673F8"/>
    <w:rsid w:val="00467F9C"/>
    <w:rsid w:val="004702F4"/>
    <w:rsid w:val="00471572"/>
    <w:rsid w:val="00472131"/>
    <w:rsid w:val="00472F25"/>
    <w:rsid w:val="0047315C"/>
    <w:rsid w:val="004738B0"/>
    <w:rsid w:val="004740F3"/>
    <w:rsid w:val="00474930"/>
    <w:rsid w:val="00474E73"/>
    <w:rsid w:val="00475CBF"/>
    <w:rsid w:val="00475CF1"/>
    <w:rsid w:val="00476184"/>
    <w:rsid w:val="00476CC5"/>
    <w:rsid w:val="00480390"/>
    <w:rsid w:val="00480A28"/>
    <w:rsid w:val="00480AB6"/>
    <w:rsid w:val="00480B05"/>
    <w:rsid w:val="00481B3F"/>
    <w:rsid w:val="00482696"/>
    <w:rsid w:val="00482C81"/>
    <w:rsid w:val="0048365A"/>
    <w:rsid w:val="0048373A"/>
    <w:rsid w:val="004838B0"/>
    <w:rsid w:val="004845BC"/>
    <w:rsid w:val="004848FB"/>
    <w:rsid w:val="00485F96"/>
    <w:rsid w:val="004867BF"/>
    <w:rsid w:val="00486C8B"/>
    <w:rsid w:val="00486FE3"/>
    <w:rsid w:val="00487F9C"/>
    <w:rsid w:val="00490E5B"/>
    <w:rsid w:val="004911B7"/>
    <w:rsid w:val="004916FA"/>
    <w:rsid w:val="00491D71"/>
    <w:rsid w:val="00493664"/>
    <w:rsid w:val="00493E99"/>
    <w:rsid w:val="004946AC"/>
    <w:rsid w:val="0049531E"/>
    <w:rsid w:val="00495EC2"/>
    <w:rsid w:val="00496381"/>
    <w:rsid w:val="004970DF"/>
    <w:rsid w:val="00497502"/>
    <w:rsid w:val="004975E2"/>
    <w:rsid w:val="004A1D8E"/>
    <w:rsid w:val="004A2D51"/>
    <w:rsid w:val="004A2D7C"/>
    <w:rsid w:val="004A48B8"/>
    <w:rsid w:val="004A5497"/>
    <w:rsid w:val="004A5A18"/>
    <w:rsid w:val="004A5D5F"/>
    <w:rsid w:val="004A5DE6"/>
    <w:rsid w:val="004A6135"/>
    <w:rsid w:val="004A6286"/>
    <w:rsid w:val="004A6751"/>
    <w:rsid w:val="004A6A9A"/>
    <w:rsid w:val="004A7229"/>
    <w:rsid w:val="004B0736"/>
    <w:rsid w:val="004B0B1E"/>
    <w:rsid w:val="004B0CD9"/>
    <w:rsid w:val="004B1292"/>
    <w:rsid w:val="004B1BEA"/>
    <w:rsid w:val="004B1F3B"/>
    <w:rsid w:val="004B2851"/>
    <w:rsid w:val="004B6542"/>
    <w:rsid w:val="004B655B"/>
    <w:rsid w:val="004B702D"/>
    <w:rsid w:val="004B723D"/>
    <w:rsid w:val="004B74C3"/>
    <w:rsid w:val="004B75B5"/>
    <w:rsid w:val="004B7BD4"/>
    <w:rsid w:val="004B7F70"/>
    <w:rsid w:val="004C08A6"/>
    <w:rsid w:val="004C1076"/>
    <w:rsid w:val="004C324D"/>
    <w:rsid w:val="004C365B"/>
    <w:rsid w:val="004C3D00"/>
    <w:rsid w:val="004C40F1"/>
    <w:rsid w:val="004C4A94"/>
    <w:rsid w:val="004C4BA1"/>
    <w:rsid w:val="004C57DB"/>
    <w:rsid w:val="004C64E3"/>
    <w:rsid w:val="004C6789"/>
    <w:rsid w:val="004C6BDE"/>
    <w:rsid w:val="004C77E8"/>
    <w:rsid w:val="004D0D46"/>
    <w:rsid w:val="004D0D56"/>
    <w:rsid w:val="004D0E1E"/>
    <w:rsid w:val="004D1BCC"/>
    <w:rsid w:val="004D2A16"/>
    <w:rsid w:val="004D2A2D"/>
    <w:rsid w:val="004D2AFD"/>
    <w:rsid w:val="004D2BEE"/>
    <w:rsid w:val="004D2DAC"/>
    <w:rsid w:val="004D2FAE"/>
    <w:rsid w:val="004D4152"/>
    <w:rsid w:val="004D4F65"/>
    <w:rsid w:val="004D5078"/>
    <w:rsid w:val="004D513E"/>
    <w:rsid w:val="004D533D"/>
    <w:rsid w:val="004D7CE1"/>
    <w:rsid w:val="004E0C40"/>
    <w:rsid w:val="004E1861"/>
    <w:rsid w:val="004E1C2A"/>
    <w:rsid w:val="004E21A9"/>
    <w:rsid w:val="004E2418"/>
    <w:rsid w:val="004E2631"/>
    <w:rsid w:val="004E31EF"/>
    <w:rsid w:val="004E4439"/>
    <w:rsid w:val="004E475E"/>
    <w:rsid w:val="004E5B7B"/>
    <w:rsid w:val="004E63CC"/>
    <w:rsid w:val="004E64A0"/>
    <w:rsid w:val="004E7067"/>
    <w:rsid w:val="004E772C"/>
    <w:rsid w:val="004E7822"/>
    <w:rsid w:val="004E7CCE"/>
    <w:rsid w:val="004F0AF8"/>
    <w:rsid w:val="004F0BCE"/>
    <w:rsid w:val="004F0E09"/>
    <w:rsid w:val="004F11BB"/>
    <w:rsid w:val="004F1CB0"/>
    <w:rsid w:val="004F1E6C"/>
    <w:rsid w:val="004F1E96"/>
    <w:rsid w:val="004F23CF"/>
    <w:rsid w:val="004F2642"/>
    <w:rsid w:val="004F26D9"/>
    <w:rsid w:val="004F27A0"/>
    <w:rsid w:val="004F2D97"/>
    <w:rsid w:val="004F3C8B"/>
    <w:rsid w:val="004F4042"/>
    <w:rsid w:val="004F5751"/>
    <w:rsid w:val="004F6B23"/>
    <w:rsid w:val="00500558"/>
    <w:rsid w:val="00500772"/>
    <w:rsid w:val="0050166D"/>
    <w:rsid w:val="00501D0D"/>
    <w:rsid w:val="00501FD3"/>
    <w:rsid w:val="00502A4D"/>
    <w:rsid w:val="00502DE9"/>
    <w:rsid w:val="005036F7"/>
    <w:rsid w:val="00504F73"/>
    <w:rsid w:val="00505C66"/>
    <w:rsid w:val="00506287"/>
    <w:rsid w:val="0050C6F2"/>
    <w:rsid w:val="0051006C"/>
    <w:rsid w:val="00510D5D"/>
    <w:rsid w:val="005119BC"/>
    <w:rsid w:val="00511B32"/>
    <w:rsid w:val="00511CE8"/>
    <w:rsid w:val="00511DCF"/>
    <w:rsid w:val="0051237C"/>
    <w:rsid w:val="0051285A"/>
    <w:rsid w:val="0051298D"/>
    <w:rsid w:val="00513F53"/>
    <w:rsid w:val="0051489F"/>
    <w:rsid w:val="0051586E"/>
    <w:rsid w:val="00515CAC"/>
    <w:rsid w:val="00516B3C"/>
    <w:rsid w:val="00516FEE"/>
    <w:rsid w:val="005171B1"/>
    <w:rsid w:val="00517DAA"/>
    <w:rsid w:val="00520072"/>
    <w:rsid w:val="0052032B"/>
    <w:rsid w:val="0052137A"/>
    <w:rsid w:val="005225F0"/>
    <w:rsid w:val="00522AF3"/>
    <w:rsid w:val="00522C7C"/>
    <w:rsid w:val="005233F4"/>
    <w:rsid w:val="00523601"/>
    <w:rsid w:val="0052483D"/>
    <w:rsid w:val="00524E5A"/>
    <w:rsid w:val="005257D0"/>
    <w:rsid w:val="00525FAB"/>
    <w:rsid w:val="005260DB"/>
    <w:rsid w:val="00526230"/>
    <w:rsid w:val="00526881"/>
    <w:rsid w:val="00526BE9"/>
    <w:rsid w:val="00527231"/>
    <w:rsid w:val="00527F05"/>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0A32"/>
    <w:rsid w:val="005414DC"/>
    <w:rsid w:val="00543448"/>
    <w:rsid w:val="0054454B"/>
    <w:rsid w:val="00545A32"/>
    <w:rsid w:val="00545C08"/>
    <w:rsid w:val="00546156"/>
    <w:rsid w:val="005462CF"/>
    <w:rsid w:val="005462D6"/>
    <w:rsid w:val="0054793E"/>
    <w:rsid w:val="00550574"/>
    <w:rsid w:val="005511D4"/>
    <w:rsid w:val="00554126"/>
    <w:rsid w:val="00554616"/>
    <w:rsid w:val="005547DF"/>
    <w:rsid w:val="00554BE1"/>
    <w:rsid w:val="00555B4F"/>
    <w:rsid w:val="00555B65"/>
    <w:rsid w:val="0055787E"/>
    <w:rsid w:val="00557DD0"/>
    <w:rsid w:val="005602E8"/>
    <w:rsid w:val="0056068E"/>
    <w:rsid w:val="00561C08"/>
    <w:rsid w:val="00563442"/>
    <w:rsid w:val="0056348E"/>
    <w:rsid w:val="00563D14"/>
    <w:rsid w:val="00564034"/>
    <w:rsid w:val="0056432A"/>
    <w:rsid w:val="005645B7"/>
    <w:rsid w:val="005645EF"/>
    <w:rsid w:val="00565B42"/>
    <w:rsid w:val="00565D85"/>
    <w:rsid w:val="00567EFB"/>
    <w:rsid w:val="00567FED"/>
    <w:rsid w:val="0057014A"/>
    <w:rsid w:val="005708ED"/>
    <w:rsid w:val="00571110"/>
    <w:rsid w:val="005714F3"/>
    <w:rsid w:val="00571825"/>
    <w:rsid w:val="00572239"/>
    <w:rsid w:val="00572268"/>
    <w:rsid w:val="0057261E"/>
    <w:rsid w:val="0057292D"/>
    <w:rsid w:val="0057293B"/>
    <w:rsid w:val="00572EEE"/>
    <w:rsid w:val="005730D9"/>
    <w:rsid w:val="00573789"/>
    <w:rsid w:val="00574200"/>
    <w:rsid w:val="005744A2"/>
    <w:rsid w:val="00574A1F"/>
    <w:rsid w:val="00574CF5"/>
    <w:rsid w:val="00575ADB"/>
    <w:rsid w:val="00575B66"/>
    <w:rsid w:val="00575BB7"/>
    <w:rsid w:val="00577B72"/>
    <w:rsid w:val="00577FD4"/>
    <w:rsid w:val="00581492"/>
    <w:rsid w:val="00581A2E"/>
    <w:rsid w:val="00582EFE"/>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3E66"/>
    <w:rsid w:val="0059477A"/>
    <w:rsid w:val="00594CB2"/>
    <w:rsid w:val="00594E34"/>
    <w:rsid w:val="00594FC5"/>
    <w:rsid w:val="005953F4"/>
    <w:rsid w:val="00595DFE"/>
    <w:rsid w:val="0059685E"/>
    <w:rsid w:val="00596BC0"/>
    <w:rsid w:val="00596ECA"/>
    <w:rsid w:val="00597950"/>
    <w:rsid w:val="005A0872"/>
    <w:rsid w:val="005A17E8"/>
    <w:rsid w:val="005A22D9"/>
    <w:rsid w:val="005A275F"/>
    <w:rsid w:val="005A3B9F"/>
    <w:rsid w:val="005A3C54"/>
    <w:rsid w:val="005A4BE3"/>
    <w:rsid w:val="005A4DBC"/>
    <w:rsid w:val="005A4DF4"/>
    <w:rsid w:val="005A6597"/>
    <w:rsid w:val="005B2B47"/>
    <w:rsid w:val="005B2E50"/>
    <w:rsid w:val="005B35E2"/>
    <w:rsid w:val="005B3895"/>
    <w:rsid w:val="005B3E31"/>
    <w:rsid w:val="005B3EEE"/>
    <w:rsid w:val="005B434F"/>
    <w:rsid w:val="005B502E"/>
    <w:rsid w:val="005B5299"/>
    <w:rsid w:val="005B5796"/>
    <w:rsid w:val="005B5935"/>
    <w:rsid w:val="005B6757"/>
    <w:rsid w:val="005B6B75"/>
    <w:rsid w:val="005C00BB"/>
    <w:rsid w:val="005C0741"/>
    <w:rsid w:val="005C0AD5"/>
    <w:rsid w:val="005C0C62"/>
    <w:rsid w:val="005C1050"/>
    <w:rsid w:val="005C125A"/>
    <w:rsid w:val="005C1473"/>
    <w:rsid w:val="005C1B20"/>
    <w:rsid w:val="005C1DAF"/>
    <w:rsid w:val="005C1F51"/>
    <w:rsid w:val="005C22F0"/>
    <w:rsid w:val="005C25D3"/>
    <w:rsid w:val="005C2CF0"/>
    <w:rsid w:val="005C34DE"/>
    <w:rsid w:val="005C3AFD"/>
    <w:rsid w:val="005C3F3D"/>
    <w:rsid w:val="005C42CC"/>
    <w:rsid w:val="005C4B42"/>
    <w:rsid w:val="005C4CE6"/>
    <w:rsid w:val="005C5792"/>
    <w:rsid w:val="005C6252"/>
    <w:rsid w:val="005C6B9C"/>
    <w:rsid w:val="005C729E"/>
    <w:rsid w:val="005C75EE"/>
    <w:rsid w:val="005C7A33"/>
    <w:rsid w:val="005C7E00"/>
    <w:rsid w:val="005D23AD"/>
    <w:rsid w:val="005D4D32"/>
    <w:rsid w:val="005D57AA"/>
    <w:rsid w:val="005D57C3"/>
    <w:rsid w:val="005D5BCC"/>
    <w:rsid w:val="005D7131"/>
    <w:rsid w:val="005D78F8"/>
    <w:rsid w:val="005D7B1E"/>
    <w:rsid w:val="005E0013"/>
    <w:rsid w:val="005E2362"/>
    <w:rsid w:val="005E2A99"/>
    <w:rsid w:val="005E39D9"/>
    <w:rsid w:val="005E3CCE"/>
    <w:rsid w:val="005E46EB"/>
    <w:rsid w:val="005E4AC0"/>
    <w:rsid w:val="005E4D17"/>
    <w:rsid w:val="005E526E"/>
    <w:rsid w:val="005E5366"/>
    <w:rsid w:val="005E5E06"/>
    <w:rsid w:val="005E7AE9"/>
    <w:rsid w:val="005F0538"/>
    <w:rsid w:val="005F0572"/>
    <w:rsid w:val="005F1B42"/>
    <w:rsid w:val="005F1DF6"/>
    <w:rsid w:val="005F28D6"/>
    <w:rsid w:val="005F2936"/>
    <w:rsid w:val="005F334D"/>
    <w:rsid w:val="005F5AC4"/>
    <w:rsid w:val="005F6B7E"/>
    <w:rsid w:val="005F70A0"/>
    <w:rsid w:val="005F72FA"/>
    <w:rsid w:val="005F7C7A"/>
    <w:rsid w:val="006006F9"/>
    <w:rsid w:val="006010BC"/>
    <w:rsid w:val="006020C2"/>
    <w:rsid w:val="006021E0"/>
    <w:rsid w:val="006027C6"/>
    <w:rsid w:val="00602B28"/>
    <w:rsid w:val="00602C0F"/>
    <w:rsid w:val="006053F9"/>
    <w:rsid w:val="00605C2F"/>
    <w:rsid w:val="006061C7"/>
    <w:rsid w:val="00606447"/>
    <w:rsid w:val="00607568"/>
    <w:rsid w:val="006078C8"/>
    <w:rsid w:val="00607D98"/>
    <w:rsid w:val="00607E2D"/>
    <w:rsid w:val="00610E6F"/>
    <w:rsid w:val="00611255"/>
    <w:rsid w:val="006116CA"/>
    <w:rsid w:val="006122BA"/>
    <w:rsid w:val="0061253E"/>
    <w:rsid w:val="00614CCE"/>
    <w:rsid w:val="0061500B"/>
    <w:rsid w:val="00615715"/>
    <w:rsid w:val="0061622A"/>
    <w:rsid w:val="00616BD4"/>
    <w:rsid w:val="006173A2"/>
    <w:rsid w:val="006174AA"/>
    <w:rsid w:val="006175F0"/>
    <w:rsid w:val="00617CF8"/>
    <w:rsid w:val="0062016D"/>
    <w:rsid w:val="006201AC"/>
    <w:rsid w:val="0062073D"/>
    <w:rsid w:val="00620E06"/>
    <w:rsid w:val="00620EF2"/>
    <w:rsid w:val="00621EE5"/>
    <w:rsid w:val="006228AD"/>
    <w:rsid w:val="006228DC"/>
    <w:rsid w:val="00622C59"/>
    <w:rsid w:val="00622E2F"/>
    <w:rsid w:val="00622E92"/>
    <w:rsid w:val="00623420"/>
    <w:rsid w:val="00623F38"/>
    <w:rsid w:val="0062414E"/>
    <w:rsid w:val="00624D5A"/>
    <w:rsid w:val="0062634B"/>
    <w:rsid w:val="00627D3A"/>
    <w:rsid w:val="00627E1B"/>
    <w:rsid w:val="00627F93"/>
    <w:rsid w:val="00630000"/>
    <w:rsid w:val="006303AF"/>
    <w:rsid w:val="00630CB2"/>
    <w:rsid w:val="00631339"/>
    <w:rsid w:val="0063147C"/>
    <w:rsid w:val="006316CD"/>
    <w:rsid w:val="00631BD6"/>
    <w:rsid w:val="006322EA"/>
    <w:rsid w:val="00632393"/>
    <w:rsid w:val="00632B86"/>
    <w:rsid w:val="00633727"/>
    <w:rsid w:val="00634B3A"/>
    <w:rsid w:val="00635389"/>
    <w:rsid w:val="0063635E"/>
    <w:rsid w:val="006372FC"/>
    <w:rsid w:val="006407D5"/>
    <w:rsid w:val="00641B05"/>
    <w:rsid w:val="00642616"/>
    <w:rsid w:val="006428D5"/>
    <w:rsid w:val="00642FC9"/>
    <w:rsid w:val="006436D4"/>
    <w:rsid w:val="00644153"/>
    <w:rsid w:val="00644211"/>
    <w:rsid w:val="006458C4"/>
    <w:rsid w:val="00645A71"/>
    <w:rsid w:val="00645AE0"/>
    <w:rsid w:val="00645E60"/>
    <w:rsid w:val="006478BF"/>
    <w:rsid w:val="00647D40"/>
    <w:rsid w:val="00647EA8"/>
    <w:rsid w:val="006514E0"/>
    <w:rsid w:val="006520A7"/>
    <w:rsid w:val="00652927"/>
    <w:rsid w:val="00652AAB"/>
    <w:rsid w:val="00652E83"/>
    <w:rsid w:val="00654D00"/>
    <w:rsid w:val="00654E59"/>
    <w:rsid w:val="00656090"/>
    <w:rsid w:val="006564E4"/>
    <w:rsid w:val="00656930"/>
    <w:rsid w:val="00656C89"/>
    <w:rsid w:val="006570EB"/>
    <w:rsid w:val="00657A3E"/>
    <w:rsid w:val="006607CC"/>
    <w:rsid w:val="00661B1C"/>
    <w:rsid w:val="00661D24"/>
    <w:rsid w:val="00661E12"/>
    <w:rsid w:val="00661EB9"/>
    <w:rsid w:val="006631EC"/>
    <w:rsid w:val="00663E59"/>
    <w:rsid w:val="0066457B"/>
    <w:rsid w:val="0066463F"/>
    <w:rsid w:val="00664E51"/>
    <w:rsid w:val="006656E0"/>
    <w:rsid w:val="006667FA"/>
    <w:rsid w:val="00667607"/>
    <w:rsid w:val="00672190"/>
    <w:rsid w:val="006724DB"/>
    <w:rsid w:val="0067302D"/>
    <w:rsid w:val="00673113"/>
    <w:rsid w:val="0067395E"/>
    <w:rsid w:val="00674D68"/>
    <w:rsid w:val="00674F6B"/>
    <w:rsid w:val="00675412"/>
    <w:rsid w:val="00677355"/>
    <w:rsid w:val="00680EA7"/>
    <w:rsid w:val="00680F7C"/>
    <w:rsid w:val="006819B5"/>
    <w:rsid w:val="00681EC2"/>
    <w:rsid w:val="0068260B"/>
    <w:rsid w:val="00683CA2"/>
    <w:rsid w:val="00683E78"/>
    <w:rsid w:val="00684B8F"/>
    <w:rsid w:val="0068549D"/>
    <w:rsid w:val="006864FE"/>
    <w:rsid w:val="006866CE"/>
    <w:rsid w:val="00686BEA"/>
    <w:rsid w:val="00686CDE"/>
    <w:rsid w:val="00687417"/>
    <w:rsid w:val="0068762E"/>
    <w:rsid w:val="0068790A"/>
    <w:rsid w:val="00687C6F"/>
    <w:rsid w:val="00690CC9"/>
    <w:rsid w:val="006912D6"/>
    <w:rsid w:val="00691489"/>
    <w:rsid w:val="006914E7"/>
    <w:rsid w:val="006924CB"/>
    <w:rsid w:val="006926CA"/>
    <w:rsid w:val="00692B86"/>
    <w:rsid w:val="00692F6F"/>
    <w:rsid w:val="00693106"/>
    <w:rsid w:val="00693B3E"/>
    <w:rsid w:val="00693D3B"/>
    <w:rsid w:val="006946BC"/>
    <w:rsid w:val="00694E6C"/>
    <w:rsid w:val="00694F27"/>
    <w:rsid w:val="00695915"/>
    <w:rsid w:val="00695C2B"/>
    <w:rsid w:val="00697688"/>
    <w:rsid w:val="00697736"/>
    <w:rsid w:val="00697858"/>
    <w:rsid w:val="006A0F42"/>
    <w:rsid w:val="006A1F39"/>
    <w:rsid w:val="006A244F"/>
    <w:rsid w:val="006A2953"/>
    <w:rsid w:val="006A4BA3"/>
    <w:rsid w:val="006A4E88"/>
    <w:rsid w:val="006A6296"/>
    <w:rsid w:val="006A630E"/>
    <w:rsid w:val="006A631D"/>
    <w:rsid w:val="006A66BE"/>
    <w:rsid w:val="006A6E90"/>
    <w:rsid w:val="006A73C1"/>
    <w:rsid w:val="006A7B6A"/>
    <w:rsid w:val="006B10CF"/>
    <w:rsid w:val="006B12E6"/>
    <w:rsid w:val="006B191C"/>
    <w:rsid w:val="006B1BD1"/>
    <w:rsid w:val="006B2290"/>
    <w:rsid w:val="006B2338"/>
    <w:rsid w:val="006B38FD"/>
    <w:rsid w:val="006B3D39"/>
    <w:rsid w:val="006B5387"/>
    <w:rsid w:val="006B5FF1"/>
    <w:rsid w:val="006B6ADD"/>
    <w:rsid w:val="006B7171"/>
    <w:rsid w:val="006B7D69"/>
    <w:rsid w:val="006B7DD6"/>
    <w:rsid w:val="006C0D19"/>
    <w:rsid w:val="006C0F1E"/>
    <w:rsid w:val="006C19B0"/>
    <w:rsid w:val="006C2879"/>
    <w:rsid w:val="006C29DC"/>
    <w:rsid w:val="006C336C"/>
    <w:rsid w:val="006C3833"/>
    <w:rsid w:val="006C4047"/>
    <w:rsid w:val="006C60D1"/>
    <w:rsid w:val="006C6206"/>
    <w:rsid w:val="006C660D"/>
    <w:rsid w:val="006C69E4"/>
    <w:rsid w:val="006C7F01"/>
    <w:rsid w:val="006D010A"/>
    <w:rsid w:val="006D0B1F"/>
    <w:rsid w:val="006D1466"/>
    <w:rsid w:val="006D16E1"/>
    <w:rsid w:val="006D2002"/>
    <w:rsid w:val="006D3634"/>
    <w:rsid w:val="006D4134"/>
    <w:rsid w:val="006D43E9"/>
    <w:rsid w:val="006D4643"/>
    <w:rsid w:val="006D482B"/>
    <w:rsid w:val="006D5712"/>
    <w:rsid w:val="006D6B17"/>
    <w:rsid w:val="006D6B34"/>
    <w:rsid w:val="006D6E9D"/>
    <w:rsid w:val="006E0D3B"/>
    <w:rsid w:val="006E1A7F"/>
    <w:rsid w:val="006E1F40"/>
    <w:rsid w:val="006E21B1"/>
    <w:rsid w:val="006E2B69"/>
    <w:rsid w:val="006E3E6A"/>
    <w:rsid w:val="006E3F63"/>
    <w:rsid w:val="006E4349"/>
    <w:rsid w:val="006E5711"/>
    <w:rsid w:val="006E5923"/>
    <w:rsid w:val="006E5945"/>
    <w:rsid w:val="006E6215"/>
    <w:rsid w:val="006E7715"/>
    <w:rsid w:val="006E7849"/>
    <w:rsid w:val="006E78D3"/>
    <w:rsid w:val="006E7A5B"/>
    <w:rsid w:val="006E7DE0"/>
    <w:rsid w:val="006F1D96"/>
    <w:rsid w:val="006F2022"/>
    <w:rsid w:val="006F2997"/>
    <w:rsid w:val="006F2A8F"/>
    <w:rsid w:val="006F3D86"/>
    <w:rsid w:val="006F4490"/>
    <w:rsid w:val="006F452B"/>
    <w:rsid w:val="006F497E"/>
    <w:rsid w:val="006F4C63"/>
    <w:rsid w:val="006F4FD0"/>
    <w:rsid w:val="006F55F3"/>
    <w:rsid w:val="006F5758"/>
    <w:rsid w:val="006F58C7"/>
    <w:rsid w:val="006F5C63"/>
    <w:rsid w:val="006F6157"/>
    <w:rsid w:val="006F6AA0"/>
    <w:rsid w:val="006F72D7"/>
    <w:rsid w:val="0070091C"/>
    <w:rsid w:val="00700EE7"/>
    <w:rsid w:val="007011BD"/>
    <w:rsid w:val="00701AD1"/>
    <w:rsid w:val="00702686"/>
    <w:rsid w:val="007031A2"/>
    <w:rsid w:val="00705372"/>
    <w:rsid w:val="007059DD"/>
    <w:rsid w:val="007062C6"/>
    <w:rsid w:val="00706C0B"/>
    <w:rsid w:val="00706D19"/>
    <w:rsid w:val="007072DD"/>
    <w:rsid w:val="00707998"/>
    <w:rsid w:val="00707BE2"/>
    <w:rsid w:val="007101B0"/>
    <w:rsid w:val="00710A25"/>
    <w:rsid w:val="007112F0"/>
    <w:rsid w:val="00711CAA"/>
    <w:rsid w:val="00711FEA"/>
    <w:rsid w:val="00712686"/>
    <w:rsid w:val="00712A0F"/>
    <w:rsid w:val="00713D2D"/>
    <w:rsid w:val="00714360"/>
    <w:rsid w:val="007144BC"/>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A43"/>
    <w:rsid w:val="00726C0B"/>
    <w:rsid w:val="00727183"/>
    <w:rsid w:val="00727577"/>
    <w:rsid w:val="007277A6"/>
    <w:rsid w:val="00730F4A"/>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4211"/>
    <w:rsid w:val="007442C3"/>
    <w:rsid w:val="0074474F"/>
    <w:rsid w:val="00744F4F"/>
    <w:rsid w:val="00745DA5"/>
    <w:rsid w:val="00746A92"/>
    <w:rsid w:val="007470D4"/>
    <w:rsid w:val="00747154"/>
    <w:rsid w:val="00747E6A"/>
    <w:rsid w:val="00747EA3"/>
    <w:rsid w:val="00750732"/>
    <w:rsid w:val="0075099A"/>
    <w:rsid w:val="00751D88"/>
    <w:rsid w:val="007523EB"/>
    <w:rsid w:val="007525D5"/>
    <w:rsid w:val="00752D43"/>
    <w:rsid w:val="0075304B"/>
    <w:rsid w:val="007532A2"/>
    <w:rsid w:val="00753E65"/>
    <w:rsid w:val="00754C2A"/>
    <w:rsid w:val="007551F6"/>
    <w:rsid w:val="0075695B"/>
    <w:rsid w:val="007578CA"/>
    <w:rsid w:val="00760299"/>
    <w:rsid w:val="0076045E"/>
    <w:rsid w:val="007617A5"/>
    <w:rsid w:val="00761AB8"/>
    <w:rsid w:val="00762723"/>
    <w:rsid w:val="00763674"/>
    <w:rsid w:val="00763981"/>
    <w:rsid w:val="0076451A"/>
    <w:rsid w:val="007659B3"/>
    <w:rsid w:val="00765A94"/>
    <w:rsid w:val="007676BC"/>
    <w:rsid w:val="00767866"/>
    <w:rsid w:val="007678F6"/>
    <w:rsid w:val="007703D2"/>
    <w:rsid w:val="007708AE"/>
    <w:rsid w:val="00770A21"/>
    <w:rsid w:val="007716C7"/>
    <w:rsid w:val="00771D89"/>
    <w:rsid w:val="00772458"/>
    <w:rsid w:val="00772CC9"/>
    <w:rsid w:val="00772F69"/>
    <w:rsid w:val="0077432C"/>
    <w:rsid w:val="007750B3"/>
    <w:rsid w:val="0077555F"/>
    <w:rsid w:val="00775CE1"/>
    <w:rsid w:val="007764FD"/>
    <w:rsid w:val="00776F5C"/>
    <w:rsid w:val="00777D9C"/>
    <w:rsid w:val="00780689"/>
    <w:rsid w:val="0078069F"/>
    <w:rsid w:val="00781579"/>
    <w:rsid w:val="00781A48"/>
    <w:rsid w:val="00781C7D"/>
    <w:rsid w:val="00782A34"/>
    <w:rsid w:val="00783065"/>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A2C"/>
    <w:rsid w:val="0079231A"/>
    <w:rsid w:val="00792A05"/>
    <w:rsid w:val="00792BBC"/>
    <w:rsid w:val="00793070"/>
    <w:rsid w:val="0079370F"/>
    <w:rsid w:val="00793F21"/>
    <w:rsid w:val="007941BA"/>
    <w:rsid w:val="007942D3"/>
    <w:rsid w:val="007949C8"/>
    <w:rsid w:val="00795566"/>
    <w:rsid w:val="00795628"/>
    <w:rsid w:val="00795ED0"/>
    <w:rsid w:val="00796012"/>
    <w:rsid w:val="00796692"/>
    <w:rsid w:val="007A0363"/>
    <w:rsid w:val="007A03FD"/>
    <w:rsid w:val="007A08BB"/>
    <w:rsid w:val="007A1CEA"/>
    <w:rsid w:val="007A21DB"/>
    <w:rsid w:val="007A2AA1"/>
    <w:rsid w:val="007A3449"/>
    <w:rsid w:val="007A4C77"/>
    <w:rsid w:val="007A5444"/>
    <w:rsid w:val="007A6735"/>
    <w:rsid w:val="007A68B0"/>
    <w:rsid w:val="007A7198"/>
    <w:rsid w:val="007B0613"/>
    <w:rsid w:val="007B0625"/>
    <w:rsid w:val="007B15DC"/>
    <w:rsid w:val="007B2099"/>
    <w:rsid w:val="007B2528"/>
    <w:rsid w:val="007B3375"/>
    <w:rsid w:val="007B3764"/>
    <w:rsid w:val="007B376E"/>
    <w:rsid w:val="007B6B6A"/>
    <w:rsid w:val="007B6C09"/>
    <w:rsid w:val="007B6CD7"/>
    <w:rsid w:val="007B7587"/>
    <w:rsid w:val="007B7741"/>
    <w:rsid w:val="007C048C"/>
    <w:rsid w:val="007C069D"/>
    <w:rsid w:val="007C0AAF"/>
    <w:rsid w:val="007C1824"/>
    <w:rsid w:val="007C1EAF"/>
    <w:rsid w:val="007C1EC3"/>
    <w:rsid w:val="007C29B1"/>
    <w:rsid w:val="007C4219"/>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593"/>
    <w:rsid w:val="007D393F"/>
    <w:rsid w:val="007D4201"/>
    <w:rsid w:val="007D55FB"/>
    <w:rsid w:val="007D59E4"/>
    <w:rsid w:val="007D6198"/>
    <w:rsid w:val="007D6934"/>
    <w:rsid w:val="007D7794"/>
    <w:rsid w:val="007E0225"/>
    <w:rsid w:val="007E07AF"/>
    <w:rsid w:val="007E095A"/>
    <w:rsid w:val="007E09DA"/>
    <w:rsid w:val="007E0C06"/>
    <w:rsid w:val="007E0D1A"/>
    <w:rsid w:val="007E0F8A"/>
    <w:rsid w:val="007E1815"/>
    <w:rsid w:val="007E1EE4"/>
    <w:rsid w:val="007E21E2"/>
    <w:rsid w:val="007E2451"/>
    <w:rsid w:val="007E37AA"/>
    <w:rsid w:val="007E3915"/>
    <w:rsid w:val="007E3ED5"/>
    <w:rsid w:val="007E4218"/>
    <w:rsid w:val="007E4992"/>
    <w:rsid w:val="007E49EC"/>
    <w:rsid w:val="007E4FE1"/>
    <w:rsid w:val="007E532C"/>
    <w:rsid w:val="007E5D84"/>
    <w:rsid w:val="007E61D6"/>
    <w:rsid w:val="007E65FF"/>
    <w:rsid w:val="007E6951"/>
    <w:rsid w:val="007E6C6F"/>
    <w:rsid w:val="007E793D"/>
    <w:rsid w:val="007E7C48"/>
    <w:rsid w:val="007F06C4"/>
    <w:rsid w:val="007F0B90"/>
    <w:rsid w:val="007F0ED1"/>
    <w:rsid w:val="007F141F"/>
    <w:rsid w:val="007F2E47"/>
    <w:rsid w:val="007F5CE7"/>
    <w:rsid w:val="007F705A"/>
    <w:rsid w:val="007F718D"/>
    <w:rsid w:val="00800508"/>
    <w:rsid w:val="008009F6"/>
    <w:rsid w:val="00800D07"/>
    <w:rsid w:val="00801FAD"/>
    <w:rsid w:val="008034D0"/>
    <w:rsid w:val="00803A21"/>
    <w:rsid w:val="0080426A"/>
    <w:rsid w:val="00805ED1"/>
    <w:rsid w:val="00806D10"/>
    <w:rsid w:val="00806D90"/>
    <w:rsid w:val="00807576"/>
    <w:rsid w:val="00807B4E"/>
    <w:rsid w:val="008102E6"/>
    <w:rsid w:val="00810469"/>
    <w:rsid w:val="008115AD"/>
    <w:rsid w:val="00811BD7"/>
    <w:rsid w:val="0081244C"/>
    <w:rsid w:val="008125D0"/>
    <w:rsid w:val="00812810"/>
    <w:rsid w:val="00813513"/>
    <w:rsid w:val="008143BC"/>
    <w:rsid w:val="00814567"/>
    <w:rsid w:val="00815443"/>
    <w:rsid w:val="00815AC2"/>
    <w:rsid w:val="00816465"/>
    <w:rsid w:val="008178B6"/>
    <w:rsid w:val="00817DEC"/>
    <w:rsid w:val="00820621"/>
    <w:rsid w:val="00820A1C"/>
    <w:rsid w:val="00820F17"/>
    <w:rsid w:val="0082155C"/>
    <w:rsid w:val="0082281B"/>
    <w:rsid w:val="00822AC1"/>
    <w:rsid w:val="00822D90"/>
    <w:rsid w:val="00823730"/>
    <w:rsid w:val="008239F7"/>
    <w:rsid w:val="00823CA7"/>
    <w:rsid w:val="00825891"/>
    <w:rsid w:val="00825D1A"/>
    <w:rsid w:val="008263DF"/>
    <w:rsid w:val="00826A48"/>
    <w:rsid w:val="00827AAF"/>
    <w:rsid w:val="00827CD4"/>
    <w:rsid w:val="00827EDB"/>
    <w:rsid w:val="008312A2"/>
    <w:rsid w:val="008317F1"/>
    <w:rsid w:val="008318CD"/>
    <w:rsid w:val="00831F72"/>
    <w:rsid w:val="008338BA"/>
    <w:rsid w:val="00834190"/>
    <w:rsid w:val="00834B44"/>
    <w:rsid w:val="008352D5"/>
    <w:rsid w:val="00835CDB"/>
    <w:rsid w:val="00836B89"/>
    <w:rsid w:val="008372F9"/>
    <w:rsid w:val="00837539"/>
    <w:rsid w:val="0083778C"/>
    <w:rsid w:val="0084081A"/>
    <w:rsid w:val="00842579"/>
    <w:rsid w:val="00843166"/>
    <w:rsid w:val="00843339"/>
    <w:rsid w:val="00843557"/>
    <w:rsid w:val="00843796"/>
    <w:rsid w:val="00845016"/>
    <w:rsid w:val="00845060"/>
    <w:rsid w:val="00846469"/>
    <w:rsid w:val="00846DB4"/>
    <w:rsid w:val="00847C14"/>
    <w:rsid w:val="00847CD4"/>
    <w:rsid w:val="008519F8"/>
    <w:rsid w:val="00852E79"/>
    <w:rsid w:val="0085302E"/>
    <w:rsid w:val="00853123"/>
    <w:rsid w:val="00853C27"/>
    <w:rsid w:val="00854CAA"/>
    <w:rsid w:val="00854E96"/>
    <w:rsid w:val="00855D11"/>
    <w:rsid w:val="00855DBF"/>
    <w:rsid w:val="00855F65"/>
    <w:rsid w:val="008561D1"/>
    <w:rsid w:val="008563C5"/>
    <w:rsid w:val="00856553"/>
    <w:rsid w:val="008568B5"/>
    <w:rsid w:val="00856952"/>
    <w:rsid w:val="00857113"/>
    <w:rsid w:val="00857331"/>
    <w:rsid w:val="008577AC"/>
    <w:rsid w:val="00860554"/>
    <w:rsid w:val="00860904"/>
    <w:rsid w:val="00860FE1"/>
    <w:rsid w:val="008614AD"/>
    <w:rsid w:val="008620F8"/>
    <w:rsid w:val="0086256E"/>
    <w:rsid w:val="0086310B"/>
    <w:rsid w:val="0086383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3F1"/>
    <w:rsid w:val="0088084A"/>
    <w:rsid w:val="00881388"/>
    <w:rsid w:val="00881B52"/>
    <w:rsid w:val="00882142"/>
    <w:rsid w:val="008822BD"/>
    <w:rsid w:val="00882B58"/>
    <w:rsid w:val="00883553"/>
    <w:rsid w:val="00883CA6"/>
    <w:rsid w:val="00883DFA"/>
    <w:rsid w:val="0088609D"/>
    <w:rsid w:val="00886916"/>
    <w:rsid w:val="00886E28"/>
    <w:rsid w:val="0088716F"/>
    <w:rsid w:val="00890212"/>
    <w:rsid w:val="008902BD"/>
    <w:rsid w:val="008903AC"/>
    <w:rsid w:val="008903B8"/>
    <w:rsid w:val="00890658"/>
    <w:rsid w:val="008908BB"/>
    <w:rsid w:val="00891166"/>
    <w:rsid w:val="00891C89"/>
    <w:rsid w:val="00892BE9"/>
    <w:rsid w:val="00893121"/>
    <w:rsid w:val="008932B2"/>
    <w:rsid w:val="00894058"/>
    <w:rsid w:val="0089487D"/>
    <w:rsid w:val="00895243"/>
    <w:rsid w:val="0089535E"/>
    <w:rsid w:val="008974F0"/>
    <w:rsid w:val="00897992"/>
    <w:rsid w:val="00897A2B"/>
    <w:rsid w:val="00897A5F"/>
    <w:rsid w:val="00897B6B"/>
    <w:rsid w:val="008A016B"/>
    <w:rsid w:val="008A0A43"/>
    <w:rsid w:val="008A1499"/>
    <w:rsid w:val="008A2F30"/>
    <w:rsid w:val="008A3BF3"/>
    <w:rsid w:val="008A4D9B"/>
    <w:rsid w:val="008A61DC"/>
    <w:rsid w:val="008A62BE"/>
    <w:rsid w:val="008A688A"/>
    <w:rsid w:val="008A6B6A"/>
    <w:rsid w:val="008A7970"/>
    <w:rsid w:val="008A7B51"/>
    <w:rsid w:val="008A7CC4"/>
    <w:rsid w:val="008B012A"/>
    <w:rsid w:val="008B08E6"/>
    <w:rsid w:val="008B0FF6"/>
    <w:rsid w:val="008B1359"/>
    <w:rsid w:val="008B13B2"/>
    <w:rsid w:val="008B1EA8"/>
    <w:rsid w:val="008B2850"/>
    <w:rsid w:val="008B2979"/>
    <w:rsid w:val="008B30E1"/>
    <w:rsid w:val="008B36CE"/>
    <w:rsid w:val="008B46DF"/>
    <w:rsid w:val="008B4930"/>
    <w:rsid w:val="008B4B62"/>
    <w:rsid w:val="008B5A46"/>
    <w:rsid w:val="008B5E17"/>
    <w:rsid w:val="008B75E4"/>
    <w:rsid w:val="008B7BAA"/>
    <w:rsid w:val="008C02CA"/>
    <w:rsid w:val="008C0956"/>
    <w:rsid w:val="008C0BB9"/>
    <w:rsid w:val="008C0BE7"/>
    <w:rsid w:val="008C155B"/>
    <w:rsid w:val="008C1579"/>
    <w:rsid w:val="008C286D"/>
    <w:rsid w:val="008C31C8"/>
    <w:rsid w:val="008C322F"/>
    <w:rsid w:val="008C410F"/>
    <w:rsid w:val="008C4D55"/>
    <w:rsid w:val="008C5D0D"/>
    <w:rsid w:val="008C63F1"/>
    <w:rsid w:val="008C6E90"/>
    <w:rsid w:val="008C72F5"/>
    <w:rsid w:val="008C746D"/>
    <w:rsid w:val="008C7984"/>
    <w:rsid w:val="008C7DF6"/>
    <w:rsid w:val="008C7F20"/>
    <w:rsid w:val="008D1DEA"/>
    <w:rsid w:val="008D203B"/>
    <w:rsid w:val="008D23B4"/>
    <w:rsid w:val="008D3D99"/>
    <w:rsid w:val="008D4742"/>
    <w:rsid w:val="008D545B"/>
    <w:rsid w:val="008D6A30"/>
    <w:rsid w:val="008D6FC7"/>
    <w:rsid w:val="008D7426"/>
    <w:rsid w:val="008D78BB"/>
    <w:rsid w:val="008D797A"/>
    <w:rsid w:val="008D79CB"/>
    <w:rsid w:val="008D7AA1"/>
    <w:rsid w:val="008D7B9D"/>
    <w:rsid w:val="008D7D35"/>
    <w:rsid w:val="008D7EE8"/>
    <w:rsid w:val="008E025B"/>
    <w:rsid w:val="008E06DD"/>
    <w:rsid w:val="008E0DFA"/>
    <w:rsid w:val="008E0E6D"/>
    <w:rsid w:val="008E130E"/>
    <w:rsid w:val="008E131E"/>
    <w:rsid w:val="008E1446"/>
    <w:rsid w:val="008E1816"/>
    <w:rsid w:val="008E19E2"/>
    <w:rsid w:val="008E26F3"/>
    <w:rsid w:val="008E2D31"/>
    <w:rsid w:val="008E2D8A"/>
    <w:rsid w:val="008E3643"/>
    <w:rsid w:val="008E478A"/>
    <w:rsid w:val="008E50AB"/>
    <w:rsid w:val="008E52F1"/>
    <w:rsid w:val="008E5DE7"/>
    <w:rsid w:val="008E6811"/>
    <w:rsid w:val="008E7133"/>
    <w:rsid w:val="008E7D0C"/>
    <w:rsid w:val="008F0632"/>
    <w:rsid w:val="008F2C0A"/>
    <w:rsid w:val="008F3089"/>
    <w:rsid w:val="008F33A6"/>
    <w:rsid w:val="008F3684"/>
    <w:rsid w:val="008F38F0"/>
    <w:rsid w:val="008F4420"/>
    <w:rsid w:val="008F4454"/>
    <w:rsid w:val="008F4676"/>
    <w:rsid w:val="008F53C6"/>
    <w:rsid w:val="008F53D4"/>
    <w:rsid w:val="008F5503"/>
    <w:rsid w:val="008F5F50"/>
    <w:rsid w:val="008F638C"/>
    <w:rsid w:val="008F675D"/>
    <w:rsid w:val="008F67B4"/>
    <w:rsid w:val="008F7A66"/>
    <w:rsid w:val="009004FA"/>
    <w:rsid w:val="00900AA8"/>
    <w:rsid w:val="009010D2"/>
    <w:rsid w:val="009010E8"/>
    <w:rsid w:val="00902061"/>
    <w:rsid w:val="00902258"/>
    <w:rsid w:val="009036B7"/>
    <w:rsid w:val="00903FC0"/>
    <w:rsid w:val="00905032"/>
    <w:rsid w:val="00906771"/>
    <w:rsid w:val="00906E17"/>
    <w:rsid w:val="00907137"/>
    <w:rsid w:val="009071A9"/>
    <w:rsid w:val="0090737D"/>
    <w:rsid w:val="00907C7C"/>
    <w:rsid w:val="009109B5"/>
    <w:rsid w:val="00911103"/>
    <w:rsid w:val="009113C4"/>
    <w:rsid w:val="00911CB9"/>
    <w:rsid w:val="009123BA"/>
    <w:rsid w:val="0091297E"/>
    <w:rsid w:val="009138FB"/>
    <w:rsid w:val="00913A32"/>
    <w:rsid w:val="00913DE0"/>
    <w:rsid w:val="009146F3"/>
    <w:rsid w:val="00914BA2"/>
    <w:rsid w:val="00914ECC"/>
    <w:rsid w:val="00921479"/>
    <w:rsid w:val="009214F7"/>
    <w:rsid w:val="00921E09"/>
    <w:rsid w:val="00923957"/>
    <w:rsid w:val="00923F70"/>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58BA"/>
    <w:rsid w:val="00935C79"/>
    <w:rsid w:val="00935CEF"/>
    <w:rsid w:val="0093673E"/>
    <w:rsid w:val="009367A9"/>
    <w:rsid w:val="0093735D"/>
    <w:rsid w:val="0094086A"/>
    <w:rsid w:val="0094118E"/>
    <w:rsid w:val="00941C3F"/>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3F32"/>
    <w:rsid w:val="0095443F"/>
    <w:rsid w:val="009545AE"/>
    <w:rsid w:val="00954AB9"/>
    <w:rsid w:val="00954D43"/>
    <w:rsid w:val="009551AC"/>
    <w:rsid w:val="0095648F"/>
    <w:rsid w:val="009565E8"/>
    <w:rsid w:val="00956AD8"/>
    <w:rsid w:val="0095716E"/>
    <w:rsid w:val="00957296"/>
    <w:rsid w:val="00957FF7"/>
    <w:rsid w:val="0096002C"/>
    <w:rsid w:val="00960222"/>
    <w:rsid w:val="009602F0"/>
    <w:rsid w:val="0096143D"/>
    <w:rsid w:val="00961A91"/>
    <w:rsid w:val="00961B04"/>
    <w:rsid w:val="00962763"/>
    <w:rsid w:val="00962990"/>
    <w:rsid w:val="00962AAB"/>
    <w:rsid w:val="00963823"/>
    <w:rsid w:val="00963E2A"/>
    <w:rsid w:val="009646F4"/>
    <w:rsid w:val="00964855"/>
    <w:rsid w:val="0096504E"/>
    <w:rsid w:val="00966424"/>
    <w:rsid w:val="00966832"/>
    <w:rsid w:val="00966C9F"/>
    <w:rsid w:val="00967763"/>
    <w:rsid w:val="009678DA"/>
    <w:rsid w:val="009679B3"/>
    <w:rsid w:val="00967E86"/>
    <w:rsid w:val="009705E9"/>
    <w:rsid w:val="0097090D"/>
    <w:rsid w:val="00970C7F"/>
    <w:rsid w:val="009722A6"/>
    <w:rsid w:val="009729BB"/>
    <w:rsid w:val="00974018"/>
    <w:rsid w:val="00974808"/>
    <w:rsid w:val="009753BD"/>
    <w:rsid w:val="00975434"/>
    <w:rsid w:val="00975D95"/>
    <w:rsid w:val="0097690F"/>
    <w:rsid w:val="00977721"/>
    <w:rsid w:val="009779E5"/>
    <w:rsid w:val="009803C3"/>
    <w:rsid w:val="00980843"/>
    <w:rsid w:val="00981667"/>
    <w:rsid w:val="00981670"/>
    <w:rsid w:val="00983C72"/>
    <w:rsid w:val="0098410D"/>
    <w:rsid w:val="00984397"/>
    <w:rsid w:val="009843D8"/>
    <w:rsid w:val="00984A5D"/>
    <w:rsid w:val="00984EB8"/>
    <w:rsid w:val="00986D5F"/>
    <w:rsid w:val="009878AE"/>
    <w:rsid w:val="009905D8"/>
    <w:rsid w:val="009915BC"/>
    <w:rsid w:val="009923BF"/>
    <w:rsid w:val="0099252A"/>
    <w:rsid w:val="009928D2"/>
    <w:rsid w:val="00992BBB"/>
    <w:rsid w:val="00993090"/>
    <w:rsid w:val="0099337B"/>
    <w:rsid w:val="00993FF7"/>
    <w:rsid w:val="00994AFF"/>
    <w:rsid w:val="00994EE5"/>
    <w:rsid w:val="00995222"/>
    <w:rsid w:val="00995657"/>
    <w:rsid w:val="00995D75"/>
    <w:rsid w:val="00996E84"/>
    <w:rsid w:val="00996EA1"/>
    <w:rsid w:val="00997099"/>
    <w:rsid w:val="00997D92"/>
    <w:rsid w:val="00997FE1"/>
    <w:rsid w:val="009A08C0"/>
    <w:rsid w:val="009A2F83"/>
    <w:rsid w:val="009A4ADE"/>
    <w:rsid w:val="009A501E"/>
    <w:rsid w:val="009A583B"/>
    <w:rsid w:val="009A65A3"/>
    <w:rsid w:val="009A65D9"/>
    <w:rsid w:val="009A6856"/>
    <w:rsid w:val="009A6AEF"/>
    <w:rsid w:val="009A787D"/>
    <w:rsid w:val="009B0BDB"/>
    <w:rsid w:val="009B158D"/>
    <w:rsid w:val="009B17EF"/>
    <w:rsid w:val="009B24B1"/>
    <w:rsid w:val="009B2AF9"/>
    <w:rsid w:val="009B34E5"/>
    <w:rsid w:val="009B35BF"/>
    <w:rsid w:val="009B46FB"/>
    <w:rsid w:val="009B506C"/>
    <w:rsid w:val="009B57B9"/>
    <w:rsid w:val="009B59F6"/>
    <w:rsid w:val="009C004C"/>
    <w:rsid w:val="009C0437"/>
    <w:rsid w:val="009C084B"/>
    <w:rsid w:val="009C0C0F"/>
    <w:rsid w:val="009C1BD8"/>
    <w:rsid w:val="009C1FA3"/>
    <w:rsid w:val="009C2DE6"/>
    <w:rsid w:val="009C3476"/>
    <w:rsid w:val="009C359A"/>
    <w:rsid w:val="009C38E3"/>
    <w:rsid w:val="009C46F4"/>
    <w:rsid w:val="009C5669"/>
    <w:rsid w:val="009C57D9"/>
    <w:rsid w:val="009C596B"/>
    <w:rsid w:val="009C6806"/>
    <w:rsid w:val="009C6885"/>
    <w:rsid w:val="009C6B7A"/>
    <w:rsid w:val="009C7581"/>
    <w:rsid w:val="009C7FF6"/>
    <w:rsid w:val="009D0C05"/>
    <w:rsid w:val="009D1213"/>
    <w:rsid w:val="009D16AD"/>
    <w:rsid w:val="009D1B3F"/>
    <w:rsid w:val="009D1C42"/>
    <w:rsid w:val="009D2039"/>
    <w:rsid w:val="009D281D"/>
    <w:rsid w:val="009D3963"/>
    <w:rsid w:val="009D4009"/>
    <w:rsid w:val="009D4973"/>
    <w:rsid w:val="009D4B33"/>
    <w:rsid w:val="009D545F"/>
    <w:rsid w:val="009D5465"/>
    <w:rsid w:val="009D5836"/>
    <w:rsid w:val="009D64E7"/>
    <w:rsid w:val="009D6DF0"/>
    <w:rsid w:val="009D6E65"/>
    <w:rsid w:val="009D74A2"/>
    <w:rsid w:val="009D7F31"/>
    <w:rsid w:val="009E0099"/>
    <w:rsid w:val="009E0E52"/>
    <w:rsid w:val="009E0EDD"/>
    <w:rsid w:val="009E198B"/>
    <w:rsid w:val="009E1A47"/>
    <w:rsid w:val="009E25FC"/>
    <w:rsid w:val="009E307E"/>
    <w:rsid w:val="009E3E4F"/>
    <w:rsid w:val="009E44DF"/>
    <w:rsid w:val="009E57FA"/>
    <w:rsid w:val="009E60A9"/>
    <w:rsid w:val="009E7159"/>
    <w:rsid w:val="009F08B0"/>
    <w:rsid w:val="009F0A39"/>
    <w:rsid w:val="009F222B"/>
    <w:rsid w:val="009F2B48"/>
    <w:rsid w:val="009F2EE6"/>
    <w:rsid w:val="009F4284"/>
    <w:rsid w:val="009F4308"/>
    <w:rsid w:val="009F437D"/>
    <w:rsid w:val="009F50FF"/>
    <w:rsid w:val="009F52DF"/>
    <w:rsid w:val="009F5B8E"/>
    <w:rsid w:val="009F62A2"/>
    <w:rsid w:val="009F68F3"/>
    <w:rsid w:val="009F6AB5"/>
    <w:rsid w:val="009F7215"/>
    <w:rsid w:val="00A001B5"/>
    <w:rsid w:val="00A0180A"/>
    <w:rsid w:val="00A022C4"/>
    <w:rsid w:val="00A0457D"/>
    <w:rsid w:val="00A0459F"/>
    <w:rsid w:val="00A0531F"/>
    <w:rsid w:val="00A05A9C"/>
    <w:rsid w:val="00A05F0D"/>
    <w:rsid w:val="00A06AF0"/>
    <w:rsid w:val="00A074E0"/>
    <w:rsid w:val="00A07626"/>
    <w:rsid w:val="00A10727"/>
    <w:rsid w:val="00A111D1"/>
    <w:rsid w:val="00A11C3A"/>
    <w:rsid w:val="00A11F40"/>
    <w:rsid w:val="00A127BB"/>
    <w:rsid w:val="00A128AB"/>
    <w:rsid w:val="00A13DB9"/>
    <w:rsid w:val="00A16338"/>
    <w:rsid w:val="00A16A29"/>
    <w:rsid w:val="00A16D62"/>
    <w:rsid w:val="00A16D80"/>
    <w:rsid w:val="00A215A4"/>
    <w:rsid w:val="00A216C0"/>
    <w:rsid w:val="00A2449B"/>
    <w:rsid w:val="00A24A33"/>
    <w:rsid w:val="00A24AC3"/>
    <w:rsid w:val="00A25829"/>
    <w:rsid w:val="00A25983"/>
    <w:rsid w:val="00A25BB3"/>
    <w:rsid w:val="00A264F2"/>
    <w:rsid w:val="00A26F99"/>
    <w:rsid w:val="00A27951"/>
    <w:rsid w:val="00A3077A"/>
    <w:rsid w:val="00A31D4E"/>
    <w:rsid w:val="00A332D4"/>
    <w:rsid w:val="00A3379B"/>
    <w:rsid w:val="00A33BE7"/>
    <w:rsid w:val="00A341C7"/>
    <w:rsid w:val="00A35CB9"/>
    <w:rsid w:val="00A376DE"/>
    <w:rsid w:val="00A4040D"/>
    <w:rsid w:val="00A40464"/>
    <w:rsid w:val="00A4136C"/>
    <w:rsid w:val="00A416E6"/>
    <w:rsid w:val="00A41C9E"/>
    <w:rsid w:val="00A41FE1"/>
    <w:rsid w:val="00A426D4"/>
    <w:rsid w:val="00A43B24"/>
    <w:rsid w:val="00A43BDE"/>
    <w:rsid w:val="00A44ED6"/>
    <w:rsid w:val="00A450F7"/>
    <w:rsid w:val="00A46FB3"/>
    <w:rsid w:val="00A47A4B"/>
    <w:rsid w:val="00A53414"/>
    <w:rsid w:val="00A538B6"/>
    <w:rsid w:val="00A54223"/>
    <w:rsid w:val="00A542BB"/>
    <w:rsid w:val="00A547DE"/>
    <w:rsid w:val="00A54C60"/>
    <w:rsid w:val="00A551DC"/>
    <w:rsid w:val="00A55D2E"/>
    <w:rsid w:val="00A60A10"/>
    <w:rsid w:val="00A61855"/>
    <w:rsid w:val="00A6319B"/>
    <w:rsid w:val="00A63488"/>
    <w:rsid w:val="00A636C4"/>
    <w:rsid w:val="00A6480A"/>
    <w:rsid w:val="00A65B5C"/>
    <w:rsid w:val="00A669CA"/>
    <w:rsid w:val="00A669D3"/>
    <w:rsid w:val="00A70C03"/>
    <w:rsid w:val="00A70CF1"/>
    <w:rsid w:val="00A7169D"/>
    <w:rsid w:val="00A71D4B"/>
    <w:rsid w:val="00A7263B"/>
    <w:rsid w:val="00A72698"/>
    <w:rsid w:val="00A73116"/>
    <w:rsid w:val="00A73BA9"/>
    <w:rsid w:val="00A73EC4"/>
    <w:rsid w:val="00A741DF"/>
    <w:rsid w:val="00A746F7"/>
    <w:rsid w:val="00A7659E"/>
    <w:rsid w:val="00A7677A"/>
    <w:rsid w:val="00A76DDA"/>
    <w:rsid w:val="00A76FC8"/>
    <w:rsid w:val="00A80C46"/>
    <w:rsid w:val="00A81105"/>
    <w:rsid w:val="00A8125D"/>
    <w:rsid w:val="00A813B3"/>
    <w:rsid w:val="00A815DB"/>
    <w:rsid w:val="00A81A9D"/>
    <w:rsid w:val="00A81B88"/>
    <w:rsid w:val="00A8204C"/>
    <w:rsid w:val="00A82189"/>
    <w:rsid w:val="00A82664"/>
    <w:rsid w:val="00A82837"/>
    <w:rsid w:val="00A8330B"/>
    <w:rsid w:val="00A8445F"/>
    <w:rsid w:val="00A84783"/>
    <w:rsid w:val="00A86164"/>
    <w:rsid w:val="00A867EC"/>
    <w:rsid w:val="00A86AE2"/>
    <w:rsid w:val="00A86B01"/>
    <w:rsid w:val="00A86C62"/>
    <w:rsid w:val="00A87B93"/>
    <w:rsid w:val="00A87D04"/>
    <w:rsid w:val="00A926C0"/>
    <w:rsid w:val="00A928D3"/>
    <w:rsid w:val="00A92C48"/>
    <w:rsid w:val="00A931F6"/>
    <w:rsid w:val="00A93AAD"/>
    <w:rsid w:val="00A93BD3"/>
    <w:rsid w:val="00A94D31"/>
    <w:rsid w:val="00A951E1"/>
    <w:rsid w:val="00A95714"/>
    <w:rsid w:val="00A957CF"/>
    <w:rsid w:val="00A95DF8"/>
    <w:rsid w:val="00A960EA"/>
    <w:rsid w:val="00AA02D0"/>
    <w:rsid w:val="00AA0CB3"/>
    <w:rsid w:val="00AA0FF7"/>
    <w:rsid w:val="00AA2EE8"/>
    <w:rsid w:val="00AA386E"/>
    <w:rsid w:val="00AA50DB"/>
    <w:rsid w:val="00AA5A67"/>
    <w:rsid w:val="00AA6380"/>
    <w:rsid w:val="00AA6F92"/>
    <w:rsid w:val="00AA6FBA"/>
    <w:rsid w:val="00AA73B5"/>
    <w:rsid w:val="00AA74CD"/>
    <w:rsid w:val="00AB0808"/>
    <w:rsid w:val="00AB0ED9"/>
    <w:rsid w:val="00AB2342"/>
    <w:rsid w:val="00AB2674"/>
    <w:rsid w:val="00AB2A35"/>
    <w:rsid w:val="00AB3F39"/>
    <w:rsid w:val="00AB3FDE"/>
    <w:rsid w:val="00AB44C4"/>
    <w:rsid w:val="00AB44D5"/>
    <w:rsid w:val="00AB4E77"/>
    <w:rsid w:val="00AB5AEE"/>
    <w:rsid w:val="00AB6893"/>
    <w:rsid w:val="00AB6934"/>
    <w:rsid w:val="00AB7300"/>
    <w:rsid w:val="00AB7635"/>
    <w:rsid w:val="00AB7724"/>
    <w:rsid w:val="00AB77F2"/>
    <w:rsid w:val="00AC1B35"/>
    <w:rsid w:val="00AC22D5"/>
    <w:rsid w:val="00AC2F5C"/>
    <w:rsid w:val="00AC3735"/>
    <w:rsid w:val="00AC47C9"/>
    <w:rsid w:val="00AC5BD2"/>
    <w:rsid w:val="00AC5E44"/>
    <w:rsid w:val="00AC5EB3"/>
    <w:rsid w:val="00AC7888"/>
    <w:rsid w:val="00AD00C1"/>
    <w:rsid w:val="00AD059F"/>
    <w:rsid w:val="00AD0C17"/>
    <w:rsid w:val="00AD1EEB"/>
    <w:rsid w:val="00AD21CF"/>
    <w:rsid w:val="00AD2573"/>
    <w:rsid w:val="00AD2FE8"/>
    <w:rsid w:val="00AD35E3"/>
    <w:rsid w:val="00AD35F7"/>
    <w:rsid w:val="00AD42CD"/>
    <w:rsid w:val="00AD5367"/>
    <w:rsid w:val="00AD6767"/>
    <w:rsid w:val="00AD7457"/>
    <w:rsid w:val="00AE0BF2"/>
    <w:rsid w:val="00AE0EF6"/>
    <w:rsid w:val="00AE1062"/>
    <w:rsid w:val="00AE175F"/>
    <w:rsid w:val="00AE1B6B"/>
    <w:rsid w:val="00AE2117"/>
    <w:rsid w:val="00AE2DB4"/>
    <w:rsid w:val="00AE3F66"/>
    <w:rsid w:val="00AE4240"/>
    <w:rsid w:val="00AE48FD"/>
    <w:rsid w:val="00AE4F36"/>
    <w:rsid w:val="00AE50F4"/>
    <w:rsid w:val="00AE6525"/>
    <w:rsid w:val="00AE6784"/>
    <w:rsid w:val="00AE6B98"/>
    <w:rsid w:val="00AE7D9D"/>
    <w:rsid w:val="00AF03A7"/>
    <w:rsid w:val="00AF0C0F"/>
    <w:rsid w:val="00AF0DEE"/>
    <w:rsid w:val="00AF0EA2"/>
    <w:rsid w:val="00AF1581"/>
    <w:rsid w:val="00AF1A5D"/>
    <w:rsid w:val="00AF1F6B"/>
    <w:rsid w:val="00AF2B1E"/>
    <w:rsid w:val="00AF2C64"/>
    <w:rsid w:val="00AF37CF"/>
    <w:rsid w:val="00AF4277"/>
    <w:rsid w:val="00AF42DE"/>
    <w:rsid w:val="00AF45E7"/>
    <w:rsid w:val="00AF5813"/>
    <w:rsid w:val="00AF616D"/>
    <w:rsid w:val="00AF628F"/>
    <w:rsid w:val="00AF6E1D"/>
    <w:rsid w:val="00B009EF"/>
    <w:rsid w:val="00B00A54"/>
    <w:rsid w:val="00B017FA"/>
    <w:rsid w:val="00B01F00"/>
    <w:rsid w:val="00B03E16"/>
    <w:rsid w:val="00B044F2"/>
    <w:rsid w:val="00B04585"/>
    <w:rsid w:val="00B04950"/>
    <w:rsid w:val="00B052B8"/>
    <w:rsid w:val="00B1017E"/>
    <w:rsid w:val="00B10576"/>
    <w:rsid w:val="00B11B11"/>
    <w:rsid w:val="00B12497"/>
    <w:rsid w:val="00B1475C"/>
    <w:rsid w:val="00B152AA"/>
    <w:rsid w:val="00B15C3A"/>
    <w:rsid w:val="00B16222"/>
    <w:rsid w:val="00B16881"/>
    <w:rsid w:val="00B16AB4"/>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316"/>
    <w:rsid w:val="00B275AA"/>
    <w:rsid w:val="00B27776"/>
    <w:rsid w:val="00B27A2A"/>
    <w:rsid w:val="00B27D9B"/>
    <w:rsid w:val="00B30310"/>
    <w:rsid w:val="00B3054E"/>
    <w:rsid w:val="00B30FA0"/>
    <w:rsid w:val="00B31034"/>
    <w:rsid w:val="00B311BE"/>
    <w:rsid w:val="00B31A46"/>
    <w:rsid w:val="00B31E58"/>
    <w:rsid w:val="00B32214"/>
    <w:rsid w:val="00B33115"/>
    <w:rsid w:val="00B3333A"/>
    <w:rsid w:val="00B3369F"/>
    <w:rsid w:val="00B33DB5"/>
    <w:rsid w:val="00B34E6F"/>
    <w:rsid w:val="00B35294"/>
    <w:rsid w:val="00B35B65"/>
    <w:rsid w:val="00B35FAC"/>
    <w:rsid w:val="00B367AF"/>
    <w:rsid w:val="00B36C9E"/>
    <w:rsid w:val="00B37093"/>
    <w:rsid w:val="00B377C4"/>
    <w:rsid w:val="00B37A45"/>
    <w:rsid w:val="00B37AF3"/>
    <w:rsid w:val="00B37F0F"/>
    <w:rsid w:val="00B42CFB"/>
    <w:rsid w:val="00B4395C"/>
    <w:rsid w:val="00B43BF2"/>
    <w:rsid w:val="00B43FCE"/>
    <w:rsid w:val="00B449C3"/>
    <w:rsid w:val="00B45043"/>
    <w:rsid w:val="00B45505"/>
    <w:rsid w:val="00B47754"/>
    <w:rsid w:val="00B47A78"/>
    <w:rsid w:val="00B47CE0"/>
    <w:rsid w:val="00B5004A"/>
    <w:rsid w:val="00B5042C"/>
    <w:rsid w:val="00B51FC6"/>
    <w:rsid w:val="00B5225E"/>
    <w:rsid w:val="00B52F80"/>
    <w:rsid w:val="00B54115"/>
    <w:rsid w:val="00B541CB"/>
    <w:rsid w:val="00B55E11"/>
    <w:rsid w:val="00B56CFA"/>
    <w:rsid w:val="00B57285"/>
    <w:rsid w:val="00B5741B"/>
    <w:rsid w:val="00B5742E"/>
    <w:rsid w:val="00B5767A"/>
    <w:rsid w:val="00B60ED1"/>
    <w:rsid w:val="00B6166E"/>
    <w:rsid w:val="00B61FBA"/>
    <w:rsid w:val="00B634B5"/>
    <w:rsid w:val="00B63D2D"/>
    <w:rsid w:val="00B63F17"/>
    <w:rsid w:val="00B649EF"/>
    <w:rsid w:val="00B656BD"/>
    <w:rsid w:val="00B65974"/>
    <w:rsid w:val="00B66365"/>
    <w:rsid w:val="00B6720F"/>
    <w:rsid w:val="00B672DD"/>
    <w:rsid w:val="00B67C26"/>
    <w:rsid w:val="00B67EF9"/>
    <w:rsid w:val="00B70815"/>
    <w:rsid w:val="00B70F09"/>
    <w:rsid w:val="00B716A3"/>
    <w:rsid w:val="00B729CD"/>
    <w:rsid w:val="00B72F75"/>
    <w:rsid w:val="00B730F0"/>
    <w:rsid w:val="00B74C48"/>
    <w:rsid w:val="00B74D37"/>
    <w:rsid w:val="00B75FA3"/>
    <w:rsid w:val="00B807F6"/>
    <w:rsid w:val="00B81556"/>
    <w:rsid w:val="00B8232B"/>
    <w:rsid w:val="00B82431"/>
    <w:rsid w:val="00B82972"/>
    <w:rsid w:val="00B829D1"/>
    <w:rsid w:val="00B8307A"/>
    <w:rsid w:val="00B8335A"/>
    <w:rsid w:val="00B83C96"/>
    <w:rsid w:val="00B844B9"/>
    <w:rsid w:val="00B8475A"/>
    <w:rsid w:val="00B854B8"/>
    <w:rsid w:val="00B85915"/>
    <w:rsid w:val="00B8615C"/>
    <w:rsid w:val="00B86A95"/>
    <w:rsid w:val="00B870E8"/>
    <w:rsid w:val="00B87DAB"/>
    <w:rsid w:val="00B87EDE"/>
    <w:rsid w:val="00B90A6D"/>
    <w:rsid w:val="00B90F02"/>
    <w:rsid w:val="00B91779"/>
    <w:rsid w:val="00B91FD8"/>
    <w:rsid w:val="00B923CE"/>
    <w:rsid w:val="00B92C7C"/>
    <w:rsid w:val="00B92F8F"/>
    <w:rsid w:val="00B942A6"/>
    <w:rsid w:val="00B94665"/>
    <w:rsid w:val="00B9469E"/>
    <w:rsid w:val="00B946DE"/>
    <w:rsid w:val="00B94916"/>
    <w:rsid w:val="00B94E6C"/>
    <w:rsid w:val="00B95127"/>
    <w:rsid w:val="00B95808"/>
    <w:rsid w:val="00B958D7"/>
    <w:rsid w:val="00B96763"/>
    <w:rsid w:val="00BA00F0"/>
    <w:rsid w:val="00BA11CC"/>
    <w:rsid w:val="00BA11EA"/>
    <w:rsid w:val="00BA171A"/>
    <w:rsid w:val="00BA26FF"/>
    <w:rsid w:val="00BA2888"/>
    <w:rsid w:val="00BA2CE0"/>
    <w:rsid w:val="00BA3056"/>
    <w:rsid w:val="00BA3CD5"/>
    <w:rsid w:val="00BA4C87"/>
    <w:rsid w:val="00BA53CE"/>
    <w:rsid w:val="00BA602E"/>
    <w:rsid w:val="00BA69BC"/>
    <w:rsid w:val="00BA6FCF"/>
    <w:rsid w:val="00BA71EB"/>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7D"/>
    <w:rsid w:val="00BB7804"/>
    <w:rsid w:val="00BB7C4D"/>
    <w:rsid w:val="00BB7F53"/>
    <w:rsid w:val="00BC0F1E"/>
    <w:rsid w:val="00BC1A82"/>
    <w:rsid w:val="00BC268B"/>
    <w:rsid w:val="00BC2B01"/>
    <w:rsid w:val="00BC2C4B"/>
    <w:rsid w:val="00BC493D"/>
    <w:rsid w:val="00BC49B4"/>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C5A"/>
    <w:rsid w:val="00BD5186"/>
    <w:rsid w:val="00BD55F8"/>
    <w:rsid w:val="00BD71A8"/>
    <w:rsid w:val="00BD78A6"/>
    <w:rsid w:val="00BD79E2"/>
    <w:rsid w:val="00BD7D80"/>
    <w:rsid w:val="00BE0048"/>
    <w:rsid w:val="00BE0F05"/>
    <w:rsid w:val="00BE13E9"/>
    <w:rsid w:val="00BE1CE3"/>
    <w:rsid w:val="00BE30BF"/>
    <w:rsid w:val="00BE3406"/>
    <w:rsid w:val="00BE3BBE"/>
    <w:rsid w:val="00BE405C"/>
    <w:rsid w:val="00BE40F2"/>
    <w:rsid w:val="00BE447E"/>
    <w:rsid w:val="00BE4B78"/>
    <w:rsid w:val="00BE5793"/>
    <w:rsid w:val="00BE6A02"/>
    <w:rsid w:val="00BE6E4D"/>
    <w:rsid w:val="00BE7D70"/>
    <w:rsid w:val="00BF0933"/>
    <w:rsid w:val="00BF1B60"/>
    <w:rsid w:val="00BF1E9F"/>
    <w:rsid w:val="00BF220D"/>
    <w:rsid w:val="00BF26DA"/>
    <w:rsid w:val="00BF38A4"/>
    <w:rsid w:val="00BF3CCF"/>
    <w:rsid w:val="00BF3E5C"/>
    <w:rsid w:val="00BF4B3F"/>
    <w:rsid w:val="00BF5846"/>
    <w:rsid w:val="00BF593E"/>
    <w:rsid w:val="00BF5B4B"/>
    <w:rsid w:val="00BF5F74"/>
    <w:rsid w:val="00BF6511"/>
    <w:rsid w:val="00BF6616"/>
    <w:rsid w:val="00BF713F"/>
    <w:rsid w:val="00BF74AA"/>
    <w:rsid w:val="00BF7E81"/>
    <w:rsid w:val="00C01D23"/>
    <w:rsid w:val="00C02D1A"/>
    <w:rsid w:val="00C04124"/>
    <w:rsid w:val="00C04CF8"/>
    <w:rsid w:val="00C061D5"/>
    <w:rsid w:val="00C071FC"/>
    <w:rsid w:val="00C0752D"/>
    <w:rsid w:val="00C07842"/>
    <w:rsid w:val="00C10095"/>
    <w:rsid w:val="00C116D7"/>
    <w:rsid w:val="00C11A80"/>
    <w:rsid w:val="00C12F0F"/>
    <w:rsid w:val="00C136D0"/>
    <w:rsid w:val="00C143F8"/>
    <w:rsid w:val="00C154D3"/>
    <w:rsid w:val="00C157B7"/>
    <w:rsid w:val="00C15A7C"/>
    <w:rsid w:val="00C164CD"/>
    <w:rsid w:val="00C17B61"/>
    <w:rsid w:val="00C17F1F"/>
    <w:rsid w:val="00C2209C"/>
    <w:rsid w:val="00C22185"/>
    <w:rsid w:val="00C23179"/>
    <w:rsid w:val="00C23730"/>
    <w:rsid w:val="00C23A70"/>
    <w:rsid w:val="00C23D2F"/>
    <w:rsid w:val="00C2481D"/>
    <w:rsid w:val="00C2544B"/>
    <w:rsid w:val="00C2550D"/>
    <w:rsid w:val="00C26DDC"/>
    <w:rsid w:val="00C27423"/>
    <w:rsid w:val="00C2771B"/>
    <w:rsid w:val="00C27791"/>
    <w:rsid w:val="00C30188"/>
    <w:rsid w:val="00C320FF"/>
    <w:rsid w:val="00C32637"/>
    <w:rsid w:val="00C348E9"/>
    <w:rsid w:val="00C349B0"/>
    <w:rsid w:val="00C34B35"/>
    <w:rsid w:val="00C34F7F"/>
    <w:rsid w:val="00C35220"/>
    <w:rsid w:val="00C35738"/>
    <w:rsid w:val="00C35918"/>
    <w:rsid w:val="00C35B48"/>
    <w:rsid w:val="00C36CDF"/>
    <w:rsid w:val="00C37233"/>
    <w:rsid w:val="00C3783C"/>
    <w:rsid w:val="00C400FC"/>
    <w:rsid w:val="00C407E9"/>
    <w:rsid w:val="00C40F29"/>
    <w:rsid w:val="00C420FD"/>
    <w:rsid w:val="00C42532"/>
    <w:rsid w:val="00C42754"/>
    <w:rsid w:val="00C42F37"/>
    <w:rsid w:val="00C43E24"/>
    <w:rsid w:val="00C443BD"/>
    <w:rsid w:val="00C44BCA"/>
    <w:rsid w:val="00C451C5"/>
    <w:rsid w:val="00C457DD"/>
    <w:rsid w:val="00C46DA5"/>
    <w:rsid w:val="00C47977"/>
    <w:rsid w:val="00C47BC4"/>
    <w:rsid w:val="00C50CD3"/>
    <w:rsid w:val="00C5168E"/>
    <w:rsid w:val="00C51B52"/>
    <w:rsid w:val="00C5240F"/>
    <w:rsid w:val="00C52DEA"/>
    <w:rsid w:val="00C53126"/>
    <w:rsid w:val="00C5456C"/>
    <w:rsid w:val="00C5526B"/>
    <w:rsid w:val="00C557C4"/>
    <w:rsid w:val="00C5648B"/>
    <w:rsid w:val="00C564DF"/>
    <w:rsid w:val="00C56E29"/>
    <w:rsid w:val="00C5712F"/>
    <w:rsid w:val="00C576D4"/>
    <w:rsid w:val="00C604A2"/>
    <w:rsid w:val="00C605A3"/>
    <w:rsid w:val="00C60682"/>
    <w:rsid w:val="00C60BAA"/>
    <w:rsid w:val="00C60D44"/>
    <w:rsid w:val="00C618A2"/>
    <w:rsid w:val="00C61C67"/>
    <w:rsid w:val="00C61D87"/>
    <w:rsid w:val="00C6265D"/>
    <w:rsid w:val="00C62959"/>
    <w:rsid w:val="00C62ACE"/>
    <w:rsid w:val="00C63784"/>
    <w:rsid w:val="00C63E95"/>
    <w:rsid w:val="00C64888"/>
    <w:rsid w:val="00C64D98"/>
    <w:rsid w:val="00C65E69"/>
    <w:rsid w:val="00C66755"/>
    <w:rsid w:val="00C6731C"/>
    <w:rsid w:val="00C7091D"/>
    <w:rsid w:val="00C70ADA"/>
    <w:rsid w:val="00C7165D"/>
    <w:rsid w:val="00C71A66"/>
    <w:rsid w:val="00C733DC"/>
    <w:rsid w:val="00C747F1"/>
    <w:rsid w:val="00C7578D"/>
    <w:rsid w:val="00C76906"/>
    <w:rsid w:val="00C76F5A"/>
    <w:rsid w:val="00C814B2"/>
    <w:rsid w:val="00C81531"/>
    <w:rsid w:val="00C82314"/>
    <w:rsid w:val="00C83057"/>
    <w:rsid w:val="00C83460"/>
    <w:rsid w:val="00C84FC9"/>
    <w:rsid w:val="00C85EB8"/>
    <w:rsid w:val="00C86522"/>
    <w:rsid w:val="00C86752"/>
    <w:rsid w:val="00C87F3A"/>
    <w:rsid w:val="00C903EB"/>
    <w:rsid w:val="00C90E2B"/>
    <w:rsid w:val="00C9161D"/>
    <w:rsid w:val="00C918E1"/>
    <w:rsid w:val="00C92A16"/>
    <w:rsid w:val="00C93351"/>
    <w:rsid w:val="00C9339E"/>
    <w:rsid w:val="00C93A4D"/>
    <w:rsid w:val="00C93D52"/>
    <w:rsid w:val="00C9489A"/>
    <w:rsid w:val="00C9705C"/>
    <w:rsid w:val="00C97A0A"/>
    <w:rsid w:val="00CA08FF"/>
    <w:rsid w:val="00CA0C1D"/>
    <w:rsid w:val="00CA13A0"/>
    <w:rsid w:val="00CA1D0A"/>
    <w:rsid w:val="00CA1F85"/>
    <w:rsid w:val="00CA3602"/>
    <w:rsid w:val="00CA3C83"/>
    <w:rsid w:val="00CA3F9B"/>
    <w:rsid w:val="00CA4021"/>
    <w:rsid w:val="00CA4F9F"/>
    <w:rsid w:val="00CA5693"/>
    <w:rsid w:val="00CA63F3"/>
    <w:rsid w:val="00CA65D9"/>
    <w:rsid w:val="00CA7333"/>
    <w:rsid w:val="00CB0445"/>
    <w:rsid w:val="00CB17B2"/>
    <w:rsid w:val="00CB2ECD"/>
    <w:rsid w:val="00CB38D4"/>
    <w:rsid w:val="00CB3A1E"/>
    <w:rsid w:val="00CB40BE"/>
    <w:rsid w:val="00CB42F8"/>
    <w:rsid w:val="00CB5DE4"/>
    <w:rsid w:val="00CB6DAA"/>
    <w:rsid w:val="00CC0E9D"/>
    <w:rsid w:val="00CC175A"/>
    <w:rsid w:val="00CC4105"/>
    <w:rsid w:val="00CC4A25"/>
    <w:rsid w:val="00CC6B6C"/>
    <w:rsid w:val="00CC735E"/>
    <w:rsid w:val="00CC75CC"/>
    <w:rsid w:val="00CC7921"/>
    <w:rsid w:val="00CC7C03"/>
    <w:rsid w:val="00CC7CD4"/>
    <w:rsid w:val="00CC7D20"/>
    <w:rsid w:val="00CD069E"/>
    <w:rsid w:val="00CD0B71"/>
    <w:rsid w:val="00CD0DDE"/>
    <w:rsid w:val="00CD0F36"/>
    <w:rsid w:val="00CD1CEE"/>
    <w:rsid w:val="00CD27D2"/>
    <w:rsid w:val="00CD27EA"/>
    <w:rsid w:val="00CD2F9D"/>
    <w:rsid w:val="00CD4A1F"/>
    <w:rsid w:val="00CD52FC"/>
    <w:rsid w:val="00CD5C0F"/>
    <w:rsid w:val="00CD6204"/>
    <w:rsid w:val="00CD7493"/>
    <w:rsid w:val="00CD7E7B"/>
    <w:rsid w:val="00CE056A"/>
    <w:rsid w:val="00CE0A04"/>
    <w:rsid w:val="00CE0C3E"/>
    <w:rsid w:val="00CE0E3B"/>
    <w:rsid w:val="00CE1EEB"/>
    <w:rsid w:val="00CE2CC7"/>
    <w:rsid w:val="00CE30DC"/>
    <w:rsid w:val="00CE36B2"/>
    <w:rsid w:val="00CE3BC0"/>
    <w:rsid w:val="00CE4205"/>
    <w:rsid w:val="00CE4AB9"/>
    <w:rsid w:val="00CE5637"/>
    <w:rsid w:val="00CE5BD4"/>
    <w:rsid w:val="00CE6465"/>
    <w:rsid w:val="00CE7141"/>
    <w:rsid w:val="00CE75F3"/>
    <w:rsid w:val="00CF0480"/>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11D"/>
    <w:rsid w:val="00CF77C2"/>
    <w:rsid w:val="00CF7BE5"/>
    <w:rsid w:val="00D0003A"/>
    <w:rsid w:val="00D000E2"/>
    <w:rsid w:val="00D01F12"/>
    <w:rsid w:val="00D0236E"/>
    <w:rsid w:val="00D03EB6"/>
    <w:rsid w:val="00D03F70"/>
    <w:rsid w:val="00D04D40"/>
    <w:rsid w:val="00D06044"/>
    <w:rsid w:val="00D063D5"/>
    <w:rsid w:val="00D06E46"/>
    <w:rsid w:val="00D079B1"/>
    <w:rsid w:val="00D1052F"/>
    <w:rsid w:val="00D1096F"/>
    <w:rsid w:val="00D109C9"/>
    <w:rsid w:val="00D10A17"/>
    <w:rsid w:val="00D1151B"/>
    <w:rsid w:val="00D11C25"/>
    <w:rsid w:val="00D12044"/>
    <w:rsid w:val="00D129CD"/>
    <w:rsid w:val="00D12BF8"/>
    <w:rsid w:val="00D133A9"/>
    <w:rsid w:val="00D13886"/>
    <w:rsid w:val="00D138A9"/>
    <w:rsid w:val="00D146FE"/>
    <w:rsid w:val="00D149FB"/>
    <w:rsid w:val="00D16B77"/>
    <w:rsid w:val="00D170D9"/>
    <w:rsid w:val="00D17AD4"/>
    <w:rsid w:val="00D2035A"/>
    <w:rsid w:val="00D20C6E"/>
    <w:rsid w:val="00D21314"/>
    <w:rsid w:val="00D21328"/>
    <w:rsid w:val="00D219A2"/>
    <w:rsid w:val="00D21B5E"/>
    <w:rsid w:val="00D21E51"/>
    <w:rsid w:val="00D24C4F"/>
    <w:rsid w:val="00D24E1F"/>
    <w:rsid w:val="00D2526B"/>
    <w:rsid w:val="00D252CE"/>
    <w:rsid w:val="00D254B3"/>
    <w:rsid w:val="00D25AA5"/>
    <w:rsid w:val="00D25B5A"/>
    <w:rsid w:val="00D2603D"/>
    <w:rsid w:val="00D26294"/>
    <w:rsid w:val="00D27320"/>
    <w:rsid w:val="00D27409"/>
    <w:rsid w:val="00D279E1"/>
    <w:rsid w:val="00D30787"/>
    <w:rsid w:val="00D316BF"/>
    <w:rsid w:val="00D31946"/>
    <w:rsid w:val="00D31D61"/>
    <w:rsid w:val="00D33EFC"/>
    <w:rsid w:val="00D35BCE"/>
    <w:rsid w:val="00D361C1"/>
    <w:rsid w:val="00D36C49"/>
    <w:rsid w:val="00D36E32"/>
    <w:rsid w:val="00D400D8"/>
    <w:rsid w:val="00D408DD"/>
    <w:rsid w:val="00D40D3B"/>
    <w:rsid w:val="00D40DBC"/>
    <w:rsid w:val="00D430F7"/>
    <w:rsid w:val="00D436B9"/>
    <w:rsid w:val="00D443DB"/>
    <w:rsid w:val="00D45614"/>
    <w:rsid w:val="00D45B07"/>
    <w:rsid w:val="00D45B88"/>
    <w:rsid w:val="00D4625A"/>
    <w:rsid w:val="00D470E2"/>
    <w:rsid w:val="00D4754F"/>
    <w:rsid w:val="00D47D5C"/>
    <w:rsid w:val="00D50C55"/>
    <w:rsid w:val="00D50D51"/>
    <w:rsid w:val="00D50FD1"/>
    <w:rsid w:val="00D52500"/>
    <w:rsid w:val="00D53229"/>
    <w:rsid w:val="00D53953"/>
    <w:rsid w:val="00D55457"/>
    <w:rsid w:val="00D55853"/>
    <w:rsid w:val="00D572E5"/>
    <w:rsid w:val="00D5782E"/>
    <w:rsid w:val="00D604C8"/>
    <w:rsid w:val="00D60A86"/>
    <w:rsid w:val="00D61270"/>
    <w:rsid w:val="00D61C85"/>
    <w:rsid w:val="00D62C86"/>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86C"/>
    <w:rsid w:val="00D71A03"/>
    <w:rsid w:val="00D71CF5"/>
    <w:rsid w:val="00D72060"/>
    <w:rsid w:val="00D72412"/>
    <w:rsid w:val="00D72AA7"/>
    <w:rsid w:val="00D7359C"/>
    <w:rsid w:val="00D742CD"/>
    <w:rsid w:val="00D74402"/>
    <w:rsid w:val="00D75228"/>
    <w:rsid w:val="00D75CA6"/>
    <w:rsid w:val="00D7655F"/>
    <w:rsid w:val="00D76A18"/>
    <w:rsid w:val="00D76E22"/>
    <w:rsid w:val="00D77F83"/>
    <w:rsid w:val="00D806FE"/>
    <w:rsid w:val="00D80849"/>
    <w:rsid w:val="00D809B7"/>
    <w:rsid w:val="00D81CBB"/>
    <w:rsid w:val="00D82334"/>
    <w:rsid w:val="00D82676"/>
    <w:rsid w:val="00D829F3"/>
    <w:rsid w:val="00D82E8F"/>
    <w:rsid w:val="00D83BAF"/>
    <w:rsid w:val="00D84171"/>
    <w:rsid w:val="00D84338"/>
    <w:rsid w:val="00D85018"/>
    <w:rsid w:val="00D85745"/>
    <w:rsid w:val="00D85AE4"/>
    <w:rsid w:val="00D85BB7"/>
    <w:rsid w:val="00D85D83"/>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C03"/>
    <w:rsid w:val="00DA1C69"/>
    <w:rsid w:val="00DA26AB"/>
    <w:rsid w:val="00DA4728"/>
    <w:rsid w:val="00DA4C51"/>
    <w:rsid w:val="00DA5420"/>
    <w:rsid w:val="00DA77F7"/>
    <w:rsid w:val="00DA7C07"/>
    <w:rsid w:val="00DA7F1A"/>
    <w:rsid w:val="00DB0121"/>
    <w:rsid w:val="00DB01EC"/>
    <w:rsid w:val="00DB0A2C"/>
    <w:rsid w:val="00DB0B31"/>
    <w:rsid w:val="00DB13F1"/>
    <w:rsid w:val="00DB164A"/>
    <w:rsid w:val="00DB28FD"/>
    <w:rsid w:val="00DB2FD6"/>
    <w:rsid w:val="00DB475E"/>
    <w:rsid w:val="00DB4F5B"/>
    <w:rsid w:val="00DB52A0"/>
    <w:rsid w:val="00DB57A4"/>
    <w:rsid w:val="00DB5A58"/>
    <w:rsid w:val="00DB5C36"/>
    <w:rsid w:val="00DB5E0F"/>
    <w:rsid w:val="00DB6D95"/>
    <w:rsid w:val="00DB7459"/>
    <w:rsid w:val="00DB789A"/>
    <w:rsid w:val="00DC0531"/>
    <w:rsid w:val="00DC156D"/>
    <w:rsid w:val="00DC2644"/>
    <w:rsid w:val="00DC34E7"/>
    <w:rsid w:val="00DC38AA"/>
    <w:rsid w:val="00DC6A1D"/>
    <w:rsid w:val="00DC6DF1"/>
    <w:rsid w:val="00DC7A32"/>
    <w:rsid w:val="00DD0CE6"/>
    <w:rsid w:val="00DD118C"/>
    <w:rsid w:val="00DD2C86"/>
    <w:rsid w:val="00DD32BE"/>
    <w:rsid w:val="00DD6669"/>
    <w:rsid w:val="00DD7000"/>
    <w:rsid w:val="00DD7204"/>
    <w:rsid w:val="00DD7968"/>
    <w:rsid w:val="00DE093F"/>
    <w:rsid w:val="00DE1245"/>
    <w:rsid w:val="00DE126B"/>
    <w:rsid w:val="00DE157C"/>
    <w:rsid w:val="00DE2DF0"/>
    <w:rsid w:val="00DE3367"/>
    <w:rsid w:val="00DE35FD"/>
    <w:rsid w:val="00DE3695"/>
    <w:rsid w:val="00DE48F3"/>
    <w:rsid w:val="00DE4A8E"/>
    <w:rsid w:val="00DE5745"/>
    <w:rsid w:val="00DE5C38"/>
    <w:rsid w:val="00DE7623"/>
    <w:rsid w:val="00DE765C"/>
    <w:rsid w:val="00DE7BF8"/>
    <w:rsid w:val="00DF0243"/>
    <w:rsid w:val="00DF029D"/>
    <w:rsid w:val="00DF0F03"/>
    <w:rsid w:val="00DF2F14"/>
    <w:rsid w:val="00DF322E"/>
    <w:rsid w:val="00DF4139"/>
    <w:rsid w:val="00DF46E9"/>
    <w:rsid w:val="00DF5E08"/>
    <w:rsid w:val="00DF6047"/>
    <w:rsid w:val="00DF628D"/>
    <w:rsid w:val="00DF6D1A"/>
    <w:rsid w:val="00DF775D"/>
    <w:rsid w:val="00E0180D"/>
    <w:rsid w:val="00E0197B"/>
    <w:rsid w:val="00E0269C"/>
    <w:rsid w:val="00E02872"/>
    <w:rsid w:val="00E034D7"/>
    <w:rsid w:val="00E03EAD"/>
    <w:rsid w:val="00E04E67"/>
    <w:rsid w:val="00E05062"/>
    <w:rsid w:val="00E050A0"/>
    <w:rsid w:val="00E05245"/>
    <w:rsid w:val="00E065BF"/>
    <w:rsid w:val="00E0714D"/>
    <w:rsid w:val="00E07E70"/>
    <w:rsid w:val="00E07F74"/>
    <w:rsid w:val="00E101A5"/>
    <w:rsid w:val="00E1055A"/>
    <w:rsid w:val="00E106A9"/>
    <w:rsid w:val="00E10DC3"/>
    <w:rsid w:val="00E10F44"/>
    <w:rsid w:val="00E10FBB"/>
    <w:rsid w:val="00E1143F"/>
    <w:rsid w:val="00E1266C"/>
    <w:rsid w:val="00E12C4A"/>
    <w:rsid w:val="00E1313A"/>
    <w:rsid w:val="00E13A04"/>
    <w:rsid w:val="00E141B6"/>
    <w:rsid w:val="00E150C2"/>
    <w:rsid w:val="00E155B1"/>
    <w:rsid w:val="00E169A3"/>
    <w:rsid w:val="00E170EA"/>
    <w:rsid w:val="00E17E8B"/>
    <w:rsid w:val="00E20252"/>
    <w:rsid w:val="00E207A9"/>
    <w:rsid w:val="00E2238F"/>
    <w:rsid w:val="00E23316"/>
    <w:rsid w:val="00E23635"/>
    <w:rsid w:val="00E23839"/>
    <w:rsid w:val="00E2461A"/>
    <w:rsid w:val="00E25417"/>
    <w:rsid w:val="00E259E5"/>
    <w:rsid w:val="00E25F26"/>
    <w:rsid w:val="00E25FFC"/>
    <w:rsid w:val="00E262C1"/>
    <w:rsid w:val="00E27092"/>
    <w:rsid w:val="00E27101"/>
    <w:rsid w:val="00E30052"/>
    <w:rsid w:val="00E303AB"/>
    <w:rsid w:val="00E304F6"/>
    <w:rsid w:val="00E31B09"/>
    <w:rsid w:val="00E321D1"/>
    <w:rsid w:val="00E32857"/>
    <w:rsid w:val="00E32906"/>
    <w:rsid w:val="00E33553"/>
    <w:rsid w:val="00E3374F"/>
    <w:rsid w:val="00E33EC7"/>
    <w:rsid w:val="00E34F74"/>
    <w:rsid w:val="00E359B7"/>
    <w:rsid w:val="00E36AC7"/>
    <w:rsid w:val="00E37350"/>
    <w:rsid w:val="00E400CA"/>
    <w:rsid w:val="00E4092A"/>
    <w:rsid w:val="00E416FA"/>
    <w:rsid w:val="00E4228B"/>
    <w:rsid w:val="00E42694"/>
    <w:rsid w:val="00E42923"/>
    <w:rsid w:val="00E43879"/>
    <w:rsid w:val="00E4417C"/>
    <w:rsid w:val="00E44801"/>
    <w:rsid w:val="00E44F16"/>
    <w:rsid w:val="00E46426"/>
    <w:rsid w:val="00E46C19"/>
    <w:rsid w:val="00E477C6"/>
    <w:rsid w:val="00E47FDD"/>
    <w:rsid w:val="00E50280"/>
    <w:rsid w:val="00E509BF"/>
    <w:rsid w:val="00E51FC3"/>
    <w:rsid w:val="00E522D1"/>
    <w:rsid w:val="00E52997"/>
    <w:rsid w:val="00E52D9B"/>
    <w:rsid w:val="00E52FC1"/>
    <w:rsid w:val="00E5314B"/>
    <w:rsid w:val="00E54680"/>
    <w:rsid w:val="00E54A26"/>
    <w:rsid w:val="00E54D11"/>
    <w:rsid w:val="00E55858"/>
    <w:rsid w:val="00E55AB5"/>
    <w:rsid w:val="00E60807"/>
    <w:rsid w:val="00E61008"/>
    <w:rsid w:val="00E61B9A"/>
    <w:rsid w:val="00E62376"/>
    <w:rsid w:val="00E62A74"/>
    <w:rsid w:val="00E6323C"/>
    <w:rsid w:val="00E63A29"/>
    <w:rsid w:val="00E64291"/>
    <w:rsid w:val="00E66235"/>
    <w:rsid w:val="00E6690F"/>
    <w:rsid w:val="00E675AF"/>
    <w:rsid w:val="00E67D0E"/>
    <w:rsid w:val="00E710D4"/>
    <w:rsid w:val="00E710EC"/>
    <w:rsid w:val="00E711CC"/>
    <w:rsid w:val="00E71998"/>
    <w:rsid w:val="00E72147"/>
    <w:rsid w:val="00E72784"/>
    <w:rsid w:val="00E734CE"/>
    <w:rsid w:val="00E73B64"/>
    <w:rsid w:val="00E74833"/>
    <w:rsid w:val="00E77F56"/>
    <w:rsid w:val="00E80A85"/>
    <w:rsid w:val="00E83C24"/>
    <w:rsid w:val="00E853CC"/>
    <w:rsid w:val="00E85687"/>
    <w:rsid w:val="00E87C64"/>
    <w:rsid w:val="00E91533"/>
    <w:rsid w:val="00E91F41"/>
    <w:rsid w:val="00E91FDE"/>
    <w:rsid w:val="00E927C1"/>
    <w:rsid w:val="00E9318D"/>
    <w:rsid w:val="00E93399"/>
    <w:rsid w:val="00E93F3E"/>
    <w:rsid w:val="00E94F9F"/>
    <w:rsid w:val="00E95041"/>
    <w:rsid w:val="00E953F7"/>
    <w:rsid w:val="00E9629B"/>
    <w:rsid w:val="00E967BE"/>
    <w:rsid w:val="00E97DC5"/>
    <w:rsid w:val="00EA1570"/>
    <w:rsid w:val="00EA1F0D"/>
    <w:rsid w:val="00EA2A91"/>
    <w:rsid w:val="00EA3961"/>
    <w:rsid w:val="00EA490A"/>
    <w:rsid w:val="00EA4953"/>
    <w:rsid w:val="00EA4DD3"/>
    <w:rsid w:val="00EA4F44"/>
    <w:rsid w:val="00EA52B9"/>
    <w:rsid w:val="00EA5983"/>
    <w:rsid w:val="00EA6812"/>
    <w:rsid w:val="00EA6AB0"/>
    <w:rsid w:val="00EA6B7B"/>
    <w:rsid w:val="00EB0E73"/>
    <w:rsid w:val="00EB0F44"/>
    <w:rsid w:val="00EB27D5"/>
    <w:rsid w:val="00EB2A01"/>
    <w:rsid w:val="00EB38BE"/>
    <w:rsid w:val="00EB3CAD"/>
    <w:rsid w:val="00EB4221"/>
    <w:rsid w:val="00EB43AC"/>
    <w:rsid w:val="00EB58D9"/>
    <w:rsid w:val="00EB59AA"/>
    <w:rsid w:val="00EB6313"/>
    <w:rsid w:val="00EB69FA"/>
    <w:rsid w:val="00EB6AA3"/>
    <w:rsid w:val="00EB74F7"/>
    <w:rsid w:val="00EB79A2"/>
    <w:rsid w:val="00EC054B"/>
    <w:rsid w:val="00EC2045"/>
    <w:rsid w:val="00EC2BB0"/>
    <w:rsid w:val="00EC3690"/>
    <w:rsid w:val="00EC4F5C"/>
    <w:rsid w:val="00EC586C"/>
    <w:rsid w:val="00EC699A"/>
    <w:rsid w:val="00EC6ADB"/>
    <w:rsid w:val="00ED01CC"/>
    <w:rsid w:val="00ED05A2"/>
    <w:rsid w:val="00ED1C8B"/>
    <w:rsid w:val="00ED1D14"/>
    <w:rsid w:val="00ED296C"/>
    <w:rsid w:val="00ED2AC6"/>
    <w:rsid w:val="00ED32DF"/>
    <w:rsid w:val="00ED394D"/>
    <w:rsid w:val="00ED45DD"/>
    <w:rsid w:val="00ED528C"/>
    <w:rsid w:val="00ED6F2A"/>
    <w:rsid w:val="00ED71B9"/>
    <w:rsid w:val="00ED795E"/>
    <w:rsid w:val="00ED7D03"/>
    <w:rsid w:val="00EE0087"/>
    <w:rsid w:val="00EE082A"/>
    <w:rsid w:val="00EE08FF"/>
    <w:rsid w:val="00EE0B72"/>
    <w:rsid w:val="00EE0E17"/>
    <w:rsid w:val="00EE16C7"/>
    <w:rsid w:val="00EE1E17"/>
    <w:rsid w:val="00EE21A8"/>
    <w:rsid w:val="00EE2207"/>
    <w:rsid w:val="00EE2585"/>
    <w:rsid w:val="00EE278C"/>
    <w:rsid w:val="00EE2F7D"/>
    <w:rsid w:val="00EE3B81"/>
    <w:rsid w:val="00EE3F9E"/>
    <w:rsid w:val="00EE5CD2"/>
    <w:rsid w:val="00EE5D0C"/>
    <w:rsid w:val="00EE69E8"/>
    <w:rsid w:val="00EEA1D5"/>
    <w:rsid w:val="00EF01F3"/>
    <w:rsid w:val="00EF12DC"/>
    <w:rsid w:val="00EF1969"/>
    <w:rsid w:val="00EF21E8"/>
    <w:rsid w:val="00EF3000"/>
    <w:rsid w:val="00EF3187"/>
    <w:rsid w:val="00EF3A8A"/>
    <w:rsid w:val="00EF544C"/>
    <w:rsid w:val="00EF59C5"/>
    <w:rsid w:val="00EF5A1A"/>
    <w:rsid w:val="00EF5ED2"/>
    <w:rsid w:val="00EF5FCD"/>
    <w:rsid w:val="00EF6512"/>
    <w:rsid w:val="00EF74A7"/>
    <w:rsid w:val="00EF78C1"/>
    <w:rsid w:val="00F0034F"/>
    <w:rsid w:val="00F01D42"/>
    <w:rsid w:val="00F026BD"/>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3046"/>
    <w:rsid w:val="00F13925"/>
    <w:rsid w:val="00F13B74"/>
    <w:rsid w:val="00F13DED"/>
    <w:rsid w:val="00F14594"/>
    <w:rsid w:val="00F145EB"/>
    <w:rsid w:val="00F15DD1"/>
    <w:rsid w:val="00F161A8"/>
    <w:rsid w:val="00F16A8F"/>
    <w:rsid w:val="00F16CDC"/>
    <w:rsid w:val="00F16D98"/>
    <w:rsid w:val="00F208DB"/>
    <w:rsid w:val="00F20C0B"/>
    <w:rsid w:val="00F21249"/>
    <w:rsid w:val="00F21D30"/>
    <w:rsid w:val="00F225DC"/>
    <w:rsid w:val="00F22902"/>
    <w:rsid w:val="00F23305"/>
    <w:rsid w:val="00F24494"/>
    <w:rsid w:val="00F25136"/>
    <w:rsid w:val="00F25597"/>
    <w:rsid w:val="00F268FE"/>
    <w:rsid w:val="00F26D24"/>
    <w:rsid w:val="00F275A1"/>
    <w:rsid w:val="00F30520"/>
    <w:rsid w:val="00F308BF"/>
    <w:rsid w:val="00F318D6"/>
    <w:rsid w:val="00F31D80"/>
    <w:rsid w:val="00F32452"/>
    <w:rsid w:val="00F3247D"/>
    <w:rsid w:val="00F326FF"/>
    <w:rsid w:val="00F3407A"/>
    <w:rsid w:val="00F34414"/>
    <w:rsid w:val="00F34F64"/>
    <w:rsid w:val="00F3569D"/>
    <w:rsid w:val="00F35D87"/>
    <w:rsid w:val="00F36093"/>
    <w:rsid w:val="00F3797B"/>
    <w:rsid w:val="00F37D7B"/>
    <w:rsid w:val="00F404EA"/>
    <w:rsid w:val="00F4169F"/>
    <w:rsid w:val="00F41AD2"/>
    <w:rsid w:val="00F42E01"/>
    <w:rsid w:val="00F4361A"/>
    <w:rsid w:val="00F444B0"/>
    <w:rsid w:val="00F45191"/>
    <w:rsid w:val="00F451E5"/>
    <w:rsid w:val="00F45274"/>
    <w:rsid w:val="00F458B4"/>
    <w:rsid w:val="00F468EE"/>
    <w:rsid w:val="00F46EB9"/>
    <w:rsid w:val="00F47111"/>
    <w:rsid w:val="00F47407"/>
    <w:rsid w:val="00F47921"/>
    <w:rsid w:val="00F47E89"/>
    <w:rsid w:val="00F505F9"/>
    <w:rsid w:val="00F5204B"/>
    <w:rsid w:val="00F520A4"/>
    <w:rsid w:val="00F53193"/>
    <w:rsid w:val="00F5357E"/>
    <w:rsid w:val="00F537F4"/>
    <w:rsid w:val="00F53889"/>
    <w:rsid w:val="00F55A56"/>
    <w:rsid w:val="00F5639D"/>
    <w:rsid w:val="00F574F8"/>
    <w:rsid w:val="00F57B1D"/>
    <w:rsid w:val="00F57B25"/>
    <w:rsid w:val="00F57C62"/>
    <w:rsid w:val="00F60537"/>
    <w:rsid w:val="00F608B1"/>
    <w:rsid w:val="00F60B15"/>
    <w:rsid w:val="00F614B9"/>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29F8"/>
    <w:rsid w:val="00F73FDD"/>
    <w:rsid w:val="00F74368"/>
    <w:rsid w:val="00F756A1"/>
    <w:rsid w:val="00F75860"/>
    <w:rsid w:val="00F76319"/>
    <w:rsid w:val="00F76E7E"/>
    <w:rsid w:val="00F778A2"/>
    <w:rsid w:val="00F809A1"/>
    <w:rsid w:val="00F80DFB"/>
    <w:rsid w:val="00F80F5A"/>
    <w:rsid w:val="00F8219E"/>
    <w:rsid w:val="00F8254B"/>
    <w:rsid w:val="00F83CDE"/>
    <w:rsid w:val="00F8430B"/>
    <w:rsid w:val="00F860EE"/>
    <w:rsid w:val="00F86412"/>
    <w:rsid w:val="00F86FB6"/>
    <w:rsid w:val="00F9006D"/>
    <w:rsid w:val="00F9008A"/>
    <w:rsid w:val="00F9038B"/>
    <w:rsid w:val="00F9044B"/>
    <w:rsid w:val="00F9074A"/>
    <w:rsid w:val="00F90FB6"/>
    <w:rsid w:val="00F9131F"/>
    <w:rsid w:val="00F91787"/>
    <w:rsid w:val="00F91F7A"/>
    <w:rsid w:val="00F92408"/>
    <w:rsid w:val="00F92B78"/>
    <w:rsid w:val="00F93B8A"/>
    <w:rsid w:val="00F93BE8"/>
    <w:rsid w:val="00F93D28"/>
    <w:rsid w:val="00F93E2C"/>
    <w:rsid w:val="00F94274"/>
    <w:rsid w:val="00F94774"/>
    <w:rsid w:val="00F958E2"/>
    <w:rsid w:val="00F95AF5"/>
    <w:rsid w:val="00F95F86"/>
    <w:rsid w:val="00F963C8"/>
    <w:rsid w:val="00F96B14"/>
    <w:rsid w:val="00F96DD3"/>
    <w:rsid w:val="00F97034"/>
    <w:rsid w:val="00F97ABA"/>
    <w:rsid w:val="00F97EEB"/>
    <w:rsid w:val="00FA0020"/>
    <w:rsid w:val="00FA1068"/>
    <w:rsid w:val="00FA10B7"/>
    <w:rsid w:val="00FA1D56"/>
    <w:rsid w:val="00FA23E8"/>
    <w:rsid w:val="00FA2D62"/>
    <w:rsid w:val="00FA3256"/>
    <w:rsid w:val="00FA3B9D"/>
    <w:rsid w:val="00FA3E8E"/>
    <w:rsid w:val="00FA4114"/>
    <w:rsid w:val="00FA5A10"/>
    <w:rsid w:val="00FA663B"/>
    <w:rsid w:val="00FA673F"/>
    <w:rsid w:val="00FA69C7"/>
    <w:rsid w:val="00FA6C8F"/>
    <w:rsid w:val="00FA76B0"/>
    <w:rsid w:val="00FB0150"/>
    <w:rsid w:val="00FB022C"/>
    <w:rsid w:val="00FB05C6"/>
    <w:rsid w:val="00FB0BB3"/>
    <w:rsid w:val="00FB29A5"/>
    <w:rsid w:val="00FB29E6"/>
    <w:rsid w:val="00FB3F8E"/>
    <w:rsid w:val="00FB471E"/>
    <w:rsid w:val="00FB6C26"/>
    <w:rsid w:val="00FB78B3"/>
    <w:rsid w:val="00FB7ECB"/>
    <w:rsid w:val="00FC0FED"/>
    <w:rsid w:val="00FC14D9"/>
    <w:rsid w:val="00FC1769"/>
    <w:rsid w:val="00FC2858"/>
    <w:rsid w:val="00FC3938"/>
    <w:rsid w:val="00FC3E26"/>
    <w:rsid w:val="00FC52C9"/>
    <w:rsid w:val="00FC53DB"/>
    <w:rsid w:val="00FC5730"/>
    <w:rsid w:val="00FC5AAD"/>
    <w:rsid w:val="00FC608C"/>
    <w:rsid w:val="00FC63AF"/>
    <w:rsid w:val="00FC6492"/>
    <w:rsid w:val="00FC7D93"/>
    <w:rsid w:val="00FC7FCF"/>
    <w:rsid w:val="00FD00ED"/>
    <w:rsid w:val="00FD028B"/>
    <w:rsid w:val="00FD0662"/>
    <w:rsid w:val="00FD078B"/>
    <w:rsid w:val="00FD1A5E"/>
    <w:rsid w:val="00FD245C"/>
    <w:rsid w:val="00FD2C67"/>
    <w:rsid w:val="00FD346C"/>
    <w:rsid w:val="00FD38F2"/>
    <w:rsid w:val="00FD3C54"/>
    <w:rsid w:val="00FD43C7"/>
    <w:rsid w:val="00FD488B"/>
    <w:rsid w:val="00FD4DC1"/>
    <w:rsid w:val="00FD52B7"/>
    <w:rsid w:val="00FD5A95"/>
    <w:rsid w:val="00FD713F"/>
    <w:rsid w:val="00FD781D"/>
    <w:rsid w:val="00FD7961"/>
    <w:rsid w:val="00FE0083"/>
    <w:rsid w:val="00FE0235"/>
    <w:rsid w:val="00FE03D6"/>
    <w:rsid w:val="00FE0DA5"/>
    <w:rsid w:val="00FE4ADC"/>
    <w:rsid w:val="00FE6A0A"/>
    <w:rsid w:val="00FE6C7C"/>
    <w:rsid w:val="00FE73CE"/>
    <w:rsid w:val="00FF0278"/>
    <w:rsid w:val="00FF102E"/>
    <w:rsid w:val="00FF117A"/>
    <w:rsid w:val="00FF1A38"/>
    <w:rsid w:val="00FF36A2"/>
    <w:rsid w:val="00FF36AC"/>
    <w:rsid w:val="00FF3D6F"/>
    <w:rsid w:val="00FF3D7F"/>
    <w:rsid w:val="00FF5054"/>
    <w:rsid w:val="00FF5571"/>
    <w:rsid w:val="00FF6156"/>
    <w:rsid w:val="00FF6471"/>
    <w:rsid w:val="00FF69A3"/>
    <w:rsid w:val="00FF751E"/>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8CFFE403-8175-43FA-8BCA-3F21C4BF9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8D797A"/>
    <w:pPr>
      <w:numPr>
        <w:numId w:val="69"/>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meetings/COP-15" TargetMode="External"/><Relationship Id="rId34" Type="http://schemas.openxmlformats.org/officeDocument/2006/relationships/hyperlink" Target="https://www.cbd.int/recommendations/sb8j/?m=sb8j-01" TargetMode="External"/><Relationship Id="rId42" Type="http://schemas.openxmlformats.org/officeDocument/2006/relationships/hyperlink" Target="https://www.cbd.int/decisions/cop/?m=cop-16" TargetMode="External"/><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hyperlink" Target="https://www.cbd.int/documents/CBD/SBSTTA/28/INF/4"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SBSTTA/26/2" TargetMode="Externa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STTA/28/INF/4" TargetMode="External"/><Relationship Id="rId44" Type="http://schemas.openxmlformats.org/officeDocument/2006/relationships/hyperlink" Target="https://www.cbd.int/documents/CBD/SBSTTA/26/2" TargetMode="External"/><Relationship Id="rId52"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recommendations/sb8j/?m=sb8j-01" TargetMode="External"/><Relationship Id="rId43" Type="http://schemas.openxmlformats.org/officeDocument/2006/relationships/hyperlink" Target="https://www.cbd.int/decisions/cop/?m=cop-16"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8/REV1" TargetMode="External"/><Relationship Id="rId38" Type="http://schemas.openxmlformats.org/officeDocument/2006/relationships/hyperlink" Target="https://www.cbd.int/documents/CBD/SBSTTA/28/INF/4" TargetMode="External"/><Relationship Id="rId46" Type="http://schemas.openxmlformats.org/officeDocument/2006/relationships/header" Target="header1.xml"/><Relationship Id="rId20" Type="http://schemas.openxmlformats.org/officeDocument/2006/relationships/hyperlink" Target="https://www.cbd.int/meetings/COP-15"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13"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1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0A3AED8D-1578-482D-8A51-B4D22B974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1</TotalTime>
  <Pages>19</Pages>
  <Words>9516</Words>
  <Characters>54242</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vt:lpstr>
    </vt:vector>
  </TitlesOfParts>
  <Company>SCBD</Company>
  <LinksUpToDate>false</LinksUpToDate>
  <CharactersWithSpaces>63631</CharactersWithSpaces>
  <SharedDoc>false</SharedDoc>
  <HLinks>
    <vt:vector size="264" baseType="variant">
      <vt:variant>
        <vt:i4>4587591</vt:i4>
      </vt:variant>
      <vt:variant>
        <vt:i4>90</vt:i4>
      </vt:variant>
      <vt:variant>
        <vt:i4>0</vt:i4>
      </vt:variant>
      <vt:variant>
        <vt:i4>5</vt:i4>
      </vt:variant>
      <vt:variant>
        <vt:lpwstr>https://www.cbd.int/documents/CBD/SBSTTA/26/2</vt:lpwstr>
      </vt:variant>
      <vt:variant>
        <vt:lpwstr/>
      </vt:variant>
      <vt:variant>
        <vt:i4>4587591</vt:i4>
      </vt:variant>
      <vt:variant>
        <vt:i4>87</vt:i4>
      </vt:variant>
      <vt:variant>
        <vt:i4>0</vt:i4>
      </vt:variant>
      <vt:variant>
        <vt:i4>5</vt:i4>
      </vt:variant>
      <vt:variant>
        <vt:lpwstr>https://www.cbd.int/documents/CBD/SBSTTA/26/2</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7209057</vt:i4>
      </vt:variant>
      <vt:variant>
        <vt:i4>72</vt:i4>
      </vt:variant>
      <vt:variant>
        <vt:i4>0</vt:i4>
      </vt:variant>
      <vt:variant>
        <vt:i4>5</vt:i4>
      </vt:variant>
      <vt:variant>
        <vt:lpwstr>https://www.cbd.int/decisions/cop/?m=cop-15</vt:lpwstr>
      </vt:variant>
      <vt:variant>
        <vt:lpwstr/>
      </vt:variant>
      <vt:variant>
        <vt:i4>458822</vt:i4>
      </vt:variant>
      <vt:variant>
        <vt:i4>69</vt:i4>
      </vt:variant>
      <vt:variant>
        <vt:i4>0</vt:i4>
      </vt:variant>
      <vt:variant>
        <vt:i4>5</vt:i4>
      </vt:variant>
      <vt:variant>
        <vt:lpwstr>https://www.cbd.int/documents/CBD/SBSTTA/28/INF/4</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3604512</vt:i4>
      </vt:variant>
      <vt:variant>
        <vt:i4>60</vt:i4>
      </vt:variant>
      <vt:variant>
        <vt:i4>0</vt:i4>
      </vt:variant>
      <vt:variant>
        <vt:i4>5</vt:i4>
      </vt:variant>
      <vt:variant>
        <vt:lpwstr>https://www.cbd.int/recommendations/sb8j/?m=sb8j-01</vt:lpwstr>
      </vt:variant>
      <vt:variant>
        <vt:lpwstr/>
      </vt:variant>
      <vt:variant>
        <vt:i4>3604512</vt:i4>
      </vt:variant>
      <vt:variant>
        <vt:i4>57</vt:i4>
      </vt:variant>
      <vt:variant>
        <vt:i4>0</vt:i4>
      </vt:variant>
      <vt:variant>
        <vt:i4>5</vt:i4>
      </vt:variant>
      <vt:variant>
        <vt:lpwstr>https://www.cbd.int/recommendations/sb8j/?m=sb8j-01</vt:lpwstr>
      </vt:variant>
      <vt:variant>
        <vt:lpwstr/>
      </vt:variant>
      <vt:variant>
        <vt:i4>8126586</vt:i4>
      </vt:variant>
      <vt:variant>
        <vt:i4>54</vt:i4>
      </vt:variant>
      <vt:variant>
        <vt:i4>0</vt:i4>
      </vt:variant>
      <vt:variant>
        <vt:i4>5</vt:i4>
      </vt:variant>
      <vt:variant>
        <vt:lpwstr>https://www.cbd.int/documents/CBD/SBSTTA/28/INF/8/REV1</vt:lpwstr>
      </vt:variant>
      <vt:variant>
        <vt:lpwstr/>
      </vt:variant>
      <vt:variant>
        <vt:i4>458822</vt:i4>
      </vt:variant>
      <vt:variant>
        <vt:i4>51</vt:i4>
      </vt:variant>
      <vt:variant>
        <vt:i4>0</vt:i4>
      </vt:variant>
      <vt:variant>
        <vt:i4>5</vt:i4>
      </vt:variant>
      <vt:variant>
        <vt:lpwstr>https://www.cbd.int/documents/CBD/SBSTTA/28/INF/4</vt:lpwstr>
      </vt:variant>
      <vt:variant>
        <vt:lpwstr/>
      </vt:variant>
      <vt:variant>
        <vt:i4>458822</vt:i4>
      </vt:variant>
      <vt:variant>
        <vt:i4>48</vt:i4>
      </vt:variant>
      <vt:variant>
        <vt:i4>0</vt:i4>
      </vt:variant>
      <vt:variant>
        <vt:i4>5</vt:i4>
      </vt:variant>
      <vt:variant>
        <vt:lpwstr>https://www.cbd.int/documents/CBD/SBSTTA/28/INF/4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7864430</vt:i4>
      </vt:variant>
      <vt:variant>
        <vt:i4>42</vt:i4>
      </vt:variant>
      <vt:variant>
        <vt:i4>0</vt:i4>
      </vt:variant>
      <vt:variant>
        <vt:i4>5</vt:i4>
      </vt:variant>
      <vt:variant>
        <vt:lpwstr>https://www.cbd.int/decisions/cop?m=cop-16</vt:lpwstr>
      </vt:variant>
      <vt:variant>
        <vt:lpwstr/>
      </vt:variant>
      <vt:variant>
        <vt:i4>7864430</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6422572</vt:i4>
      </vt:variant>
      <vt:variant>
        <vt:i4>33</vt:i4>
      </vt:variant>
      <vt:variant>
        <vt:i4>0</vt:i4>
      </vt:variant>
      <vt:variant>
        <vt:i4>5</vt:i4>
      </vt:variant>
      <vt:variant>
        <vt:lpwstr>https://www.cbd.int/documents/CBD/COP/16/INF/3/REV1</vt:lpwstr>
      </vt:variant>
      <vt:variant>
        <vt:lpwstr/>
      </vt:variant>
      <vt:variant>
        <vt:i4>3539063</vt:i4>
      </vt:variant>
      <vt:variant>
        <vt:i4>30</vt:i4>
      </vt:variant>
      <vt:variant>
        <vt:i4>0</vt:i4>
      </vt:variant>
      <vt:variant>
        <vt:i4>5</vt:i4>
      </vt:variant>
      <vt:variant>
        <vt:lpwstr>https://www.cbd.int/documents/CBD/SBSTTA/28/INF/11</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458822</vt:i4>
      </vt:variant>
      <vt:variant>
        <vt:i4>24</vt:i4>
      </vt:variant>
      <vt:variant>
        <vt:i4>0</vt:i4>
      </vt:variant>
      <vt:variant>
        <vt:i4>5</vt:i4>
      </vt:variant>
      <vt:variant>
        <vt:lpwstr>https://www.cbd.int/documents/CBD/SBSTTA/28/INF/4</vt:lpwstr>
      </vt:variant>
      <vt:variant>
        <vt:lpwstr/>
      </vt:variant>
      <vt:variant>
        <vt:i4>6357094</vt:i4>
      </vt:variant>
      <vt:variant>
        <vt:i4>21</vt:i4>
      </vt:variant>
      <vt:variant>
        <vt:i4>0</vt:i4>
      </vt:variant>
      <vt:variant>
        <vt:i4>5</vt:i4>
      </vt:variant>
      <vt:variant>
        <vt:lpwstr>https://www.cbd.int/documents/CBD/COP/16/INF/4</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4063358</vt:i4>
      </vt:variant>
      <vt:variant>
        <vt:i4>15</vt:i4>
      </vt:variant>
      <vt:variant>
        <vt:i4>0</vt:i4>
      </vt:variant>
      <vt:variant>
        <vt:i4>5</vt:i4>
      </vt:variant>
      <vt:variant>
        <vt:lpwstr>https://www.cbd.int/documents/CBD/SBSTTA/28/2/ADD3</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3670073</vt:i4>
      </vt:variant>
      <vt:variant>
        <vt:i4>0</vt:i4>
      </vt:variant>
      <vt:variant>
        <vt:i4>0</vt:i4>
      </vt:variant>
      <vt:variant>
        <vt:i4>5</vt:i4>
      </vt:variant>
      <vt:variant>
        <vt:lpwstr>https://www.cbd.int/documents/CBD/SBI/7/INF/17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dc:title>
  <dc:subject>CBD/SBI/7/L.10</dc:subject>
  <dc:creator>Secretariat of the Convention on Biological Diversity</dc:creator>
  <cp:keywords>Convention on Biological Diversity</cp:keywords>
  <dc:description/>
  <cp:lastModifiedBy>Veronique Lefebvre</cp:lastModifiedBy>
  <cp:revision>4</cp:revision>
  <cp:lastPrinted>2026-06-18T01:32:00Z</cp:lastPrinted>
  <dcterms:created xsi:type="dcterms:W3CDTF">2026-08-12T08:12:00Z</dcterms:created>
  <dcterms:modified xsi:type="dcterms:W3CDTF">2026-08-12T08:13:00Z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